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DAFD4" w14:textId="513627D8" w:rsidR="00035E51" w:rsidRPr="0092226B" w:rsidRDefault="0012754B" w:rsidP="0091735C">
      <w:pPr>
        <w:tabs>
          <w:tab w:val="left" w:pos="1418"/>
          <w:tab w:val="left" w:pos="1701"/>
          <w:tab w:val="left" w:pos="7938"/>
          <w:tab w:val="left" w:pos="8222"/>
        </w:tabs>
        <w:jc w:val="center"/>
        <w:rPr>
          <w:color w:val="FF0000"/>
          <w:szCs w:val="24"/>
        </w:rPr>
      </w:pPr>
      <w:r>
        <w:rPr>
          <w:color w:val="FF0000"/>
          <w:szCs w:val="24"/>
        </w:rPr>
        <w:t xml:space="preserve"> </w:t>
      </w:r>
    </w:p>
    <w:p w14:paraId="512F1070" w14:textId="77777777" w:rsidR="00035E51" w:rsidRPr="0092226B" w:rsidRDefault="00035E51" w:rsidP="003C1988">
      <w:pPr>
        <w:rPr>
          <w:color w:val="FF0000"/>
          <w:szCs w:val="24"/>
        </w:rPr>
      </w:pPr>
    </w:p>
    <w:p w14:paraId="159669EA" w14:textId="77777777" w:rsidR="00035E51" w:rsidRPr="0092226B" w:rsidRDefault="00035E51" w:rsidP="003C1988">
      <w:pPr>
        <w:rPr>
          <w:color w:val="FF0000"/>
          <w:szCs w:val="24"/>
        </w:rPr>
      </w:pPr>
    </w:p>
    <w:p w14:paraId="4669E596" w14:textId="77777777" w:rsidR="00035E51" w:rsidRPr="0092226B" w:rsidRDefault="00035E51" w:rsidP="003C1988">
      <w:pPr>
        <w:rPr>
          <w:color w:val="FF0000"/>
          <w:szCs w:val="24"/>
        </w:rPr>
      </w:pPr>
    </w:p>
    <w:p w14:paraId="67999271" w14:textId="77777777" w:rsidR="00035E51" w:rsidRPr="0092226B" w:rsidRDefault="00035E51" w:rsidP="003C1988">
      <w:pPr>
        <w:rPr>
          <w:color w:val="FF0000"/>
          <w:szCs w:val="24"/>
        </w:rPr>
      </w:pPr>
    </w:p>
    <w:p w14:paraId="0993E8EC" w14:textId="77777777" w:rsidR="00035E51" w:rsidRPr="0092226B" w:rsidRDefault="00035E51" w:rsidP="003C1988">
      <w:pPr>
        <w:rPr>
          <w:color w:val="FF0000"/>
          <w:szCs w:val="24"/>
        </w:rPr>
      </w:pPr>
    </w:p>
    <w:p w14:paraId="0A5B607B" w14:textId="48C01786" w:rsidR="00035E51" w:rsidRDefault="00035E51" w:rsidP="003C1988">
      <w:pPr>
        <w:rPr>
          <w:rFonts w:ascii="Garamond" w:hAnsi="Garamond"/>
          <w:color w:val="FF0000"/>
          <w:sz w:val="32"/>
          <w:szCs w:val="24"/>
        </w:rPr>
      </w:pPr>
    </w:p>
    <w:p w14:paraId="0C534075" w14:textId="70DC74A2" w:rsidR="003A7621" w:rsidRDefault="003A7621" w:rsidP="003C1988">
      <w:pPr>
        <w:rPr>
          <w:rFonts w:ascii="Garamond" w:hAnsi="Garamond"/>
          <w:color w:val="FF0000"/>
          <w:sz w:val="32"/>
          <w:szCs w:val="24"/>
        </w:rPr>
      </w:pPr>
    </w:p>
    <w:p w14:paraId="54736A87" w14:textId="6ACAAAA9" w:rsidR="003A7621" w:rsidRDefault="003A7621" w:rsidP="003C1988">
      <w:pPr>
        <w:rPr>
          <w:rFonts w:ascii="Garamond" w:hAnsi="Garamond"/>
          <w:color w:val="FF0000"/>
          <w:sz w:val="32"/>
          <w:szCs w:val="24"/>
        </w:rPr>
      </w:pPr>
    </w:p>
    <w:p w14:paraId="7C020BA1" w14:textId="7585119A" w:rsidR="003A7621" w:rsidRDefault="003A7621" w:rsidP="003C1988">
      <w:pPr>
        <w:rPr>
          <w:rFonts w:ascii="Garamond" w:hAnsi="Garamond"/>
          <w:color w:val="FF0000"/>
          <w:sz w:val="32"/>
          <w:szCs w:val="24"/>
        </w:rPr>
      </w:pPr>
    </w:p>
    <w:p w14:paraId="0D01335D" w14:textId="021C385A" w:rsidR="003A7621" w:rsidRDefault="003A7621" w:rsidP="003C1988">
      <w:pPr>
        <w:rPr>
          <w:rFonts w:ascii="Garamond" w:hAnsi="Garamond"/>
          <w:color w:val="FF0000"/>
          <w:sz w:val="32"/>
          <w:szCs w:val="24"/>
        </w:rPr>
      </w:pPr>
    </w:p>
    <w:p w14:paraId="0FAA85B4" w14:textId="77777777" w:rsidR="003A7621" w:rsidRPr="0092226B" w:rsidRDefault="003A7621" w:rsidP="003C1988">
      <w:pPr>
        <w:rPr>
          <w:rFonts w:ascii="Garamond" w:hAnsi="Garamond"/>
          <w:color w:val="FF0000"/>
          <w:sz w:val="32"/>
          <w:szCs w:val="24"/>
        </w:rPr>
      </w:pPr>
    </w:p>
    <w:p w14:paraId="6E9111BE" w14:textId="77777777" w:rsidR="00035E51" w:rsidRPr="0091735C" w:rsidRDefault="00035E51" w:rsidP="000B3303">
      <w:pPr>
        <w:jc w:val="center"/>
        <w:rPr>
          <w:rFonts w:ascii="Garamond" w:hAnsi="Garamond"/>
          <w:b/>
          <w:color w:val="ED7D31" w:themeColor="accent2"/>
          <w:sz w:val="52"/>
          <w:szCs w:val="28"/>
        </w:rPr>
      </w:pPr>
      <w:r w:rsidRPr="0091735C">
        <w:rPr>
          <w:rFonts w:ascii="Garamond" w:hAnsi="Garamond"/>
          <w:b/>
          <w:color w:val="ED7D31" w:themeColor="accent2"/>
          <w:sz w:val="52"/>
          <w:szCs w:val="28"/>
        </w:rPr>
        <w:t>Informacja</w:t>
      </w:r>
    </w:p>
    <w:p w14:paraId="4E6295AB" w14:textId="77777777" w:rsidR="00035E51" w:rsidRPr="0091735C" w:rsidRDefault="00035E51" w:rsidP="000B3303">
      <w:pPr>
        <w:jc w:val="center"/>
        <w:rPr>
          <w:rFonts w:ascii="Garamond" w:hAnsi="Garamond"/>
          <w:b/>
          <w:color w:val="ED7D31" w:themeColor="accent2"/>
          <w:sz w:val="52"/>
          <w:szCs w:val="28"/>
        </w:rPr>
      </w:pPr>
      <w:r w:rsidRPr="0091735C">
        <w:rPr>
          <w:rFonts w:ascii="Garamond" w:hAnsi="Garamond"/>
          <w:b/>
          <w:color w:val="ED7D31" w:themeColor="accent2"/>
          <w:sz w:val="52"/>
          <w:szCs w:val="28"/>
        </w:rPr>
        <w:t>o sytuacji osób starszych w Polsce</w:t>
      </w:r>
    </w:p>
    <w:p w14:paraId="37148D79" w14:textId="77777777" w:rsidR="00035E51" w:rsidRPr="0091735C" w:rsidRDefault="00035E51" w:rsidP="000B3303">
      <w:pPr>
        <w:jc w:val="center"/>
        <w:rPr>
          <w:rFonts w:ascii="Garamond" w:hAnsi="Garamond"/>
          <w:b/>
          <w:color w:val="ED7D31" w:themeColor="accent2"/>
          <w:sz w:val="52"/>
          <w:szCs w:val="28"/>
        </w:rPr>
      </w:pPr>
      <w:r w:rsidRPr="0091735C">
        <w:rPr>
          <w:rFonts w:ascii="Garamond" w:hAnsi="Garamond"/>
          <w:b/>
          <w:color w:val="ED7D31" w:themeColor="accent2"/>
          <w:sz w:val="52"/>
          <w:szCs w:val="28"/>
        </w:rPr>
        <w:t>za 20</w:t>
      </w:r>
      <w:r w:rsidR="0092226B" w:rsidRPr="0091735C">
        <w:rPr>
          <w:rFonts w:ascii="Garamond" w:hAnsi="Garamond"/>
          <w:b/>
          <w:color w:val="ED7D31" w:themeColor="accent2"/>
          <w:sz w:val="52"/>
          <w:szCs w:val="28"/>
        </w:rPr>
        <w:t>20</w:t>
      </w:r>
      <w:r w:rsidRPr="0091735C">
        <w:rPr>
          <w:rFonts w:ascii="Garamond" w:hAnsi="Garamond"/>
          <w:b/>
          <w:color w:val="ED7D31" w:themeColor="accent2"/>
          <w:sz w:val="52"/>
          <w:szCs w:val="28"/>
        </w:rPr>
        <w:t xml:space="preserve"> r.</w:t>
      </w:r>
    </w:p>
    <w:p w14:paraId="2A843852" w14:textId="77777777" w:rsidR="00035E51" w:rsidRPr="0092226B" w:rsidRDefault="00035E51" w:rsidP="003C1988">
      <w:pPr>
        <w:ind w:left="5664" w:firstLine="708"/>
        <w:rPr>
          <w:b/>
          <w:color w:val="FF0000"/>
          <w:szCs w:val="24"/>
        </w:rPr>
      </w:pPr>
    </w:p>
    <w:p w14:paraId="2D7161B4" w14:textId="77777777" w:rsidR="00035E51" w:rsidRPr="0092226B" w:rsidRDefault="00035E51" w:rsidP="003C1988">
      <w:pPr>
        <w:rPr>
          <w:color w:val="FF0000"/>
          <w:szCs w:val="24"/>
        </w:rPr>
      </w:pPr>
    </w:p>
    <w:p w14:paraId="71BE0DE7" w14:textId="77777777" w:rsidR="00035E51" w:rsidRPr="0092226B" w:rsidRDefault="00035E51" w:rsidP="003C1988">
      <w:pPr>
        <w:rPr>
          <w:color w:val="FF0000"/>
          <w:szCs w:val="24"/>
        </w:rPr>
      </w:pPr>
    </w:p>
    <w:p w14:paraId="23285D1E" w14:textId="77777777" w:rsidR="00035E51" w:rsidRPr="0092226B" w:rsidRDefault="00035E51" w:rsidP="003C1988">
      <w:pPr>
        <w:rPr>
          <w:color w:val="FF0000"/>
          <w:szCs w:val="24"/>
        </w:rPr>
      </w:pPr>
    </w:p>
    <w:p w14:paraId="5E8907A9" w14:textId="77777777" w:rsidR="00035E51" w:rsidRPr="0092226B" w:rsidRDefault="00035E51" w:rsidP="003C1988">
      <w:pPr>
        <w:rPr>
          <w:color w:val="FF0000"/>
          <w:szCs w:val="24"/>
        </w:rPr>
      </w:pPr>
    </w:p>
    <w:p w14:paraId="49F7CE56" w14:textId="77777777" w:rsidR="00035E51" w:rsidRPr="0092226B" w:rsidRDefault="00035E51" w:rsidP="003C1988">
      <w:pPr>
        <w:rPr>
          <w:color w:val="FF0000"/>
          <w:szCs w:val="24"/>
        </w:rPr>
      </w:pPr>
    </w:p>
    <w:p w14:paraId="42B3A151" w14:textId="77777777" w:rsidR="00035E51" w:rsidRPr="0092226B" w:rsidRDefault="00035E51" w:rsidP="003C1988">
      <w:pPr>
        <w:rPr>
          <w:color w:val="FF0000"/>
        </w:rPr>
      </w:pPr>
    </w:p>
    <w:p w14:paraId="004085BC" w14:textId="77777777" w:rsidR="00035E51" w:rsidRPr="0092226B" w:rsidRDefault="00035E51" w:rsidP="003C1988">
      <w:pPr>
        <w:rPr>
          <w:color w:val="FF0000"/>
        </w:rPr>
      </w:pPr>
    </w:p>
    <w:p w14:paraId="46572097" w14:textId="77777777" w:rsidR="00035E51" w:rsidRPr="0092226B" w:rsidRDefault="00035E51" w:rsidP="003C1988">
      <w:pPr>
        <w:rPr>
          <w:color w:val="FF0000"/>
        </w:rPr>
      </w:pPr>
    </w:p>
    <w:p w14:paraId="178A098A" w14:textId="77777777" w:rsidR="00035E51" w:rsidRPr="0092226B" w:rsidRDefault="00035E51" w:rsidP="003C1988">
      <w:pPr>
        <w:rPr>
          <w:rFonts w:ascii="Garamond" w:hAnsi="Garamond"/>
          <w:color w:val="FF0000"/>
          <w:sz w:val="32"/>
        </w:rPr>
      </w:pPr>
    </w:p>
    <w:p w14:paraId="259CBC57" w14:textId="1084EBA7" w:rsidR="00035E51" w:rsidRDefault="00035E51" w:rsidP="003C1988">
      <w:pPr>
        <w:rPr>
          <w:rFonts w:ascii="Garamond" w:hAnsi="Garamond"/>
          <w:color w:val="FF0000"/>
          <w:sz w:val="32"/>
        </w:rPr>
      </w:pPr>
    </w:p>
    <w:p w14:paraId="5651134C" w14:textId="7F5E3C32" w:rsidR="003A7621" w:rsidRDefault="003A7621" w:rsidP="003C1988">
      <w:pPr>
        <w:rPr>
          <w:rFonts w:ascii="Garamond" w:hAnsi="Garamond"/>
          <w:color w:val="FF0000"/>
          <w:sz w:val="32"/>
        </w:rPr>
      </w:pPr>
    </w:p>
    <w:p w14:paraId="5D385874" w14:textId="55A63195" w:rsidR="003A7621" w:rsidRDefault="003A7621" w:rsidP="003C1988">
      <w:pPr>
        <w:rPr>
          <w:rFonts w:ascii="Garamond" w:hAnsi="Garamond"/>
          <w:color w:val="FF0000"/>
          <w:sz w:val="32"/>
        </w:rPr>
      </w:pPr>
    </w:p>
    <w:p w14:paraId="63C8F9FE" w14:textId="302B6F73" w:rsidR="003A7621" w:rsidRDefault="003A7621" w:rsidP="003C1988">
      <w:pPr>
        <w:rPr>
          <w:rFonts w:ascii="Garamond" w:hAnsi="Garamond"/>
          <w:color w:val="FF0000"/>
          <w:sz w:val="32"/>
        </w:rPr>
      </w:pPr>
    </w:p>
    <w:p w14:paraId="0D5F5104" w14:textId="1CB3CFCF" w:rsidR="003A7621" w:rsidRDefault="003A7621" w:rsidP="003C1988">
      <w:pPr>
        <w:rPr>
          <w:rFonts w:ascii="Garamond" w:hAnsi="Garamond"/>
          <w:color w:val="FF0000"/>
          <w:sz w:val="32"/>
        </w:rPr>
      </w:pPr>
    </w:p>
    <w:p w14:paraId="39380B5F" w14:textId="361906D1" w:rsidR="003A7621" w:rsidRDefault="003A7621" w:rsidP="003C1988">
      <w:pPr>
        <w:rPr>
          <w:rFonts w:ascii="Garamond" w:hAnsi="Garamond"/>
          <w:color w:val="FF0000"/>
          <w:sz w:val="32"/>
        </w:rPr>
      </w:pPr>
    </w:p>
    <w:p w14:paraId="79274874" w14:textId="731383BF" w:rsidR="003A7621" w:rsidRDefault="003A7621" w:rsidP="003C1988">
      <w:pPr>
        <w:rPr>
          <w:rFonts w:ascii="Garamond" w:hAnsi="Garamond"/>
          <w:color w:val="FF0000"/>
          <w:sz w:val="32"/>
        </w:rPr>
      </w:pPr>
    </w:p>
    <w:p w14:paraId="46A1D047" w14:textId="77777777" w:rsidR="003A7621" w:rsidRPr="0092226B" w:rsidRDefault="003A7621" w:rsidP="003C1988">
      <w:pPr>
        <w:rPr>
          <w:rFonts w:ascii="Garamond" w:hAnsi="Garamond"/>
          <w:color w:val="FF0000"/>
          <w:sz w:val="32"/>
        </w:rPr>
      </w:pPr>
    </w:p>
    <w:p w14:paraId="08F21AD8" w14:textId="77777777" w:rsidR="00F70D5A" w:rsidRPr="0092226B" w:rsidRDefault="00F70D5A" w:rsidP="000B3303">
      <w:pPr>
        <w:jc w:val="center"/>
        <w:rPr>
          <w:rFonts w:ascii="Garamond" w:hAnsi="Garamond"/>
          <w:color w:val="FF0000"/>
          <w:sz w:val="32"/>
        </w:rPr>
      </w:pPr>
    </w:p>
    <w:p w14:paraId="481D8BDC" w14:textId="41C46611" w:rsidR="00035E51" w:rsidRPr="003A7621" w:rsidRDefault="0091735C" w:rsidP="003A7621">
      <w:pPr>
        <w:jc w:val="center"/>
        <w:rPr>
          <w:rFonts w:ascii="Garamond" w:hAnsi="Garamond"/>
          <w:sz w:val="32"/>
        </w:rPr>
      </w:pPr>
      <w:r>
        <w:rPr>
          <w:rFonts w:ascii="Garamond" w:hAnsi="Garamond"/>
          <w:sz w:val="32"/>
        </w:rPr>
        <w:t>Warszawa, 2021</w:t>
      </w:r>
      <w:r w:rsidR="00035E51" w:rsidRPr="0091735C">
        <w:rPr>
          <w:rFonts w:ascii="Garamond" w:hAnsi="Garamond"/>
          <w:sz w:val="32"/>
        </w:rPr>
        <w:t xml:space="preserve"> r</w:t>
      </w:r>
      <w:r w:rsidR="003A7621">
        <w:rPr>
          <w:rFonts w:ascii="Garamond" w:hAnsi="Garamond"/>
          <w:sz w:val="32"/>
        </w:rPr>
        <w:t>.</w:t>
      </w:r>
    </w:p>
    <w:p w14:paraId="308B3FD4" w14:textId="77777777" w:rsidR="00035E51" w:rsidRPr="0092226B" w:rsidRDefault="00035E51" w:rsidP="003C1988">
      <w:pPr>
        <w:rPr>
          <w:color w:val="FF0000"/>
          <w:szCs w:val="24"/>
        </w:rPr>
      </w:pPr>
    </w:p>
    <w:p w14:paraId="6B585995" w14:textId="77777777" w:rsidR="00035E51" w:rsidRPr="0092226B" w:rsidRDefault="00035E51" w:rsidP="003C1988">
      <w:pPr>
        <w:rPr>
          <w:color w:val="FF0000"/>
          <w:szCs w:val="24"/>
        </w:rPr>
      </w:pPr>
    </w:p>
    <w:p w14:paraId="37719181" w14:textId="77777777" w:rsidR="00035E51" w:rsidRPr="0092226B" w:rsidRDefault="00035E51" w:rsidP="003C1988">
      <w:pPr>
        <w:rPr>
          <w:color w:val="FF0000"/>
          <w:szCs w:val="24"/>
        </w:rPr>
      </w:pPr>
    </w:p>
    <w:p w14:paraId="1B83F5AF" w14:textId="77777777" w:rsidR="000B3303" w:rsidRPr="0092226B" w:rsidRDefault="000B3303" w:rsidP="003C1988">
      <w:pPr>
        <w:rPr>
          <w:color w:val="FF0000"/>
          <w:szCs w:val="24"/>
        </w:rPr>
      </w:pPr>
    </w:p>
    <w:bookmarkStart w:id="0" w:name="_Toc80523036" w:displacedByCustomXml="next"/>
    <w:bookmarkStart w:id="1" w:name="_Toc77513876" w:displacedByCustomXml="next"/>
    <w:sdt>
      <w:sdtPr>
        <w:rPr>
          <w:rFonts w:asciiTheme="minorHAnsi" w:eastAsiaTheme="minorHAnsi" w:hAnsiTheme="minorHAnsi" w:cstheme="minorBidi"/>
          <w:b w:val="0"/>
          <w:color w:val="auto"/>
          <w:sz w:val="28"/>
          <w:szCs w:val="22"/>
        </w:rPr>
        <w:id w:val="1585956015"/>
        <w:docPartObj>
          <w:docPartGallery w:val="Table of Contents"/>
          <w:docPartUnique/>
        </w:docPartObj>
      </w:sdtPr>
      <w:sdtEndPr>
        <w:rPr>
          <w:rFonts w:ascii="Times New Roman" w:hAnsi="Times New Roman"/>
          <w:bCs/>
          <w:color w:val="FF0000"/>
          <w:sz w:val="24"/>
        </w:rPr>
      </w:sdtEndPr>
      <w:sdtContent>
        <w:p w14:paraId="1881356B" w14:textId="77777777" w:rsidR="00710D8F" w:rsidRDefault="00B25D75" w:rsidP="003A7621">
          <w:pPr>
            <w:pStyle w:val="Nagwek1"/>
            <w:numPr>
              <w:ilvl w:val="0"/>
              <w:numId w:val="0"/>
            </w:numPr>
            <w:spacing w:after="240"/>
            <w:rPr>
              <w:noProof/>
            </w:rPr>
          </w:pPr>
          <w:r w:rsidRPr="003A7621">
            <w:rPr>
              <w:rFonts w:cs="Times New Roman"/>
              <w:sz w:val="40"/>
            </w:rPr>
            <w:t>Spis treści</w:t>
          </w:r>
          <w:bookmarkEnd w:id="1"/>
          <w:bookmarkEnd w:id="0"/>
          <w:r w:rsidR="001C5E39" w:rsidRPr="003A7621">
            <w:rPr>
              <w:rFonts w:cs="Times New Roman"/>
              <w:b w:val="0"/>
              <w:color w:val="FF0000"/>
            </w:rPr>
            <w:fldChar w:fldCharType="begin"/>
          </w:r>
          <w:r w:rsidRPr="003A7621">
            <w:rPr>
              <w:rFonts w:cs="Times New Roman"/>
              <w:color w:val="FF0000"/>
            </w:rPr>
            <w:instrText xml:space="preserve"> TOC \o "1-3" \h \z \u </w:instrText>
          </w:r>
          <w:r w:rsidR="001C5E39" w:rsidRPr="003A7621">
            <w:rPr>
              <w:rFonts w:cs="Times New Roman"/>
              <w:b w:val="0"/>
              <w:color w:val="FF0000"/>
            </w:rPr>
            <w:fldChar w:fldCharType="separate"/>
          </w:r>
        </w:p>
        <w:p w14:paraId="689DE79E" w14:textId="66AAF622" w:rsidR="00710D8F" w:rsidRDefault="009566E2">
          <w:pPr>
            <w:pStyle w:val="Spistreci1"/>
            <w:rPr>
              <w:rStyle w:val="Hipercze"/>
              <w:noProof/>
            </w:rPr>
          </w:pPr>
          <w:hyperlink w:anchor="_Toc80523037" w:history="1">
            <w:r w:rsidR="00710D8F" w:rsidRPr="00F850F5">
              <w:rPr>
                <w:rStyle w:val="Hipercze"/>
                <w:rFonts w:cs="Times New Roman"/>
                <w:noProof/>
              </w:rPr>
              <w:t>Wprowadzenie</w:t>
            </w:r>
            <w:r w:rsidR="00710D8F">
              <w:rPr>
                <w:noProof/>
                <w:webHidden/>
              </w:rPr>
              <w:tab/>
            </w:r>
            <w:r w:rsidR="00710D8F">
              <w:rPr>
                <w:noProof/>
                <w:webHidden/>
              </w:rPr>
              <w:fldChar w:fldCharType="begin"/>
            </w:r>
            <w:r w:rsidR="00710D8F">
              <w:rPr>
                <w:noProof/>
                <w:webHidden/>
              </w:rPr>
              <w:instrText xml:space="preserve"> PAGEREF _Toc80523037 \h </w:instrText>
            </w:r>
            <w:r w:rsidR="00710D8F">
              <w:rPr>
                <w:noProof/>
                <w:webHidden/>
              </w:rPr>
            </w:r>
            <w:r w:rsidR="00710D8F">
              <w:rPr>
                <w:noProof/>
                <w:webHidden/>
              </w:rPr>
              <w:fldChar w:fldCharType="separate"/>
            </w:r>
            <w:r w:rsidR="00822413">
              <w:rPr>
                <w:noProof/>
                <w:webHidden/>
              </w:rPr>
              <w:t>4</w:t>
            </w:r>
            <w:r w:rsidR="00710D8F">
              <w:rPr>
                <w:noProof/>
                <w:webHidden/>
              </w:rPr>
              <w:fldChar w:fldCharType="end"/>
            </w:r>
          </w:hyperlink>
        </w:p>
        <w:p w14:paraId="066AFFA8" w14:textId="77777777" w:rsidR="00710D8F" w:rsidRPr="00710D8F" w:rsidRDefault="00710D8F" w:rsidP="00710D8F"/>
        <w:p w14:paraId="0CCB89C5" w14:textId="52577526" w:rsidR="00710D8F" w:rsidRDefault="009566E2">
          <w:pPr>
            <w:pStyle w:val="Spistreci1"/>
            <w:rPr>
              <w:rFonts w:asciiTheme="minorHAnsi" w:eastAsiaTheme="minorEastAsia" w:hAnsiTheme="minorHAnsi"/>
              <w:noProof/>
              <w:sz w:val="22"/>
              <w:lang w:eastAsia="pl-PL"/>
            </w:rPr>
          </w:pPr>
          <w:hyperlink w:anchor="_Toc80523038" w:history="1">
            <w:r w:rsidR="00710D8F" w:rsidRPr="00F850F5">
              <w:rPr>
                <w:rStyle w:val="Hipercze"/>
                <w:noProof/>
              </w:rPr>
              <w:t>1.</w:t>
            </w:r>
            <w:r w:rsidR="00710D8F">
              <w:rPr>
                <w:rFonts w:asciiTheme="minorHAnsi" w:eastAsiaTheme="minorEastAsia" w:hAnsiTheme="minorHAnsi"/>
                <w:noProof/>
                <w:sz w:val="22"/>
                <w:lang w:eastAsia="pl-PL"/>
              </w:rPr>
              <w:tab/>
            </w:r>
            <w:r w:rsidR="00710D8F" w:rsidRPr="00F850F5">
              <w:rPr>
                <w:rStyle w:val="Hipercze"/>
                <w:noProof/>
              </w:rPr>
              <w:t>Sytuacja społeczno-ekonomiczna osób starszych w Polsce</w:t>
            </w:r>
            <w:r w:rsidR="00710D8F">
              <w:rPr>
                <w:noProof/>
                <w:webHidden/>
              </w:rPr>
              <w:tab/>
            </w:r>
            <w:r w:rsidR="00710D8F">
              <w:rPr>
                <w:noProof/>
                <w:webHidden/>
              </w:rPr>
              <w:fldChar w:fldCharType="begin"/>
            </w:r>
            <w:r w:rsidR="00710D8F">
              <w:rPr>
                <w:noProof/>
                <w:webHidden/>
              </w:rPr>
              <w:instrText xml:space="preserve"> PAGEREF _Toc80523038 \h </w:instrText>
            </w:r>
            <w:r w:rsidR="00710D8F">
              <w:rPr>
                <w:noProof/>
                <w:webHidden/>
              </w:rPr>
            </w:r>
            <w:r w:rsidR="00710D8F">
              <w:rPr>
                <w:noProof/>
                <w:webHidden/>
              </w:rPr>
              <w:fldChar w:fldCharType="separate"/>
            </w:r>
            <w:r w:rsidR="00822413">
              <w:rPr>
                <w:noProof/>
                <w:webHidden/>
              </w:rPr>
              <w:t>5</w:t>
            </w:r>
            <w:r w:rsidR="00710D8F">
              <w:rPr>
                <w:noProof/>
                <w:webHidden/>
              </w:rPr>
              <w:fldChar w:fldCharType="end"/>
            </w:r>
          </w:hyperlink>
        </w:p>
        <w:p w14:paraId="7770F738" w14:textId="34030DF4" w:rsidR="00710D8F" w:rsidRDefault="009566E2">
          <w:pPr>
            <w:pStyle w:val="Spistreci2"/>
            <w:tabs>
              <w:tab w:val="left" w:pos="880"/>
            </w:tabs>
            <w:rPr>
              <w:rFonts w:asciiTheme="minorHAnsi" w:eastAsiaTheme="minorEastAsia" w:hAnsiTheme="minorHAnsi"/>
              <w:noProof/>
              <w:sz w:val="22"/>
              <w:lang w:eastAsia="pl-PL"/>
            </w:rPr>
          </w:pPr>
          <w:hyperlink w:anchor="_Toc80523039" w:history="1">
            <w:r w:rsidR="00710D8F" w:rsidRPr="00F850F5">
              <w:rPr>
                <w:rStyle w:val="Hipercze"/>
                <w:noProof/>
              </w:rPr>
              <w:t>1.1.</w:t>
            </w:r>
            <w:r w:rsidR="00710D8F">
              <w:rPr>
                <w:rFonts w:asciiTheme="minorHAnsi" w:eastAsiaTheme="minorEastAsia" w:hAnsiTheme="minorHAnsi"/>
                <w:noProof/>
                <w:sz w:val="22"/>
                <w:lang w:eastAsia="pl-PL"/>
              </w:rPr>
              <w:tab/>
            </w:r>
            <w:r w:rsidR="00710D8F" w:rsidRPr="00F850F5">
              <w:rPr>
                <w:rStyle w:val="Hipercze"/>
                <w:noProof/>
              </w:rPr>
              <w:t>Sytuacja demograficzna</w:t>
            </w:r>
            <w:r w:rsidR="00710D8F">
              <w:rPr>
                <w:noProof/>
                <w:webHidden/>
              </w:rPr>
              <w:tab/>
            </w:r>
            <w:r w:rsidR="00710D8F">
              <w:rPr>
                <w:noProof/>
                <w:webHidden/>
              </w:rPr>
              <w:fldChar w:fldCharType="begin"/>
            </w:r>
            <w:r w:rsidR="00710D8F">
              <w:rPr>
                <w:noProof/>
                <w:webHidden/>
              </w:rPr>
              <w:instrText xml:space="preserve"> PAGEREF _Toc80523039 \h </w:instrText>
            </w:r>
            <w:r w:rsidR="00710D8F">
              <w:rPr>
                <w:noProof/>
                <w:webHidden/>
              </w:rPr>
            </w:r>
            <w:r w:rsidR="00710D8F">
              <w:rPr>
                <w:noProof/>
                <w:webHidden/>
              </w:rPr>
              <w:fldChar w:fldCharType="separate"/>
            </w:r>
            <w:r w:rsidR="00822413">
              <w:rPr>
                <w:noProof/>
                <w:webHidden/>
              </w:rPr>
              <w:t>5</w:t>
            </w:r>
            <w:r w:rsidR="00710D8F">
              <w:rPr>
                <w:noProof/>
                <w:webHidden/>
              </w:rPr>
              <w:fldChar w:fldCharType="end"/>
            </w:r>
          </w:hyperlink>
        </w:p>
        <w:p w14:paraId="43C92970" w14:textId="17801747" w:rsidR="00710D8F" w:rsidRDefault="009566E2">
          <w:pPr>
            <w:pStyle w:val="Spistreci2"/>
            <w:tabs>
              <w:tab w:val="left" w:pos="880"/>
            </w:tabs>
            <w:rPr>
              <w:rFonts w:asciiTheme="minorHAnsi" w:eastAsiaTheme="minorEastAsia" w:hAnsiTheme="minorHAnsi"/>
              <w:noProof/>
              <w:sz w:val="22"/>
              <w:lang w:eastAsia="pl-PL"/>
            </w:rPr>
          </w:pPr>
          <w:hyperlink w:anchor="_Toc80523040" w:history="1">
            <w:r w:rsidR="00710D8F" w:rsidRPr="00F850F5">
              <w:rPr>
                <w:rStyle w:val="Hipercze"/>
                <w:noProof/>
              </w:rPr>
              <w:t>1.2.</w:t>
            </w:r>
            <w:r w:rsidR="00710D8F">
              <w:rPr>
                <w:rFonts w:asciiTheme="minorHAnsi" w:eastAsiaTheme="minorEastAsia" w:hAnsiTheme="minorHAnsi"/>
                <w:noProof/>
                <w:sz w:val="22"/>
                <w:lang w:eastAsia="pl-PL"/>
              </w:rPr>
              <w:tab/>
            </w:r>
            <w:r w:rsidR="00710D8F" w:rsidRPr="00F850F5">
              <w:rPr>
                <w:rStyle w:val="Hipercze"/>
                <w:noProof/>
              </w:rPr>
              <w:t>Sytuacja ekonomiczno-społeczna</w:t>
            </w:r>
            <w:r w:rsidR="00710D8F">
              <w:rPr>
                <w:noProof/>
                <w:webHidden/>
              </w:rPr>
              <w:tab/>
            </w:r>
            <w:r w:rsidR="00710D8F">
              <w:rPr>
                <w:noProof/>
                <w:webHidden/>
              </w:rPr>
              <w:fldChar w:fldCharType="begin"/>
            </w:r>
            <w:r w:rsidR="00710D8F">
              <w:rPr>
                <w:noProof/>
                <w:webHidden/>
              </w:rPr>
              <w:instrText xml:space="preserve"> PAGEREF _Toc80523040 \h </w:instrText>
            </w:r>
            <w:r w:rsidR="00710D8F">
              <w:rPr>
                <w:noProof/>
                <w:webHidden/>
              </w:rPr>
            </w:r>
            <w:r w:rsidR="00710D8F">
              <w:rPr>
                <w:noProof/>
                <w:webHidden/>
              </w:rPr>
              <w:fldChar w:fldCharType="separate"/>
            </w:r>
            <w:r w:rsidR="00822413">
              <w:rPr>
                <w:noProof/>
                <w:webHidden/>
              </w:rPr>
              <w:t>8</w:t>
            </w:r>
            <w:r w:rsidR="00710D8F">
              <w:rPr>
                <w:noProof/>
                <w:webHidden/>
              </w:rPr>
              <w:fldChar w:fldCharType="end"/>
            </w:r>
          </w:hyperlink>
        </w:p>
        <w:p w14:paraId="66EE3436" w14:textId="17145239" w:rsidR="00710D8F" w:rsidRDefault="009566E2">
          <w:pPr>
            <w:pStyle w:val="Spistreci2"/>
            <w:tabs>
              <w:tab w:val="left" w:pos="880"/>
            </w:tabs>
            <w:rPr>
              <w:rFonts w:asciiTheme="minorHAnsi" w:eastAsiaTheme="minorEastAsia" w:hAnsiTheme="minorHAnsi"/>
              <w:noProof/>
              <w:sz w:val="22"/>
              <w:lang w:eastAsia="pl-PL"/>
            </w:rPr>
          </w:pPr>
          <w:hyperlink w:anchor="_Toc80523046" w:history="1">
            <w:r w:rsidR="00710D8F" w:rsidRPr="00F850F5">
              <w:rPr>
                <w:rStyle w:val="Hipercze"/>
                <w:noProof/>
              </w:rPr>
              <w:t>1.3.</w:t>
            </w:r>
            <w:r w:rsidR="00710D8F">
              <w:rPr>
                <w:rFonts w:asciiTheme="minorHAnsi" w:eastAsiaTheme="minorEastAsia" w:hAnsiTheme="minorHAnsi"/>
                <w:noProof/>
                <w:sz w:val="22"/>
                <w:lang w:eastAsia="pl-PL"/>
              </w:rPr>
              <w:tab/>
            </w:r>
            <w:r w:rsidR="00710D8F" w:rsidRPr="00F850F5">
              <w:rPr>
                <w:rStyle w:val="Hipercze"/>
                <w:noProof/>
              </w:rPr>
              <w:t>Sytuacja na rynku pracy</w:t>
            </w:r>
            <w:r w:rsidR="00710D8F">
              <w:rPr>
                <w:noProof/>
                <w:webHidden/>
              </w:rPr>
              <w:tab/>
            </w:r>
            <w:r w:rsidR="00710D8F">
              <w:rPr>
                <w:noProof/>
                <w:webHidden/>
              </w:rPr>
              <w:fldChar w:fldCharType="begin"/>
            </w:r>
            <w:r w:rsidR="00710D8F">
              <w:rPr>
                <w:noProof/>
                <w:webHidden/>
              </w:rPr>
              <w:instrText xml:space="preserve"> PAGEREF _Toc80523046 \h </w:instrText>
            </w:r>
            <w:r w:rsidR="00710D8F">
              <w:rPr>
                <w:noProof/>
                <w:webHidden/>
              </w:rPr>
            </w:r>
            <w:r w:rsidR="00710D8F">
              <w:rPr>
                <w:noProof/>
                <w:webHidden/>
              </w:rPr>
              <w:fldChar w:fldCharType="separate"/>
            </w:r>
            <w:r w:rsidR="00822413">
              <w:rPr>
                <w:noProof/>
                <w:webHidden/>
              </w:rPr>
              <w:t>25</w:t>
            </w:r>
            <w:r w:rsidR="00710D8F">
              <w:rPr>
                <w:noProof/>
                <w:webHidden/>
              </w:rPr>
              <w:fldChar w:fldCharType="end"/>
            </w:r>
          </w:hyperlink>
        </w:p>
        <w:p w14:paraId="5B55E1E5" w14:textId="69B3DFC2" w:rsidR="00710D8F" w:rsidRDefault="009566E2">
          <w:pPr>
            <w:pStyle w:val="Spistreci2"/>
            <w:tabs>
              <w:tab w:val="left" w:pos="880"/>
            </w:tabs>
            <w:rPr>
              <w:rFonts w:asciiTheme="minorHAnsi" w:eastAsiaTheme="minorEastAsia" w:hAnsiTheme="minorHAnsi"/>
              <w:noProof/>
              <w:sz w:val="22"/>
              <w:lang w:eastAsia="pl-PL"/>
            </w:rPr>
          </w:pPr>
          <w:hyperlink w:anchor="_Toc80523047" w:history="1">
            <w:r w:rsidR="00710D8F" w:rsidRPr="00F850F5">
              <w:rPr>
                <w:rStyle w:val="Hipercze"/>
                <w:noProof/>
              </w:rPr>
              <w:t>1.4.</w:t>
            </w:r>
            <w:r w:rsidR="00710D8F">
              <w:rPr>
                <w:rFonts w:asciiTheme="minorHAnsi" w:eastAsiaTheme="minorEastAsia" w:hAnsiTheme="minorHAnsi"/>
                <w:noProof/>
                <w:sz w:val="22"/>
                <w:lang w:eastAsia="pl-PL"/>
              </w:rPr>
              <w:tab/>
            </w:r>
            <w:r w:rsidR="00710D8F" w:rsidRPr="00F850F5">
              <w:rPr>
                <w:rStyle w:val="Hipercze"/>
                <w:noProof/>
              </w:rPr>
              <w:t>Stan zdrowia i opieka zdrowotna</w:t>
            </w:r>
            <w:r w:rsidR="00710D8F">
              <w:rPr>
                <w:noProof/>
                <w:webHidden/>
              </w:rPr>
              <w:tab/>
            </w:r>
            <w:r w:rsidR="00710D8F">
              <w:rPr>
                <w:noProof/>
                <w:webHidden/>
              </w:rPr>
              <w:fldChar w:fldCharType="begin"/>
            </w:r>
            <w:r w:rsidR="00710D8F">
              <w:rPr>
                <w:noProof/>
                <w:webHidden/>
              </w:rPr>
              <w:instrText xml:space="preserve"> PAGEREF _Toc80523047 \h </w:instrText>
            </w:r>
            <w:r w:rsidR="00710D8F">
              <w:rPr>
                <w:noProof/>
                <w:webHidden/>
              </w:rPr>
            </w:r>
            <w:r w:rsidR="00710D8F">
              <w:rPr>
                <w:noProof/>
                <w:webHidden/>
              </w:rPr>
              <w:fldChar w:fldCharType="separate"/>
            </w:r>
            <w:r w:rsidR="00822413">
              <w:rPr>
                <w:noProof/>
                <w:webHidden/>
              </w:rPr>
              <w:t>28</w:t>
            </w:r>
            <w:r w:rsidR="00710D8F">
              <w:rPr>
                <w:noProof/>
                <w:webHidden/>
              </w:rPr>
              <w:fldChar w:fldCharType="end"/>
            </w:r>
          </w:hyperlink>
        </w:p>
        <w:p w14:paraId="67B54D9E" w14:textId="5EBFC1F9" w:rsidR="00710D8F" w:rsidRDefault="009566E2">
          <w:pPr>
            <w:pStyle w:val="Spistreci2"/>
            <w:tabs>
              <w:tab w:val="left" w:pos="880"/>
            </w:tabs>
            <w:rPr>
              <w:rFonts w:asciiTheme="minorHAnsi" w:eastAsiaTheme="minorEastAsia" w:hAnsiTheme="minorHAnsi"/>
              <w:noProof/>
              <w:sz w:val="22"/>
              <w:lang w:eastAsia="pl-PL"/>
            </w:rPr>
          </w:pPr>
          <w:hyperlink w:anchor="_Toc80523051" w:history="1">
            <w:r w:rsidR="00710D8F" w:rsidRPr="00F850F5">
              <w:rPr>
                <w:rStyle w:val="Hipercze"/>
                <w:noProof/>
              </w:rPr>
              <w:t>1.5.</w:t>
            </w:r>
            <w:r w:rsidR="00710D8F">
              <w:rPr>
                <w:rFonts w:asciiTheme="minorHAnsi" w:eastAsiaTheme="minorEastAsia" w:hAnsiTheme="minorHAnsi"/>
                <w:noProof/>
                <w:sz w:val="22"/>
                <w:lang w:eastAsia="pl-PL"/>
              </w:rPr>
              <w:tab/>
            </w:r>
            <w:r w:rsidR="00710D8F" w:rsidRPr="00F850F5">
              <w:rPr>
                <w:rStyle w:val="Hipercze"/>
                <w:noProof/>
              </w:rPr>
              <w:t>Dostępne formy aktywności</w:t>
            </w:r>
            <w:r w:rsidR="00710D8F">
              <w:rPr>
                <w:noProof/>
                <w:webHidden/>
              </w:rPr>
              <w:tab/>
            </w:r>
            <w:r w:rsidR="00710D8F">
              <w:rPr>
                <w:noProof/>
                <w:webHidden/>
              </w:rPr>
              <w:fldChar w:fldCharType="begin"/>
            </w:r>
            <w:r w:rsidR="00710D8F">
              <w:rPr>
                <w:noProof/>
                <w:webHidden/>
              </w:rPr>
              <w:instrText xml:space="preserve"> PAGEREF _Toc80523051 \h </w:instrText>
            </w:r>
            <w:r w:rsidR="00710D8F">
              <w:rPr>
                <w:noProof/>
                <w:webHidden/>
              </w:rPr>
            </w:r>
            <w:r w:rsidR="00710D8F">
              <w:rPr>
                <w:noProof/>
                <w:webHidden/>
              </w:rPr>
              <w:fldChar w:fldCharType="separate"/>
            </w:r>
            <w:r w:rsidR="00822413">
              <w:rPr>
                <w:noProof/>
                <w:webHidden/>
              </w:rPr>
              <w:t>41</w:t>
            </w:r>
            <w:r w:rsidR="00710D8F">
              <w:rPr>
                <w:noProof/>
                <w:webHidden/>
              </w:rPr>
              <w:fldChar w:fldCharType="end"/>
            </w:r>
          </w:hyperlink>
        </w:p>
        <w:p w14:paraId="5FDF239C" w14:textId="64931507" w:rsidR="00710D8F" w:rsidRDefault="009566E2">
          <w:pPr>
            <w:pStyle w:val="Spistreci2"/>
            <w:tabs>
              <w:tab w:val="left" w:pos="880"/>
            </w:tabs>
            <w:rPr>
              <w:rFonts w:asciiTheme="minorHAnsi" w:eastAsiaTheme="minorEastAsia" w:hAnsiTheme="minorHAnsi"/>
              <w:noProof/>
              <w:sz w:val="22"/>
              <w:lang w:eastAsia="pl-PL"/>
            </w:rPr>
          </w:pPr>
          <w:hyperlink w:anchor="_Toc80523056" w:history="1">
            <w:r w:rsidR="00710D8F" w:rsidRPr="00F850F5">
              <w:rPr>
                <w:rStyle w:val="Hipercze"/>
                <w:noProof/>
              </w:rPr>
              <w:t>1.6.</w:t>
            </w:r>
            <w:r w:rsidR="00710D8F">
              <w:rPr>
                <w:rFonts w:asciiTheme="minorHAnsi" w:eastAsiaTheme="minorEastAsia" w:hAnsiTheme="minorHAnsi"/>
                <w:noProof/>
                <w:sz w:val="22"/>
                <w:lang w:eastAsia="pl-PL"/>
              </w:rPr>
              <w:tab/>
            </w:r>
            <w:r w:rsidR="00710D8F" w:rsidRPr="00F850F5">
              <w:rPr>
                <w:rStyle w:val="Hipercze"/>
                <w:noProof/>
              </w:rPr>
              <w:t>Równe traktowanie i przeciwdziałanie dyskryminacji</w:t>
            </w:r>
            <w:r w:rsidR="00710D8F">
              <w:rPr>
                <w:noProof/>
                <w:webHidden/>
              </w:rPr>
              <w:tab/>
            </w:r>
            <w:r w:rsidR="00710D8F">
              <w:rPr>
                <w:noProof/>
                <w:webHidden/>
              </w:rPr>
              <w:fldChar w:fldCharType="begin"/>
            </w:r>
            <w:r w:rsidR="00710D8F">
              <w:rPr>
                <w:noProof/>
                <w:webHidden/>
              </w:rPr>
              <w:instrText xml:space="preserve"> PAGEREF _Toc80523056 \h </w:instrText>
            </w:r>
            <w:r w:rsidR="00710D8F">
              <w:rPr>
                <w:noProof/>
                <w:webHidden/>
              </w:rPr>
            </w:r>
            <w:r w:rsidR="00710D8F">
              <w:rPr>
                <w:noProof/>
                <w:webHidden/>
              </w:rPr>
              <w:fldChar w:fldCharType="separate"/>
            </w:r>
            <w:r w:rsidR="00822413">
              <w:rPr>
                <w:noProof/>
                <w:webHidden/>
              </w:rPr>
              <w:t>48</w:t>
            </w:r>
            <w:r w:rsidR="00710D8F">
              <w:rPr>
                <w:noProof/>
                <w:webHidden/>
              </w:rPr>
              <w:fldChar w:fldCharType="end"/>
            </w:r>
          </w:hyperlink>
        </w:p>
        <w:p w14:paraId="0E65FE07" w14:textId="3BFD2199" w:rsidR="00710D8F" w:rsidRDefault="009566E2">
          <w:pPr>
            <w:pStyle w:val="Spistreci2"/>
            <w:tabs>
              <w:tab w:val="left" w:pos="880"/>
            </w:tabs>
            <w:rPr>
              <w:rStyle w:val="Hipercze"/>
              <w:noProof/>
            </w:rPr>
          </w:pPr>
          <w:hyperlink w:anchor="_Toc80523057" w:history="1">
            <w:r w:rsidR="00710D8F" w:rsidRPr="00F850F5">
              <w:rPr>
                <w:rStyle w:val="Hipercze"/>
                <w:noProof/>
              </w:rPr>
              <w:t>1.7.</w:t>
            </w:r>
            <w:r w:rsidR="00710D8F">
              <w:rPr>
                <w:rFonts w:asciiTheme="minorHAnsi" w:eastAsiaTheme="minorEastAsia" w:hAnsiTheme="minorHAnsi"/>
                <w:noProof/>
                <w:sz w:val="22"/>
                <w:lang w:eastAsia="pl-PL"/>
              </w:rPr>
              <w:tab/>
            </w:r>
            <w:r w:rsidR="00710D8F" w:rsidRPr="00F850F5">
              <w:rPr>
                <w:rStyle w:val="Hipercze"/>
                <w:noProof/>
              </w:rPr>
              <w:t>Sytuacja niepełnosprawnych osób starszych</w:t>
            </w:r>
            <w:r w:rsidR="00710D8F">
              <w:rPr>
                <w:noProof/>
                <w:webHidden/>
              </w:rPr>
              <w:tab/>
            </w:r>
            <w:r w:rsidR="00710D8F">
              <w:rPr>
                <w:noProof/>
                <w:webHidden/>
              </w:rPr>
              <w:fldChar w:fldCharType="begin"/>
            </w:r>
            <w:r w:rsidR="00710D8F">
              <w:rPr>
                <w:noProof/>
                <w:webHidden/>
              </w:rPr>
              <w:instrText xml:space="preserve"> PAGEREF _Toc80523057 \h </w:instrText>
            </w:r>
            <w:r w:rsidR="00710D8F">
              <w:rPr>
                <w:noProof/>
                <w:webHidden/>
              </w:rPr>
            </w:r>
            <w:r w:rsidR="00710D8F">
              <w:rPr>
                <w:noProof/>
                <w:webHidden/>
              </w:rPr>
              <w:fldChar w:fldCharType="separate"/>
            </w:r>
            <w:r w:rsidR="00822413">
              <w:rPr>
                <w:noProof/>
                <w:webHidden/>
              </w:rPr>
              <w:t>49</w:t>
            </w:r>
            <w:r w:rsidR="00710D8F">
              <w:rPr>
                <w:noProof/>
                <w:webHidden/>
              </w:rPr>
              <w:fldChar w:fldCharType="end"/>
            </w:r>
          </w:hyperlink>
        </w:p>
        <w:p w14:paraId="60F79D6E" w14:textId="77777777" w:rsidR="00710D8F" w:rsidRPr="00710D8F" w:rsidRDefault="00710D8F" w:rsidP="00710D8F"/>
        <w:p w14:paraId="16D8F779" w14:textId="5E1BD36D" w:rsidR="00710D8F" w:rsidRDefault="009566E2">
          <w:pPr>
            <w:pStyle w:val="Spistreci1"/>
            <w:rPr>
              <w:rFonts w:asciiTheme="minorHAnsi" w:eastAsiaTheme="minorEastAsia" w:hAnsiTheme="minorHAnsi"/>
              <w:noProof/>
              <w:sz w:val="22"/>
              <w:lang w:eastAsia="pl-PL"/>
            </w:rPr>
          </w:pPr>
          <w:hyperlink w:anchor="_Toc80523059" w:history="1">
            <w:r w:rsidR="00710D8F" w:rsidRPr="00F850F5">
              <w:rPr>
                <w:rStyle w:val="Hipercze"/>
                <w:rFonts w:cs="Times New Roman"/>
                <w:noProof/>
              </w:rPr>
              <w:t>2.</w:t>
            </w:r>
            <w:r w:rsidR="00710D8F">
              <w:rPr>
                <w:rFonts w:asciiTheme="minorHAnsi" w:eastAsiaTheme="minorEastAsia" w:hAnsiTheme="minorHAnsi"/>
                <w:noProof/>
                <w:sz w:val="22"/>
                <w:lang w:eastAsia="pl-PL"/>
              </w:rPr>
              <w:tab/>
            </w:r>
            <w:r w:rsidR="00710D8F" w:rsidRPr="00F850F5">
              <w:rPr>
                <w:rStyle w:val="Hipercze"/>
                <w:rFonts w:cs="Times New Roman"/>
                <w:noProof/>
              </w:rPr>
              <w:t>Polityka społeczna wobec osób starszych na szczeblu centralnym</w:t>
            </w:r>
            <w:r w:rsidR="00710D8F">
              <w:rPr>
                <w:noProof/>
                <w:webHidden/>
              </w:rPr>
              <w:tab/>
            </w:r>
            <w:r w:rsidR="00710D8F">
              <w:rPr>
                <w:noProof/>
                <w:webHidden/>
              </w:rPr>
              <w:fldChar w:fldCharType="begin"/>
            </w:r>
            <w:r w:rsidR="00710D8F">
              <w:rPr>
                <w:noProof/>
                <w:webHidden/>
              </w:rPr>
              <w:instrText xml:space="preserve"> PAGEREF _Toc80523059 \h </w:instrText>
            </w:r>
            <w:r w:rsidR="00710D8F">
              <w:rPr>
                <w:noProof/>
                <w:webHidden/>
              </w:rPr>
            </w:r>
            <w:r w:rsidR="00710D8F">
              <w:rPr>
                <w:noProof/>
                <w:webHidden/>
              </w:rPr>
              <w:fldChar w:fldCharType="separate"/>
            </w:r>
            <w:r w:rsidR="00822413">
              <w:rPr>
                <w:noProof/>
                <w:webHidden/>
              </w:rPr>
              <w:t>51</w:t>
            </w:r>
            <w:r w:rsidR="00710D8F">
              <w:rPr>
                <w:noProof/>
                <w:webHidden/>
              </w:rPr>
              <w:fldChar w:fldCharType="end"/>
            </w:r>
          </w:hyperlink>
        </w:p>
        <w:p w14:paraId="1C9A9D06" w14:textId="274B419A" w:rsidR="00710D8F" w:rsidRDefault="009566E2">
          <w:pPr>
            <w:pStyle w:val="Spistreci2"/>
            <w:tabs>
              <w:tab w:val="left" w:pos="880"/>
            </w:tabs>
            <w:rPr>
              <w:rFonts w:asciiTheme="minorHAnsi" w:eastAsiaTheme="minorEastAsia" w:hAnsiTheme="minorHAnsi"/>
              <w:noProof/>
              <w:sz w:val="22"/>
              <w:lang w:eastAsia="pl-PL"/>
            </w:rPr>
          </w:pPr>
          <w:hyperlink w:anchor="_Toc80523060" w:history="1">
            <w:r w:rsidR="00710D8F" w:rsidRPr="00F850F5">
              <w:rPr>
                <w:rStyle w:val="Hipercze"/>
                <w:rFonts w:cs="Times New Roman"/>
                <w:noProof/>
                <w:lang w:eastAsia="ar-SA"/>
              </w:rPr>
              <w:t>2.1.</w:t>
            </w:r>
            <w:r w:rsidR="00710D8F">
              <w:rPr>
                <w:rFonts w:asciiTheme="minorHAnsi" w:eastAsiaTheme="minorEastAsia" w:hAnsiTheme="minorHAnsi"/>
                <w:noProof/>
                <w:sz w:val="22"/>
                <w:lang w:eastAsia="pl-PL"/>
              </w:rPr>
              <w:tab/>
            </w:r>
            <w:r w:rsidR="00710D8F" w:rsidRPr="00F850F5">
              <w:rPr>
                <w:rStyle w:val="Hipercze"/>
                <w:rFonts w:cs="Times New Roman"/>
                <w:noProof/>
                <w:lang w:eastAsia="ar-SA"/>
              </w:rPr>
              <w:t>Ministerstwo Cyfryzacji</w:t>
            </w:r>
            <w:r w:rsidR="00710D8F">
              <w:rPr>
                <w:noProof/>
                <w:webHidden/>
              </w:rPr>
              <w:tab/>
            </w:r>
            <w:r w:rsidR="00710D8F">
              <w:rPr>
                <w:noProof/>
                <w:webHidden/>
              </w:rPr>
              <w:fldChar w:fldCharType="begin"/>
            </w:r>
            <w:r w:rsidR="00710D8F">
              <w:rPr>
                <w:noProof/>
                <w:webHidden/>
              </w:rPr>
              <w:instrText xml:space="preserve"> PAGEREF _Toc80523060 \h </w:instrText>
            </w:r>
            <w:r w:rsidR="00710D8F">
              <w:rPr>
                <w:noProof/>
                <w:webHidden/>
              </w:rPr>
            </w:r>
            <w:r w:rsidR="00710D8F">
              <w:rPr>
                <w:noProof/>
                <w:webHidden/>
              </w:rPr>
              <w:fldChar w:fldCharType="separate"/>
            </w:r>
            <w:r w:rsidR="00822413">
              <w:rPr>
                <w:noProof/>
                <w:webHidden/>
              </w:rPr>
              <w:t>51</w:t>
            </w:r>
            <w:r w:rsidR="00710D8F">
              <w:rPr>
                <w:noProof/>
                <w:webHidden/>
              </w:rPr>
              <w:fldChar w:fldCharType="end"/>
            </w:r>
          </w:hyperlink>
        </w:p>
        <w:p w14:paraId="7286AE44" w14:textId="2F37CF38" w:rsidR="00710D8F" w:rsidRDefault="009566E2">
          <w:pPr>
            <w:pStyle w:val="Spistreci2"/>
            <w:tabs>
              <w:tab w:val="left" w:pos="880"/>
            </w:tabs>
            <w:rPr>
              <w:rFonts w:asciiTheme="minorHAnsi" w:eastAsiaTheme="minorEastAsia" w:hAnsiTheme="minorHAnsi"/>
              <w:noProof/>
              <w:sz w:val="22"/>
              <w:lang w:eastAsia="pl-PL"/>
            </w:rPr>
          </w:pPr>
          <w:hyperlink w:anchor="_Toc80523061" w:history="1">
            <w:r w:rsidR="00710D8F" w:rsidRPr="00F850F5">
              <w:rPr>
                <w:rStyle w:val="Hipercze"/>
                <w:rFonts w:cs="Times New Roman"/>
                <w:noProof/>
                <w:lang w:eastAsia="ar-SA"/>
              </w:rPr>
              <w:t>2.2.</w:t>
            </w:r>
            <w:r w:rsidR="00710D8F">
              <w:rPr>
                <w:rFonts w:asciiTheme="minorHAnsi" w:eastAsiaTheme="minorEastAsia" w:hAnsiTheme="minorHAnsi"/>
                <w:noProof/>
                <w:sz w:val="22"/>
                <w:lang w:eastAsia="pl-PL"/>
              </w:rPr>
              <w:tab/>
            </w:r>
            <w:r w:rsidR="00710D8F" w:rsidRPr="00F850F5">
              <w:rPr>
                <w:rStyle w:val="Hipercze"/>
                <w:rFonts w:cs="Times New Roman"/>
                <w:noProof/>
                <w:lang w:eastAsia="ar-SA"/>
              </w:rPr>
              <w:t>Ministerstwo Finansów</w:t>
            </w:r>
            <w:r w:rsidR="00710D8F">
              <w:rPr>
                <w:noProof/>
                <w:webHidden/>
              </w:rPr>
              <w:tab/>
            </w:r>
            <w:r w:rsidR="00710D8F">
              <w:rPr>
                <w:noProof/>
                <w:webHidden/>
              </w:rPr>
              <w:fldChar w:fldCharType="begin"/>
            </w:r>
            <w:r w:rsidR="00710D8F">
              <w:rPr>
                <w:noProof/>
                <w:webHidden/>
              </w:rPr>
              <w:instrText xml:space="preserve"> PAGEREF _Toc80523061 \h </w:instrText>
            </w:r>
            <w:r w:rsidR="00710D8F">
              <w:rPr>
                <w:noProof/>
                <w:webHidden/>
              </w:rPr>
            </w:r>
            <w:r w:rsidR="00710D8F">
              <w:rPr>
                <w:noProof/>
                <w:webHidden/>
              </w:rPr>
              <w:fldChar w:fldCharType="separate"/>
            </w:r>
            <w:r w:rsidR="00822413">
              <w:rPr>
                <w:noProof/>
                <w:webHidden/>
              </w:rPr>
              <w:t>51</w:t>
            </w:r>
            <w:r w:rsidR="00710D8F">
              <w:rPr>
                <w:noProof/>
                <w:webHidden/>
              </w:rPr>
              <w:fldChar w:fldCharType="end"/>
            </w:r>
          </w:hyperlink>
        </w:p>
        <w:p w14:paraId="33D864A9" w14:textId="4C655AA1" w:rsidR="00710D8F" w:rsidRDefault="009566E2">
          <w:pPr>
            <w:pStyle w:val="Spistreci2"/>
            <w:tabs>
              <w:tab w:val="left" w:pos="880"/>
            </w:tabs>
            <w:rPr>
              <w:rFonts w:asciiTheme="minorHAnsi" w:eastAsiaTheme="minorEastAsia" w:hAnsiTheme="minorHAnsi"/>
              <w:noProof/>
              <w:sz w:val="22"/>
              <w:lang w:eastAsia="pl-PL"/>
            </w:rPr>
          </w:pPr>
          <w:hyperlink w:anchor="_Toc80523062" w:history="1">
            <w:r w:rsidR="00710D8F" w:rsidRPr="00F850F5">
              <w:rPr>
                <w:rStyle w:val="Hipercze"/>
                <w:rFonts w:cs="Times New Roman"/>
                <w:noProof/>
                <w:lang w:eastAsia="ar-SA"/>
              </w:rPr>
              <w:t>2.3.</w:t>
            </w:r>
            <w:r w:rsidR="00710D8F">
              <w:rPr>
                <w:rFonts w:asciiTheme="minorHAnsi" w:eastAsiaTheme="minorEastAsia" w:hAnsiTheme="minorHAnsi"/>
                <w:noProof/>
                <w:sz w:val="22"/>
                <w:lang w:eastAsia="pl-PL"/>
              </w:rPr>
              <w:tab/>
            </w:r>
            <w:r w:rsidR="00710D8F" w:rsidRPr="00F850F5">
              <w:rPr>
                <w:rStyle w:val="Hipercze"/>
                <w:rFonts w:cs="Times New Roman"/>
                <w:noProof/>
                <w:lang w:eastAsia="ar-SA"/>
              </w:rPr>
              <w:t>Ministerstwo Funduszy i Polityki Regionalnej</w:t>
            </w:r>
            <w:r w:rsidR="00710D8F">
              <w:rPr>
                <w:noProof/>
                <w:webHidden/>
              </w:rPr>
              <w:tab/>
            </w:r>
            <w:r w:rsidR="00710D8F">
              <w:rPr>
                <w:noProof/>
                <w:webHidden/>
              </w:rPr>
              <w:fldChar w:fldCharType="begin"/>
            </w:r>
            <w:r w:rsidR="00710D8F">
              <w:rPr>
                <w:noProof/>
                <w:webHidden/>
              </w:rPr>
              <w:instrText xml:space="preserve"> PAGEREF _Toc80523062 \h </w:instrText>
            </w:r>
            <w:r w:rsidR="00710D8F">
              <w:rPr>
                <w:noProof/>
                <w:webHidden/>
              </w:rPr>
            </w:r>
            <w:r w:rsidR="00710D8F">
              <w:rPr>
                <w:noProof/>
                <w:webHidden/>
              </w:rPr>
              <w:fldChar w:fldCharType="separate"/>
            </w:r>
            <w:r w:rsidR="00822413">
              <w:rPr>
                <w:noProof/>
                <w:webHidden/>
              </w:rPr>
              <w:t>53</w:t>
            </w:r>
            <w:r w:rsidR="00710D8F">
              <w:rPr>
                <w:noProof/>
                <w:webHidden/>
              </w:rPr>
              <w:fldChar w:fldCharType="end"/>
            </w:r>
          </w:hyperlink>
        </w:p>
        <w:p w14:paraId="265981F1" w14:textId="6D13BCDF" w:rsidR="00710D8F" w:rsidRDefault="009566E2">
          <w:pPr>
            <w:pStyle w:val="Spistreci2"/>
            <w:tabs>
              <w:tab w:val="left" w:pos="880"/>
            </w:tabs>
            <w:rPr>
              <w:rFonts w:asciiTheme="minorHAnsi" w:eastAsiaTheme="minorEastAsia" w:hAnsiTheme="minorHAnsi"/>
              <w:noProof/>
              <w:sz w:val="22"/>
              <w:lang w:eastAsia="pl-PL"/>
            </w:rPr>
          </w:pPr>
          <w:hyperlink w:anchor="_Toc80523065" w:history="1">
            <w:r w:rsidR="00710D8F" w:rsidRPr="00F850F5">
              <w:rPr>
                <w:rStyle w:val="Hipercze"/>
                <w:rFonts w:cs="Times New Roman"/>
                <w:noProof/>
                <w:lang w:eastAsia="ar-SA"/>
              </w:rPr>
              <w:t>2.4.</w:t>
            </w:r>
            <w:r w:rsidR="00710D8F">
              <w:rPr>
                <w:rFonts w:asciiTheme="minorHAnsi" w:eastAsiaTheme="minorEastAsia" w:hAnsiTheme="minorHAnsi"/>
                <w:noProof/>
                <w:sz w:val="22"/>
                <w:lang w:eastAsia="pl-PL"/>
              </w:rPr>
              <w:tab/>
            </w:r>
            <w:r w:rsidR="00710D8F" w:rsidRPr="00F850F5">
              <w:rPr>
                <w:rStyle w:val="Hipercze"/>
                <w:rFonts w:cs="Times New Roman"/>
                <w:noProof/>
                <w:lang w:eastAsia="ar-SA"/>
              </w:rPr>
              <w:t>Ministerstwo Infrastruktury</w:t>
            </w:r>
            <w:r w:rsidR="00710D8F">
              <w:rPr>
                <w:noProof/>
                <w:webHidden/>
              </w:rPr>
              <w:tab/>
            </w:r>
            <w:r w:rsidR="00710D8F">
              <w:rPr>
                <w:noProof/>
                <w:webHidden/>
              </w:rPr>
              <w:fldChar w:fldCharType="begin"/>
            </w:r>
            <w:r w:rsidR="00710D8F">
              <w:rPr>
                <w:noProof/>
                <w:webHidden/>
              </w:rPr>
              <w:instrText xml:space="preserve"> PAGEREF _Toc80523065 \h </w:instrText>
            </w:r>
            <w:r w:rsidR="00710D8F">
              <w:rPr>
                <w:noProof/>
                <w:webHidden/>
              </w:rPr>
            </w:r>
            <w:r w:rsidR="00710D8F">
              <w:rPr>
                <w:noProof/>
                <w:webHidden/>
              </w:rPr>
              <w:fldChar w:fldCharType="separate"/>
            </w:r>
            <w:r w:rsidR="00822413">
              <w:rPr>
                <w:noProof/>
                <w:webHidden/>
              </w:rPr>
              <w:t>58</w:t>
            </w:r>
            <w:r w:rsidR="00710D8F">
              <w:rPr>
                <w:noProof/>
                <w:webHidden/>
              </w:rPr>
              <w:fldChar w:fldCharType="end"/>
            </w:r>
          </w:hyperlink>
        </w:p>
        <w:p w14:paraId="52DABD3C" w14:textId="554776F5" w:rsidR="00710D8F" w:rsidRDefault="009566E2">
          <w:pPr>
            <w:pStyle w:val="Spistreci2"/>
            <w:tabs>
              <w:tab w:val="left" w:pos="880"/>
            </w:tabs>
            <w:rPr>
              <w:rFonts w:asciiTheme="minorHAnsi" w:eastAsiaTheme="minorEastAsia" w:hAnsiTheme="minorHAnsi"/>
              <w:noProof/>
              <w:sz w:val="22"/>
              <w:lang w:eastAsia="pl-PL"/>
            </w:rPr>
          </w:pPr>
          <w:hyperlink w:anchor="_Toc80523066" w:history="1">
            <w:r w:rsidR="00710D8F" w:rsidRPr="00F850F5">
              <w:rPr>
                <w:rStyle w:val="Hipercze"/>
                <w:rFonts w:cs="Times New Roman"/>
                <w:noProof/>
                <w:lang w:eastAsia="ar-SA"/>
              </w:rPr>
              <w:t>2.5.</w:t>
            </w:r>
            <w:r w:rsidR="00710D8F">
              <w:rPr>
                <w:rFonts w:asciiTheme="minorHAnsi" w:eastAsiaTheme="minorEastAsia" w:hAnsiTheme="minorHAnsi"/>
                <w:noProof/>
                <w:sz w:val="22"/>
                <w:lang w:eastAsia="pl-PL"/>
              </w:rPr>
              <w:tab/>
            </w:r>
            <w:r w:rsidR="00710D8F" w:rsidRPr="00F850F5">
              <w:rPr>
                <w:rStyle w:val="Hipercze"/>
                <w:rFonts w:cs="Times New Roman"/>
                <w:noProof/>
                <w:lang w:eastAsia="ar-SA"/>
              </w:rPr>
              <w:t>Ministerstwo Klimatu i Środowiska</w:t>
            </w:r>
            <w:r w:rsidR="00710D8F">
              <w:rPr>
                <w:noProof/>
                <w:webHidden/>
              </w:rPr>
              <w:tab/>
            </w:r>
            <w:r w:rsidR="00710D8F">
              <w:rPr>
                <w:noProof/>
                <w:webHidden/>
              </w:rPr>
              <w:fldChar w:fldCharType="begin"/>
            </w:r>
            <w:r w:rsidR="00710D8F">
              <w:rPr>
                <w:noProof/>
                <w:webHidden/>
              </w:rPr>
              <w:instrText xml:space="preserve"> PAGEREF _Toc80523066 \h </w:instrText>
            </w:r>
            <w:r w:rsidR="00710D8F">
              <w:rPr>
                <w:noProof/>
                <w:webHidden/>
              </w:rPr>
            </w:r>
            <w:r w:rsidR="00710D8F">
              <w:rPr>
                <w:noProof/>
                <w:webHidden/>
              </w:rPr>
              <w:fldChar w:fldCharType="separate"/>
            </w:r>
            <w:r w:rsidR="00822413">
              <w:rPr>
                <w:noProof/>
                <w:webHidden/>
              </w:rPr>
              <w:t>61</w:t>
            </w:r>
            <w:r w:rsidR="00710D8F">
              <w:rPr>
                <w:noProof/>
                <w:webHidden/>
              </w:rPr>
              <w:fldChar w:fldCharType="end"/>
            </w:r>
          </w:hyperlink>
        </w:p>
        <w:p w14:paraId="2C9A99F7" w14:textId="18410C39" w:rsidR="00710D8F" w:rsidRDefault="009566E2">
          <w:pPr>
            <w:pStyle w:val="Spistreci2"/>
            <w:tabs>
              <w:tab w:val="left" w:pos="880"/>
            </w:tabs>
            <w:rPr>
              <w:rFonts w:asciiTheme="minorHAnsi" w:eastAsiaTheme="minorEastAsia" w:hAnsiTheme="minorHAnsi"/>
              <w:noProof/>
              <w:sz w:val="22"/>
              <w:lang w:eastAsia="pl-PL"/>
            </w:rPr>
          </w:pPr>
          <w:hyperlink w:anchor="_Toc80523067" w:history="1">
            <w:r w:rsidR="00710D8F" w:rsidRPr="00F850F5">
              <w:rPr>
                <w:rStyle w:val="Hipercze"/>
                <w:rFonts w:cs="Times New Roman"/>
                <w:noProof/>
                <w:lang w:eastAsia="ar-SA"/>
              </w:rPr>
              <w:t>2.6.</w:t>
            </w:r>
            <w:r w:rsidR="00710D8F">
              <w:rPr>
                <w:rFonts w:asciiTheme="minorHAnsi" w:eastAsiaTheme="minorEastAsia" w:hAnsiTheme="minorHAnsi"/>
                <w:noProof/>
                <w:sz w:val="22"/>
                <w:lang w:eastAsia="pl-PL"/>
              </w:rPr>
              <w:tab/>
            </w:r>
            <w:r w:rsidR="00710D8F" w:rsidRPr="00F850F5">
              <w:rPr>
                <w:rStyle w:val="Hipercze"/>
                <w:rFonts w:cs="Times New Roman"/>
                <w:noProof/>
                <w:lang w:eastAsia="ar-SA"/>
              </w:rPr>
              <w:t>Ministerstwo Kultury, Dziedzictwa Narodowego i Sportu</w:t>
            </w:r>
            <w:r w:rsidR="00710D8F">
              <w:rPr>
                <w:noProof/>
                <w:webHidden/>
              </w:rPr>
              <w:tab/>
            </w:r>
            <w:r w:rsidR="00710D8F">
              <w:rPr>
                <w:noProof/>
                <w:webHidden/>
              </w:rPr>
              <w:fldChar w:fldCharType="begin"/>
            </w:r>
            <w:r w:rsidR="00710D8F">
              <w:rPr>
                <w:noProof/>
                <w:webHidden/>
              </w:rPr>
              <w:instrText xml:space="preserve"> PAGEREF _Toc80523067 \h </w:instrText>
            </w:r>
            <w:r w:rsidR="00710D8F">
              <w:rPr>
                <w:noProof/>
                <w:webHidden/>
              </w:rPr>
            </w:r>
            <w:r w:rsidR="00710D8F">
              <w:rPr>
                <w:noProof/>
                <w:webHidden/>
              </w:rPr>
              <w:fldChar w:fldCharType="separate"/>
            </w:r>
            <w:r w:rsidR="00822413">
              <w:rPr>
                <w:noProof/>
                <w:webHidden/>
              </w:rPr>
              <w:t>62</w:t>
            </w:r>
            <w:r w:rsidR="00710D8F">
              <w:rPr>
                <w:noProof/>
                <w:webHidden/>
              </w:rPr>
              <w:fldChar w:fldCharType="end"/>
            </w:r>
          </w:hyperlink>
        </w:p>
        <w:p w14:paraId="25C7C1AE" w14:textId="1E246C4B" w:rsidR="00710D8F" w:rsidRDefault="009566E2">
          <w:pPr>
            <w:pStyle w:val="Spistreci2"/>
            <w:tabs>
              <w:tab w:val="left" w:pos="880"/>
            </w:tabs>
            <w:rPr>
              <w:rFonts w:asciiTheme="minorHAnsi" w:eastAsiaTheme="minorEastAsia" w:hAnsiTheme="minorHAnsi"/>
              <w:noProof/>
              <w:sz w:val="22"/>
              <w:lang w:eastAsia="pl-PL"/>
            </w:rPr>
          </w:pPr>
          <w:hyperlink w:anchor="_Toc80523074" w:history="1">
            <w:r w:rsidR="00710D8F" w:rsidRPr="00F850F5">
              <w:rPr>
                <w:rStyle w:val="Hipercze"/>
                <w:rFonts w:cs="Times New Roman"/>
                <w:noProof/>
                <w:lang w:eastAsia="ar-SA"/>
              </w:rPr>
              <w:t>2.7.</w:t>
            </w:r>
            <w:r w:rsidR="00710D8F">
              <w:rPr>
                <w:rFonts w:asciiTheme="minorHAnsi" w:eastAsiaTheme="minorEastAsia" w:hAnsiTheme="minorHAnsi"/>
                <w:noProof/>
                <w:sz w:val="22"/>
                <w:lang w:eastAsia="pl-PL"/>
              </w:rPr>
              <w:tab/>
            </w:r>
            <w:r w:rsidR="00710D8F" w:rsidRPr="00F850F5">
              <w:rPr>
                <w:rStyle w:val="Hipercze"/>
                <w:rFonts w:cs="Times New Roman"/>
                <w:noProof/>
                <w:lang w:eastAsia="ar-SA"/>
              </w:rPr>
              <w:t>Ministerstwo Rodziny i Polityki Społecznej</w:t>
            </w:r>
            <w:r w:rsidR="00710D8F">
              <w:rPr>
                <w:noProof/>
                <w:webHidden/>
              </w:rPr>
              <w:tab/>
            </w:r>
            <w:r w:rsidR="00710D8F">
              <w:rPr>
                <w:noProof/>
                <w:webHidden/>
              </w:rPr>
              <w:fldChar w:fldCharType="begin"/>
            </w:r>
            <w:r w:rsidR="00710D8F">
              <w:rPr>
                <w:noProof/>
                <w:webHidden/>
              </w:rPr>
              <w:instrText xml:space="preserve"> PAGEREF _Toc80523074 \h </w:instrText>
            </w:r>
            <w:r w:rsidR="00710D8F">
              <w:rPr>
                <w:noProof/>
                <w:webHidden/>
              </w:rPr>
            </w:r>
            <w:r w:rsidR="00710D8F">
              <w:rPr>
                <w:noProof/>
                <w:webHidden/>
              </w:rPr>
              <w:fldChar w:fldCharType="separate"/>
            </w:r>
            <w:r w:rsidR="00822413">
              <w:rPr>
                <w:noProof/>
                <w:webHidden/>
              </w:rPr>
              <w:t>69</w:t>
            </w:r>
            <w:r w:rsidR="00710D8F">
              <w:rPr>
                <w:noProof/>
                <w:webHidden/>
              </w:rPr>
              <w:fldChar w:fldCharType="end"/>
            </w:r>
          </w:hyperlink>
        </w:p>
        <w:p w14:paraId="508D5754" w14:textId="2281EA5F" w:rsidR="00710D8F" w:rsidRDefault="009566E2">
          <w:pPr>
            <w:pStyle w:val="Spistreci2"/>
            <w:tabs>
              <w:tab w:val="left" w:pos="880"/>
            </w:tabs>
            <w:rPr>
              <w:rFonts w:asciiTheme="minorHAnsi" w:eastAsiaTheme="minorEastAsia" w:hAnsiTheme="minorHAnsi"/>
              <w:noProof/>
              <w:sz w:val="22"/>
              <w:lang w:eastAsia="pl-PL"/>
            </w:rPr>
          </w:pPr>
          <w:hyperlink w:anchor="_Toc80523079" w:history="1">
            <w:r w:rsidR="00710D8F" w:rsidRPr="00F850F5">
              <w:rPr>
                <w:rStyle w:val="Hipercze"/>
                <w:rFonts w:cs="Times New Roman"/>
                <w:noProof/>
                <w:lang w:eastAsia="ar-SA"/>
              </w:rPr>
              <w:t>2.8.</w:t>
            </w:r>
            <w:r w:rsidR="00710D8F">
              <w:rPr>
                <w:rFonts w:asciiTheme="minorHAnsi" w:eastAsiaTheme="minorEastAsia" w:hAnsiTheme="minorHAnsi"/>
                <w:noProof/>
                <w:sz w:val="22"/>
                <w:lang w:eastAsia="pl-PL"/>
              </w:rPr>
              <w:tab/>
            </w:r>
            <w:r w:rsidR="00710D8F" w:rsidRPr="00F850F5">
              <w:rPr>
                <w:rStyle w:val="Hipercze"/>
                <w:rFonts w:cs="Times New Roman"/>
                <w:noProof/>
                <w:lang w:eastAsia="ar-SA"/>
              </w:rPr>
              <w:t>Ministerstwo Rolnictwa i Rozwoju Wsi</w:t>
            </w:r>
            <w:r w:rsidR="00710D8F">
              <w:rPr>
                <w:noProof/>
                <w:webHidden/>
              </w:rPr>
              <w:tab/>
            </w:r>
            <w:r w:rsidR="00710D8F">
              <w:rPr>
                <w:noProof/>
                <w:webHidden/>
              </w:rPr>
              <w:fldChar w:fldCharType="begin"/>
            </w:r>
            <w:r w:rsidR="00710D8F">
              <w:rPr>
                <w:noProof/>
                <w:webHidden/>
              </w:rPr>
              <w:instrText xml:space="preserve"> PAGEREF _Toc80523079 \h </w:instrText>
            </w:r>
            <w:r w:rsidR="00710D8F">
              <w:rPr>
                <w:noProof/>
                <w:webHidden/>
              </w:rPr>
            </w:r>
            <w:r w:rsidR="00710D8F">
              <w:rPr>
                <w:noProof/>
                <w:webHidden/>
              </w:rPr>
              <w:fldChar w:fldCharType="separate"/>
            </w:r>
            <w:r w:rsidR="00822413">
              <w:rPr>
                <w:noProof/>
                <w:webHidden/>
              </w:rPr>
              <w:t>90</w:t>
            </w:r>
            <w:r w:rsidR="00710D8F">
              <w:rPr>
                <w:noProof/>
                <w:webHidden/>
              </w:rPr>
              <w:fldChar w:fldCharType="end"/>
            </w:r>
          </w:hyperlink>
        </w:p>
        <w:p w14:paraId="595C2341" w14:textId="10570D9D" w:rsidR="00710D8F" w:rsidRDefault="009566E2">
          <w:pPr>
            <w:pStyle w:val="Spistreci2"/>
            <w:tabs>
              <w:tab w:val="left" w:pos="880"/>
            </w:tabs>
            <w:rPr>
              <w:rFonts w:asciiTheme="minorHAnsi" w:eastAsiaTheme="minorEastAsia" w:hAnsiTheme="minorHAnsi"/>
              <w:noProof/>
              <w:sz w:val="22"/>
              <w:lang w:eastAsia="pl-PL"/>
            </w:rPr>
          </w:pPr>
          <w:hyperlink w:anchor="_Toc80523080" w:history="1">
            <w:r w:rsidR="00710D8F" w:rsidRPr="00F850F5">
              <w:rPr>
                <w:rStyle w:val="Hipercze"/>
                <w:rFonts w:cs="Times New Roman"/>
                <w:noProof/>
                <w:lang w:eastAsia="ar-SA"/>
              </w:rPr>
              <w:t>2.9.</w:t>
            </w:r>
            <w:r w:rsidR="00710D8F">
              <w:rPr>
                <w:rFonts w:asciiTheme="minorHAnsi" w:eastAsiaTheme="minorEastAsia" w:hAnsiTheme="minorHAnsi"/>
                <w:noProof/>
                <w:sz w:val="22"/>
                <w:lang w:eastAsia="pl-PL"/>
              </w:rPr>
              <w:tab/>
            </w:r>
            <w:r w:rsidR="00710D8F" w:rsidRPr="00F850F5">
              <w:rPr>
                <w:rStyle w:val="Hipercze"/>
                <w:rFonts w:cs="Times New Roman"/>
                <w:noProof/>
                <w:lang w:eastAsia="ar-SA"/>
              </w:rPr>
              <w:t>Ministerstwo Spraw Wewnętrznych i  Administracji</w:t>
            </w:r>
            <w:r w:rsidR="00710D8F">
              <w:rPr>
                <w:noProof/>
                <w:webHidden/>
              </w:rPr>
              <w:tab/>
            </w:r>
            <w:r w:rsidR="00710D8F">
              <w:rPr>
                <w:noProof/>
                <w:webHidden/>
              </w:rPr>
              <w:fldChar w:fldCharType="begin"/>
            </w:r>
            <w:r w:rsidR="00710D8F">
              <w:rPr>
                <w:noProof/>
                <w:webHidden/>
              </w:rPr>
              <w:instrText xml:space="preserve"> PAGEREF _Toc80523080 \h </w:instrText>
            </w:r>
            <w:r w:rsidR="00710D8F">
              <w:rPr>
                <w:noProof/>
                <w:webHidden/>
              </w:rPr>
            </w:r>
            <w:r w:rsidR="00710D8F">
              <w:rPr>
                <w:noProof/>
                <w:webHidden/>
              </w:rPr>
              <w:fldChar w:fldCharType="separate"/>
            </w:r>
            <w:r w:rsidR="00822413">
              <w:rPr>
                <w:noProof/>
                <w:webHidden/>
              </w:rPr>
              <w:t>94</w:t>
            </w:r>
            <w:r w:rsidR="00710D8F">
              <w:rPr>
                <w:noProof/>
                <w:webHidden/>
              </w:rPr>
              <w:fldChar w:fldCharType="end"/>
            </w:r>
          </w:hyperlink>
        </w:p>
        <w:p w14:paraId="3EC16A7A" w14:textId="23E339BF" w:rsidR="00710D8F" w:rsidRDefault="009566E2">
          <w:pPr>
            <w:pStyle w:val="Spistreci2"/>
            <w:tabs>
              <w:tab w:val="left" w:pos="1100"/>
            </w:tabs>
            <w:rPr>
              <w:rFonts w:asciiTheme="minorHAnsi" w:eastAsiaTheme="minorEastAsia" w:hAnsiTheme="minorHAnsi"/>
              <w:noProof/>
              <w:sz w:val="22"/>
              <w:lang w:eastAsia="pl-PL"/>
            </w:rPr>
          </w:pPr>
          <w:hyperlink w:anchor="_Toc80523081" w:history="1">
            <w:r w:rsidR="00710D8F" w:rsidRPr="00F850F5">
              <w:rPr>
                <w:rStyle w:val="Hipercze"/>
                <w:rFonts w:cs="Times New Roman"/>
                <w:noProof/>
                <w:lang w:eastAsia="ar-SA"/>
              </w:rPr>
              <w:t>2.10.</w:t>
            </w:r>
            <w:r w:rsidR="00710D8F">
              <w:rPr>
                <w:rFonts w:asciiTheme="minorHAnsi" w:eastAsiaTheme="minorEastAsia" w:hAnsiTheme="minorHAnsi"/>
                <w:noProof/>
                <w:sz w:val="22"/>
                <w:lang w:eastAsia="pl-PL"/>
              </w:rPr>
              <w:tab/>
            </w:r>
            <w:r w:rsidR="00710D8F" w:rsidRPr="00F850F5">
              <w:rPr>
                <w:rStyle w:val="Hipercze"/>
                <w:rFonts w:cs="Times New Roman"/>
                <w:noProof/>
                <w:lang w:eastAsia="ar-SA"/>
              </w:rPr>
              <w:t>Ministerstwo Spraw Zagranicznych</w:t>
            </w:r>
            <w:r w:rsidR="00710D8F">
              <w:rPr>
                <w:noProof/>
                <w:webHidden/>
              </w:rPr>
              <w:tab/>
            </w:r>
            <w:r w:rsidR="00710D8F">
              <w:rPr>
                <w:noProof/>
                <w:webHidden/>
              </w:rPr>
              <w:fldChar w:fldCharType="begin"/>
            </w:r>
            <w:r w:rsidR="00710D8F">
              <w:rPr>
                <w:noProof/>
                <w:webHidden/>
              </w:rPr>
              <w:instrText xml:space="preserve"> PAGEREF _Toc80523081 \h </w:instrText>
            </w:r>
            <w:r w:rsidR="00710D8F">
              <w:rPr>
                <w:noProof/>
                <w:webHidden/>
              </w:rPr>
            </w:r>
            <w:r w:rsidR="00710D8F">
              <w:rPr>
                <w:noProof/>
                <w:webHidden/>
              </w:rPr>
              <w:fldChar w:fldCharType="separate"/>
            </w:r>
            <w:r w:rsidR="00822413">
              <w:rPr>
                <w:noProof/>
                <w:webHidden/>
              </w:rPr>
              <w:t>98</w:t>
            </w:r>
            <w:r w:rsidR="00710D8F">
              <w:rPr>
                <w:noProof/>
                <w:webHidden/>
              </w:rPr>
              <w:fldChar w:fldCharType="end"/>
            </w:r>
          </w:hyperlink>
        </w:p>
        <w:p w14:paraId="1D1E9972" w14:textId="141555B7" w:rsidR="00710D8F" w:rsidRDefault="009566E2">
          <w:pPr>
            <w:pStyle w:val="Spistreci2"/>
            <w:tabs>
              <w:tab w:val="left" w:pos="1100"/>
            </w:tabs>
            <w:rPr>
              <w:rFonts w:asciiTheme="minorHAnsi" w:eastAsiaTheme="minorEastAsia" w:hAnsiTheme="minorHAnsi"/>
              <w:noProof/>
              <w:sz w:val="22"/>
              <w:lang w:eastAsia="pl-PL"/>
            </w:rPr>
          </w:pPr>
          <w:hyperlink w:anchor="_Toc80523082" w:history="1">
            <w:r w:rsidR="00710D8F" w:rsidRPr="00F850F5">
              <w:rPr>
                <w:rStyle w:val="Hipercze"/>
                <w:rFonts w:cs="Times New Roman"/>
                <w:noProof/>
                <w:lang w:eastAsia="ar-SA"/>
              </w:rPr>
              <w:t>2.11.</w:t>
            </w:r>
            <w:r w:rsidR="00710D8F">
              <w:rPr>
                <w:rFonts w:asciiTheme="minorHAnsi" w:eastAsiaTheme="minorEastAsia" w:hAnsiTheme="minorHAnsi"/>
                <w:noProof/>
                <w:sz w:val="22"/>
                <w:lang w:eastAsia="pl-PL"/>
              </w:rPr>
              <w:tab/>
            </w:r>
            <w:r w:rsidR="00710D8F" w:rsidRPr="00F850F5">
              <w:rPr>
                <w:rStyle w:val="Hipercze"/>
                <w:rFonts w:cs="Times New Roman"/>
                <w:noProof/>
                <w:lang w:eastAsia="ar-SA"/>
              </w:rPr>
              <w:t>Ministerstwo Sprawiedliwości</w:t>
            </w:r>
            <w:r w:rsidR="00710D8F">
              <w:rPr>
                <w:noProof/>
                <w:webHidden/>
              </w:rPr>
              <w:tab/>
            </w:r>
            <w:r w:rsidR="00710D8F">
              <w:rPr>
                <w:noProof/>
                <w:webHidden/>
              </w:rPr>
              <w:fldChar w:fldCharType="begin"/>
            </w:r>
            <w:r w:rsidR="00710D8F">
              <w:rPr>
                <w:noProof/>
                <w:webHidden/>
              </w:rPr>
              <w:instrText xml:space="preserve"> PAGEREF _Toc80523082 \h </w:instrText>
            </w:r>
            <w:r w:rsidR="00710D8F">
              <w:rPr>
                <w:noProof/>
                <w:webHidden/>
              </w:rPr>
            </w:r>
            <w:r w:rsidR="00710D8F">
              <w:rPr>
                <w:noProof/>
                <w:webHidden/>
              </w:rPr>
              <w:fldChar w:fldCharType="separate"/>
            </w:r>
            <w:r w:rsidR="00822413">
              <w:rPr>
                <w:noProof/>
                <w:webHidden/>
              </w:rPr>
              <w:t>99</w:t>
            </w:r>
            <w:r w:rsidR="00710D8F">
              <w:rPr>
                <w:noProof/>
                <w:webHidden/>
              </w:rPr>
              <w:fldChar w:fldCharType="end"/>
            </w:r>
          </w:hyperlink>
        </w:p>
        <w:p w14:paraId="39F17D10" w14:textId="5D2A4550" w:rsidR="00710D8F" w:rsidRDefault="009566E2">
          <w:pPr>
            <w:pStyle w:val="Spistreci2"/>
            <w:tabs>
              <w:tab w:val="left" w:pos="1100"/>
            </w:tabs>
            <w:rPr>
              <w:rFonts w:asciiTheme="minorHAnsi" w:eastAsiaTheme="minorEastAsia" w:hAnsiTheme="minorHAnsi"/>
              <w:noProof/>
              <w:sz w:val="22"/>
              <w:lang w:eastAsia="pl-PL"/>
            </w:rPr>
          </w:pPr>
          <w:hyperlink w:anchor="_Toc80523083" w:history="1">
            <w:r w:rsidR="00710D8F" w:rsidRPr="00F850F5">
              <w:rPr>
                <w:rStyle w:val="Hipercze"/>
                <w:rFonts w:cs="Times New Roman"/>
                <w:noProof/>
                <w:lang w:eastAsia="ar-SA"/>
              </w:rPr>
              <w:t>2.12.</w:t>
            </w:r>
            <w:r w:rsidR="00710D8F">
              <w:rPr>
                <w:rFonts w:asciiTheme="minorHAnsi" w:eastAsiaTheme="minorEastAsia" w:hAnsiTheme="minorHAnsi"/>
                <w:noProof/>
                <w:sz w:val="22"/>
                <w:lang w:eastAsia="pl-PL"/>
              </w:rPr>
              <w:tab/>
            </w:r>
            <w:r w:rsidR="00710D8F" w:rsidRPr="00F850F5">
              <w:rPr>
                <w:rStyle w:val="Hipercze"/>
                <w:rFonts w:cs="Times New Roman"/>
                <w:noProof/>
                <w:lang w:eastAsia="ar-SA"/>
              </w:rPr>
              <w:t>Ministerstwo Zdrowia</w:t>
            </w:r>
            <w:r w:rsidR="00710D8F">
              <w:rPr>
                <w:noProof/>
                <w:webHidden/>
              </w:rPr>
              <w:tab/>
            </w:r>
            <w:r w:rsidR="00710D8F">
              <w:rPr>
                <w:noProof/>
                <w:webHidden/>
              </w:rPr>
              <w:fldChar w:fldCharType="begin"/>
            </w:r>
            <w:r w:rsidR="00710D8F">
              <w:rPr>
                <w:noProof/>
                <w:webHidden/>
              </w:rPr>
              <w:instrText xml:space="preserve"> PAGEREF _Toc80523083 \h </w:instrText>
            </w:r>
            <w:r w:rsidR="00710D8F">
              <w:rPr>
                <w:noProof/>
                <w:webHidden/>
              </w:rPr>
            </w:r>
            <w:r w:rsidR="00710D8F">
              <w:rPr>
                <w:noProof/>
                <w:webHidden/>
              </w:rPr>
              <w:fldChar w:fldCharType="separate"/>
            </w:r>
            <w:r w:rsidR="00822413">
              <w:rPr>
                <w:noProof/>
                <w:webHidden/>
              </w:rPr>
              <w:t>101</w:t>
            </w:r>
            <w:r w:rsidR="00710D8F">
              <w:rPr>
                <w:noProof/>
                <w:webHidden/>
              </w:rPr>
              <w:fldChar w:fldCharType="end"/>
            </w:r>
          </w:hyperlink>
        </w:p>
        <w:p w14:paraId="25C427F2" w14:textId="7A39CDA7" w:rsidR="00710D8F" w:rsidRDefault="009566E2">
          <w:pPr>
            <w:pStyle w:val="Spistreci2"/>
            <w:tabs>
              <w:tab w:val="left" w:pos="1100"/>
            </w:tabs>
            <w:rPr>
              <w:rFonts w:asciiTheme="minorHAnsi" w:eastAsiaTheme="minorEastAsia" w:hAnsiTheme="minorHAnsi"/>
              <w:noProof/>
              <w:sz w:val="22"/>
              <w:lang w:eastAsia="pl-PL"/>
            </w:rPr>
          </w:pPr>
          <w:hyperlink w:anchor="_Toc80523095" w:history="1">
            <w:r w:rsidR="00710D8F" w:rsidRPr="00F850F5">
              <w:rPr>
                <w:rStyle w:val="Hipercze"/>
                <w:rFonts w:cs="Times New Roman"/>
                <w:noProof/>
                <w:lang w:eastAsia="ar-SA"/>
              </w:rPr>
              <w:t>2.13.</w:t>
            </w:r>
            <w:r w:rsidR="00710D8F">
              <w:rPr>
                <w:rFonts w:asciiTheme="minorHAnsi" w:eastAsiaTheme="minorEastAsia" w:hAnsiTheme="minorHAnsi"/>
                <w:noProof/>
                <w:sz w:val="22"/>
                <w:lang w:eastAsia="pl-PL"/>
              </w:rPr>
              <w:tab/>
            </w:r>
            <w:r w:rsidR="00710D8F" w:rsidRPr="00F850F5">
              <w:rPr>
                <w:rStyle w:val="Hipercze"/>
                <w:rFonts w:cs="Times New Roman"/>
                <w:noProof/>
                <w:lang w:eastAsia="ar-SA"/>
              </w:rPr>
              <w:t>Narodowy Instytut Wolności – Centrum Rozwoju Społeczeństwa Obywatelskiego</w:t>
            </w:r>
            <w:r w:rsidR="00710D8F">
              <w:rPr>
                <w:noProof/>
                <w:webHidden/>
              </w:rPr>
              <w:tab/>
            </w:r>
            <w:r w:rsidR="00710D8F">
              <w:rPr>
                <w:noProof/>
                <w:webHidden/>
              </w:rPr>
              <w:fldChar w:fldCharType="begin"/>
            </w:r>
            <w:r w:rsidR="00710D8F">
              <w:rPr>
                <w:noProof/>
                <w:webHidden/>
              </w:rPr>
              <w:instrText xml:space="preserve"> PAGEREF _Toc80523095 \h </w:instrText>
            </w:r>
            <w:r w:rsidR="00710D8F">
              <w:rPr>
                <w:noProof/>
                <w:webHidden/>
              </w:rPr>
            </w:r>
            <w:r w:rsidR="00710D8F">
              <w:rPr>
                <w:noProof/>
                <w:webHidden/>
              </w:rPr>
              <w:fldChar w:fldCharType="separate"/>
            </w:r>
            <w:r w:rsidR="00822413">
              <w:rPr>
                <w:noProof/>
                <w:webHidden/>
              </w:rPr>
              <w:t>121</w:t>
            </w:r>
            <w:r w:rsidR="00710D8F">
              <w:rPr>
                <w:noProof/>
                <w:webHidden/>
              </w:rPr>
              <w:fldChar w:fldCharType="end"/>
            </w:r>
          </w:hyperlink>
        </w:p>
        <w:p w14:paraId="713D345F" w14:textId="35078F77" w:rsidR="00710D8F" w:rsidRDefault="009566E2">
          <w:pPr>
            <w:pStyle w:val="Spistreci2"/>
            <w:tabs>
              <w:tab w:val="left" w:pos="1100"/>
            </w:tabs>
            <w:rPr>
              <w:rFonts w:asciiTheme="minorHAnsi" w:eastAsiaTheme="minorEastAsia" w:hAnsiTheme="minorHAnsi"/>
              <w:noProof/>
              <w:sz w:val="22"/>
              <w:lang w:eastAsia="pl-PL"/>
            </w:rPr>
          </w:pPr>
          <w:hyperlink w:anchor="_Toc80523096" w:history="1">
            <w:r w:rsidR="00710D8F" w:rsidRPr="00F850F5">
              <w:rPr>
                <w:rStyle w:val="Hipercze"/>
                <w:rFonts w:cs="Times New Roman"/>
                <w:noProof/>
                <w:lang w:eastAsia="ar-SA"/>
              </w:rPr>
              <w:t>2.14.</w:t>
            </w:r>
            <w:r w:rsidR="00710D8F">
              <w:rPr>
                <w:rFonts w:asciiTheme="minorHAnsi" w:eastAsiaTheme="minorEastAsia" w:hAnsiTheme="minorHAnsi"/>
                <w:noProof/>
                <w:sz w:val="22"/>
                <w:lang w:eastAsia="pl-PL"/>
              </w:rPr>
              <w:tab/>
            </w:r>
            <w:r w:rsidR="00710D8F" w:rsidRPr="00F850F5">
              <w:rPr>
                <w:rStyle w:val="Hipercze"/>
                <w:rFonts w:cs="Times New Roman"/>
                <w:noProof/>
                <w:lang w:eastAsia="ar-SA"/>
              </w:rPr>
              <w:t>Urząd Ochrony Konkurencji i Konsumentów</w:t>
            </w:r>
            <w:r w:rsidR="00710D8F">
              <w:rPr>
                <w:noProof/>
                <w:webHidden/>
              </w:rPr>
              <w:tab/>
            </w:r>
            <w:r w:rsidR="00710D8F">
              <w:rPr>
                <w:noProof/>
                <w:webHidden/>
              </w:rPr>
              <w:fldChar w:fldCharType="begin"/>
            </w:r>
            <w:r w:rsidR="00710D8F">
              <w:rPr>
                <w:noProof/>
                <w:webHidden/>
              </w:rPr>
              <w:instrText xml:space="preserve"> PAGEREF _Toc80523096 \h </w:instrText>
            </w:r>
            <w:r w:rsidR="00710D8F">
              <w:rPr>
                <w:noProof/>
                <w:webHidden/>
              </w:rPr>
            </w:r>
            <w:r w:rsidR="00710D8F">
              <w:rPr>
                <w:noProof/>
                <w:webHidden/>
              </w:rPr>
              <w:fldChar w:fldCharType="separate"/>
            </w:r>
            <w:r w:rsidR="00822413">
              <w:rPr>
                <w:noProof/>
                <w:webHidden/>
              </w:rPr>
              <w:t>124</w:t>
            </w:r>
            <w:r w:rsidR="00710D8F">
              <w:rPr>
                <w:noProof/>
                <w:webHidden/>
              </w:rPr>
              <w:fldChar w:fldCharType="end"/>
            </w:r>
          </w:hyperlink>
        </w:p>
        <w:p w14:paraId="2DA81486" w14:textId="6997D665" w:rsidR="00710D8F" w:rsidRDefault="009566E2">
          <w:pPr>
            <w:pStyle w:val="Spistreci2"/>
            <w:tabs>
              <w:tab w:val="left" w:pos="1100"/>
            </w:tabs>
            <w:rPr>
              <w:rStyle w:val="Hipercze"/>
              <w:noProof/>
            </w:rPr>
          </w:pPr>
          <w:hyperlink w:anchor="_Toc80523099" w:history="1">
            <w:r w:rsidR="00710D8F" w:rsidRPr="00F850F5">
              <w:rPr>
                <w:rStyle w:val="Hipercze"/>
                <w:rFonts w:cs="Times New Roman"/>
                <w:noProof/>
                <w:lang w:eastAsia="ar-SA"/>
              </w:rPr>
              <w:t>2.15.</w:t>
            </w:r>
            <w:r w:rsidR="00710D8F">
              <w:rPr>
                <w:rFonts w:asciiTheme="minorHAnsi" w:eastAsiaTheme="minorEastAsia" w:hAnsiTheme="minorHAnsi"/>
                <w:noProof/>
                <w:sz w:val="22"/>
                <w:lang w:eastAsia="pl-PL"/>
              </w:rPr>
              <w:tab/>
            </w:r>
            <w:r w:rsidR="00710D8F" w:rsidRPr="00F850F5">
              <w:rPr>
                <w:rStyle w:val="Hipercze"/>
                <w:rFonts w:cs="Times New Roman"/>
                <w:noProof/>
                <w:lang w:eastAsia="ar-SA"/>
              </w:rPr>
              <w:t>Zakład Ubezpieczeń Społecznych</w:t>
            </w:r>
            <w:r w:rsidR="00710D8F">
              <w:rPr>
                <w:noProof/>
                <w:webHidden/>
              </w:rPr>
              <w:tab/>
            </w:r>
            <w:r w:rsidR="00710D8F">
              <w:rPr>
                <w:noProof/>
                <w:webHidden/>
              </w:rPr>
              <w:fldChar w:fldCharType="begin"/>
            </w:r>
            <w:r w:rsidR="00710D8F">
              <w:rPr>
                <w:noProof/>
                <w:webHidden/>
              </w:rPr>
              <w:instrText xml:space="preserve"> PAGEREF _Toc80523099 \h </w:instrText>
            </w:r>
            <w:r w:rsidR="00710D8F">
              <w:rPr>
                <w:noProof/>
                <w:webHidden/>
              </w:rPr>
            </w:r>
            <w:r w:rsidR="00710D8F">
              <w:rPr>
                <w:noProof/>
                <w:webHidden/>
              </w:rPr>
              <w:fldChar w:fldCharType="separate"/>
            </w:r>
            <w:r w:rsidR="00822413">
              <w:rPr>
                <w:noProof/>
                <w:webHidden/>
              </w:rPr>
              <w:t>141</w:t>
            </w:r>
            <w:r w:rsidR="00710D8F">
              <w:rPr>
                <w:noProof/>
                <w:webHidden/>
              </w:rPr>
              <w:fldChar w:fldCharType="end"/>
            </w:r>
          </w:hyperlink>
        </w:p>
        <w:p w14:paraId="50D69AB7" w14:textId="53FA4DC9" w:rsidR="00710D8F" w:rsidRDefault="00710D8F" w:rsidP="00710D8F"/>
        <w:p w14:paraId="4486FE5F" w14:textId="09D96100" w:rsidR="00710D8F" w:rsidRDefault="00710D8F" w:rsidP="00710D8F"/>
        <w:p w14:paraId="736AF259" w14:textId="68E026C2" w:rsidR="00710D8F" w:rsidRDefault="00710D8F" w:rsidP="00710D8F"/>
        <w:p w14:paraId="7A3BC600" w14:textId="6227F2EC" w:rsidR="00710D8F" w:rsidRDefault="00710D8F" w:rsidP="00710D8F"/>
        <w:p w14:paraId="319F2A91" w14:textId="77777777" w:rsidR="00710D8F" w:rsidRPr="00710D8F" w:rsidRDefault="00710D8F" w:rsidP="00710D8F"/>
        <w:p w14:paraId="24281F0A" w14:textId="475BBFE8" w:rsidR="00710D8F" w:rsidRDefault="009566E2">
          <w:pPr>
            <w:pStyle w:val="Spistreci1"/>
            <w:rPr>
              <w:rFonts w:asciiTheme="minorHAnsi" w:eastAsiaTheme="minorEastAsia" w:hAnsiTheme="minorHAnsi"/>
              <w:noProof/>
              <w:sz w:val="22"/>
              <w:lang w:eastAsia="pl-PL"/>
            </w:rPr>
          </w:pPr>
          <w:hyperlink w:anchor="_Toc80523100" w:history="1">
            <w:r w:rsidR="00710D8F" w:rsidRPr="00F850F5">
              <w:rPr>
                <w:rStyle w:val="Hipercze"/>
                <w:noProof/>
                <w:lang w:eastAsia="ar-SA"/>
              </w:rPr>
              <w:t>3.</w:t>
            </w:r>
            <w:r w:rsidR="00710D8F">
              <w:rPr>
                <w:rFonts w:asciiTheme="minorHAnsi" w:eastAsiaTheme="minorEastAsia" w:hAnsiTheme="minorHAnsi"/>
                <w:noProof/>
                <w:sz w:val="22"/>
                <w:lang w:eastAsia="pl-PL"/>
              </w:rPr>
              <w:tab/>
            </w:r>
            <w:r w:rsidR="00710D8F" w:rsidRPr="00F850F5">
              <w:rPr>
                <w:rStyle w:val="Hipercze"/>
                <w:noProof/>
                <w:lang w:eastAsia="ar-SA"/>
              </w:rPr>
              <w:t>Polityka społeczna wobec osób starszych na szczeblu regionalnym</w:t>
            </w:r>
            <w:r w:rsidR="00710D8F">
              <w:rPr>
                <w:noProof/>
                <w:webHidden/>
              </w:rPr>
              <w:tab/>
            </w:r>
            <w:r w:rsidR="00710D8F">
              <w:rPr>
                <w:noProof/>
                <w:webHidden/>
              </w:rPr>
              <w:fldChar w:fldCharType="begin"/>
            </w:r>
            <w:r w:rsidR="00710D8F">
              <w:rPr>
                <w:noProof/>
                <w:webHidden/>
              </w:rPr>
              <w:instrText xml:space="preserve"> PAGEREF _Toc80523100 \h </w:instrText>
            </w:r>
            <w:r w:rsidR="00710D8F">
              <w:rPr>
                <w:noProof/>
                <w:webHidden/>
              </w:rPr>
            </w:r>
            <w:r w:rsidR="00710D8F">
              <w:rPr>
                <w:noProof/>
                <w:webHidden/>
              </w:rPr>
              <w:fldChar w:fldCharType="separate"/>
            </w:r>
            <w:r w:rsidR="00822413">
              <w:rPr>
                <w:noProof/>
                <w:webHidden/>
              </w:rPr>
              <w:t>144</w:t>
            </w:r>
            <w:r w:rsidR="00710D8F">
              <w:rPr>
                <w:noProof/>
                <w:webHidden/>
              </w:rPr>
              <w:fldChar w:fldCharType="end"/>
            </w:r>
          </w:hyperlink>
        </w:p>
        <w:p w14:paraId="323B8B9D" w14:textId="4F17B3D5" w:rsidR="00710D8F" w:rsidRDefault="009566E2">
          <w:pPr>
            <w:pStyle w:val="Spistreci2"/>
            <w:tabs>
              <w:tab w:val="left" w:pos="880"/>
            </w:tabs>
            <w:rPr>
              <w:rFonts w:asciiTheme="minorHAnsi" w:eastAsiaTheme="minorEastAsia" w:hAnsiTheme="minorHAnsi"/>
              <w:noProof/>
              <w:sz w:val="22"/>
              <w:lang w:eastAsia="pl-PL"/>
            </w:rPr>
          </w:pPr>
          <w:hyperlink w:anchor="_Toc80523101" w:history="1">
            <w:r w:rsidR="00710D8F" w:rsidRPr="00F850F5">
              <w:rPr>
                <w:rStyle w:val="Hipercze"/>
                <w:rFonts w:eastAsia="Times New Roman" w:cs="Times New Roman"/>
                <w:noProof/>
                <w:lang w:eastAsia="ar-SA"/>
              </w:rPr>
              <w:t>3.1.</w:t>
            </w:r>
            <w:r w:rsidR="00710D8F">
              <w:rPr>
                <w:rFonts w:asciiTheme="minorHAnsi" w:eastAsiaTheme="minorEastAsia" w:hAnsiTheme="minorHAnsi"/>
                <w:noProof/>
                <w:sz w:val="22"/>
                <w:lang w:eastAsia="pl-PL"/>
              </w:rPr>
              <w:tab/>
            </w:r>
            <w:r w:rsidR="00710D8F" w:rsidRPr="00F850F5">
              <w:rPr>
                <w:rStyle w:val="Hipercze"/>
                <w:rFonts w:eastAsia="Times New Roman" w:cs="Times New Roman"/>
                <w:noProof/>
                <w:lang w:eastAsia="ar-SA"/>
              </w:rPr>
              <w:t>Województwo dolnośląskie</w:t>
            </w:r>
            <w:r w:rsidR="00710D8F">
              <w:rPr>
                <w:noProof/>
                <w:webHidden/>
              </w:rPr>
              <w:tab/>
            </w:r>
            <w:r w:rsidR="00710D8F">
              <w:rPr>
                <w:noProof/>
                <w:webHidden/>
              </w:rPr>
              <w:fldChar w:fldCharType="begin"/>
            </w:r>
            <w:r w:rsidR="00710D8F">
              <w:rPr>
                <w:noProof/>
                <w:webHidden/>
              </w:rPr>
              <w:instrText xml:space="preserve"> PAGEREF _Toc80523101 \h </w:instrText>
            </w:r>
            <w:r w:rsidR="00710D8F">
              <w:rPr>
                <w:noProof/>
                <w:webHidden/>
              </w:rPr>
            </w:r>
            <w:r w:rsidR="00710D8F">
              <w:rPr>
                <w:noProof/>
                <w:webHidden/>
              </w:rPr>
              <w:fldChar w:fldCharType="separate"/>
            </w:r>
            <w:r w:rsidR="00822413">
              <w:rPr>
                <w:noProof/>
                <w:webHidden/>
              </w:rPr>
              <w:t>146</w:t>
            </w:r>
            <w:r w:rsidR="00710D8F">
              <w:rPr>
                <w:noProof/>
                <w:webHidden/>
              </w:rPr>
              <w:fldChar w:fldCharType="end"/>
            </w:r>
          </w:hyperlink>
        </w:p>
        <w:p w14:paraId="7AAE2759" w14:textId="43EC4271" w:rsidR="00710D8F" w:rsidRDefault="009566E2">
          <w:pPr>
            <w:pStyle w:val="Spistreci2"/>
            <w:tabs>
              <w:tab w:val="left" w:pos="880"/>
            </w:tabs>
            <w:rPr>
              <w:rFonts w:asciiTheme="minorHAnsi" w:eastAsiaTheme="minorEastAsia" w:hAnsiTheme="minorHAnsi"/>
              <w:noProof/>
              <w:sz w:val="22"/>
              <w:lang w:eastAsia="pl-PL"/>
            </w:rPr>
          </w:pPr>
          <w:hyperlink w:anchor="_Toc80523107" w:history="1">
            <w:r w:rsidR="00710D8F" w:rsidRPr="00F850F5">
              <w:rPr>
                <w:rStyle w:val="Hipercze"/>
                <w:rFonts w:eastAsia="Times New Roman" w:cs="Times New Roman"/>
                <w:noProof/>
                <w:lang w:eastAsia="ar-SA"/>
              </w:rPr>
              <w:t>3.2.</w:t>
            </w:r>
            <w:r w:rsidR="00710D8F">
              <w:rPr>
                <w:rFonts w:asciiTheme="minorHAnsi" w:eastAsiaTheme="minorEastAsia" w:hAnsiTheme="minorHAnsi"/>
                <w:noProof/>
                <w:sz w:val="22"/>
                <w:lang w:eastAsia="pl-PL"/>
              </w:rPr>
              <w:tab/>
            </w:r>
            <w:r w:rsidR="00710D8F" w:rsidRPr="00F850F5">
              <w:rPr>
                <w:rStyle w:val="Hipercze"/>
                <w:rFonts w:eastAsia="Times New Roman" w:cs="Times New Roman"/>
                <w:noProof/>
                <w:lang w:eastAsia="ar-SA"/>
              </w:rPr>
              <w:t>Województwo kujawsko-pomorskie</w:t>
            </w:r>
            <w:r w:rsidR="00710D8F">
              <w:rPr>
                <w:noProof/>
                <w:webHidden/>
              </w:rPr>
              <w:tab/>
            </w:r>
            <w:r w:rsidR="00710D8F">
              <w:rPr>
                <w:noProof/>
                <w:webHidden/>
              </w:rPr>
              <w:fldChar w:fldCharType="begin"/>
            </w:r>
            <w:r w:rsidR="00710D8F">
              <w:rPr>
                <w:noProof/>
                <w:webHidden/>
              </w:rPr>
              <w:instrText xml:space="preserve"> PAGEREF _Toc80523107 \h </w:instrText>
            </w:r>
            <w:r w:rsidR="00710D8F">
              <w:rPr>
                <w:noProof/>
                <w:webHidden/>
              </w:rPr>
            </w:r>
            <w:r w:rsidR="00710D8F">
              <w:rPr>
                <w:noProof/>
                <w:webHidden/>
              </w:rPr>
              <w:fldChar w:fldCharType="separate"/>
            </w:r>
            <w:r w:rsidR="00822413">
              <w:rPr>
                <w:noProof/>
                <w:webHidden/>
              </w:rPr>
              <w:t>157</w:t>
            </w:r>
            <w:r w:rsidR="00710D8F">
              <w:rPr>
                <w:noProof/>
                <w:webHidden/>
              </w:rPr>
              <w:fldChar w:fldCharType="end"/>
            </w:r>
          </w:hyperlink>
        </w:p>
        <w:p w14:paraId="244C0C3F" w14:textId="5DCB2EF1" w:rsidR="00710D8F" w:rsidRDefault="009566E2">
          <w:pPr>
            <w:pStyle w:val="Spistreci2"/>
            <w:tabs>
              <w:tab w:val="left" w:pos="880"/>
            </w:tabs>
            <w:rPr>
              <w:rFonts w:asciiTheme="minorHAnsi" w:eastAsiaTheme="minorEastAsia" w:hAnsiTheme="minorHAnsi"/>
              <w:noProof/>
              <w:sz w:val="22"/>
              <w:lang w:eastAsia="pl-PL"/>
            </w:rPr>
          </w:pPr>
          <w:hyperlink w:anchor="_Toc80523113" w:history="1">
            <w:r w:rsidR="00710D8F" w:rsidRPr="00F850F5">
              <w:rPr>
                <w:rStyle w:val="Hipercze"/>
                <w:rFonts w:eastAsia="Times New Roman" w:cs="Times New Roman"/>
                <w:noProof/>
                <w:lang w:eastAsia="ar-SA"/>
              </w:rPr>
              <w:t>3.3.</w:t>
            </w:r>
            <w:r w:rsidR="00710D8F">
              <w:rPr>
                <w:rFonts w:asciiTheme="minorHAnsi" w:eastAsiaTheme="minorEastAsia" w:hAnsiTheme="minorHAnsi"/>
                <w:noProof/>
                <w:sz w:val="22"/>
                <w:lang w:eastAsia="pl-PL"/>
              </w:rPr>
              <w:tab/>
            </w:r>
            <w:r w:rsidR="00710D8F" w:rsidRPr="00F850F5">
              <w:rPr>
                <w:rStyle w:val="Hipercze"/>
                <w:rFonts w:eastAsia="Times New Roman" w:cs="Times New Roman"/>
                <w:noProof/>
                <w:lang w:eastAsia="ar-SA"/>
              </w:rPr>
              <w:t>Województwo lubelskie</w:t>
            </w:r>
            <w:r w:rsidR="00710D8F">
              <w:rPr>
                <w:noProof/>
                <w:webHidden/>
              </w:rPr>
              <w:tab/>
            </w:r>
            <w:r w:rsidR="00710D8F">
              <w:rPr>
                <w:noProof/>
                <w:webHidden/>
              </w:rPr>
              <w:fldChar w:fldCharType="begin"/>
            </w:r>
            <w:r w:rsidR="00710D8F">
              <w:rPr>
                <w:noProof/>
                <w:webHidden/>
              </w:rPr>
              <w:instrText xml:space="preserve"> PAGEREF _Toc80523113 \h </w:instrText>
            </w:r>
            <w:r w:rsidR="00710D8F">
              <w:rPr>
                <w:noProof/>
                <w:webHidden/>
              </w:rPr>
            </w:r>
            <w:r w:rsidR="00710D8F">
              <w:rPr>
                <w:noProof/>
                <w:webHidden/>
              </w:rPr>
              <w:fldChar w:fldCharType="separate"/>
            </w:r>
            <w:r w:rsidR="00822413">
              <w:rPr>
                <w:noProof/>
                <w:webHidden/>
              </w:rPr>
              <w:t>169</w:t>
            </w:r>
            <w:r w:rsidR="00710D8F">
              <w:rPr>
                <w:noProof/>
                <w:webHidden/>
              </w:rPr>
              <w:fldChar w:fldCharType="end"/>
            </w:r>
          </w:hyperlink>
        </w:p>
        <w:p w14:paraId="0B8A3BE6" w14:textId="39B8F3BB" w:rsidR="00710D8F" w:rsidRDefault="009566E2">
          <w:pPr>
            <w:pStyle w:val="Spistreci2"/>
            <w:tabs>
              <w:tab w:val="left" w:pos="880"/>
            </w:tabs>
            <w:rPr>
              <w:rFonts w:asciiTheme="minorHAnsi" w:eastAsiaTheme="minorEastAsia" w:hAnsiTheme="minorHAnsi"/>
              <w:noProof/>
              <w:sz w:val="22"/>
              <w:lang w:eastAsia="pl-PL"/>
            </w:rPr>
          </w:pPr>
          <w:hyperlink w:anchor="_Toc80523119" w:history="1">
            <w:r w:rsidR="00710D8F" w:rsidRPr="00F850F5">
              <w:rPr>
                <w:rStyle w:val="Hipercze"/>
                <w:rFonts w:eastAsia="Times New Roman" w:cs="Times New Roman"/>
                <w:noProof/>
                <w:lang w:eastAsia="ar-SA"/>
              </w:rPr>
              <w:t>3.4.</w:t>
            </w:r>
            <w:r w:rsidR="00710D8F">
              <w:rPr>
                <w:rFonts w:asciiTheme="minorHAnsi" w:eastAsiaTheme="minorEastAsia" w:hAnsiTheme="minorHAnsi"/>
                <w:noProof/>
                <w:sz w:val="22"/>
                <w:lang w:eastAsia="pl-PL"/>
              </w:rPr>
              <w:tab/>
            </w:r>
            <w:r w:rsidR="00710D8F" w:rsidRPr="00F850F5">
              <w:rPr>
                <w:rStyle w:val="Hipercze"/>
                <w:rFonts w:eastAsia="Times New Roman" w:cs="Times New Roman"/>
                <w:noProof/>
                <w:lang w:eastAsia="ar-SA"/>
              </w:rPr>
              <w:t>Województwo lubuskie</w:t>
            </w:r>
            <w:r w:rsidR="00710D8F">
              <w:rPr>
                <w:noProof/>
                <w:webHidden/>
              </w:rPr>
              <w:tab/>
            </w:r>
            <w:r w:rsidR="00710D8F">
              <w:rPr>
                <w:noProof/>
                <w:webHidden/>
              </w:rPr>
              <w:fldChar w:fldCharType="begin"/>
            </w:r>
            <w:r w:rsidR="00710D8F">
              <w:rPr>
                <w:noProof/>
                <w:webHidden/>
              </w:rPr>
              <w:instrText xml:space="preserve"> PAGEREF _Toc80523119 \h </w:instrText>
            </w:r>
            <w:r w:rsidR="00710D8F">
              <w:rPr>
                <w:noProof/>
                <w:webHidden/>
              </w:rPr>
            </w:r>
            <w:r w:rsidR="00710D8F">
              <w:rPr>
                <w:noProof/>
                <w:webHidden/>
              </w:rPr>
              <w:fldChar w:fldCharType="separate"/>
            </w:r>
            <w:r w:rsidR="00822413">
              <w:rPr>
                <w:noProof/>
                <w:webHidden/>
              </w:rPr>
              <w:t>179</w:t>
            </w:r>
            <w:r w:rsidR="00710D8F">
              <w:rPr>
                <w:noProof/>
                <w:webHidden/>
              </w:rPr>
              <w:fldChar w:fldCharType="end"/>
            </w:r>
          </w:hyperlink>
        </w:p>
        <w:p w14:paraId="22E12594" w14:textId="34A16CC4" w:rsidR="00710D8F" w:rsidRDefault="009566E2">
          <w:pPr>
            <w:pStyle w:val="Spistreci2"/>
            <w:tabs>
              <w:tab w:val="left" w:pos="880"/>
            </w:tabs>
            <w:rPr>
              <w:rFonts w:asciiTheme="minorHAnsi" w:eastAsiaTheme="minorEastAsia" w:hAnsiTheme="minorHAnsi"/>
              <w:noProof/>
              <w:sz w:val="22"/>
              <w:lang w:eastAsia="pl-PL"/>
            </w:rPr>
          </w:pPr>
          <w:hyperlink w:anchor="_Toc80523125" w:history="1">
            <w:r w:rsidR="00710D8F" w:rsidRPr="00F850F5">
              <w:rPr>
                <w:rStyle w:val="Hipercze"/>
                <w:rFonts w:eastAsia="Times New Roman" w:cs="Times New Roman"/>
                <w:noProof/>
                <w:lang w:eastAsia="ar-SA"/>
              </w:rPr>
              <w:t>3.5.</w:t>
            </w:r>
            <w:r w:rsidR="00710D8F">
              <w:rPr>
                <w:rFonts w:asciiTheme="minorHAnsi" w:eastAsiaTheme="minorEastAsia" w:hAnsiTheme="minorHAnsi"/>
                <w:noProof/>
                <w:sz w:val="22"/>
                <w:lang w:eastAsia="pl-PL"/>
              </w:rPr>
              <w:tab/>
            </w:r>
            <w:r w:rsidR="00710D8F" w:rsidRPr="00F850F5">
              <w:rPr>
                <w:rStyle w:val="Hipercze"/>
                <w:rFonts w:eastAsia="Times New Roman" w:cs="Times New Roman"/>
                <w:noProof/>
                <w:lang w:eastAsia="ar-SA"/>
              </w:rPr>
              <w:t>Województwo łódzkie</w:t>
            </w:r>
            <w:r w:rsidR="00710D8F">
              <w:rPr>
                <w:noProof/>
                <w:webHidden/>
              </w:rPr>
              <w:tab/>
            </w:r>
            <w:r w:rsidR="00710D8F">
              <w:rPr>
                <w:noProof/>
                <w:webHidden/>
              </w:rPr>
              <w:fldChar w:fldCharType="begin"/>
            </w:r>
            <w:r w:rsidR="00710D8F">
              <w:rPr>
                <w:noProof/>
                <w:webHidden/>
              </w:rPr>
              <w:instrText xml:space="preserve"> PAGEREF _Toc80523125 \h </w:instrText>
            </w:r>
            <w:r w:rsidR="00710D8F">
              <w:rPr>
                <w:noProof/>
                <w:webHidden/>
              </w:rPr>
            </w:r>
            <w:r w:rsidR="00710D8F">
              <w:rPr>
                <w:noProof/>
                <w:webHidden/>
              </w:rPr>
              <w:fldChar w:fldCharType="separate"/>
            </w:r>
            <w:r w:rsidR="00822413">
              <w:rPr>
                <w:noProof/>
                <w:webHidden/>
              </w:rPr>
              <w:t>189</w:t>
            </w:r>
            <w:r w:rsidR="00710D8F">
              <w:rPr>
                <w:noProof/>
                <w:webHidden/>
              </w:rPr>
              <w:fldChar w:fldCharType="end"/>
            </w:r>
          </w:hyperlink>
        </w:p>
        <w:p w14:paraId="29E5A28E" w14:textId="5112DBA4" w:rsidR="00710D8F" w:rsidRDefault="009566E2">
          <w:pPr>
            <w:pStyle w:val="Spistreci2"/>
            <w:tabs>
              <w:tab w:val="left" w:pos="880"/>
            </w:tabs>
            <w:rPr>
              <w:rFonts w:asciiTheme="minorHAnsi" w:eastAsiaTheme="minorEastAsia" w:hAnsiTheme="minorHAnsi"/>
              <w:noProof/>
              <w:sz w:val="22"/>
              <w:lang w:eastAsia="pl-PL"/>
            </w:rPr>
          </w:pPr>
          <w:hyperlink w:anchor="_Toc80523131" w:history="1">
            <w:r w:rsidR="00710D8F" w:rsidRPr="00F850F5">
              <w:rPr>
                <w:rStyle w:val="Hipercze"/>
                <w:rFonts w:eastAsia="Times New Roman"/>
                <w:noProof/>
                <w:lang w:eastAsia="ar-SA"/>
              </w:rPr>
              <w:t>3.6</w:t>
            </w:r>
            <w:r w:rsidR="00710D8F">
              <w:rPr>
                <w:rFonts w:asciiTheme="minorHAnsi" w:eastAsiaTheme="minorEastAsia" w:hAnsiTheme="minorHAnsi"/>
                <w:noProof/>
                <w:sz w:val="22"/>
                <w:lang w:eastAsia="pl-PL"/>
              </w:rPr>
              <w:tab/>
            </w:r>
            <w:r w:rsidR="00710D8F" w:rsidRPr="00F850F5">
              <w:rPr>
                <w:rStyle w:val="Hipercze"/>
                <w:rFonts w:eastAsia="Times New Roman"/>
                <w:noProof/>
                <w:lang w:eastAsia="ar-SA"/>
              </w:rPr>
              <w:t>Województwo małopolskie</w:t>
            </w:r>
            <w:r w:rsidR="00710D8F">
              <w:rPr>
                <w:noProof/>
                <w:webHidden/>
              </w:rPr>
              <w:tab/>
            </w:r>
            <w:r w:rsidR="00710D8F">
              <w:rPr>
                <w:noProof/>
                <w:webHidden/>
              </w:rPr>
              <w:fldChar w:fldCharType="begin"/>
            </w:r>
            <w:r w:rsidR="00710D8F">
              <w:rPr>
                <w:noProof/>
                <w:webHidden/>
              </w:rPr>
              <w:instrText xml:space="preserve"> PAGEREF _Toc80523131 \h </w:instrText>
            </w:r>
            <w:r w:rsidR="00710D8F">
              <w:rPr>
                <w:noProof/>
                <w:webHidden/>
              </w:rPr>
            </w:r>
            <w:r w:rsidR="00710D8F">
              <w:rPr>
                <w:noProof/>
                <w:webHidden/>
              </w:rPr>
              <w:fldChar w:fldCharType="separate"/>
            </w:r>
            <w:r w:rsidR="00822413">
              <w:rPr>
                <w:noProof/>
                <w:webHidden/>
              </w:rPr>
              <w:t>197</w:t>
            </w:r>
            <w:r w:rsidR="00710D8F">
              <w:rPr>
                <w:noProof/>
                <w:webHidden/>
              </w:rPr>
              <w:fldChar w:fldCharType="end"/>
            </w:r>
          </w:hyperlink>
        </w:p>
        <w:p w14:paraId="0A765A5F" w14:textId="0103E828" w:rsidR="00710D8F" w:rsidRDefault="009566E2">
          <w:pPr>
            <w:pStyle w:val="Spistreci2"/>
            <w:rPr>
              <w:rFonts w:asciiTheme="minorHAnsi" w:eastAsiaTheme="minorEastAsia" w:hAnsiTheme="minorHAnsi"/>
              <w:noProof/>
              <w:sz w:val="22"/>
              <w:lang w:eastAsia="pl-PL"/>
            </w:rPr>
          </w:pPr>
          <w:hyperlink w:anchor="_Toc80523138" w:history="1">
            <w:r w:rsidR="00710D8F" w:rsidRPr="00F850F5">
              <w:rPr>
                <w:rStyle w:val="Hipercze"/>
                <w:rFonts w:eastAsia="Times New Roman"/>
                <w:noProof/>
                <w:lang w:eastAsia="ar-SA"/>
              </w:rPr>
              <w:t>3.7 Województwo mazowieckie</w:t>
            </w:r>
            <w:r w:rsidR="00710D8F">
              <w:rPr>
                <w:noProof/>
                <w:webHidden/>
              </w:rPr>
              <w:tab/>
            </w:r>
            <w:r w:rsidR="00710D8F">
              <w:rPr>
                <w:noProof/>
                <w:webHidden/>
              </w:rPr>
              <w:fldChar w:fldCharType="begin"/>
            </w:r>
            <w:r w:rsidR="00710D8F">
              <w:rPr>
                <w:noProof/>
                <w:webHidden/>
              </w:rPr>
              <w:instrText xml:space="preserve"> PAGEREF _Toc80523138 \h </w:instrText>
            </w:r>
            <w:r w:rsidR="00710D8F">
              <w:rPr>
                <w:noProof/>
                <w:webHidden/>
              </w:rPr>
            </w:r>
            <w:r w:rsidR="00710D8F">
              <w:rPr>
                <w:noProof/>
                <w:webHidden/>
              </w:rPr>
              <w:fldChar w:fldCharType="separate"/>
            </w:r>
            <w:r w:rsidR="00822413">
              <w:rPr>
                <w:noProof/>
                <w:webHidden/>
              </w:rPr>
              <w:t>211</w:t>
            </w:r>
            <w:r w:rsidR="00710D8F">
              <w:rPr>
                <w:noProof/>
                <w:webHidden/>
              </w:rPr>
              <w:fldChar w:fldCharType="end"/>
            </w:r>
          </w:hyperlink>
        </w:p>
        <w:p w14:paraId="602A5178" w14:textId="7C246157" w:rsidR="00710D8F" w:rsidRDefault="009566E2">
          <w:pPr>
            <w:pStyle w:val="Spistreci2"/>
            <w:tabs>
              <w:tab w:val="left" w:pos="880"/>
            </w:tabs>
            <w:rPr>
              <w:rFonts w:asciiTheme="minorHAnsi" w:eastAsiaTheme="minorEastAsia" w:hAnsiTheme="minorHAnsi"/>
              <w:noProof/>
              <w:sz w:val="22"/>
              <w:lang w:eastAsia="pl-PL"/>
            </w:rPr>
          </w:pPr>
          <w:hyperlink w:anchor="_Toc80523148" w:history="1">
            <w:r w:rsidR="00710D8F" w:rsidRPr="00F850F5">
              <w:rPr>
                <w:rStyle w:val="Hipercze"/>
                <w:rFonts w:eastAsia="Times New Roman" w:cs="Times New Roman"/>
                <w:noProof/>
                <w:lang w:eastAsia="ar-SA"/>
              </w:rPr>
              <w:t>3.8</w:t>
            </w:r>
            <w:r w:rsidR="00710D8F">
              <w:rPr>
                <w:rFonts w:asciiTheme="minorHAnsi" w:eastAsiaTheme="minorEastAsia" w:hAnsiTheme="minorHAnsi"/>
                <w:noProof/>
                <w:sz w:val="22"/>
                <w:lang w:eastAsia="pl-PL"/>
              </w:rPr>
              <w:tab/>
            </w:r>
            <w:r w:rsidR="00710D8F" w:rsidRPr="00F850F5">
              <w:rPr>
                <w:rStyle w:val="Hipercze"/>
                <w:rFonts w:eastAsia="Times New Roman" w:cs="Times New Roman"/>
                <w:noProof/>
                <w:lang w:eastAsia="ar-SA"/>
              </w:rPr>
              <w:t>Województwo opolskie</w:t>
            </w:r>
            <w:r w:rsidR="00710D8F">
              <w:rPr>
                <w:noProof/>
                <w:webHidden/>
              </w:rPr>
              <w:tab/>
            </w:r>
            <w:r w:rsidR="00710D8F">
              <w:rPr>
                <w:noProof/>
                <w:webHidden/>
              </w:rPr>
              <w:fldChar w:fldCharType="begin"/>
            </w:r>
            <w:r w:rsidR="00710D8F">
              <w:rPr>
                <w:noProof/>
                <w:webHidden/>
              </w:rPr>
              <w:instrText xml:space="preserve"> PAGEREF _Toc80523148 \h </w:instrText>
            </w:r>
            <w:r w:rsidR="00710D8F">
              <w:rPr>
                <w:noProof/>
                <w:webHidden/>
              </w:rPr>
            </w:r>
            <w:r w:rsidR="00710D8F">
              <w:rPr>
                <w:noProof/>
                <w:webHidden/>
              </w:rPr>
              <w:fldChar w:fldCharType="separate"/>
            </w:r>
            <w:r w:rsidR="00822413">
              <w:rPr>
                <w:noProof/>
                <w:webHidden/>
              </w:rPr>
              <w:t>223</w:t>
            </w:r>
            <w:r w:rsidR="00710D8F">
              <w:rPr>
                <w:noProof/>
                <w:webHidden/>
              </w:rPr>
              <w:fldChar w:fldCharType="end"/>
            </w:r>
          </w:hyperlink>
        </w:p>
        <w:p w14:paraId="50C932BA" w14:textId="0076DF44" w:rsidR="00710D8F" w:rsidRDefault="009566E2">
          <w:pPr>
            <w:pStyle w:val="Spistreci2"/>
            <w:tabs>
              <w:tab w:val="left" w:pos="880"/>
            </w:tabs>
            <w:rPr>
              <w:rFonts w:asciiTheme="minorHAnsi" w:eastAsiaTheme="minorEastAsia" w:hAnsiTheme="minorHAnsi"/>
              <w:noProof/>
              <w:sz w:val="22"/>
              <w:lang w:eastAsia="pl-PL"/>
            </w:rPr>
          </w:pPr>
          <w:hyperlink w:anchor="_Toc80523155" w:history="1">
            <w:r w:rsidR="00710D8F" w:rsidRPr="00F850F5">
              <w:rPr>
                <w:rStyle w:val="Hipercze"/>
                <w:rFonts w:eastAsia="Times New Roman" w:cs="Times New Roman"/>
                <w:noProof/>
                <w:lang w:eastAsia="ar-SA"/>
              </w:rPr>
              <w:t>3.9</w:t>
            </w:r>
            <w:r w:rsidR="00710D8F">
              <w:rPr>
                <w:rFonts w:asciiTheme="minorHAnsi" w:eastAsiaTheme="minorEastAsia" w:hAnsiTheme="minorHAnsi"/>
                <w:noProof/>
                <w:sz w:val="22"/>
                <w:lang w:eastAsia="pl-PL"/>
              </w:rPr>
              <w:tab/>
            </w:r>
            <w:r w:rsidR="00710D8F" w:rsidRPr="00F850F5">
              <w:rPr>
                <w:rStyle w:val="Hipercze"/>
                <w:rFonts w:eastAsia="Times New Roman" w:cs="Times New Roman"/>
                <w:noProof/>
                <w:lang w:eastAsia="ar-SA"/>
              </w:rPr>
              <w:t>Województwo podkarpackie</w:t>
            </w:r>
            <w:r w:rsidR="00710D8F">
              <w:rPr>
                <w:noProof/>
                <w:webHidden/>
              </w:rPr>
              <w:tab/>
            </w:r>
            <w:r w:rsidR="00710D8F">
              <w:rPr>
                <w:noProof/>
                <w:webHidden/>
              </w:rPr>
              <w:fldChar w:fldCharType="begin"/>
            </w:r>
            <w:r w:rsidR="00710D8F">
              <w:rPr>
                <w:noProof/>
                <w:webHidden/>
              </w:rPr>
              <w:instrText xml:space="preserve"> PAGEREF _Toc80523155 \h </w:instrText>
            </w:r>
            <w:r w:rsidR="00710D8F">
              <w:rPr>
                <w:noProof/>
                <w:webHidden/>
              </w:rPr>
            </w:r>
            <w:r w:rsidR="00710D8F">
              <w:rPr>
                <w:noProof/>
                <w:webHidden/>
              </w:rPr>
              <w:fldChar w:fldCharType="separate"/>
            </w:r>
            <w:r w:rsidR="00822413">
              <w:rPr>
                <w:noProof/>
                <w:webHidden/>
              </w:rPr>
              <w:t>237</w:t>
            </w:r>
            <w:r w:rsidR="00710D8F">
              <w:rPr>
                <w:noProof/>
                <w:webHidden/>
              </w:rPr>
              <w:fldChar w:fldCharType="end"/>
            </w:r>
          </w:hyperlink>
        </w:p>
        <w:p w14:paraId="42AED856" w14:textId="5AB2F02F" w:rsidR="00710D8F" w:rsidRDefault="009566E2">
          <w:pPr>
            <w:pStyle w:val="Spistreci2"/>
            <w:tabs>
              <w:tab w:val="left" w:pos="880"/>
            </w:tabs>
            <w:rPr>
              <w:rFonts w:asciiTheme="minorHAnsi" w:eastAsiaTheme="minorEastAsia" w:hAnsiTheme="minorHAnsi"/>
              <w:noProof/>
              <w:sz w:val="22"/>
              <w:lang w:eastAsia="pl-PL"/>
            </w:rPr>
          </w:pPr>
          <w:hyperlink w:anchor="_Toc80523162" w:history="1">
            <w:r w:rsidR="00710D8F" w:rsidRPr="00F850F5">
              <w:rPr>
                <w:rStyle w:val="Hipercze"/>
                <w:rFonts w:eastAsia="Times New Roman" w:cs="Times New Roman"/>
                <w:noProof/>
                <w:lang w:eastAsia="ar-SA"/>
              </w:rPr>
              <w:t>3.10</w:t>
            </w:r>
            <w:r w:rsidR="00710D8F">
              <w:rPr>
                <w:rFonts w:asciiTheme="minorHAnsi" w:eastAsiaTheme="minorEastAsia" w:hAnsiTheme="minorHAnsi"/>
                <w:noProof/>
                <w:sz w:val="22"/>
                <w:lang w:eastAsia="pl-PL"/>
              </w:rPr>
              <w:tab/>
            </w:r>
            <w:r w:rsidR="00710D8F" w:rsidRPr="00F850F5">
              <w:rPr>
                <w:rStyle w:val="Hipercze"/>
                <w:rFonts w:eastAsia="Times New Roman" w:cs="Times New Roman"/>
                <w:noProof/>
                <w:lang w:eastAsia="ar-SA"/>
              </w:rPr>
              <w:t>Województwo podlaskie</w:t>
            </w:r>
            <w:r w:rsidR="00710D8F">
              <w:rPr>
                <w:noProof/>
                <w:webHidden/>
              </w:rPr>
              <w:tab/>
            </w:r>
            <w:r w:rsidR="00710D8F">
              <w:rPr>
                <w:noProof/>
                <w:webHidden/>
              </w:rPr>
              <w:fldChar w:fldCharType="begin"/>
            </w:r>
            <w:r w:rsidR="00710D8F">
              <w:rPr>
                <w:noProof/>
                <w:webHidden/>
              </w:rPr>
              <w:instrText xml:space="preserve"> PAGEREF _Toc80523162 \h </w:instrText>
            </w:r>
            <w:r w:rsidR="00710D8F">
              <w:rPr>
                <w:noProof/>
                <w:webHidden/>
              </w:rPr>
            </w:r>
            <w:r w:rsidR="00710D8F">
              <w:rPr>
                <w:noProof/>
                <w:webHidden/>
              </w:rPr>
              <w:fldChar w:fldCharType="separate"/>
            </w:r>
            <w:r w:rsidR="00822413">
              <w:rPr>
                <w:noProof/>
                <w:webHidden/>
              </w:rPr>
              <w:t>247</w:t>
            </w:r>
            <w:r w:rsidR="00710D8F">
              <w:rPr>
                <w:noProof/>
                <w:webHidden/>
              </w:rPr>
              <w:fldChar w:fldCharType="end"/>
            </w:r>
          </w:hyperlink>
        </w:p>
        <w:p w14:paraId="7B9C4AB9" w14:textId="46F5E66C" w:rsidR="00710D8F" w:rsidRDefault="009566E2">
          <w:pPr>
            <w:pStyle w:val="Spistreci2"/>
            <w:tabs>
              <w:tab w:val="left" w:pos="880"/>
            </w:tabs>
            <w:rPr>
              <w:rFonts w:asciiTheme="minorHAnsi" w:eastAsiaTheme="minorEastAsia" w:hAnsiTheme="minorHAnsi"/>
              <w:noProof/>
              <w:sz w:val="22"/>
              <w:lang w:eastAsia="pl-PL"/>
            </w:rPr>
          </w:pPr>
          <w:hyperlink w:anchor="_Toc80523169" w:history="1">
            <w:r w:rsidR="00710D8F" w:rsidRPr="00F850F5">
              <w:rPr>
                <w:rStyle w:val="Hipercze"/>
                <w:rFonts w:eastAsia="Times New Roman" w:cs="Times New Roman"/>
                <w:noProof/>
                <w:lang w:eastAsia="ar-SA"/>
              </w:rPr>
              <w:t>3.11</w:t>
            </w:r>
            <w:r w:rsidR="00710D8F">
              <w:rPr>
                <w:rFonts w:asciiTheme="minorHAnsi" w:eastAsiaTheme="minorEastAsia" w:hAnsiTheme="minorHAnsi"/>
                <w:noProof/>
                <w:sz w:val="22"/>
                <w:lang w:eastAsia="pl-PL"/>
              </w:rPr>
              <w:tab/>
            </w:r>
            <w:r w:rsidR="00710D8F" w:rsidRPr="00F850F5">
              <w:rPr>
                <w:rStyle w:val="Hipercze"/>
                <w:rFonts w:eastAsia="Times New Roman" w:cs="Times New Roman"/>
                <w:noProof/>
                <w:lang w:eastAsia="ar-SA"/>
              </w:rPr>
              <w:t>Województwo pomorskie</w:t>
            </w:r>
            <w:r w:rsidR="00710D8F">
              <w:rPr>
                <w:noProof/>
                <w:webHidden/>
              </w:rPr>
              <w:tab/>
            </w:r>
            <w:r w:rsidR="00710D8F">
              <w:rPr>
                <w:noProof/>
                <w:webHidden/>
              </w:rPr>
              <w:fldChar w:fldCharType="begin"/>
            </w:r>
            <w:r w:rsidR="00710D8F">
              <w:rPr>
                <w:noProof/>
                <w:webHidden/>
              </w:rPr>
              <w:instrText xml:space="preserve"> PAGEREF _Toc80523169 \h </w:instrText>
            </w:r>
            <w:r w:rsidR="00710D8F">
              <w:rPr>
                <w:noProof/>
                <w:webHidden/>
              </w:rPr>
            </w:r>
            <w:r w:rsidR="00710D8F">
              <w:rPr>
                <w:noProof/>
                <w:webHidden/>
              </w:rPr>
              <w:fldChar w:fldCharType="separate"/>
            </w:r>
            <w:r w:rsidR="00822413">
              <w:rPr>
                <w:noProof/>
                <w:webHidden/>
              </w:rPr>
              <w:t>260</w:t>
            </w:r>
            <w:r w:rsidR="00710D8F">
              <w:rPr>
                <w:noProof/>
                <w:webHidden/>
              </w:rPr>
              <w:fldChar w:fldCharType="end"/>
            </w:r>
          </w:hyperlink>
        </w:p>
        <w:p w14:paraId="4C52815F" w14:textId="1E841494" w:rsidR="00710D8F" w:rsidRDefault="009566E2">
          <w:pPr>
            <w:pStyle w:val="Spistreci2"/>
            <w:tabs>
              <w:tab w:val="left" w:pos="880"/>
            </w:tabs>
            <w:rPr>
              <w:rFonts w:asciiTheme="minorHAnsi" w:eastAsiaTheme="minorEastAsia" w:hAnsiTheme="minorHAnsi"/>
              <w:noProof/>
              <w:sz w:val="22"/>
              <w:lang w:eastAsia="pl-PL"/>
            </w:rPr>
          </w:pPr>
          <w:hyperlink w:anchor="_Toc80523176" w:history="1">
            <w:r w:rsidR="00710D8F" w:rsidRPr="00F850F5">
              <w:rPr>
                <w:rStyle w:val="Hipercze"/>
                <w:rFonts w:eastAsia="Times New Roman" w:cs="Times New Roman"/>
                <w:noProof/>
                <w:lang w:eastAsia="ar-SA"/>
              </w:rPr>
              <w:t>3.12</w:t>
            </w:r>
            <w:r w:rsidR="00710D8F">
              <w:rPr>
                <w:rFonts w:asciiTheme="minorHAnsi" w:eastAsiaTheme="minorEastAsia" w:hAnsiTheme="minorHAnsi"/>
                <w:noProof/>
                <w:sz w:val="22"/>
                <w:lang w:eastAsia="pl-PL"/>
              </w:rPr>
              <w:tab/>
            </w:r>
            <w:r w:rsidR="00710D8F" w:rsidRPr="00F850F5">
              <w:rPr>
                <w:rStyle w:val="Hipercze"/>
                <w:rFonts w:eastAsia="Times New Roman" w:cs="Times New Roman"/>
                <w:noProof/>
                <w:lang w:eastAsia="ar-SA"/>
              </w:rPr>
              <w:t>Województwo śląskie</w:t>
            </w:r>
            <w:r w:rsidR="00710D8F">
              <w:rPr>
                <w:noProof/>
                <w:webHidden/>
              </w:rPr>
              <w:tab/>
            </w:r>
            <w:r w:rsidR="00710D8F">
              <w:rPr>
                <w:noProof/>
                <w:webHidden/>
              </w:rPr>
              <w:fldChar w:fldCharType="begin"/>
            </w:r>
            <w:r w:rsidR="00710D8F">
              <w:rPr>
                <w:noProof/>
                <w:webHidden/>
              </w:rPr>
              <w:instrText xml:space="preserve"> PAGEREF _Toc80523176 \h </w:instrText>
            </w:r>
            <w:r w:rsidR="00710D8F">
              <w:rPr>
                <w:noProof/>
                <w:webHidden/>
              </w:rPr>
            </w:r>
            <w:r w:rsidR="00710D8F">
              <w:rPr>
                <w:noProof/>
                <w:webHidden/>
              </w:rPr>
              <w:fldChar w:fldCharType="separate"/>
            </w:r>
            <w:r w:rsidR="00822413">
              <w:rPr>
                <w:noProof/>
                <w:webHidden/>
              </w:rPr>
              <w:t>269</w:t>
            </w:r>
            <w:r w:rsidR="00710D8F">
              <w:rPr>
                <w:noProof/>
                <w:webHidden/>
              </w:rPr>
              <w:fldChar w:fldCharType="end"/>
            </w:r>
          </w:hyperlink>
        </w:p>
        <w:p w14:paraId="118C396C" w14:textId="0B34AF74" w:rsidR="00710D8F" w:rsidRDefault="009566E2">
          <w:pPr>
            <w:pStyle w:val="Spistreci2"/>
            <w:tabs>
              <w:tab w:val="left" w:pos="880"/>
            </w:tabs>
            <w:rPr>
              <w:rFonts w:asciiTheme="minorHAnsi" w:eastAsiaTheme="minorEastAsia" w:hAnsiTheme="minorHAnsi"/>
              <w:noProof/>
              <w:sz w:val="22"/>
              <w:lang w:eastAsia="pl-PL"/>
            </w:rPr>
          </w:pPr>
          <w:hyperlink w:anchor="_Toc80523183" w:history="1">
            <w:r w:rsidR="00710D8F" w:rsidRPr="00F850F5">
              <w:rPr>
                <w:rStyle w:val="Hipercze"/>
                <w:rFonts w:eastAsia="Times New Roman" w:cs="Times New Roman"/>
                <w:noProof/>
                <w:lang w:eastAsia="ar-SA"/>
              </w:rPr>
              <w:t>3.13</w:t>
            </w:r>
            <w:r w:rsidR="00710D8F">
              <w:rPr>
                <w:rFonts w:asciiTheme="minorHAnsi" w:eastAsiaTheme="minorEastAsia" w:hAnsiTheme="minorHAnsi"/>
                <w:noProof/>
                <w:sz w:val="22"/>
                <w:lang w:eastAsia="pl-PL"/>
              </w:rPr>
              <w:tab/>
            </w:r>
            <w:r w:rsidR="00710D8F" w:rsidRPr="00F850F5">
              <w:rPr>
                <w:rStyle w:val="Hipercze"/>
                <w:rFonts w:eastAsia="Times New Roman" w:cs="Times New Roman"/>
                <w:noProof/>
                <w:lang w:eastAsia="ar-SA"/>
              </w:rPr>
              <w:t>Województwo świętokrzyskie</w:t>
            </w:r>
            <w:r w:rsidR="00710D8F">
              <w:rPr>
                <w:noProof/>
                <w:webHidden/>
              </w:rPr>
              <w:tab/>
            </w:r>
            <w:r w:rsidR="00710D8F">
              <w:rPr>
                <w:noProof/>
                <w:webHidden/>
              </w:rPr>
              <w:fldChar w:fldCharType="begin"/>
            </w:r>
            <w:r w:rsidR="00710D8F">
              <w:rPr>
                <w:noProof/>
                <w:webHidden/>
              </w:rPr>
              <w:instrText xml:space="preserve"> PAGEREF _Toc80523183 \h </w:instrText>
            </w:r>
            <w:r w:rsidR="00710D8F">
              <w:rPr>
                <w:noProof/>
                <w:webHidden/>
              </w:rPr>
            </w:r>
            <w:r w:rsidR="00710D8F">
              <w:rPr>
                <w:noProof/>
                <w:webHidden/>
              </w:rPr>
              <w:fldChar w:fldCharType="separate"/>
            </w:r>
            <w:r w:rsidR="00822413">
              <w:rPr>
                <w:noProof/>
                <w:webHidden/>
              </w:rPr>
              <w:t>278</w:t>
            </w:r>
            <w:r w:rsidR="00710D8F">
              <w:rPr>
                <w:noProof/>
                <w:webHidden/>
              </w:rPr>
              <w:fldChar w:fldCharType="end"/>
            </w:r>
          </w:hyperlink>
        </w:p>
        <w:p w14:paraId="5539A779" w14:textId="305E7473" w:rsidR="00710D8F" w:rsidRDefault="009566E2">
          <w:pPr>
            <w:pStyle w:val="Spistreci2"/>
            <w:tabs>
              <w:tab w:val="left" w:pos="880"/>
            </w:tabs>
            <w:rPr>
              <w:rFonts w:asciiTheme="minorHAnsi" w:eastAsiaTheme="minorEastAsia" w:hAnsiTheme="minorHAnsi"/>
              <w:noProof/>
              <w:sz w:val="22"/>
              <w:lang w:eastAsia="pl-PL"/>
            </w:rPr>
          </w:pPr>
          <w:hyperlink w:anchor="_Toc80523190" w:history="1">
            <w:r w:rsidR="00710D8F" w:rsidRPr="00F850F5">
              <w:rPr>
                <w:rStyle w:val="Hipercze"/>
                <w:rFonts w:eastAsia="Times New Roman" w:cs="Times New Roman"/>
                <w:noProof/>
                <w:lang w:eastAsia="ar-SA"/>
              </w:rPr>
              <w:t>3.14</w:t>
            </w:r>
            <w:r w:rsidR="00710D8F">
              <w:rPr>
                <w:rFonts w:asciiTheme="minorHAnsi" w:eastAsiaTheme="minorEastAsia" w:hAnsiTheme="minorHAnsi"/>
                <w:noProof/>
                <w:sz w:val="22"/>
                <w:lang w:eastAsia="pl-PL"/>
              </w:rPr>
              <w:tab/>
            </w:r>
            <w:r w:rsidR="00710D8F" w:rsidRPr="00F850F5">
              <w:rPr>
                <w:rStyle w:val="Hipercze"/>
                <w:rFonts w:eastAsia="Times New Roman" w:cs="Times New Roman"/>
                <w:noProof/>
                <w:lang w:eastAsia="ar-SA"/>
              </w:rPr>
              <w:t>Województwo warmińsko-mazurskie</w:t>
            </w:r>
            <w:r w:rsidR="00710D8F">
              <w:rPr>
                <w:noProof/>
                <w:webHidden/>
              </w:rPr>
              <w:tab/>
            </w:r>
            <w:r w:rsidR="00710D8F">
              <w:rPr>
                <w:noProof/>
                <w:webHidden/>
              </w:rPr>
              <w:fldChar w:fldCharType="begin"/>
            </w:r>
            <w:r w:rsidR="00710D8F">
              <w:rPr>
                <w:noProof/>
                <w:webHidden/>
              </w:rPr>
              <w:instrText xml:space="preserve"> PAGEREF _Toc80523190 \h </w:instrText>
            </w:r>
            <w:r w:rsidR="00710D8F">
              <w:rPr>
                <w:noProof/>
                <w:webHidden/>
              </w:rPr>
            </w:r>
            <w:r w:rsidR="00710D8F">
              <w:rPr>
                <w:noProof/>
                <w:webHidden/>
              </w:rPr>
              <w:fldChar w:fldCharType="separate"/>
            </w:r>
            <w:r w:rsidR="00822413">
              <w:rPr>
                <w:noProof/>
                <w:webHidden/>
              </w:rPr>
              <w:t>290</w:t>
            </w:r>
            <w:r w:rsidR="00710D8F">
              <w:rPr>
                <w:noProof/>
                <w:webHidden/>
              </w:rPr>
              <w:fldChar w:fldCharType="end"/>
            </w:r>
          </w:hyperlink>
        </w:p>
        <w:p w14:paraId="39131B3A" w14:textId="2B3FD3A1" w:rsidR="00710D8F" w:rsidRDefault="009566E2">
          <w:pPr>
            <w:pStyle w:val="Spistreci2"/>
            <w:tabs>
              <w:tab w:val="left" w:pos="880"/>
            </w:tabs>
            <w:rPr>
              <w:rFonts w:asciiTheme="minorHAnsi" w:eastAsiaTheme="minorEastAsia" w:hAnsiTheme="minorHAnsi"/>
              <w:noProof/>
              <w:sz w:val="22"/>
              <w:lang w:eastAsia="pl-PL"/>
            </w:rPr>
          </w:pPr>
          <w:hyperlink w:anchor="_Toc80523197" w:history="1">
            <w:r w:rsidR="00710D8F" w:rsidRPr="00F850F5">
              <w:rPr>
                <w:rStyle w:val="Hipercze"/>
                <w:rFonts w:eastAsia="Times New Roman" w:cs="Times New Roman"/>
                <w:noProof/>
                <w:lang w:eastAsia="ar-SA"/>
              </w:rPr>
              <w:t>3.15</w:t>
            </w:r>
            <w:r w:rsidR="00710D8F">
              <w:rPr>
                <w:rFonts w:asciiTheme="minorHAnsi" w:eastAsiaTheme="minorEastAsia" w:hAnsiTheme="minorHAnsi"/>
                <w:noProof/>
                <w:sz w:val="22"/>
                <w:lang w:eastAsia="pl-PL"/>
              </w:rPr>
              <w:tab/>
            </w:r>
            <w:r w:rsidR="00710D8F" w:rsidRPr="00F850F5">
              <w:rPr>
                <w:rStyle w:val="Hipercze"/>
                <w:rFonts w:eastAsia="Times New Roman" w:cs="Times New Roman"/>
                <w:noProof/>
                <w:lang w:eastAsia="ar-SA"/>
              </w:rPr>
              <w:t>Województwo wielkopolskie</w:t>
            </w:r>
            <w:r w:rsidR="00710D8F">
              <w:rPr>
                <w:noProof/>
                <w:webHidden/>
              </w:rPr>
              <w:tab/>
            </w:r>
            <w:r w:rsidR="00710D8F">
              <w:rPr>
                <w:noProof/>
                <w:webHidden/>
              </w:rPr>
              <w:fldChar w:fldCharType="begin"/>
            </w:r>
            <w:r w:rsidR="00710D8F">
              <w:rPr>
                <w:noProof/>
                <w:webHidden/>
              </w:rPr>
              <w:instrText xml:space="preserve"> PAGEREF _Toc80523197 \h </w:instrText>
            </w:r>
            <w:r w:rsidR="00710D8F">
              <w:rPr>
                <w:noProof/>
                <w:webHidden/>
              </w:rPr>
            </w:r>
            <w:r w:rsidR="00710D8F">
              <w:rPr>
                <w:noProof/>
                <w:webHidden/>
              </w:rPr>
              <w:fldChar w:fldCharType="separate"/>
            </w:r>
            <w:r w:rsidR="00822413">
              <w:rPr>
                <w:noProof/>
                <w:webHidden/>
              </w:rPr>
              <w:t>301</w:t>
            </w:r>
            <w:r w:rsidR="00710D8F">
              <w:rPr>
                <w:noProof/>
                <w:webHidden/>
              </w:rPr>
              <w:fldChar w:fldCharType="end"/>
            </w:r>
          </w:hyperlink>
        </w:p>
        <w:p w14:paraId="5FB1FC3A" w14:textId="70ED5A35" w:rsidR="00710D8F" w:rsidRPr="00710D8F" w:rsidRDefault="009566E2" w:rsidP="00710D8F">
          <w:pPr>
            <w:pStyle w:val="Spistreci2"/>
            <w:tabs>
              <w:tab w:val="left" w:pos="880"/>
            </w:tabs>
            <w:rPr>
              <w:rStyle w:val="Hipercze"/>
              <w:rFonts w:asciiTheme="minorHAnsi" w:eastAsiaTheme="minorEastAsia" w:hAnsiTheme="minorHAnsi"/>
              <w:noProof/>
              <w:color w:val="auto"/>
              <w:sz w:val="22"/>
              <w:u w:val="none"/>
              <w:lang w:eastAsia="pl-PL"/>
            </w:rPr>
          </w:pPr>
          <w:hyperlink w:anchor="_Toc80523204" w:history="1">
            <w:r w:rsidR="00710D8F" w:rsidRPr="00F850F5">
              <w:rPr>
                <w:rStyle w:val="Hipercze"/>
                <w:rFonts w:eastAsia="Times New Roman" w:cs="Times New Roman"/>
                <w:noProof/>
                <w:lang w:eastAsia="ar-SA"/>
              </w:rPr>
              <w:t>3.16</w:t>
            </w:r>
            <w:r w:rsidR="00710D8F">
              <w:rPr>
                <w:rFonts w:asciiTheme="minorHAnsi" w:eastAsiaTheme="minorEastAsia" w:hAnsiTheme="minorHAnsi"/>
                <w:noProof/>
                <w:sz w:val="22"/>
                <w:lang w:eastAsia="pl-PL"/>
              </w:rPr>
              <w:tab/>
            </w:r>
            <w:r w:rsidR="00710D8F" w:rsidRPr="00F850F5">
              <w:rPr>
                <w:rStyle w:val="Hipercze"/>
                <w:rFonts w:eastAsia="Times New Roman" w:cs="Times New Roman"/>
                <w:noProof/>
                <w:lang w:eastAsia="ar-SA"/>
              </w:rPr>
              <w:t>Województwo zachodniopomorskie</w:t>
            </w:r>
            <w:r w:rsidR="00710D8F">
              <w:rPr>
                <w:noProof/>
                <w:webHidden/>
              </w:rPr>
              <w:tab/>
            </w:r>
            <w:r w:rsidR="00710D8F">
              <w:rPr>
                <w:noProof/>
                <w:webHidden/>
              </w:rPr>
              <w:fldChar w:fldCharType="begin"/>
            </w:r>
            <w:r w:rsidR="00710D8F">
              <w:rPr>
                <w:noProof/>
                <w:webHidden/>
              </w:rPr>
              <w:instrText xml:space="preserve"> PAGEREF _Toc80523204 \h </w:instrText>
            </w:r>
            <w:r w:rsidR="00710D8F">
              <w:rPr>
                <w:noProof/>
                <w:webHidden/>
              </w:rPr>
            </w:r>
            <w:r w:rsidR="00710D8F">
              <w:rPr>
                <w:noProof/>
                <w:webHidden/>
              </w:rPr>
              <w:fldChar w:fldCharType="separate"/>
            </w:r>
            <w:r w:rsidR="00822413">
              <w:rPr>
                <w:noProof/>
                <w:webHidden/>
              </w:rPr>
              <w:t>310</w:t>
            </w:r>
            <w:r w:rsidR="00710D8F">
              <w:rPr>
                <w:noProof/>
                <w:webHidden/>
              </w:rPr>
              <w:fldChar w:fldCharType="end"/>
            </w:r>
          </w:hyperlink>
        </w:p>
        <w:p w14:paraId="62480B12" w14:textId="77777777" w:rsidR="00710D8F" w:rsidRPr="00710D8F" w:rsidRDefault="00710D8F" w:rsidP="00710D8F"/>
        <w:p w14:paraId="4A261988" w14:textId="197B8F2F" w:rsidR="00710D8F" w:rsidRDefault="009566E2">
          <w:pPr>
            <w:pStyle w:val="Spistreci1"/>
            <w:rPr>
              <w:rStyle w:val="Hipercze"/>
              <w:noProof/>
            </w:rPr>
          </w:pPr>
          <w:hyperlink w:anchor="_Toc80523211" w:history="1">
            <w:r w:rsidR="00710D8F" w:rsidRPr="00F850F5">
              <w:rPr>
                <w:rStyle w:val="Hipercze"/>
                <w:rFonts w:cs="Times New Roman"/>
                <w:i/>
                <w:noProof/>
                <w:lang w:eastAsia="ar-SA"/>
              </w:rPr>
              <w:t>4.</w:t>
            </w:r>
            <w:r w:rsidR="00710D8F">
              <w:rPr>
                <w:rFonts w:asciiTheme="minorHAnsi" w:eastAsiaTheme="minorEastAsia" w:hAnsiTheme="minorHAnsi"/>
                <w:noProof/>
                <w:sz w:val="22"/>
                <w:lang w:eastAsia="pl-PL"/>
              </w:rPr>
              <w:tab/>
            </w:r>
            <w:r w:rsidR="00710D8F" w:rsidRPr="00F850F5">
              <w:rPr>
                <w:rStyle w:val="Hipercze"/>
                <w:rFonts w:cs="Times New Roman"/>
                <w:noProof/>
                <w:lang w:eastAsia="ar-SA"/>
              </w:rPr>
              <w:t xml:space="preserve">Sprawozdanie z realizacji działań zaplanowanych  w dokumencie </w:t>
            </w:r>
            <w:r w:rsidR="00710D8F" w:rsidRPr="00F850F5">
              <w:rPr>
                <w:rStyle w:val="Hipercze"/>
                <w:rFonts w:cs="Times New Roman"/>
                <w:i/>
                <w:noProof/>
                <w:lang w:eastAsia="ar-SA"/>
              </w:rPr>
              <w:t>Polityka społeczna wobec osób starszych 2030. Bezpieczeństwo – Uczestnictwo – Solidarność</w:t>
            </w:r>
            <w:r w:rsidR="00710D8F">
              <w:rPr>
                <w:noProof/>
                <w:webHidden/>
              </w:rPr>
              <w:tab/>
            </w:r>
            <w:r w:rsidR="00710D8F">
              <w:rPr>
                <w:noProof/>
                <w:webHidden/>
              </w:rPr>
              <w:fldChar w:fldCharType="begin"/>
            </w:r>
            <w:r w:rsidR="00710D8F">
              <w:rPr>
                <w:noProof/>
                <w:webHidden/>
              </w:rPr>
              <w:instrText xml:space="preserve"> PAGEREF _Toc80523211 \h </w:instrText>
            </w:r>
            <w:r w:rsidR="00710D8F">
              <w:rPr>
                <w:noProof/>
                <w:webHidden/>
              </w:rPr>
            </w:r>
            <w:r w:rsidR="00710D8F">
              <w:rPr>
                <w:noProof/>
                <w:webHidden/>
              </w:rPr>
              <w:fldChar w:fldCharType="separate"/>
            </w:r>
            <w:r w:rsidR="00822413">
              <w:rPr>
                <w:noProof/>
                <w:webHidden/>
              </w:rPr>
              <w:t>321</w:t>
            </w:r>
            <w:r w:rsidR="00710D8F">
              <w:rPr>
                <w:noProof/>
                <w:webHidden/>
              </w:rPr>
              <w:fldChar w:fldCharType="end"/>
            </w:r>
          </w:hyperlink>
        </w:p>
        <w:p w14:paraId="69FF07A9" w14:textId="77777777" w:rsidR="00710D8F" w:rsidRPr="00710D8F" w:rsidRDefault="00710D8F" w:rsidP="00710D8F"/>
        <w:p w14:paraId="32AE55CB" w14:textId="4DB04205" w:rsidR="00710D8F" w:rsidRDefault="009566E2">
          <w:pPr>
            <w:pStyle w:val="Spistreci1"/>
            <w:rPr>
              <w:rStyle w:val="Hipercze"/>
              <w:noProof/>
            </w:rPr>
          </w:pPr>
          <w:hyperlink w:anchor="_Toc80523212" w:history="1">
            <w:r w:rsidR="00710D8F" w:rsidRPr="00F850F5">
              <w:rPr>
                <w:rStyle w:val="Hipercze"/>
                <w:rFonts w:cs="Times New Roman"/>
                <w:noProof/>
                <w:lang w:eastAsia="ar-SA"/>
              </w:rPr>
              <w:t>Wnioski i rekomendacje</w:t>
            </w:r>
            <w:r w:rsidR="00710D8F">
              <w:rPr>
                <w:noProof/>
                <w:webHidden/>
              </w:rPr>
              <w:tab/>
            </w:r>
            <w:r w:rsidR="00710D8F">
              <w:rPr>
                <w:noProof/>
                <w:webHidden/>
              </w:rPr>
              <w:fldChar w:fldCharType="begin"/>
            </w:r>
            <w:r w:rsidR="00710D8F">
              <w:rPr>
                <w:noProof/>
                <w:webHidden/>
              </w:rPr>
              <w:instrText xml:space="preserve"> PAGEREF _Toc80523212 \h </w:instrText>
            </w:r>
            <w:r w:rsidR="00710D8F">
              <w:rPr>
                <w:noProof/>
                <w:webHidden/>
              </w:rPr>
            </w:r>
            <w:r w:rsidR="00710D8F">
              <w:rPr>
                <w:noProof/>
                <w:webHidden/>
              </w:rPr>
              <w:fldChar w:fldCharType="separate"/>
            </w:r>
            <w:r w:rsidR="00822413">
              <w:rPr>
                <w:noProof/>
                <w:webHidden/>
              </w:rPr>
              <w:t>400</w:t>
            </w:r>
            <w:r w:rsidR="00710D8F">
              <w:rPr>
                <w:noProof/>
                <w:webHidden/>
              </w:rPr>
              <w:fldChar w:fldCharType="end"/>
            </w:r>
          </w:hyperlink>
        </w:p>
        <w:p w14:paraId="2A910A48" w14:textId="77777777" w:rsidR="00710D8F" w:rsidRPr="00710D8F" w:rsidRDefault="00710D8F" w:rsidP="00710D8F"/>
        <w:p w14:paraId="651E08FD" w14:textId="52EA3A31" w:rsidR="00710D8F" w:rsidRDefault="009566E2">
          <w:pPr>
            <w:pStyle w:val="Spistreci1"/>
            <w:rPr>
              <w:rFonts w:asciiTheme="minorHAnsi" w:eastAsiaTheme="minorEastAsia" w:hAnsiTheme="minorHAnsi"/>
              <w:noProof/>
              <w:sz w:val="22"/>
              <w:lang w:eastAsia="pl-PL"/>
            </w:rPr>
          </w:pPr>
          <w:hyperlink w:anchor="_Toc80523213" w:history="1">
            <w:r w:rsidR="00710D8F" w:rsidRPr="00F850F5">
              <w:rPr>
                <w:rStyle w:val="Hipercze"/>
                <w:rFonts w:cs="Times New Roman"/>
                <w:noProof/>
                <w:lang w:eastAsia="ar-SA"/>
              </w:rPr>
              <w:t>Wykaz tabel</w:t>
            </w:r>
            <w:r w:rsidR="00710D8F">
              <w:rPr>
                <w:noProof/>
                <w:webHidden/>
              </w:rPr>
              <w:tab/>
            </w:r>
            <w:r w:rsidR="00710D8F">
              <w:rPr>
                <w:noProof/>
                <w:webHidden/>
              </w:rPr>
              <w:fldChar w:fldCharType="begin"/>
            </w:r>
            <w:r w:rsidR="00710D8F">
              <w:rPr>
                <w:noProof/>
                <w:webHidden/>
              </w:rPr>
              <w:instrText xml:space="preserve"> PAGEREF _Toc80523213 \h </w:instrText>
            </w:r>
            <w:r w:rsidR="00710D8F">
              <w:rPr>
                <w:noProof/>
                <w:webHidden/>
              </w:rPr>
            </w:r>
            <w:r w:rsidR="00710D8F">
              <w:rPr>
                <w:noProof/>
                <w:webHidden/>
              </w:rPr>
              <w:fldChar w:fldCharType="separate"/>
            </w:r>
            <w:r w:rsidR="00822413">
              <w:rPr>
                <w:noProof/>
                <w:webHidden/>
              </w:rPr>
              <w:t>403</w:t>
            </w:r>
            <w:r w:rsidR="00710D8F">
              <w:rPr>
                <w:noProof/>
                <w:webHidden/>
              </w:rPr>
              <w:fldChar w:fldCharType="end"/>
            </w:r>
          </w:hyperlink>
        </w:p>
        <w:p w14:paraId="52DF0D96" w14:textId="1C068021" w:rsidR="00035E51" w:rsidRPr="0092226B" w:rsidRDefault="001C5E39" w:rsidP="003C1988">
          <w:pPr>
            <w:rPr>
              <w:color w:val="FF0000"/>
            </w:rPr>
          </w:pPr>
          <w:r w:rsidRPr="003A7621">
            <w:rPr>
              <w:rFonts w:cs="Times New Roman"/>
              <w:b/>
              <w:bCs/>
              <w:color w:val="FF0000"/>
            </w:rPr>
            <w:fldChar w:fldCharType="end"/>
          </w:r>
        </w:p>
      </w:sdtContent>
    </w:sdt>
    <w:p w14:paraId="52191EB7" w14:textId="77777777" w:rsidR="008459D0" w:rsidRPr="0092226B" w:rsidRDefault="008459D0" w:rsidP="003C1988">
      <w:pPr>
        <w:pStyle w:val="Nagwek1"/>
        <w:rPr>
          <w:color w:val="FF0000"/>
        </w:rPr>
        <w:sectPr w:rsidR="008459D0" w:rsidRPr="0092226B" w:rsidSect="00F70D5A">
          <w:footerReference w:type="default" r:id="rId8"/>
          <w:pgSz w:w="11909" w:h="16838"/>
          <w:pgMar w:top="1137" w:right="1250" w:bottom="1132" w:left="1293" w:header="0" w:footer="567" w:gutter="0"/>
          <w:cols w:space="720"/>
          <w:noEndnote/>
          <w:titlePg/>
          <w:docGrid w:linePitch="360"/>
        </w:sectPr>
      </w:pPr>
    </w:p>
    <w:p w14:paraId="28BC298D" w14:textId="77777777" w:rsidR="00C879B1" w:rsidRPr="000419D1" w:rsidRDefault="00035E51" w:rsidP="00A56113">
      <w:pPr>
        <w:pStyle w:val="Nagwek1"/>
        <w:numPr>
          <w:ilvl w:val="0"/>
          <w:numId w:val="0"/>
        </w:numPr>
        <w:spacing w:after="240"/>
        <w:rPr>
          <w:rFonts w:cs="Times New Roman"/>
          <w:b w:val="0"/>
          <w:sz w:val="40"/>
        </w:rPr>
      </w:pPr>
      <w:bookmarkStart w:id="2" w:name="_Toc80523037"/>
      <w:r w:rsidRPr="000419D1">
        <w:rPr>
          <w:rFonts w:cs="Times New Roman"/>
          <w:sz w:val="40"/>
        </w:rPr>
        <w:lastRenderedPageBreak/>
        <w:t>Wprowadzenie</w:t>
      </w:r>
      <w:bookmarkEnd w:id="2"/>
    </w:p>
    <w:p w14:paraId="5592BC3F" w14:textId="05A857D2" w:rsidR="0092226B" w:rsidRDefault="0092226B" w:rsidP="00F63704">
      <w:pPr>
        <w:autoSpaceDE w:val="0"/>
        <w:autoSpaceDN w:val="0"/>
        <w:adjustRightInd w:val="0"/>
        <w:spacing w:before="240" w:after="240"/>
        <w:rPr>
          <w:rFonts w:cs="Times New Roman"/>
          <w:szCs w:val="24"/>
        </w:rPr>
      </w:pPr>
      <w:r w:rsidRPr="0092226B">
        <w:rPr>
          <w:rFonts w:cs="Times New Roman"/>
          <w:szCs w:val="24"/>
        </w:rPr>
        <w:t>Realizując obowiązek nałożony przepis</w:t>
      </w:r>
      <w:r w:rsidR="008E1432">
        <w:rPr>
          <w:rFonts w:cs="Times New Roman"/>
          <w:szCs w:val="24"/>
        </w:rPr>
        <w:t xml:space="preserve">em art. 5 ust. 1 </w:t>
      </w:r>
      <w:r w:rsidRPr="0092226B">
        <w:rPr>
          <w:rFonts w:cs="Times New Roman"/>
          <w:szCs w:val="24"/>
        </w:rPr>
        <w:t xml:space="preserve"> </w:t>
      </w:r>
      <w:r w:rsidR="00274917" w:rsidRPr="0092226B">
        <w:rPr>
          <w:rFonts w:cs="Times New Roman"/>
          <w:i/>
          <w:szCs w:val="24"/>
        </w:rPr>
        <w:t xml:space="preserve">ustawy z dnia </w:t>
      </w:r>
      <w:r w:rsidR="007F5626">
        <w:rPr>
          <w:rFonts w:cs="Times New Roman"/>
          <w:bCs/>
          <w:i/>
          <w:szCs w:val="24"/>
        </w:rPr>
        <w:t>11 września 2015 r. o </w:t>
      </w:r>
      <w:r w:rsidR="00274917" w:rsidRPr="0092226B">
        <w:rPr>
          <w:rFonts w:cs="Times New Roman"/>
          <w:bCs/>
          <w:i/>
          <w:szCs w:val="24"/>
        </w:rPr>
        <w:t>osobach starszych</w:t>
      </w:r>
      <w:r w:rsidR="00274917" w:rsidRPr="0092226B">
        <w:rPr>
          <w:rFonts w:cs="Times New Roman"/>
          <w:bCs/>
          <w:szCs w:val="24"/>
        </w:rPr>
        <w:t xml:space="preserve"> (Dz. U. poz. 1705) Ministerstwo Rodziny i Polityki Społecznej</w:t>
      </w:r>
      <w:r w:rsidRPr="0092226B">
        <w:rPr>
          <w:rFonts w:cs="Times New Roman"/>
          <w:bCs/>
          <w:szCs w:val="24"/>
        </w:rPr>
        <w:t xml:space="preserve"> </w:t>
      </w:r>
      <w:r w:rsidR="007F5626">
        <w:rPr>
          <w:rFonts w:cs="Times New Roman"/>
          <w:bCs/>
          <w:szCs w:val="24"/>
        </w:rPr>
        <w:t xml:space="preserve">we współpracy z wiodącymi resortami administracji rządowej oraz wojewodami </w:t>
      </w:r>
      <w:r w:rsidRPr="0092226B">
        <w:rPr>
          <w:rFonts w:cs="Times New Roman"/>
          <w:bCs/>
          <w:szCs w:val="24"/>
        </w:rPr>
        <w:t>przygotowało kolejną</w:t>
      </w:r>
      <w:r w:rsidR="00274917" w:rsidRPr="0092226B">
        <w:rPr>
          <w:rFonts w:cs="Times New Roman"/>
          <w:bCs/>
          <w:szCs w:val="24"/>
        </w:rPr>
        <w:t xml:space="preserve"> </w:t>
      </w:r>
      <w:r w:rsidRPr="0092226B">
        <w:rPr>
          <w:rFonts w:cs="Times New Roman"/>
          <w:bCs/>
          <w:i/>
          <w:szCs w:val="24"/>
        </w:rPr>
        <w:t>Informację o sytuacji osób starszych w Polsce</w:t>
      </w:r>
      <w:r w:rsidR="007F5626">
        <w:rPr>
          <w:rFonts w:cs="Times New Roman"/>
          <w:bCs/>
          <w:i/>
          <w:szCs w:val="24"/>
        </w:rPr>
        <w:t xml:space="preserve"> za 2020 r.</w:t>
      </w:r>
      <w:r w:rsidRPr="0092226B">
        <w:rPr>
          <w:rFonts w:cs="Times New Roman"/>
          <w:bCs/>
          <w:szCs w:val="24"/>
        </w:rPr>
        <w:t>, która stanowi opis i diagnozę bieżącej sytuacji oraz potrzeb i</w:t>
      </w:r>
      <w:r w:rsidR="00FB62A9">
        <w:rPr>
          <w:rFonts w:cs="Times New Roman"/>
          <w:bCs/>
          <w:szCs w:val="24"/>
        </w:rPr>
        <w:t> </w:t>
      </w:r>
      <w:r w:rsidRPr="0092226B">
        <w:rPr>
          <w:rFonts w:cs="Times New Roman"/>
          <w:bCs/>
          <w:szCs w:val="24"/>
        </w:rPr>
        <w:t>oczekiwań polski seniorów.</w:t>
      </w:r>
      <w:r w:rsidR="00FB62A9">
        <w:rPr>
          <w:rFonts w:cs="Times New Roman"/>
          <w:bCs/>
          <w:szCs w:val="24"/>
        </w:rPr>
        <w:t xml:space="preserve"> </w:t>
      </w:r>
      <w:r w:rsidR="007F5626">
        <w:rPr>
          <w:rFonts w:cs="Times New Roman"/>
          <w:szCs w:val="24"/>
        </w:rPr>
        <w:t>Informacja</w:t>
      </w:r>
      <w:r w:rsidR="00F63704">
        <w:rPr>
          <w:rFonts w:cs="Times New Roman"/>
          <w:szCs w:val="24"/>
        </w:rPr>
        <w:t xml:space="preserve"> została przygotowana</w:t>
      </w:r>
      <w:r w:rsidR="007F5626">
        <w:rPr>
          <w:rFonts w:cs="Times New Roman"/>
          <w:szCs w:val="24"/>
        </w:rPr>
        <w:t xml:space="preserve"> w okresie</w:t>
      </w:r>
      <w:r w:rsidR="00FB62A9" w:rsidRPr="00FB62A9">
        <w:rPr>
          <w:rFonts w:cs="Times New Roman"/>
          <w:szCs w:val="24"/>
        </w:rPr>
        <w:t xml:space="preserve"> </w:t>
      </w:r>
      <w:r w:rsidR="007F5626">
        <w:rPr>
          <w:rFonts w:cs="Times New Roman"/>
          <w:szCs w:val="24"/>
        </w:rPr>
        <w:t>trwającego</w:t>
      </w:r>
      <w:r w:rsidR="00F63704">
        <w:rPr>
          <w:rFonts w:cs="Times New Roman"/>
          <w:szCs w:val="24"/>
        </w:rPr>
        <w:t xml:space="preserve"> </w:t>
      </w:r>
      <w:r w:rsidR="00FB62A9" w:rsidRPr="00FB62A9">
        <w:rPr>
          <w:rFonts w:cs="Times New Roman"/>
          <w:szCs w:val="24"/>
        </w:rPr>
        <w:t>spi</w:t>
      </w:r>
      <w:r w:rsidR="00F63704">
        <w:rPr>
          <w:rFonts w:cs="Times New Roman"/>
          <w:szCs w:val="24"/>
        </w:rPr>
        <w:t>s</w:t>
      </w:r>
      <w:r w:rsidR="007F5626">
        <w:rPr>
          <w:rFonts w:cs="Times New Roman"/>
          <w:szCs w:val="24"/>
        </w:rPr>
        <w:t>u powszechnego, który</w:t>
      </w:r>
      <w:r w:rsidR="00F63704">
        <w:rPr>
          <w:rFonts w:cs="Times New Roman"/>
          <w:szCs w:val="24"/>
        </w:rPr>
        <w:t xml:space="preserve"> nie został </w:t>
      </w:r>
      <w:r w:rsidR="00FB62A9" w:rsidRPr="00FB62A9">
        <w:rPr>
          <w:rFonts w:cs="Times New Roman"/>
          <w:szCs w:val="24"/>
        </w:rPr>
        <w:t>zakończony, a zebrane dane cząstkowe nie były dostępne. Ponadto n</w:t>
      </w:r>
      <w:r w:rsidR="00FB62A9" w:rsidRPr="00FB62A9">
        <w:rPr>
          <w:rFonts w:cs="Times New Roman"/>
          <w:bCs/>
          <w:szCs w:val="24"/>
        </w:rPr>
        <w:t>iektóre badania, ze względu na częstot</w:t>
      </w:r>
      <w:r w:rsidR="00F63704">
        <w:rPr>
          <w:rFonts w:cs="Times New Roman"/>
          <w:bCs/>
          <w:szCs w:val="24"/>
        </w:rPr>
        <w:t>liwość</w:t>
      </w:r>
      <w:r w:rsidR="007F5626">
        <w:rPr>
          <w:rFonts w:cs="Times New Roman"/>
          <w:bCs/>
          <w:szCs w:val="24"/>
        </w:rPr>
        <w:t xml:space="preserve"> ich prowadzenia lub </w:t>
      </w:r>
      <w:r w:rsidR="00F63704">
        <w:rPr>
          <w:rFonts w:cs="Times New Roman"/>
          <w:bCs/>
          <w:szCs w:val="24"/>
        </w:rPr>
        <w:t xml:space="preserve">zasady publikacji </w:t>
      </w:r>
      <w:r w:rsidR="007F5626">
        <w:rPr>
          <w:rFonts w:cs="Times New Roman"/>
          <w:bCs/>
          <w:szCs w:val="24"/>
        </w:rPr>
        <w:t>były</w:t>
      </w:r>
      <w:r w:rsidR="00F63704">
        <w:rPr>
          <w:rFonts w:cs="Times New Roman"/>
          <w:bCs/>
          <w:szCs w:val="24"/>
        </w:rPr>
        <w:t> </w:t>
      </w:r>
      <w:r w:rsidR="00FB62A9" w:rsidRPr="00FB62A9">
        <w:rPr>
          <w:rFonts w:cs="Times New Roman"/>
          <w:bCs/>
          <w:szCs w:val="24"/>
        </w:rPr>
        <w:t xml:space="preserve">dostępne jedynie za lata </w:t>
      </w:r>
      <w:r w:rsidR="007F5626">
        <w:rPr>
          <w:rFonts w:cs="Times New Roman"/>
          <w:bCs/>
          <w:szCs w:val="24"/>
        </w:rPr>
        <w:t>wcześniejsze (np. za rok 2019)</w:t>
      </w:r>
      <w:r w:rsidR="00FB62A9" w:rsidRPr="00FB62A9">
        <w:rPr>
          <w:rFonts w:cs="Times New Roman"/>
          <w:bCs/>
          <w:szCs w:val="24"/>
        </w:rPr>
        <w:t xml:space="preserve">. </w:t>
      </w:r>
      <w:r w:rsidR="007F5626">
        <w:rPr>
          <w:rFonts w:cs="Times New Roman"/>
          <w:bCs/>
          <w:szCs w:val="24"/>
        </w:rPr>
        <w:t>Nie zmienia to </w:t>
      </w:r>
      <w:r w:rsidR="0091735C">
        <w:rPr>
          <w:rFonts w:cs="Times New Roman"/>
          <w:bCs/>
          <w:szCs w:val="24"/>
        </w:rPr>
        <w:t xml:space="preserve">jednak faktu, iż </w:t>
      </w:r>
      <w:r w:rsidR="0091735C">
        <w:rPr>
          <w:rFonts w:cs="Times New Roman"/>
          <w:szCs w:val="24"/>
        </w:rPr>
        <w:t>n</w:t>
      </w:r>
      <w:r w:rsidR="0091735C" w:rsidRPr="00FB62A9">
        <w:rPr>
          <w:rFonts w:cs="Times New Roman"/>
          <w:szCs w:val="24"/>
        </w:rPr>
        <w:t>iniejsze opracowanie zawiera najbardziej aktualne dane statystyczne</w:t>
      </w:r>
      <w:r w:rsidR="007F5626">
        <w:rPr>
          <w:rFonts w:cs="Times New Roman"/>
          <w:szCs w:val="24"/>
        </w:rPr>
        <w:t xml:space="preserve"> istotne dla polityki senioralnej</w:t>
      </w:r>
      <w:r w:rsidR="0091735C" w:rsidRPr="00FB62A9">
        <w:rPr>
          <w:rFonts w:cs="Times New Roman"/>
          <w:szCs w:val="24"/>
        </w:rPr>
        <w:t>.</w:t>
      </w:r>
    </w:p>
    <w:p w14:paraId="794C954D" w14:textId="6962C9D1" w:rsidR="0092226B" w:rsidRPr="00FB62A9" w:rsidRDefault="007F5626" w:rsidP="0092226B">
      <w:pPr>
        <w:autoSpaceDE w:val="0"/>
        <w:autoSpaceDN w:val="0"/>
        <w:adjustRightInd w:val="0"/>
        <w:spacing w:before="240" w:after="240"/>
        <w:rPr>
          <w:rFonts w:cs="Times New Roman"/>
          <w:i/>
          <w:szCs w:val="24"/>
        </w:rPr>
      </w:pPr>
      <w:r>
        <w:rPr>
          <w:rFonts w:cs="Times New Roman"/>
          <w:bCs/>
          <w:szCs w:val="24"/>
        </w:rPr>
        <w:t xml:space="preserve">Informacja prezentuje </w:t>
      </w:r>
      <w:r w:rsidR="0092226B" w:rsidRPr="00FB62A9">
        <w:rPr>
          <w:rFonts w:cs="Times New Roman"/>
          <w:bCs/>
          <w:szCs w:val="24"/>
        </w:rPr>
        <w:t>aktualną sytuacj</w:t>
      </w:r>
      <w:r w:rsidR="00AD7202">
        <w:rPr>
          <w:rFonts w:cs="Times New Roman"/>
          <w:bCs/>
          <w:szCs w:val="24"/>
        </w:rPr>
        <w:t>ę</w:t>
      </w:r>
      <w:r w:rsidR="0092226B" w:rsidRPr="00FB62A9">
        <w:rPr>
          <w:rFonts w:cs="Times New Roman"/>
          <w:bCs/>
          <w:szCs w:val="24"/>
        </w:rPr>
        <w:t xml:space="preserve"> społeczno-ekonomiczną osób starszych w Polsce, to jest </w:t>
      </w:r>
      <w:r w:rsidR="000419D1" w:rsidRPr="00FB62A9">
        <w:rPr>
          <w:rFonts w:cs="Times New Roman"/>
          <w:bCs/>
          <w:szCs w:val="24"/>
        </w:rPr>
        <w:t>obywateli</w:t>
      </w:r>
      <w:r w:rsidR="0092226B" w:rsidRPr="00FB62A9">
        <w:rPr>
          <w:rFonts w:cs="Times New Roman"/>
          <w:bCs/>
          <w:szCs w:val="24"/>
        </w:rPr>
        <w:t>, którzy ukończyli 60.</w:t>
      </w:r>
      <w:r w:rsidR="00FB62A9">
        <w:rPr>
          <w:rFonts w:cs="Times New Roman"/>
          <w:bCs/>
          <w:szCs w:val="24"/>
        </w:rPr>
        <w:t> </w:t>
      </w:r>
      <w:r w:rsidR="000419D1" w:rsidRPr="00FB62A9">
        <w:rPr>
          <w:rFonts w:cs="Times New Roman"/>
          <w:bCs/>
          <w:szCs w:val="24"/>
        </w:rPr>
        <w:t>r</w:t>
      </w:r>
      <w:r>
        <w:rPr>
          <w:rFonts w:cs="Times New Roman"/>
          <w:bCs/>
          <w:szCs w:val="24"/>
        </w:rPr>
        <w:t>ok życia, bo taki wiek wynika z art. 4 ust. 1</w:t>
      </w:r>
      <w:r w:rsidR="0092226B" w:rsidRPr="00FB62A9">
        <w:rPr>
          <w:rFonts w:cs="Times New Roman"/>
          <w:bCs/>
          <w:szCs w:val="24"/>
        </w:rPr>
        <w:t xml:space="preserve"> </w:t>
      </w:r>
      <w:r w:rsidRPr="007F5626">
        <w:rPr>
          <w:rFonts w:cs="Times New Roman"/>
          <w:bCs/>
          <w:szCs w:val="24"/>
        </w:rPr>
        <w:t>ustawy z dnia 11 września 2015 r. o osoba</w:t>
      </w:r>
      <w:r>
        <w:rPr>
          <w:rFonts w:cs="Times New Roman"/>
          <w:bCs/>
          <w:szCs w:val="24"/>
        </w:rPr>
        <w:t xml:space="preserve">ch starszych (Dz. U. poz. 1705). </w:t>
      </w:r>
      <w:r w:rsidR="0092226B" w:rsidRPr="00FB62A9">
        <w:rPr>
          <w:rFonts w:cs="Times New Roman"/>
          <w:bCs/>
          <w:szCs w:val="24"/>
        </w:rPr>
        <w:t xml:space="preserve">Przedstawione dane dotyczą w szczególności </w:t>
      </w:r>
      <w:r w:rsidR="000419D1" w:rsidRPr="00FB62A9">
        <w:rPr>
          <w:rFonts w:cs="Times New Roman"/>
          <w:bCs/>
          <w:szCs w:val="24"/>
        </w:rPr>
        <w:t>zagadnień</w:t>
      </w:r>
      <w:r w:rsidR="0092226B" w:rsidRPr="00FB62A9">
        <w:rPr>
          <w:rFonts w:cs="Times New Roman"/>
          <w:bCs/>
          <w:szCs w:val="24"/>
        </w:rPr>
        <w:t xml:space="preserve"> </w:t>
      </w:r>
      <w:r w:rsidR="004A5614" w:rsidRPr="00FB62A9">
        <w:rPr>
          <w:rFonts w:cs="Times New Roman"/>
          <w:szCs w:val="24"/>
        </w:rPr>
        <w:t>z zakresu sytuacji demograficznej, ekonomicznej, rodzinnej, zdrowotnej, sytuacji na rynku pracy, dostępności i</w:t>
      </w:r>
      <w:r w:rsidR="00FB62A9">
        <w:rPr>
          <w:rFonts w:cs="Times New Roman"/>
          <w:szCs w:val="24"/>
        </w:rPr>
        <w:t> </w:t>
      </w:r>
      <w:r w:rsidR="004A5614" w:rsidRPr="00FB62A9">
        <w:rPr>
          <w:rFonts w:cs="Times New Roman"/>
          <w:szCs w:val="24"/>
        </w:rPr>
        <w:t xml:space="preserve">poziomu usług społecznych, czy </w:t>
      </w:r>
      <w:r w:rsidR="0092226B" w:rsidRPr="00FB62A9">
        <w:rPr>
          <w:rFonts w:cs="Times New Roman"/>
          <w:szCs w:val="24"/>
        </w:rPr>
        <w:t xml:space="preserve">też </w:t>
      </w:r>
      <w:r w:rsidR="004A5614" w:rsidRPr="00FB62A9">
        <w:rPr>
          <w:rFonts w:cs="Times New Roman"/>
          <w:szCs w:val="24"/>
        </w:rPr>
        <w:t xml:space="preserve">wszelkiego rodzaju aktywności podejmowanych przez osoby starsze. </w:t>
      </w:r>
      <w:r w:rsidR="004A5614" w:rsidRPr="00FB62A9">
        <w:rPr>
          <w:rFonts w:cs="Times New Roman"/>
          <w:i/>
          <w:szCs w:val="24"/>
        </w:rPr>
        <w:t>Informacja o sytuacji osób starszych</w:t>
      </w:r>
      <w:r w:rsidR="00015763" w:rsidRPr="00FB62A9">
        <w:rPr>
          <w:rFonts w:cs="Times New Roman"/>
          <w:i/>
          <w:szCs w:val="24"/>
        </w:rPr>
        <w:t xml:space="preserve"> w Polsce</w:t>
      </w:r>
      <w:r>
        <w:rPr>
          <w:rFonts w:cs="Times New Roman"/>
          <w:i/>
          <w:szCs w:val="24"/>
        </w:rPr>
        <w:t xml:space="preserve"> za 2020 r.</w:t>
      </w:r>
      <w:r w:rsidR="00F63704">
        <w:rPr>
          <w:rFonts w:cs="Times New Roman"/>
          <w:szCs w:val="24"/>
        </w:rPr>
        <w:t xml:space="preserve"> zawiera również opracowanie na </w:t>
      </w:r>
      <w:r w:rsidR="004A5614" w:rsidRPr="00FB62A9">
        <w:rPr>
          <w:rFonts w:cs="Times New Roman"/>
          <w:szCs w:val="24"/>
        </w:rPr>
        <w:t xml:space="preserve">temat </w:t>
      </w:r>
      <w:r w:rsidR="008466C1" w:rsidRPr="00FB62A9">
        <w:rPr>
          <w:rFonts w:cs="Times New Roman"/>
          <w:szCs w:val="24"/>
        </w:rPr>
        <w:t xml:space="preserve">realizacji </w:t>
      </w:r>
      <w:r w:rsidR="0092226B" w:rsidRPr="00FB62A9">
        <w:rPr>
          <w:rFonts w:cs="Times New Roman"/>
          <w:szCs w:val="24"/>
        </w:rPr>
        <w:t xml:space="preserve">założeń zawartych w </w:t>
      </w:r>
      <w:r w:rsidR="0092226B" w:rsidRPr="00FB62A9">
        <w:rPr>
          <w:rFonts w:cs="Times New Roman"/>
          <w:i/>
          <w:szCs w:val="24"/>
        </w:rPr>
        <w:t>Polityce społecznej wobec osób starszych 2030. Bezpieczeństwo – Uczestnictwo – Solidarność</w:t>
      </w:r>
      <w:r w:rsidR="00AD7202">
        <w:rPr>
          <w:rFonts w:cs="Times New Roman"/>
          <w:i/>
          <w:szCs w:val="24"/>
        </w:rPr>
        <w:t xml:space="preserve"> przyjętej uchwałą nr 161 Rady Ministrów z dnia 26 października 2018 r. (M.P</w:t>
      </w:r>
      <w:r w:rsidR="00AD7202" w:rsidRPr="00942717">
        <w:rPr>
          <w:i/>
        </w:rPr>
        <w:t xml:space="preserve">. poz. </w:t>
      </w:r>
      <w:r w:rsidR="00AD7202">
        <w:rPr>
          <w:rFonts w:cs="Times New Roman"/>
          <w:i/>
          <w:szCs w:val="24"/>
        </w:rPr>
        <w:t>1169)</w:t>
      </w:r>
      <w:r w:rsidR="0092226B" w:rsidRPr="00FB62A9">
        <w:rPr>
          <w:rFonts w:cs="Times New Roman"/>
          <w:i/>
          <w:szCs w:val="24"/>
        </w:rPr>
        <w:t>.</w:t>
      </w:r>
    </w:p>
    <w:p w14:paraId="65B944A7" w14:textId="77777777" w:rsidR="007F5626" w:rsidRDefault="000419D1" w:rsidP="00FB62A9">
      <w:pPr>
        <w:autoSpaceDE w:val="0"/>
        <w:autoSpaceDN w:val="0"/>
        <w:adjustRightInd w:val="0"/>
        <w:spacing w:before="240" w:after="240"/>
        <w:rPr>
          <w:rFonts w:cs="Times New Roman"/>
          <w:iCs/>
          <w:szCs w:val="24"/>
        </w:rPr>
      </w:pPr>
      <w:r w:rsidRPr="00FB62A9">
        <w:rPr>
          <w:rFonts w:cs="Times New Roman"/>
          <w:iCs/>
          <w:szCs w:val="24"/>
        </w:rPr>
        <w:t xml:space="preserve">Szczególną uwagę poświęcono także kwestiom związanym z przeciwdziałaniem negatywnym skutkom pandemii </w:t>
      </w:r>
      <w:proofErr w:type="spellStart"/>
      <w:r w:rsidRPr="00FB62A9">
        <w:rPr>
          <w:rFonts w:cs="Times New Roman"/>
          <w:iCs/>
          <w:szCs w:val="24"/>
        </w:rPr>
        <w:t>koronawirusa</w:t>
      </w:r>
      <w:proofErr w:type="spellEnd"/>
      <w:r w:rsidRPr="00FB62A9">
        <w:rPr>
          <w:rFonts w:cs="Times New Roman"/>
          <w:iCs/>
          <w:szCs w:val="24"/>
        </w:rPr>
        <w:t xml:space="preserve">. Osoby starsze stanowią </w:t>
      </w:r>
      <w:r w:rsidR="007F5626">
        <w:rPr>
          <w:rFonts w:cs="Times New Roman"/>
          <w:iCs/>
          <w:szCs w:val="24"/>
        </w:rPr>
        <w:t xml:space="preserve">bowiem </w:t>
      </w:r>
      <w:r w:rsidRPr="00FB62A9">
        <w:rPr>
          <w:rFonts w:cs="Times New Roman"/>
          <w:iCs/>
          <w:szCs w:val="24"/>
        </w:rPr>
        <w:t xml:space="preserve">grupę szczególnie podatną na zarażenie COVID-19, a sama infekcja </w:t>
      </w:r>
      <w:r w:rsidR="007F5626">
        <w:rPr>
          <w:rFonts w:cs="Times New Roman"/>
          <w:iCs/>
          <w:szCs w:val="24"/>
        </w:rPr>
        <w:t xml:space="preserve">tylko </w:t>
      </w:r>
      <w:r w:rsidRPr="00FB62A9">
        <w:rPr>
          <w:rFonts w:cs="Times New Roman"/>
          <w:iCs/>
          <w:szCs w:val="24"/>
        </w:rPr>
        <w:t xml:space="preserve">z powodu zaawansowanego wieku może mieć wyjątkowo ciężki przebieg. </w:t>
      </w:r>
    </w:p>
    <w:p w14:paraId="32A8AB00" w14:textId="77777777" w:rsidR="007F5626" w:rsidRDefault="000419D1" w:rsidP="00FB62A9">
      <w:pPr>
        <w:autoSpaceDE w:val="0"/>
        <w:autoSpaceDN w:val="0"/>
        <w:adjustRightInd w:val="0"/>
        <w:spacing w:before="240" w:after="240"/>
        <w:rPr>
          <w:rFonts w:cs="Times New Roman"/>
          <w:iCs/>
          <w:szCs w:val="24"/>
        </w:rPr>
      </w:pPr>
      <w:r w:rsidRPr="00FB62A9">
        <w:rPr>
          <w:rFonts w:cs="Times New Roman"/>
          <w:iCs/>
          <w:szCs w:val="24"/>
        </w:rPr>
        <w:t>W związku z powyższym rząd, a także instytucje centralne, regionalne oraz lokalne podjęły stosowne działania mające na celu zapewnienie bezpieczeństwa osobom starszym, które zostały dostosowane do panującej w kraju sytuacji epidemiologicznej.</w:t>
      </w:r>
      <w:r w:rsidR="00FB62A9">
        <w:rPr>
          <w:rFonts w:cs="Times New Roman"/>
          <w:iCs/>
          <w:szCs w:val="24"/>
        </w:rPr>
        <w:t xml:space="preserve"> </w:t>
      </w:r>
    </w:p>
    <w:p w14:paraId="16ACF21B" w14:textId="366EA6EB" w:rsidR="007F5626" w:rsidRDefault="007F5626" w:rsidP="007F5626">
      <w:pPr>
        <w:autoSpaceDE w:val="0"/>
        <w:autoSpaceDN w:val="0"/>
        <w:adjustRightInd w:val="0"/>
        <w:spacing w:before="240" w:after="240"/>
        <w:rPr>
          <w:rFonts w:cs="Times New Roman"/>
          <w:iCs/>
          <w:szCs w:val="24"/>
        </w:rPr>
      </w:pPr>
      <w:r w:rsidRPr="007F5626">
        <w:rPr>
          <w:rFonts w:cs="Times New Roman"/>
          <w:iCs/>
          <w:szCs w:val="24"/>
        </w:rPr>
        <w:t>Obowiązujące obostrzenia dotyczące życia codziennego seniorów, a także narodowy program szczepień wydatnie wpłynęły na sposób realizacji działań, których adresatami były osoby starsze, co znalazło wyraz w niniejszym dokumencie.</w:t>
      </w:r>
    </w:p>
    <w:p w14:paraId="558F5D7D" w14:textId="4C5F9EEA" w:rsidR="007F5626" w:rsidRPr="007F5626" w:rsidRDefault="007F5626" w:rsidP="007F5626">
      <w:pPr>
        <w:autoSpaceDE w:val="0"/>
        <w:autoSpaceDN w:val="0"/>
        <w:adjustRightInd w:val="0"/>
        <w:spacing w:before="240" w:after="240"/>
        <w:rPr>
          <w:rFonts w:cs="Times New Roman"/>
          <w:szCs w:val="24"/>
        </w:rPr>
        <w:sectPr w:rsidR="007F5626" w:rsidRPr="007F5626" w:rsidSect="00E1300F">
          <w:pgSz w:w="11909" w:h="16838"/>
          <w:pgMar w:top="1137" w:right="1250" w:bottom="1132" w:left="1293" w:header="0" w:footer="567" w:gutter="0"/>
          <w:cols w:space="720"/>
          <w:noEndnote/>
          <w:docGrid w:linePitch="360"/>
        </w:sectPr>
      </w:pPr>
      <w:r w:rsidRPr="007F5626">
        <w:rPr>
          <w:rFonts w:cs="Times New Roman"/>
          <w:szCs w:val="24"/>
        </w:rPr>
        <w:t>Ministerstwo Rodziny i Polityki Społecznej wyraża p</w:t>
      </w:r>
      <w:r>
        <w:rPr>
          <w:rFonts w:cs="Times New Roman"/>
          <w:szCs w:val="24"/>
        </w:rPr>
        <w:t>odziękowanie wszystkim osobom i </w:t>
      </w:r>
      <w:r w:rsidRPr="007F5626">
        <w:rPr>
          <w:rFonts w:cs="Times New Roman"/>
          <w:szCs w:val="24"/>
        </w:rPr>
        <w:t xml:space="preserve">instytucjom za pomoc i współudział w przygotowaniu </w:t>
      </w:r>
      <w:r w:rsidRPr="007F5626">
        <w:rPr>
          <w:rFonts w:cs="Times New Roman"/>
          <w:i/>
          <w:szCs w:val="24"/>
        </w:rPr>
        <w:t>Informacji o sytuacji osób starszych w Polsce za 2020 r</w:t>
      </w:r>
      <w:r>
        <w:rPr>
          <w:rFonts w:cs="Times New Roman"/>
          <w:i/>
          <w:szCs w:val="24"/>
        </w:rPr>
        <w:t>.</w:t>
      </w:r>
    </w:p>
    <w:p w14:paraId="3F146940" w14:textId="77777777" w:rsidR="00035E51" w:rsidRPr="00F63704" w:rsidRDefault="00035E51" w:rsidP="00F63704">
      <w:pPr>
        <w:pStyle w:val="Nagwek1"/>
        <w:spacing w:before="0" w:after="120"/>
        <w:ind w:left="0" w:hanging="425"/>
        <w:rPr>
          <w:szCs w:val="38"/>
        </w:rPr>
      </w:pPr>
      <w:bookmarkStart w:id="3" w:name="_Toc80523038"/>
      <w:r w:rsidRPr="00F63704">
        <w:rPr>
          <w:szCs w:val="38"/>
        </w:rPr>
        <w:lastRenderedPageBreak/>
        <w:t xml:space="preserve">Sytuacja społeczno-ekonomiczna </w:t>
      </w:r>
      <w:r w:rsidR="00891D5D" w:rsidRPr="00F63704">
        <w:rPr>
          <w:szCs w:val="38"/>
        </w:rPr>
        <w:t>osób starszych w Polsce</w:t>
      </w:r>
      <w:bookmarkEnd w:id="3"/>
    </w:p>
    <w:p w14:paraId="0D16A06F" w14:textId="23B6CE34" w:rsidR="00F63704" w:rsidRPr="00F174A6" w:rsidRDefault="00F63704" w:rsidP="00FE70E3">
      <w:pPr>
        <w:pStyle w:val="Nagwek2"/>
        <w:numPr>
          <w:ilvl w:val="1"/>
          <w:numId w:val="23"/>
        </w:numPr>
        <w:ind w:left="431" w:hanging="431"/>
        <w:rPr>
          <w:szCs w:val="34"/>
        </w:rPr>
      </w:pPr>
      <w:bookmarkStart w:id="4" w:name="_Toc80523039"/>
      <w:r w:rsidRPr="00F174A6">
        <w:rPr>
          <w:szCs w:val="34"/>
        </w:rPr>
        <w:t>Sytuacja demograficzna</w:t>
      </w:r>
      <w:bookmarkEnd w:id="4"/>
    </w:p>
    <w:p w14:paraId="3815702E" w14:textId="634EF87F" w:rsidR="00F63704" w:rsidRPr="00FD0882" w:rsidRDefault="00F63704" w:rsidP="00F63704">
      <w:pPr>
        <w:autoSpaceDE w:val="0"/>
        <w:autoSpaceDN w:val="0"/>
        <w:adjustRightInd w:val="0"/>
        <w:rPr>
          <w:rFonts w:eastAsia="MS Mincho" w:cs="Times New Roman"/>
          <w:szCs w:val="24"/>
          <w:lang w:eastAsia="ja-JP"/>
        </w:rPr>
      </w:pPr>
      <w:r w:rsidRPr="00FD0882">
        <w:rPr>
          <w:rFonts w:eastAsia="MS Mincho" w:cs="Times New Roman"/>
          <w:szCs w:val="24"/>
          <w:lang w:eastAsia="ja-JP"/>
        </w:rPr>
        <w:t xml:space="preserve">Trwający w okresie ostatniego ćwierćwiecza proces starzenia się społeczeństwa, związany przede wszystkim z </w:t>
      </w:r>
      <w:r w:rsidR="00F174A6">
        <w:rPr>
          <w:rFonts w:eastAsia="MS Mincho" w:cs="Times New Roman"/>
          <w:szCs w:val="24"/>
          <w:lang w:eastAsia="ja-JP"/>
        </w:rPr>
        <w:t xml:space="preserve">trendem </w:t>
      </w:r>
      <w:r w:rsidRPr="00FD0882">
        <w:rPr>
          <w:rFonts w:eastAsia="MS Mincho" w:cs="Times New Roman"/>
          <w:szCs w:val="24"/>
          <w:lang w:eastAsia="ja-JP"/>
        </w:rPr>
        <w:t>wydłuża</w:t>
      </w:r>
      <w:r w:rsidR="00F174A6">
        <w:rPr>
          <w:rFonts w:eastAsia="MS Mincho" w:cs="Times New Roman"/>
          <w:szCs w:val="24"/>
          <w:lang w:eastAsia="ja-JP"/>
        </w:rPr>
        <w:t>jącego</w:t>
      </w:r>
      <w:r w:rsidRPr="00FD0882">
        <w:rPr>
          <w:rFonts w:eastAsia="MS Mincho" w:cs="Times New Roman"/>
          <w:szCs w:val="24"/>
          <w:lang w:eastAsia="ja-JP"/>
        </w:rPr>
        <w:t xml:space="preserve"> się </w:t>
      </w:r>
      <w:r w:rsidR="00F174A6">
        <w:rPr>
          <w:rFonts w:eastAsia="MS Mincho" w:cs="Times New Roman"/>
          <w:szCs w:val="24"/>
          <w:lang w:eastAsia="ja-JP"/>
        </w:rPr>
        <w:t>czasu</w:t>
      </w:r>
      <w:r w:rsidRPr="00FD0882">
        <w:rPr>
          <w:rFonts w:eastAsia="MS Mincho" w:cs="Times New Roman"/>
          <w:szCs w:val="24"/>
          <w:lang w:eastAsia="ja-JP"/>
        </w:rPr>
        <w:t xml:space="preserve"> trwania życia, jest przyczyną zmian zachodzących w strukturze demograficznej ludności Polski. Wraz ze zwiększającą </w:t>
      </w:r>
      <w:r w:rsidR="007F5626">
        <w:rPr>
          <w:rFonts w:eastAsia="MS Mincho" w:cs="Times New Roman"/>
          <w:szCs w:val="24"/>
          <w:lang w:eastAsia="ja-JP"/>
        </w:rPr>
        <w:t xml:space="preserve">się </w:t>
      </w:r>
      <w:r w:rsidRPr="00FD0882">
        <w:rPr>
          <w:rFonts w:eastAsia="MS Mincho" w:cs="Times New Roman"/>
          <w:szCs w:val="24"/>
          <w:lang w:eastAsia="ja-JP"/>
        </w:rPr>
        <w:t>liczbą seniorów coraz istotniejsze staje się od projektowanie polityki społe</w:t>
      </w:r>
      <w:r>
        <w:rPr>
          <w:rFonts w:eastAsia="MS Mincho" w:cs="Times New Roman"/>
          <w:szCs w:val="24"/>
          <w:lang w:eastAsia="ja-JP"/>
        </w:rPr>
        <w:t>cznej wobec osób starszych oraz </w:t>
      </w:r>
      <w:r w:rsidRPr="00FD0882">
        <w:rPr>
          <w:rFonts w:eastAsia="MS Mincho" w:cs="Times New Roman"/>
          <w:szCs w:val="24"/>
          <w:lang w:eastAsia="ja-JP"/>
        </w:rPr>
        <w:t>wdrożenie rozw</w:t>
      </w:r>
      <w:r w:rsidR="007F5626">
        <w:rPr>
          <w:rFonts w:eastAsia="MS Mincho" w:cs="Times New Roman"/>
          <w:szCs w:val="24"/>
          <w:lang w:eastAsia="ja-JP"/>
        </w:rPr>
        <w:t xml:space="preserve">iązań, które zapewnią im godną i </w:t>
      </w:r>
      <w:r w:rsidRPr="00FD0882">
        <w:rPr>
          <w:rFonts w:eastAsia="MS Mincho" w:cs="Times New Roman"/>
          <w:szCs w:val="24"/>
          <w:lang w:eastAsia="ja-JP"/>
        </w:rPr>
        <w:t>bez</w:t>
      </w:r>
      <w:r w:rsidR="007F5626">
        <w:rPr>
          <w:rFonts w:eastAsia="MS Mincho" w:cs="Times New Roman"/>
          <w:szCs w:val="24"/>
          <w:lang w:eastAsia="ja-JP"/>
        </w:rPr>
        <w:t>pieczną</w:t>
      </w:r>
      <w:r w:rsidRPr="00FD0882">
        <w:rPr>
          <w:rFonts w:eastAsia="MS Mincho" w:cs="Times New Roman"/>
          <w:szCs w:val="24"/>
          <w:lang w:eastAsia="ja-JP"/>
        </w:rPr>
        <w:t xml:space="preserve"> aktywną starość. </w:t>
      </w:r>
      <w:r w:rsidR="00AD7202">
        <w:rPr>
          <w:rFonts w:eastAsia="MS Mincho" w:cs="Times New Roman"/>
          <w:szCs w:val="24"/>
          <w:lang w:eastAsia="ja-JP"/>
        </w:rPr>
        <w:t>Na koniec</w:t>
      </w:r>
      <w:r w:rsidR="00F174A6">
        <w:rPr>
          <w:rFonts w:eastAsia="MS Mincho" w:cs="Times New Roman"/>
          <w:szCs w:val="24"/>
          <w:lang w:eastAsia="ja-JP"/>
        </w:rPr>
        <w:t xml:space="preserve">  2020 r. </w:t>
      </w:r>
      <w:r w:rsidR="00F174A6" w:rsidRPr="00F174A6">
        <w:rPr>
          <w:rFonts w:eastAsia="MS Mincho" w:cs="Times New Roman"/>
          <w:szCs w:val="24"/>
          <w:lang w:eastAsia="ja-JP"/>
        </w:rPr>
        <w:t>liczba ludności Polski wyniosła 38,3 mln, w tym ponad 9,8 mln s</w:t>
      </w:r>
      <w:r w:rsidR="00F174A6">
        <w:rPr>
          <w:rFonts w:eastAsia="MS Mincho" w:cs="Times New Roman"/>
          <w:szCs w:val="24"/>
          <w:lang w:eastAsia="ja-JP"/>
        </w:rPr>
        <w:t>tanowiły osoby w wieku 60 lat i </w:t>
      </w:r>
      <w:r w:rsidR="00F174A6" w:rsidRPr="00F174A6">
        <w:rPr>
          <w:rFonts w:eastAsia="MS Mincho" w:cs="Times New Roman"/>
          <w:szCs w:val="24"/>
          <w:lang w:eastAsia="ja-JP"/>
        </w:rPr>
        <w:t>więcej (ponad 25%).</w:t>
      </w:r>
    </w:p>
    <w:p w14:paraId="297D74D8" w14:textId="77777777" w:rsidR="00F63704" w:rsidRPr="0092226B" w:rsidRDefault="00F63704" w:rsidP="00F63704">
      <w:pPr>
        <w:rPr>
          <w:color w:val="FF0000"/>
        </w:rPr>
      </w:pPr>
    </w:p>
    <w:p w14:paraId="4CF85E08" w14:textId="7B1E8826" w:rsidR="00F63704" w:rsidRPr="00332ECC" w:rsidRDefault="00F63704" w:rsidP="00F63704">
      <w:pPr>
        <w:pStyle w:val="Legenda"/>
        <w:keepNext/>
        <w:jc w:val="left"/>
        <w:rPr>
          <w:rFonts w:cs="Times New Roman"/>
          <w:b/>
          <w:i w:val="0"/>
          <w:color w:val="auto"/>
          <w:sz w:val="24"/>
        </w:rPr>
      </w:pPr>
      <w:bookmarkStart w:id="5" w:name="_Toc49171376"/>
      <w:r w:rsidRPr="00332ECC">
        <w:rPr>
          <w:rFonts w:cs="Times New Roman"/>
          <w:b/>
          <w:i w:val="0"/>
          <w:color w:val="auto"/>
          <w:sz w:val="24"/>
        </w:rPr>
        <w:t xml:space="preserve">Tabela </w:t>
      </w:r>
      <w:r>
        <w:rPr>
          <w:rFonts w:cs="Times New Roman"/>
          <w:b/>
          <w:i w:val="0"/>
          <w:color w:val="auto"/>
          <w:sz w:val="24"/>
        </w:rPr>
        <w:t>1</w:t>
      </w:r>
      <w:r w:rsidR="00EE73AF">
        <w:rPr>
          <w:rFonts w:cs="Times New Roman"/>
          <w:b/>
          <w:i w:val="0"/>
          <w:color w:val="auto"/>
          <w:sz w:val="24"/>
        </w:rPr>
        <w:t>.</w:t>
      </w:r>
      <w:r w:rsidRPr="00332ECC">
        <w:rPr>
          <w:rFonts w:cs="Times New Roman"/>
          <w:b/>
          <w:i w:val="0"/>
          <w:color w:val="auto"/>
          <w:sz w:val="24"/>
        </w:rPr>
        <w:t xml:space="preserve"> Ludność w 2020 r.</w:t>
      </w:r>
      <w:bookmarkEnd w:id="5"/>
    </w:p>
    <w:tbl>
      <w:tblPr>
        <w:tblStyle w:val="Tabelasiatki5ciemnaakcent2"/>
        <w:tblW w:w="9691" w:type="dxa"/>
        <w:tblLook w:val="04A0" w:firstRow="1" w:lastRow="0" w:firstColumn="1" w:lastColumn="0" w:noHBand="0" w:noVBand="1"/>
      </w:tblPr>
      <w:tblGrid>
        <w:gridCol w:w="883"/>
        <w:gridCol w:w="883"/>
        <w:gridCol w:w="1116"/>
        <w:gridCol w:w="1134"/>
        <w:gridCol w:w="992"/>
        <w:gridCol w:w="1094"/>
        <w:gridCol w:w="851"/>
        <w:gridCol w:w="1134"/>
        <w:gridCol w:w="1094"/>
        <w:gridCol w:w="851"/>
      </w:tblGrid>
      <w:tr w:rsidR="00F63704" w:rsidRPr="00FD0882" w14:paraId="4D476436" w14:textId="77777777" w:rsidTr="002740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7" w:type="dxa"/>
            <w:vMerge w:val="restart"/>
            <w:vAlign w:val="center"/>
            <w:hideMark/>
          </w:tcPr>
          <w:p w14:paraId="6F3C3165"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Grupy wieku</w:t>
            </w:r>
          </w:p>
        </w:tc>
        <w:tc>
          <w:tcPr>
            <w:tcW w:w="846" w:type="dxa"/>
            <w:vMerge w:val="restart"/>
            <w:vAlign w:val="center"/>
            <w:hideMark/>
          </w:tcPr>
          <w:p w14:paraId="733FDD62" w14:textId="77777777" w:rsidR="00F63704" w:rsidRPr="00FD0882" w:rsidRDefault="00F63704" w:rsidP="002740D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FD0882">
              <w:rPr>
                <w:rFonts w:eastAsia="Times New Roman" w:cs="Times New Roman"/>
                <w:color w:val="auto"/>
                <w:sz w:val="20"/>
                <w:szCs w:val="20"/>
                <w:lang w:eastAsia="pl-PL"/>
              </w:rPr>
              <w:t>Ogółem</w:t>
            </w:r>
          </w:p>
        </w:tc>
        <w:tc>
          <w:tcPr>
            <w:tcW w:w="1040" w:type="dxa"/>
            <w:vMerge w:val="restart"/>
            <w:noWrap/>
            <w:vAlign w:val="center"/>
            <w:hideMark/>
          </w:tcPr>
          <w:p w14:paraId="741CF5CE" w14:textId="77777777" w:rsidR="00F63704" w:rsidRPr="00FD0882" w:rsidRDefault="00F63704" w:rsidP="002740D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FD0882">
              <w:rPr>
                <w:rFonts w:eastAsia="Times New Roman" w:cs="Times New Roman"/>
                <w:color w:val="auto"/>
                <w:sz w:val="20"/>
                <w:szCs w:val="20"/>
                <w:lang w:eastAsia="pl-PL"/>
              </w:rPr>
              <w:t>Mężczyźni</w:t>
            </w:r>
          </w:p>
        </w:tc>
        <w:tc>
          <w:tcPr>
            <w:tcW w:w="1134" w:type="dxa"/>
            <w:vMerge w:val="restart"/>
            <w:vAlign w:val="center"/>
            <w:hideMark/>
          </w:tcPr>
          <w:p w14:paraId="160ECDC2" w14:textId="77777777" w:rsidR="00F63704" w:rsidRPr="00FD0882" w:rsidRDefault="00F63704" w:rsidP="002740D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FD0882">
              <w:rPr>
                <w:rFonts w:eastAsia="Times New Roman" w:cs="Times New Roman"/>
                <w:color w:val="auto"/>
                <w:sz w:val="20"/>
                <w:szCs w:val="20"/>
                <w:lang w:eastAsia="pl-PL"/>
              </w:rPr>
              <w:t>Kobiety</w:t>
            </w:r>
          </w:p>
        </w:tc>
        <w:tc>
          <w:tcPr>
            <w:tcW w:w="2861" w:type="dxa"/>
            <w:gridSpan w:val="3"/>
            <w:noWrap/>
            <w:vAlign w:val="center"/>
            <w:hideMark/>
          </w:tcPr>
          <w:p w14:paraId="50F850EF" w14:textId="77777777" w:rsidR="00F63704" w:rsidRPr="00FD0882" w:rsidRDefault="00F63704" w:rsidP="002740D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FD0882">
              <w:rPr>
                <w:rFonts w:eastAsia="Times New Roman" w:cs="Times New Roman"/>
                <w:color w:val="auto"/>
                <w:sz w:val="20"/>
                <w:szCs w:val="20"/>
                <w:lang w:eastAsia="pl-PL"/>
              </w:rPr>
              <w:t>Miasta</w:t>
            </w:r>
          </w:p>
        </w:tc>
        <w:tc>
          <w:tcPr>
            <w:tcW w:w="3003" w:type="dxa"/>
            <w:gridSpan w:val="3"/>
            <w:noWrap/>
            <w:vAlign w:val="center"/>
            <w:hideMark/>
          </w:tcPr>
          <w:p w14:paraId="6145C946" w14:textId="77777777" w:rsidR="00F63704" w:rsidRPr="00FD0882" w:rsidRDefault="00F63704" w:rsidP="002740D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FD0882">
              <w:rPr>
                <w:rFonts w:eastAsia="Times New Roman" w:cs="Times New Roman"/>
                <w:color w:val="auto"/>
                <w:sz w:val="20"/>
                <w:szCs w:val="20"/>
                <w:lang w:eastAsia="pl-PL"/>
              </w:rPr>
              <w:t>Wieś</w:t>
            </w:r>
          </w:p>
        </w:tc>
      </w:tr>
      <w:tr w:rsidR="00F63704" w:rsidRPr="00FD0882" w14:paraId="08DE8DD9" w14:textId="77777777" w:rsidTr="002740D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807" w:type="dxa"/>
            <w:vMerge/>
            <w:vAlign w:val="center"/>
            <w:hideMark/>
          </w:tcPr>
          <w:p w14:paraId="46DC4708" w14:textId="77777777" w:rsidR="00F63704" w:rsidRPr="00FD0882" w:rsidRDefault="00F63704" w:rsidP="002740DC">
            <w:pPr>
              <w:spacing w:line="240" w:lineRule="auto"/>
              <w:jc w:val="center"/>
              <w:rPr>
                <w:rFonts w:eastAsia="Times New Roman" w:cs="Times New Roman"/>
                <w:color w:val="auto"/>
                <w:sz w:val="20"/>
                <w:szCs w:val="20"/>
                <w:lang w:eastAsia="pl-PL"/>
              </w:rPr>
            </w:pPr>
          </w:p>
        </w:tc>
        <w:tc>
          <w:tcPr>
            <w:tcW w:w="846" w:type="dxa"/>
            <w:vMerge/>
            <w:vAlign w:val="center"/>
            <w:hideMark/>
          </w:tcPr>
          <w:p w14:paraId="0B9DC877"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040" w:type="dxa"/>
            <w:vMerge/>
            <w:vAlign w:val="center"/>
            <w:hideMark/>
          </w:tcPr>
          <w:p w14:paraId="3F202671"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134" w:type="dxa"/>
            <w:vMerge/>
            <w:vAlign w:val="center"/>
            <w:hideMark/>
          </w:tcPr>
          <w:p w14:paraId="4F6F9325"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992" w:type="dxa"/>
            <w:vMerge w:val="restart"/>
            <w:vAlign w:val="center"/>
            <w:hideMark/>
          </w:tcPr>
          <w:p w14:paraId="066CC0F8"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D0882">
              <w:rPr>
                <w:rFonts w:eastAsia="Times New Roman" w:cs="Times New Roman"/>
                <w:b/>
                <w:sz w:val="20"/>
                <w:szCs w:val="20"/>
                <w:lang w:eastAsia="pl-PL"/>
              </w:rPr>
              <w:t>razem</w:t>
            </w:r>
          </w:p>
        </w:tc>
        <w:tc>
          <w:tcPr>
            <w:tcW w:w="1018" w:type="dxa"/>
            <w:vMerge w:val="restart"/>
            <w:vAlign w:val="center"/>
            <w:hideMark/>
          </w:tcPr>
          <w:p w14:paraId="1533AB5C"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D0882">
              <w:rPr>
                <w:rFonts w:eastAsia="Times New Roman" w:cs="Times New Roman"/>
                <w:b/>
                <w:sz w:val="20"/>
                <w:szCs w:val="20"/>
                <w:lang w:eastAsia="pl-PL"/>
              </w:rPr>
              <w:t>mężczyźni</w:t>
            </w:r>
          </w:p>
        </w:tc>
        <w:tc>
          <w:tcPr>
            <w:tcW w:w="851" w:type="dxa"/>
            <w:vMerge w:val="restart"/>
            <w:vAlign w:val="center"/>
            <w:hideMark/>
          </w:tcPr>
          <w:p w14:paraId="7A41A3E9"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D0882">
              <w:rPr>
                <w:rFonts w:eastAsia="Times New Roman" w:cs="Times New Roman"/>
                <w:b/>
                <w:sz w:val="20"/>
                <w:szCs w:val="20"/>
                <w:lang w:eastAsia="pl-PL"/>
              </w:rPr>
              <w:t>kobiety</w:t>
            </w:r>
          </w:p>
        </w:tc>
        <w:tc>
          <w:tcPr>
            <w:tcW w:w="1134" w:type="dxa"/>
            <w:vMerge w:val="restart"/>
            <w:vAlign w:val="center"/>
            <w:hideMark/>
          </w:tcPr>
          <w:p w14:paraId="433A2A64"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D0882">
              <w:rPr>
                <w:rFonts w:eastAsia="Times New Roman" w:cs="Times New Roman"/>
                <w:b/>
                <w:sz w:val="20"/>
                <w:szCs w:val="20"/>
                <w:lang w:eastAsia="pl-PL"/>
              </w:rPr>
              <w:t>razem</w:t>
            </w:r>
          </w:p>
        </w:tc>
        <w:tc>
          <w:tcPr>
            <w:tcW w:w="1018" w:type="dxa"/>
            <w:vMerge w:val="restart"/>
            <w:vAlign w:val="center"/>
            <w:hideMark/>
          </w:tcPr>
          <w:p w14:paraId="297904D6"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D0882">
              <w:rPr>
                <w:rFonts w:eastAsia="Times New Roman" w:cs="Times New Roman"/>
                <w:b/>
                <w:sz w:val="20"/>
                <w:szCs w:val="20"/>
                <w:lang w:eastAsia="pl-PL"/>
              </w:rPr>
              <w:t>mężczyźni</w:t>
            </w:r>
          </w:p>
        </w:tc>
        <w:tc>
          <w:tcPr>
            <w:tcW w:w="851" w:type="dxa"/>
            <w:vMerge w:val="restart"/>
            <w:vAlign w:val="center"/>
            <w:hideMark/>
          </w:tcPr>
          <w:p w14:paraId="22BB5CA9"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D0882">
              <w:rPr>
                <w:rFonts w:eastAsia="Times New Roman" w:cs="Times New Roman"/>
                <w:b/>
                <w:sz w:val="20"/>
                <w:szCs w:val="20"/>
                <w:lang w:eastAsia="pl-PL"/>
              </w:rPr>
              <w:t>kobiety</w:t>
            </w:r>
          </w:p>
        </w:tc>
      </w:tr>
      <w:tr w:rsidR="00F63704" w:rsidRPr="00FD0882" w14:paraId="3A3D3C2B" w14:textId="77777777" w:rsidTr="002740DC">
        <w:trPr>
          <w:trHeight w:val="458"/>
        </w:trPr>
        <w:tc>
          <w:tcPr>
            <w:cnfStyle w:val="001000000000" w:firstRow="0" w:lastRow="0" w:firstColumn="1" w:lastColumn="0" w:oddVBand="0" w:evenVBand="0" w:oddHBand="0" w:evenHBand="0" w:firstRowFirstColumn="0" w:firstRowLastColumn="0" w:lastRowFirstColumn="0" w:lastRowLastColumn="0"/>
            <w:tcW w:w="807" w:type="dxa"/>
            <w:vMerge/>
            <w:vAlign w:val="center"/>
            <w:hideMark/>
          </w:tcPr>
          <w:p w14:paraId="5CF47820" w14:textId="77777777" w:rsidR="00F63704" w:rsidRPr="00FD0882" w:rsidRDefault="00F63704" w:rsidP="002740DC">
            <w:pPr>
              <w:spacing w:line="240" w:lineRule="auto"/>
              <w:jc w:val="center"/>
              <w:rPr>
                <w:rFonts w:eastAsia="Times New Roman" w:cs="Times New Roman"/>
                <w:color w:val="auto"/>
                <w:sz w:val="20"/>
                <w:szCs w:val="20"/>
                <w:lang w:eastAsia="pl-PL"/>
              </w:rPr>
            </w:pPr>
          </w:p>
        </w:tc>
        <w:tc>
          <w:tcPr>
            <w:tcW w:w="846" w:type="dxa"/>
            <w:vMerge/>
            <w:vAlign w:val="center"/>
            <w:hideMark/>
          </w:tcPr>
          <w:p w14:paraId="29B1499B" w14:textId="77777777" w:rsidR="00F63704" w:rsidRPr="00FD0882"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1040" w:type="dxa"/>
            <w:vMerge/>
            <w:vAlign w:val="center"/>
            <w:hideMark/>
          </w:tcPr>
          <w:p w14:paraId="11617AF4" w14:textId="77777777" w:rsidR="00F63704" w:rsidRPr="00FD0882"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1134" w:type="dxa"/>
            <w:vMerge/>
            <w:vAlign w:val="center"/>
            <w:hideMark/>
          </w:tcPr>
          <w:p w14:paraId="63B6AC98" w14:textId="77777777" w:rsidR="00F63704" w:rsidRPr="00FD0882"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992" w:type="dxa"/>
            <w:vMerge/>
            <w:vAlign w:val="center"/>
            <w:hideMark/>
          </w:tcPr>
          <w:p w14:paraId="720827C5" w14:textId="77777777" w:rsidR="00F63704" w:rsidRPr="00FD0882"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1018" w:type="dxa"/>
            <w:vMerge/>
            <w:vAlign w:val="center"/>
            <w:hideMark/>
          </w:tcPr>
          <w:p w14:paraId="3DEAA7A1" w14:textId="77777777" w:rsidR="00F63704" w:rsidRPr="00FD0882"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851" w:type="dxa"/>
            <w:vMerge/>
            <w:vAlign w:val="center"/>
            <w:hideMark/>
          </w:tcPr>
          <w:p w14:paraId="6E2D9717" w14:textId="77777777" w:rsidR="00F63704" w:rsidRPr="00FD0882"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1134" w:type="dxa"/>
            <w:vMerge/>
            <w:vAlign w:val="center"/>
            <w:hideMark/>
          </w:tcPr>
          <w:p w14:paraId="660A31C2" w14:textId="77777777" w:rsidR="00F63704" w:rsidRPr="00FD0882"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1018" w:type="dxa"/>
            <w:vMerge/>
            <w:vAlign w:val="center"/>
            <w:hideMark/>
          </w:tcPr>
          <w:p w14:paraId="3023C89A" w14:textId="77777777" w:rsidR="00F63704" w:rsidRPr="00FD0882"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851" w:type="dxa"/>
            <w:vMerge/>
            <w:vAlign w:val="center"/>
            <w:hideMark/>
          </w:tcPr>
          <w:p w14:paraId="67D38FB7" w14:textId="77777777" w:rsidR="00F63704" w:rsidRPr="00FD0882"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r>
      <w:tr w:rsidR="00F63704" w:rsidRPr="00FD0882" w14:paraId="7FD9D019" w14:textId="77777777" w:rsidTr="002740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91" w:type="dxa"/>
            <w:gridSpan w:val="10"/>
            <w:noWrap/>
            <w:vAlign w:val="center"/>
            <w:hideMark/>
          </w:tcPr>
          <w:p w14:paraId="5A3A0B8C"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w tysiącach</w:t>
            </w:r>
          </w:p>
        </w:tc>
      </w:tr>
      <w:tr w:rsidR="00F63704" w:rsidRPr="00FD0882" w14:paraId="70B4B64F" w14:textId="77777777" w:rsidTr="002740DC">
        <w:trPr>
          <w:trHeight w:val="300"/>
        </w:trPr>
        <w:tc>
          <w:tcPr>
            <w:cnfStyle w:val="001000000000" w:firstRow="0" w:lastRow="0" w:firstColumn="1" w:lastColumn="0" w:oddVBand="0" w:evenVBand="0" w:oddHBand="0" w:evenHBand="0" w:firstRowFirstColumn="0" w:firstRowLastColumn="0" w:lastRowFirstColumn="0" w:lastRowLastColumn="0"/>
            <w:tcW w:w="807" w:type="dxa"/>
            <w:noWrap/>
            <w:vAlign w:val="center"/>
            <w:hideMark/>
          </w:tcPr>
          <w:p w14:paraId="621151E8"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Ogółem</w:t>
            </w:r>
          </w:p>
        </w:tc>
        <w:tc>
          <w:tcPr>
            <w:tcW w:w="846" w:type="dxa"/>
            <w:noWrap/>
            <w:vAlign w:val="center"/>
            <w:hideMark/>
          </w:tcPr>
          <w:p w14:paraId="4D8010D0" w14:textId="77777777" w:rsidR="00F63704" w:rsidRPr="00FD0882"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38 265</w:t>
            </w:r>
          </w:p>
        </w:tc>
        <w:tc>
          <w:tcPr>
            <w:tcW w:w="1040" w:type="dxa"/>
            <w:noWrap/>
            <w:vAlign w:val="center"/>
            <w:hideMark/>
          </w:tcPr>
          <w:p w14:paraId="4511EC1B"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18 502,2</w:t>
            </w:r>
          </w:p>
        </w:tc>
        <w:tc>
          <w:tcPr>
            <w:tcW w:w="1134" w:type="dxa"/>
            <w:noWrap/>
            <w:vAlign w:val="center"/>
            <w:hideMark/>
          </w:tcPr>
          <w:p w14:paraId="5B9B9AE7"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19 762,8</w:t>
            </w:r>
          </w:p>
        </w:tc>
        <w:tc>
          <w:tcPr>
            <w:tcW w:w="992" w:type="dxa"/>
            <w:noWrap/>
            <w:vAlign w:val="center"/>
            <w:hideMark/>
          </w:tcPr>
          <w:p w14:paraId="7B927A9D"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22 905,1</w:t>
            </w:r>
          </w:p>
        </w:tc>
        <w:tc>
          <w:tcPr>
            <w:tcW w:w="1018" w:type="dxa"/>
            <w:noWrap/>
            <w:vAlign w:val="center"/>
            <w:hideMark/>
          </w:tcPr>
          <w:p w14:paraId="3D76CC0D"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10 847,0</w:t>
            </w:r>
          </w:p>
        </w:tc>
        <w:tc>
          <w:tcPr>
            <w:tcW w:w="851" w:type="dxa"/>
            <w:noWrap/>
            <w:vAlign w:val="center"/>
            <w:hideMark/>
          </w:tcPr>
          <w:p w14:paraId="117EE1AC"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12 058,1</w:t>
            </w:r>
          </w:p>
        </w:tc>
        <w:tc>
          <w:tcPr>
            <w:tcW w:w="1134" w:type="dxa"/>
            <w:noWrap/>
            <w:vAlign w:val="center"/>
            <w:hideMark/>
          </w:tcPr>
          <w:p w14:paraId="4BA439E2"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15 359,9</w:t>
            </w:r>
          </w:p>
        </w:tc>
        <w:tc>
          <w:tcPr>
            <w:tcW w:w="1018" w:type="dxa"/>
            <w:noWrap/>
            <w:vAlign w:val="center"/>
            <w:hideMark/>
          </w:tcPr>
          <w:p w14:paraId="764D67FE"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7 655,2</w:t>
            </w:r>
          </w:p>
        </w:tc>
        <w:tc>
          <w:tcPr>
            <w:tcW w:w="851" w:type="dxa"/>
            <w:noWrap/>
            <w:vAlign w:val="center"/>
            <w:hideMark/>
          </w:tcPr>
          <w:p w14:paraId="129B73C3"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7 704,7</w:t>
            </w:r>
          </w:p>
        </w:tc>
      </w:tr>
      <w:tr w:rsidR="00F63704" w:rsidRPr="00FD0882" w14:paraId="2CF39F2E" w14:textId="77777777" w:rsidTr="002740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7" w:type="dxa"/>
            <w:noWrap/>
            <w:vAlign w:val="center"/>
            <w:hideMark/>
          </w:tcPr>
          <w:p w14:paraId="5FC2F6EC"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w tym 60 lat i więcej</w:t>
            </w:r>
          </w:p>
        </w:tc>
        <w:tc>
          <w:tcPr>
            <w:tcW w:w="846" w:type="dxa"/>
            <w:noWrap/>
            <w:vAlign w:val="center"/>
            <w:hideMark/>
          </w:tcPr>
          <w:p w14:paraId="5587B03F"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9 800,2</w:t>
            </w:r>
          </w:p>
        </w:tc>
        <w:tc>
          <w:tcPr>
            <w:tcW w:w="1040" w:type="dxa"/>
            <w:noWrap/>
            <w:vAlign w:val="center"/>
            <w:hideMark/>
          </w:tcPr>
          <w:p w14:paraId="51814C09"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4 105,5</w:t>
            </w:r>
          </w:p>
        </w:tc>
        <w:tc>
          <w:tcPr>
            <w:tcW w:w="1134" w:type="dxa"/>
            <w:noWrap/>
            <w:vAlign w:val="center"/>
            <w:hideMark/>
          </w:tcPr>
          <w:p w14:paraId="684EC55E"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5 694,8</w:t>
            </w:r>
          </w:p>
        </w:tc>
        <w:tc>
          <w:tcPr>
            <w:tcW w:w="992" w:type="dxa"/>
            <w:noWrap/>
            <w:vAlign w:val="center"/>
            <w:hideMark/>
          </w:tcPr>
          <w:p w14:paraId="30F687A8"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6 372,3</w:t>
            </w:r>
          </w:p>
        </w:tc>
        <w:tc>
          <w:tcPr>
            <w:tcW w:w="1018" w:type="dxa"/>
            <w:noWrap/>
            <w:vAlign w:val="center"/>
            <w:hideMark/>
          </w:tcPr>
          <w:p w14:paraId="7CBF1012"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2 586,5</w:t>
            </w:r>
          </w:p>
        </w:tc>
        <w:tc>
          <w:tcPr>
            <w:tcW w:w="851" w:type="dxa"/>
            <w:noWrap/>
            <w:vAlign w:val="center"/>
            <w:hideMark/>
          </w:tcPr>
          <w:p w14:paraId="48D86CCA"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3 785,8</w:t>
            </w:r>
          </w:p>
        </w:tc>
        <w:tc>
          <w:tcPr>
            <w:tcW w:w="1134" w:type="dxa"/>
            <w:noWrap/>
            <w:vAlign w:val="center"/>
            <w:hideMark/>
          </w:tcPr>
          <w:p w14:paraId="31D24ABD"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3 427,9</w:t>
            </w:r>
          </w:p>
        </w:tc>
        <w:tc>
          <w:tcPr>
            <w:tcW w:w="1018" w:type="dxa"/>
            <w:noWrap/>
            <w:vAlign w:val="center"/>
            <w:hideMark/>
          </w:tcPr>
          <w:p w14:paraId="6B8A07D4"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1 519,0</w:t>
            </w:r>
          </w:p>
        </w:tc>
        <w:tc>
          <w:tcPr>
            <w:tcW w:w="851" w:type="dxa"/>
            <w:noWrap/>
            <w:vAlign w:val="center"/>
            <w:hideMark/>
          </w:tcPr>
          <w:p w14:paraId="295B41AF"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1 908,9</w:t>
            </w:r>
          </w:p>
        </w:tc>
      </w:tr>
      <w:tr w:rsidR="00F63704" w:rsidRPr="00FD0882" w14:paraId="2B4FF56A" w14:textId="77777777" w:rsidTr="002740DC">
        <w:trPr>
          <w:trHeight w:val="300"/>
        </w:trPr>
        <w:tc>
          <w:tcPr>
            <w:cnfStyle w:val="001000000000" w:firstRow="0" w:lastRow="0" w:firstColumn="1" w:lastColumn="0" w:oddVBand="0" w:evenVBand="0" w:oddHBand="0" w:evenHBand="0" w:firstRowFirstColumn="0" w:firstRowLastColumn="0" w:lastRowFirstColumn="0" w:lastRowLastColumn="0"/>
            <w:tcW w:w="807" w:type="dxa"/>
            <w:noWrap/>
            <w:vAlign w:val="center"/>
            <w:hideMark/>
          </w:tcPr>
          <w:p w14:paraId="192E81ED"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60-64 lata</w:t>
            </w:r>
          </w:p>
        </w:tc>
        <w:tc>
          <w:tcPr>
            <w:tcW w:w="846" w:type="dxa"/>
            <w:noWrap/>
            <w:vAlign w:val="center"/>
            <w:hideMark/>
          </w:tcPr>
          <w:p w14:paraId="283B2F40" w14:textId="77777777" w:rsidR="00F63704" w:rsidRPr="00FD0882"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2 680,2</w:t>
            </w:r>
          </w:p>
        </w:tc>
        <w:tc>
          <w:tcPr>
            <w:tcW w:w="1040" w:type="dxa"/>
            <w:noWrap/>
            <w:vAlign w:val="center"/>
            <w:hideMark/>
          </w:tcPr>
          <w:p w14:paraId="01906F0A"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1 260,3</w:t>
            </w:r>
          </w:p>
        </w:tc>
        <w:tc>
          <w:tcPr>
            <w:tcW w:w="1134" w:type="dxa"/>
            <w:noWrap/>
            <w:vAlign w:val="center"/>
            <w:hideMark/>
          </w:tcPr>
          <w:p w14:paraId="1D007C5F"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1 419,9</w:t>
            </w:r>
          </w:p>
        </w:tc>
        <w:tc>
          <w:tcPr>
            <w:tcW w:w="992" w:type="dxa"/>
            <w:noWrap/>
            <w:vAlign w:val="center"/>
            <w:hideMark/>
          </w:tcPr>
          <w:p w14:paraId="36B002A8"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1 675,2</w:t>
            </w:r>
          </w:p>
        </w:tc>
        <w:tc>
          <w:tcPr>
            <w:tcW w:w="1018" w:type="dxa"/>
            <w:noWrap/>
            <w:vAlign w:val="center"/>
            <w:hideMark/>
          </w:tcPr>
          <w:p w14:paraId="1962CA93"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752,1</w:t>
            </w:r>
          </w:p>
        </w:tc>
        <w:tc>
          <w:tcPr>
            <w:tcW w:w="851" w:type="dxa"/>
            <w:noWrap/>
            <w:vAlign w:val="center"/>
            <w:hideMark/>
          </w:tcPr>
          <w:p w14:paraId="7E023BF8"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923,1</w:t>
            </w:r>
          </w:p>
        </w:tc>
        <w:tc>
          <w:tcPr>
            <w:tcW w:w="1134" w:type="dxa"/>
            <w:noWrap/>
            <w:vAlign w:val="center"/>
            <w:hideMark/>
          </w:tcPr>
          <w:p w14:paraId="36C39FBE"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1 005,1</w:t>
            </w:r>
          </w:p>
        </w:tc>
        <w:tc>
          <w:tcPr>
            <w:tcW w:w="1018" w:type="dxa"/>
            <w:noWrap/>
            <w:vAlign w:val="center"/>
            <w:hideMark/>
          </w:tcPr>
          <w:p w14:paraId="09D3FF3D"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508,2</w:t>
            </w:r>
          </w:p>
        </w:tc>
        <w:tc>
          <w:tcPr>
            <w:tcW w:w="851" w:type="dxa"/>
            <w:noWrap/>
            <w:vAlign w:val="center"/>
            <w:hideMark/>
          </w:tcPr>
          <w:p w14:paraId="24F37804"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496,8</w:t>
            </w:r>
          </w:p>
        </w:tc>
      </w:tr>
      <w:tr w:rsidR="00F63704" w:rsidRPr="00FD0882" w14:paraId="01A0554B" w14:textId="77777777" w:rsidTr="002740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7" w:type="dxa"/>
            <w:noWrap/>
            <w:vAlign w:val="center"/>
            <w:hideMark/>
          </w:tcPr>
          <w:p w14:paraId="3586B3AF"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65-69</w:t>
            </w:r>
          </w:p>
        </w:tc>
        <w:tc>
          <w:tcPr>
            <w:tcW w:w="846" w:type="dxa"/>
            <w:noWrap/>
            <w:vAlign w:val="center"/>
            <w:hideMark/>
          </w:tcPr>
          <w:p w14:paraId="0BA801B1"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2 505,6</w:t>
            </w:r>
          </w:p>
        </w:tc>
        <w:tc>
          <w:tcPr>
            <w:tcW w:w="1040" w:type="dxa"/>
            <w:noWrap/>
            <w:vAlign w:val="center"/>
            <w:hideMark/>
          </w:tcPr>
          <w:p w14:paraId="475590DB"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1 122,8</w:t>
            </w:r>
          </w:p>
        </w:tc>
        <w:tc>
          <w:tcPr>
            <w:tcW w:w="1134" w:type="dxa"/>
            <w:noWrap/>
            <w:vAlign w:val="center"/>
            <w:hideMark/>
          </w:tcPr>
          <w:p w14:paraId="38A30C2F"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1 382,8</w:t>
            </w:r>
          </w:p>
        </w:tc>
        <w:tc>
          <w:tcPr>
            <w:tcW w:w="992" w:type="dxa"/>
            <w:noWrap/>
            <w:vAlign w:val="center"/>
            <w:hideMark/>
          </w:tcPr>
          <w:p w14:paraId="62172CC1"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1 650,2</w:t>
            </w:r>
          </w:p>
        </w:tc>
        <w:tc>
          <w:tcPr>
            <w:tcW w:w="1018" w:type="dxa"/>
            <w:noWrap/>
            <w:vAlign w:val="center"/>
            <w:hideMark/>
          </w:tcPr>
          <w:p w14:paraId="2E1CE578"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708,4</w:t>
            </w:r>
          </w:p>
        </w:tc>
        <w:tc>
          <w:tcPr>
            <w:tcW w:w="851" w:type="dxa"/>
            <w:noWrap/>
            <w:vAlign w:val="center"/>
            <w:hideMark/>
          </w:tcPr>
          <w:p w14:paraId="259C0204"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941,8</w:t>
            </w:r>
          </w:p>
        </w:tc>
        <w:tc>
          <w:tcPr>
            <w:tcW w:w="1134" w:type="dxa"/>
            <w:noWrap/>
            <w:vAlign w:val="center"/>
            <w:hideMark/>
          </w:tcPr>
          <w:p w14:paraId="6D0609A0"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855,4</w:t>
            </w:r>
          </w:p>
        </w:tc>
        <w:tc>
          <w:tcPr>
            <w:tcW w:w="1018" w:type="dxa"/>
            <w:noWrap/>
            <w:vAlign w:val="center"/>
            <w:hideMark/>
          </w:tcPr>
          <w:p w14:paraId="1BAC257B"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414,4</w:t>
            </w:r>
          </w:p>
        </w:tc>
        <w:tc>
          <w:tcPr>
            <w:tcW w:w="851" w:type="dxa"/>
            <w:noWrap/>
            <w:vAlign w:val="center"/>
            <w:hideMark/>
          </w:tcPr>
          <w:p w14:paraId="362697F5"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441,0</w:t>
            </w:r>
          </w:p>
        </w:tc>
      </w:tr>
      <w:tr w:rsidR="00F63704" w:rsidRPr="00FD0882" w14:paraId="207C51F1" w14:textId="77777777" w:rsidTr="002740DC">
        <w:trPr>
          <w:trHeight w:val="300"/>
        </w:trPr>
        <w:tc>
          <w:tcPr>
            <w:cnfStyle w:val="001000000000" w:firstRow="0" w:lastRow="0" w:firstColumn="1" w:lastColumn="0" w:oddVBand="0" w:evenVBand="0" w:oddHBand="0" w:evenHBand="0" w:firstRowFirstColumn="0" w:firstRowLastColumn="0" w:lastRowFirstColumn="0" w:lastRowLastColumn="0"/>
            <w:tcW w:w="807" w:type="dxa"/>
            <w:noWrap/>
            <w:vAlign w:val="center"/>
            <w:hideMark/>
          </w:tcPr>
          <w:p w14:paraId="7EF4D610"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70-74</w:t>
            </w:r>
          </w:p>
        </w:tc>
        <w:tc>
          <w:tcPr>
            <w:tcW w:w="846" w:type="dxa"/>
            <w:noWrap/>
            <w:vAlign w:val="center"/>
            <w:hideMark/>
          </w:tcPr>
          <w:p w14:paraId="11C53062" w14:textId="77777777" w:rsidR="00F63704" w:rsidRPr="00FD0882"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1 916,9</w:t>
            </w:r>
          </w:p>
        </w:tc>
        <w:tc>
          <w:tcPr>
            <w:tcW w:w="1040" w:type="dxa"/>
            <w:noWrap/>
            <w:vAlign w:val="center"/>
            <w:hideMark/>
          </w:tcPr>
          <w:p w14:paraId="54DDD553"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809,9</w:t>
            </w:r>
          </w:p>
        </w:tc>
        <w:tc>
          <w:tcPr>
            <w:tcW w:w="1134" w:type="dxa"/>
            <w:noWrap/>
            <w:vAlign w:val="center"/>
            <w:hideMark/>
          </w:tcPr>
          <w:p w14:paraId="5D4DB40E"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1 107,0</w:t>
            </w:r>
          </w:p>
        </w:tc>
        <w:tc>
          <w:tcPr>
            <w:tcW w:w="992" w:type="dxa"/>
            <w:noWrap/>
            <w:vAlign w:val="center"/>
            <w:hideMark/>
          </w:tcPr>
          <w:p w14:paraId="0901744D"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1 288,2</w:t>
            </w:r>
          </w:p>
        </w:tc>
        <w:tc>
          <w:tcPr>
            <w:tcW w:w="1018" w:type="dxa"/>
            <w:noWrap/>
            <w:vAlign w:val="center"/>
            <w:hideMark/>
          </w:tcPr>
          <w:p w14:paraId="17D76114"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529,6</w:t>
            </w:r>
          </w:p>
        </w:tc>
        <w:tc>
          <w:tcPr>
            <w:tcW w:w="851" w:type="dxa"/>
            <w:noWrap/>
            <w:vAlign w:val="center"/>
            <w:hideMark/>
          </w:tcPr>
          <w:p w14:paraId="3CB3EB19"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758,5</w:t>
            </w:r>
          </w:p>
        </w:tc>
        <w:tc>
          <w:tcPr>
            <w:tcW w:w="1134" w:type="dxa"/>
            <w:noWrap/>
            <w:vAlign w:val="center"/>
            <w:hideMark/>
          </w:tcPr>
          <w:p w14:paraId="5D4EE5B6"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628,8</w:t>
            </w:r>
          </w:p>
        </w:tc>
        <w:tc>
          <w:tcPr>
            <w:tcW w:w="1018" w:type="dxa"/>
            <w:noWrap/>
            <w:vAlign w:val="center"/>
            <w:hideMark/>
          </w:tcPr>
          <w:p w14:paraId="36CF69D5"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280,3</w:t>
            </w:r>
          </w:p>
        </w:tc>
        <w:tc>
          <w:tcPr>
            <w:tcW w:w="851" w:type="dxa"/>
            <w:noWrap/>
            <w:vAlign w:val="center"/>
            <w:hideMark/>
          </w:tcPr>
          <w:p w14:paraId="4E1BEDBD"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348,5</w:t>
            </w:r>
          </w:p>
        </w:tc>
      </w:tr>
      <w:tr w:rsidR="00F63704" w:rsidRPr="00FD0882" w14:paraId="4221B385" w14:textId="77777777" w:rsidTr="002740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7" w:type="dxa"/>
            <w:noWrap/>
            <w:vAlign w:val="center"/>
            <w:hideMark/>
          </w:tcPr>
          <w:p w14:paraId="5C603BB4"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75-79</w:t>
            </w:r>
          </w:p>
        </w:tc>
        <w:tc>
          <w:tcPr>
            <w:tcW w:w="846" w:type="dxa"/>
            <w:noWrap/>
            <w:vAlign w:val="center"/>
            <w:hideMark/>
          </w:tcPr>
          <w:p w14:paraId="72DF4839"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1 013,5</w:t>
            </w:r>
          </w:p>
        </w:tc>
        <w:tc>
          <w:tcPr>
            <w:tcW w:w="1040" w:type="dxa"/>
            <w:noWrap/>
            <w:vAlign w:val="center"/>
            <w:hideMark/>
          </w:tcPr>
          <w:p w14:paraId="7AE298C2"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390,3</w:t>
            </w:r>
          </w:p>
        </w:tc>
        <w:tc>
          <w:tcPr>
            <w:tcW w:w="1134" w:type="dxa"/>
            <w:noWrap/>
            <w:vAlign w:val="center"/>
            <w:hideMark/>
          </w:tcPr>
          <w:p w14:paraId="620B3399"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623,2</w:t>
            </w:r>
          </w:p>
        </w:tc>
        <w:tc>
          <w:tcPr>
            <w:tcW w:w="992" w:type="dxa"/>
            <w:noWrap/>
            <w:vAlign w:val="center"/>
            <w:hideMark/>
          </w:tcPr>
          <w:p w14:paraId="62C76ECA"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672,1</w:t>
            </w:r>
          </w:p>
        </w:tc>
        <w:tc>
          <w:tcPr>
            <w:tcW w:w="1018" w:type="dxa"/>
            <w:noWrap/>
            <w:vAlign w:val="center"/>
            <w:hideMark/>
          </w:tcPr>
          <w:p w14:paraId="17F21F0A"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256,2</w:t>
            </w:r>
          </w:p>
        </w:tc>
        <w:tc>
          <w:tcPr>
            <w:tcW w:w="851" w:type="dxa"/>
            <w:noWrap/>
            <w:vAlign w:val="center"/>
            <w:hideMark/>
          </w:tcPr>
          <w:p w14:paraId="3E9D8C70"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415,9</w:t>
            </w:r>
          </w:p>
        </w:tc>
        <w:tc>
          <w:tcPr>
            <w:tcW w:w="1134" w:type="dxa"/>
            <w:noWrap/>
            <w:vAlign w:val="center"/>
            <w:hideMark/>
          </w:tcPr>
          <w:p w14:paraId="3D217B4E"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341,3</w:t>
            </w:r>
          </w:p>
        </w:tc>
        <w:tc>
          <w:tcPr>
            <w:tcW w:w="1018" w:type="dxa"/>
            <w:noWrap/>
            <w:vAlign w:val="center"/>
            <w:hideMark/>
          </w:tcPr>
          <w:p w14:paraId="48843847"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134,0</w:t>
            </w:r>
          </w:p>
        </w:tc>
        <w:tc>
          <w:tcPr>
            <w:tcW w:w="851" w:type="dxa"/>
            <w:noWrap/>
            <w:vAlign w:val="center"/>
            <w:hideMark/>
          </w:tcPr>
          <w:p w14:paraId="136FC693"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207,3</w:t>
            </w:r>
          </w:p>
        </w:tc>
      </w:tr>
      <w:tr w:rsidR="00F63704" w:rsidRPr="00FD0882" w14:paraId="4C267CFC" w14:textId="77777777" w:rsidTr="002740DC">
        <w:trPr>
          <w:trHeight w:val="300"/>
        </w:trPr>
        <w:tc>
          <w:tcPr>
            <w:cnfStyle w:val="001000000000" w:firstRow="0" w:lastRow="0" w:firstColumn="1" w:lastColumn="0" w:oddVBand="0" w:evenVBand="0" w:oddHBand="0" w:evenHBand="0" w:firstRowFirstColumn="0" w:firstRowLastColumn="0" w:lastRowFirstColumn="0" w:lastRowLastColumn="0"/>
            <w:tcW w:w="807" w:type="dxa"/>
            <w:noWrap/>
            <w:vAlign w:val="center"/>
            <w:hideMark/>
          </w:tcPr>
          <w:p w14:paraId="21F0BF0C"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80-84</w:t>
            </w:r>
          </w:p>
        </w:tc>
        <w:tc>
          <w:tcPr>
            <w:tcW w:w="846" w:type="dxa"/>
            <w:noWrap/>
            <w:vAlign w:val="center"/>
            <w:hideMark/>
          </w:tcPr>
          <w:p w14:paraId="2BDDFF02" w14:textId="77777777" w:rsidR="00F63704" w:rsidRPr="00FD0882"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865,7</w:t>
            </w:r>
          </w:p>
        </w:tc>
        <w:tc>
          <w:tcPr>
            <w:tcW w:w="1040" w:type="dxa"/>
            <w:noWrap/>
            <w:vAlign w:val="center"/>
            <w:hideMark/>
          </w:tcPr>
          <w:p w14:paraId="7E8CCCC9"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292,9</w:t>
            </w:r>
          </w:p>
        </w:tc>
        <w:tc>
          <w:tcPr>
            <w:tcW w:w="1134" w:type="dxa"/>
            <w:noWrap/>
            <w:vAlign w:val="center"/>
            <w:hideMark/>
          </w:tcPr>
          <w:p w14:paraId="7A992BC9"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572,9</w:t>
            </w:r>
          </w:p>
        </w:tc>
        <w:tc>
          <w:tcPr>
            <w:tcW w:w="992" w:type="dxa"/>
            <w:noWrap/>
            <w:vAlign w:val="center"/>
            <w:hideMark/>
          </w:tcPr>
          <w:p w14:paraId="6131A618"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562,2</w:t>
            </w:r>
          </w:p>
        </w:tc>
        <w:tc>
          <w:tcPr>
            <w:tcW w:w="1018" w:type="dxa"/>
            <w:noWrap/>
            <w:vAlign w:val="center"/>
            <w:hideMark/>
          </w:tcPr>
          <w:p w14:paraId="48BDCC19"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189,3</w:t>
            </w:r>
          </w:p>
        </w:tc>
        <w:tc>
          <w:tcPr>
            <w:tcW w:w="851" w:type="dxa"/>
            <w:noWrap/>
            <w:vAlign w:val="center"/>
            <w:hideMark/>
          </w:tcPr>
          <w:p w14:paraId="344BABB5"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372,8</w:t>
            </w:r>
          </w:p>
        </w:tc>
        <w:tc>
          <w:tcPr>
            <w:tcW w:w="1134" w:type="dxa"/>
            <w:noWrap/>
            <w:vAlign w:val="center"/>
            <w:hideMark/>
          </w:tcPr>
          <w:p w14:paraId="56070350"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303,6</w:t>
            </w:r>
          </w:p>
        </w:tc>
        <w:tc>
          <w:tcPr>
            <w:tcW w:w="1018" w:type="dxa"/>
            <w:noWrap/>
            <w:vAlign w:val="center"/>
            <w:hideMark/>
          </w:tcPr>
          <w:p w14:paraId="6616F59E"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103,5</w:t>
            </w:r>
          </w:p>
        </w:tc>
        <w:tc>
          <w:tcPr>
            <w:tcW w:w="851" w:type="dxa"/>
            <w:noWrap/>
            <w:vAlign w:val="center"/>
            <w:hideMark/>
          </w:tcPr>
          <w:p w14:paraId="19D99B46"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200,0</w:t>
            </w:r>
          </w:p>
        </w:tc>
      </w:tr>
      <w:tr w:rsidR="00F63704" w:rsidRPr="00FD0882" w14:paraId="2739F303" w14:textId="77777777" w:rsidTr="002740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7" w:type="dxa"/>
            <w:noWrap/>
            <w:vAlign w:val="center"/>
            <w:hideMark/>
          </w:tcPr>
          <w:p w14:paraId="7B959DFE"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85 lat i więcej</w:t>
            </w:r>
          </w:p>
        </w:tc>
        <w:tc>
          <w:tcPr>
            <w:tcW w:w="846" w:type="dxa"/>
            <w:noWrap/>
            <w:vAlign w:val="center"/>
            <w:hideMark/>
          </w:tcPr>
          <w:p w14:paraId="35DB204C" w14:textId="77777777" w:rsidR="00F63704" w:rsidRPr="00FD0882" w:rsidRDefault="00F63704" w:rsidP="002740DC">
            <w:pPr>
              <w:tabs>
                <w:tab w:val="center" w:pos="353"/>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818,3</w:t>
            </w:r>
          </w:p>
        </w:tc>
        <w:tc>
          <w:tcPr>
            <w:tcW w:w="1040" w:type="dxa"/>
            <w:noWrap/>
            <w:vAlign w:val="center"/>
            <w:hideMark/>
          </w:tcPr>
          <w:p w14:paraId="3272C360"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229,3</w:t>
            </w:r>
          </w:p>
        </w:tc>
        <w:tc>
          <w:tcPr>
            <w:tcW w:w="1134" w:type="dxa"/>
            <w:noWrap/>
            <w:vAlign w:val="center"/>
            <w:hideMark/>
          </w:tcPr>
          <w:p w14:paraId="77BE0374"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588,9</w:t>
            </w:r>
          </w:p>
        </w:tc>
        <w:tc>
          <w:tcPr>
            <w:tcW w:w="992" w:type="dxa"/>
            <w:noWrap/>
            <w:vAlign w:val="center"/>
            <w:hideMark/>
          </w:tcPr>
          <w:p w14:paraId="4F976137"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524,4</w:t>
            </w:r>
          </w:p>
        </w:tc>
        <w:tc>
          <w:tcPr>
            <w:tcW w:w="1018" w:type="dxa"/>
            <w:noWrap/>
            <w:vAlign w:val="center"/>
            <w:hideMark/>
          </w:tcPr>
          <w:p w14:paraId="7D79605B"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150,8</w:t>
            </w:r>
          </w:p>
        </w:tc>
        <w:tc>
          <w:tcPr>
            <w:tcW w:w="851" w:type="dxa"/>
            <w:noWrap/>
            <w:vAlign w:val="center"/>
            <w:hideMark/>
          </w:tcPr>
          <w:p w14:paraId="34727A0C"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373,6</w:t>
            </w:r>
          </w:p>
        </w:tc>
        <w:tc>
          <w:tcPr>
            <w:tcW w:w="1134" w:type="dxa"/>
            <w:noWrap/>
            <w:vAlign w:val="center"/>
            <w:hideMark/>
          </w:tcPr>
          <w:p w14:paraId="26C0E2EC"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293,8</w:t>
            </w:r>
          </w:p>
        </w:tc>
        <w:tc>
          <w:tcPr>
            <w:tcW w:w="1018" w:type="dxa"/>
            <w:noWrap/>
            <w:vAlign w:val="center"/>
            <w:hideMark/>
          </w:tcPr>
          <w:p w14:paraId="50CE32ED"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78,5</w:t>
            </w:r>
          </w:p>
        </w:tc>
        <w:tc>
          <w:tcPr>
            <w:tcW w:w="851" w:type="dxa"/>
            <w:noWrap/>
            <w:vAlign w:val="center"/>
            <w:hideMark/>
          </w:tcPr>
          <w:p w14:paraId="11849AF9"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215,3</w:t>
            </w:r>
          </w:p>
        </w:tc>
      </w:tr>
      <w:tr w:rsidR="00F63704" w:rsidRPr="00FD0882" w14:paraId="487EF6CA" w14:textId="77777777" w:rsidTr="002740DC">
        <w:trPr>
          <w:trHeight w:val="300"/>
        </w:trPr>
        <w:tc>
          <w:tcPr>
            <w:cnfStyle w:val="001000000000" w:firstRow="0" w:lastRow="0" w:firstColumn="1" w:lastColumn="0" w:oddVBand="0" w:evenVBand="0" w:oddHBand="0" w:evenHBand="0" w:firstRowFirstColumn="0" w:firstRowLastColumn="0" w:lastRowFirstColumn="0" w:lastRowLastColumn="0"/>
            <w:tcW w:w="9691" w:type="dxa"/>
            <w:gridSpan w:val="10"/>
            <w:noWrap/>
            <w:vAlign w:val="center"/>
            <w:hideMark/>
          </w:tcPr>
          <w:p w14:paraId="752C8889"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w %</w:t>
            </w:r>
          </w:p>
        </w:tc>
      </w:tr>
      <w:tr w:rsidR="00F63704" w:rsidRPr="00FD0882" w14:paraId="58F1A718" w14:textId="77777777" w:rsidTr="002740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7" w:type="dxa"/>
            <w:noWrap/>
            <w:vAlign w:val="center"/>
            <w:hideMark/>
          </w:tcPr>
          <w:p w14:paraId="49CE8983"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Ogółem</w:t>
            </w:r>
          </w:p>
        </w:tc>
        <w:tc>
          <w:tcPr>
            <w:tcW w:w="846" w:type="dxa"/>
            <w:noWrap/>
            <w:vAlign w:val="center"/>
            <w:hideMark/>
          </w:tcPr>
          <w:p w14:paraId="137E302C"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100,0</w:t>
            </w:r>
          </w:p>
        </w:tc>
        <w:tc>
          <w:tcPr>
            <w:tcW w:w="1040" w:type="dxa"/>
            <w:noWrap/>
            <w:vAlign w:val="center"/>
            <w:hideMark/>
          </w:tcPr>
          <w:p w14:paraId="6B0AC9B2"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100,0</w:t>
            </w:r>
          </w:p>
        </w:tc>
        <w:tc>
          <w:tcPr>
            <w:tcW w:w="1134" w:type="dxa"/>
            <w:noWrap/>
            <w:vAlign w:val="center"/>
            <w:hideMark/>
          </w:tcPr>
          <w:p w14:paraId="17E896F8"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100,0</w:t>
            </w:r>
          </w:p>
        </w:tc>
        <w:tc>
          <w:tcPr>
            <w:tcW w:w="992" w:type="dxa"/>
            <w:noWrap/>
            <w:vAlign w:val="center"/>
            <w:hideMark/>
          </w:tcPr>
          <w:p w14:paraId="50F471BF"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100,0</w:t>
            </w:r>
          </w:p>
        </w:tc>
        <w:tc>
          <w:tcPr>
            <w:tcW w:w="1018" w:type="dxa"/>
            <w:noWrap/>
            <w:vAlign w:val="center"/>
            <w:hideMark/>
          </w:tcPr>
          <w:p w14:paraId="4CBC9B6E"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100,0</w:t>
            </w:r>
          </w:p>
        </w:tc>
        <w:tc>
          <w:tcPr>
            <w:tcW w:w="851" w:type="dxa"/>
            <w:noWrap/>
            <w:vAlign w:val="center"/>
            <w:hideMark/>
          </w:tcPr>
          <w:p w14:paraId="7AA3AC24"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100,0</w:t>
            </w:r>
          </w:p>
        </w:tc>
        <w:tc>
          <w:tcPr>
            <w:tcW w:w="1134" w:type="dxa"/>
            <w:noWrap/>
            <w:vAlign w:val="center"/>
            <w:hideMark/>
          </w:tcPr>
          <w:p w14:paraId="740FD178"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100,0</w:t>
            </w:r>
          </w:p>
        </w:tc>
        <w:tc>
          <w:tcPr>
            <w:tcW w:w="1018" w:type="dxa"/>
            <w:noWrap/>
            <w:vAlign w:val="center"/>
            <w:hideMark/>
          </w:tcPr>
          <w:p w14:paraId="1DE3D41E"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100,0</w:t>
            </w:r>
          </w:p>
        </w:tc>
        <w:tc>
          <w:tcPr>
            <w:tcW w:w="851" w:type="dxa"/>
            <w:noWrap/>
            <w:vAlign w:val="center"/>
            <w:hideMark/>
          </w:tcPr>
          <w:p w14:paraId="484D4F8D" w14:textId="77777777" w:rsidR="00F63704" w:rsidRPr="00FD0882"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100,0</w:t>
            </w:r>
          </w:p>
        </w:tc>
      </w:tr>
      <w:tr w:rsidR="00F63704" w:rsidRPr="00FD0882" w14:paraId="5A156128" w14:textId="77777777" w:rsidTr="002740DC">
        <w:trPr>
          <w:trHeight w:val="300"/>
        </w:trPr>
        <w:tc>
          <w:tcPr>
            <w:cnfStyle w:val="001000000000" w:firstRow="0" w:lastRow="0" w:firstColumn="1" w:lastColumn="0" w:oddVBand="0" w:evenVBand="0" w:oddHBand="0" w:evenHBand="0" w:firstRowFirstColumn="0" w:firstRowLastColumn="0" w:lastRowFirstColumn="0" w:lastRowLastColumn="0"/>
            <w:tcW w:w="807" w:type="dxa"/>
            <w:noWrap/>
            <w:vAlign w:val="center"/>
            <w:hideMark/>
          </w:tcPr>
          <w:p w14:paraId="49A41983"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w tym 60 lat i więcej</w:t>
            </w:r>
          </w:p>
        </w:tc>
        <w:tc>
          <w:tcPr>
            <w:tcW w:w="846" w:type="dxa"/>
            <w:noWrap/>
            <w:vAlign w:val="center"/>
            <w:hideMark/>
          </w:tcPr>
          <w:p w14:paraId="37738F9B" w14:textId="77777777" w:rsidR="00F63704" w:rsidRPr="00FD0882"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D0882">
              <w:rPr>
                <w:rFonts w:eastAsia="Times New Roman" w:cs="Times New Roman"/>
                <w:sz w:val="20"/>
                <w:szCs w:val="20"/>
                <w:lang w:eastAsia="pl-PL"/>
              </w:rPr>
              <w:t>25,6</w:t>
            </w:r>
          </w:p>
        </w:tc>
        <w:tc>
          <w:tcPr>
            <w:tcW w:w="1040" w:type="dxa"/>
            <w:noWrap/>
            <w:vAlign w:val="center"/>
            <w:hideMark/>
          </w:tcPr>
          <w:p w14:paraId="6758FF0E"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22,2</w:t>
            </w:r>
          </w:p>
        </w:tc>
        <w:tc>
          <w:tcPr>
            <w:tcW w:w="1134" w:type="dxa"/>
            <w:noWrap/>
            <w:vAlign w:val="center"/>
            <w:hideMark/>
          </w:tcPr>
          <w:p w14:paraId="5C3D9C71"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28,8</w:t>
            </w:r>
          </w:p>
        </w:tc>
        <w:tc>
          <w:tcPr>
            <w:tcW w:w="992" w:type="dxa"/>
            <w:noWrap/>
            <w:vAlign w:val="center"/>
            <w:hideMark/>
          </w:tcPr>
          <w:p w14:paraId="42A78B85"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27,8</w:t>
            </w:r>
          </w:p>
        </w:tc>
        <w:tc>
          <w:tcPr>
            <w:tcW w:w="1018" w:type="dxa"/>
            <w:noWrap/>
            <w:vAlign w:val="center"/>
            <w:hideMark/>
          </w:tcPr>
          <w:p w14:paraId="30A03972"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23,8</w:t>
            </w:r>
          </w:p>
        </w:tc>
        <w:tc>
          <w:tcPr>
            <w:tcW w:w="851" w:type="dxa"/>
            <w:noWrap/>
            <w:vAlign w:val="center"/>
            <w:hideMark/>
          </w:tcPr>
          <w:p w14:paraId="0DC892E0"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31,4</w:t>
            </w:r>
          </w:p>
        </w:tc>
        <w:tc>
          <w:tcPr>
            <w:tcW w:w="1134" w:type="dxa"/>
            <w:noWrap/>
            <w:vAlign w:val="center"/>
            <w:hideMark/>
          </w:tcPr>
          <w:p w14:paraId="62B74149"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22,3</w:t>
            </w:r>
          </w:p>
        </w:tc>
        <w:tc>
          <w:tcPr>
            <w:tcW w:w="1018" w:type="dxa"/>
            <w:noWrap/>
            <w:vAlign w:val="center"/>
            <w:hideMark/>
          </w:tcPr>
          <w:p w14:paraId="2B508A47"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22,2</w:t>
            </w:r>
          </w:p>
        </w:tc>
        <w:tc>
          <w:tcPr>
            <w:tcW w:w="851" w:type="dxa"/>
            <w:noWrap/>
            <w:vAlign w:val="center"/>
            <w:hideMark/>
          </w:tcPr>
          <w:p w14:paraId="4BD589D4"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28,8</w:t>
            </w:r>
          </w:p>
        </w:tc>
      </w:tr>
      <w:tr w:rsidR="00F63704" w:rsidRPr="00FD0882" w14:paraId="20D6BEC3" w14:textId="77777777" w:rsidTr="002740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91" w:type="dxa"/>
            <w:gridSpan w:val="10"/>
            <w:noWrap/>
            <w:vAlign w:val="center"/>
            <w:hideMark/>
          </w:tcPr>
          <w:p w14:paraId="013D1EE4"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60 lat i więcej = 100</w:t>
            </w:r>
          </w:p>
        </w:tc>
      </w:tr>
      <w:tr w:rsidR="00F63704" w:rsidRPr="00FD0882" w14:paraId="497BA905" w14:textId="77777777" w:rsidTr="002740DC">
        <w:trPr>
          <w:trHeight w:val="300"/>
        </w:trPr>
        <w:tc>
          <w:tcPr>
            <w:cnfStyle w:val="001000000000" w:firstRow="0" w:lastRow="0" w:firstColumn="1" w:lastColumn="0" w:oddVBand="0" w:evenVBand="0" w:oddHBand="0" w:evenHBand="0" w:firstRowFirstColumn="0" w:firstRowLastColumn="0" w:lastRowFirstColumn="0" w:lastRowLastColumn="0"/>
            <w:tcW w:w="807" w:type="dxa"/>
            <w:noWrap/>
            <w:vAlign w:val="center"/>
            <w:hideMark/>
          </w:tcPr>
          <w:p w14:paraId="6960FF94"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60-64 lata</w:t>
            </w:r>
          </w:p>
        </w:tc>
        <w:tc>
          <w:tcPr>
            <w:tcW w:w="846" w:type="dxa"/>
            <w:noWrap/>
            <w:vAlign w:val="center"/>
            <w:hideMark/>
          </w:tcPr>
          <w:p w14:paraId="4939B3B5"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27,3</w:t>
            </w:r>
          </w:p>
        </w:tc>
        <w:tc>
          <w:tcPr>
            <w:tcW w:w="1040" w:type="dxa"/>
            <w:noWrap/>
            <w:vAlign w:val="center"/>
            <w:hideMark/>
          </w:tcPr>
          <w:p w14:paraId="45B00E4E"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30,7</w:t>
            </w:r>
          </w:p>
        </w:tc>
        <w:tc>
          <w:tcPr>
            <w:tcW w:w="1134" w:type="dxa"/>
            <w:noWrap/>
            <w:vAlign w:val="center"/>
            <w:hideMark/>
          </w:tcPr>
          <w:p w14:paraId="0E21A13A"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24,9</w:t>
            </w:r>
          </w:p>
        </w:tc>
        <w:tc>
          <w:tcPr>
            <w:tcW w:w="992" w:type="dxa"/>
            <w:noWrap/>
            <w:vAlign w:val="center"/>
            <w:hideMark/>
          </w:tcPr>
          <w:p w14:paraId="3B32EE36"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26,3</w:t>
            </w:r>
          </w:p>
        </w:tc>
        <w:tc>
          <w:tcPr>
            <w:tcW w:w="1018" w:type="dxa"/>
            <w:noWrap/>
            <w:vAlign w:val="center"/>
            <w:hideMark/>
          </w:tcPr>
          <w:p w14:paraId="2BE953AD"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29,1</w:t>
            </w:r>
          </w:p>
        </w:tc>
        <w:tc>
          <w:tcPr>
            <w:tcW w:w="851" w:type="dxa"/>
            <w:noWrap/>
            <w:vAlign w:val="center"/>
            <w:hideMark/>
          </w:tcPr>
          <w:p w14:paraId="313BE752"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24,4</w:t>
            </w:r>
          </w:p>
        </w:tc>
        <w:tc>
          <w:tcPr>
            <w:tcW w:w="1134" w:type="dxa"/>
            <w:noWrap/>
            <w:vAlign w:val="center"/>
            <w:hideMark/>
          </w:tcPr>
          <w:p w14:paraId="6225F59A"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29,3</w:t>
            </w:r>
          </w:p>
        </w:tc>
        <w:tc>
          <w:tcPr>
            <w:tcW w:w="1018" w:type="dxa"/>
            <w:noWrap/>
            <w:vAlign w:val="center"/>
            <w:hideMark/>
          </w:tcPr>
          <w:p w14:paraId="654BF35A"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27,3</w:t>
            </w:r>
          </w:p>
        </w:tc>
        <w:tc>
          <w:tcPr>
            <w:tcW w:w="851" w:type="dxa"/>
            <w:noWrap/>
            <w:vAlign w:val="center"/>
            <w:hideMark/>
          </w:tcPr>
          <w:p w14:paraId="2DC3BECE"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30,7</w:t>
            </w:r>
          </w:p>
        </w:tc>
      </w:tr>
      <w:tr w:rsidR="00F63704" w:rsidRPr="00FD0882" w14:paraId="33EBDCF9" w14:textId="77777777" w:rsidTr="002740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7" w:type="dxa"/>
            <w:noWrap/>
            <w:vAlign w:val="center"/>
            <w:hideMark/>
          </w:tcPr>
          <w:p w14:paraId="281009E5"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65-69</w:t>
            </w:r>
          </w:p>
        </w:tc>
        <w:tc>
          <w:tcPr>
            <w:tcW w:w="846" w:type="dxa"/>
            <w:noWrap/>
            <w:vAlign w:val="center"/>
            <w:hideMark/>
          </w:tcPr>
          <w:p w14:paraId="0A58714F"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25,6</w:t>
            </w:r>
          </w:p>
        </w:tc>
        <w:tc>
          <w:tcPr>
            <w:tcW w:w="1040" w:type="dxa"/>
            <w:noWrap/>
            <w:vAlign w:val="center"/>
            <w:hideMark/>
          </w:tcPr>
          <w:p w14:paraId="7DFF9260"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27,3</w:t>
            </w:r>
          </w:p>
        </w:tc>
        <w:tc>
          <w:tcPr>
            <w:tcW w:w="1134" w:type="dxa"/>
            <w:noWrap/>
            <w:vAlign w:val="center"/>
            <w:hideMark/>
          </w:tcPr>
          <w:p w14:paraId="509F734C"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24,3</w:t>
            </w:r>
          </w:p>
        </w:tc>
        <w:tc>
          <w:tcPr>
            <w:tcW w:w="992" w:type="dxa"/>
            <w:noWrap/>
            <w:vAlign w:val="center"/>
            <w:hideMark/>
          </w:tcPr>
          <w:p w14:paraId="1016FF5B"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25,9</w:t>
            </w:r>
          </w:p>
        </w:tc>
        <w:tc>
          <w:tcPr>
            <w:tcW w:w="1018" w:type="dxa"/>
            <w:noWrap/>
            <w:vAlign w:val="center"/>
            <w:hideMark/>
          </w:tcPr>
          <w:p w14:paraId="5D4F0A3E"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27,4</w:t>
            </w:r>
          </w:p>
        </w:tc>
        <w:tc>
          <w:tcPr>
            <w:tcW w:w="851" w:type="dxa"/>
            <w:noWrap/>
            <w:vAlign w:val="center"/>
            <w:hideMark/>
          </w:tcPr>
          <w:p w14:paraId="3C48D19A"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24,9</w:t>
            </w:r>
          </w:p>
        </w:tc>
        <w:tc>
          <w:tcPr>
            <w:tcW w:w="1134" w:type="dxa"/>
            <w:noWrap/>
            <w:vAlign w:val="center"/>
            <w:hideMark/>
          </w:tcPr>
          <w:p w14:paraId="509DDC0F"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25,0</w:t>
            </w:r>
          </w:p>
        </w:tc>
        <w:tc>
          <w:tcPr>
            <w:tcW w:w="1018" w:type="dxa"/>
            <w:noWrap/>
            <w:vAlign w:val="center"/>
            <w:hideMark/>
          </w:tcPr>
          <w:p w14:paraId="5310007E"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25,6</w:t>
            </w:r>
          </w:p>
        </w:tc>
        <w:tc>
          <w:tcPr>
            <w:tcW w:w="851" w:type="dxa"/>
            <w:noWrap/>
            <w:vAlign w:val="center"/>
            <w:hideMark/>
          </w:tcPr>
          <w:p w14:paraId="27EFC1D5"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27,3</w:t>
            </w:r>
          </w:p>
        </w:tc>
      </w:tr>
      <w:tr w:rsidR="00F63704" w:rsidRPr="00FD0882" w14:paraId="4C466DD9" w14:textId="77777777" w:rsidTr="002740DC">
        <w:trPr>
          <w:trHeight w:val="300"/>
        </w:trPr>
        <w:tc>
          <w:tcPr>
            <w:cnfStyle w:val="001000000000" w:firstRow="0" w:lastRow="0" w:firstColumn="1" w:lastColumn="0" w:oddVBand="0" w:evenVBand="0" w:oddHBand="0" w:evenHBand="0" w:firstRowFirstColumn="0" w:firstRowLastColumn="0" w:lastRowFirstColumn="0" w:lastRowLastColumn="0"/>
            <w:tcW w:w="807" w:type="dxa"/>
            <w:noWrap/>
            <w:vAlign w:val="center"/>
            <w:hideMark/>
          </w:tcPr>
          <w:p w14:paraId="7A891911"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70-74</w:t>
            </w:r>
          </w:p>
        </w:tc>
        <w:tc>
          <w:tcPr>
            <w:tcW w:w="846" w:type="dxa"/>
            <w:noWrap/>
            <w:vAlign w:val="center"/>
            <w:hideMark/>
          </w:tcPr>
          <w:p w14:paraId="78938E7E"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19,6</w:t>
            </w:r>
          </w:p>
        </w:tc>
        <w:tc>
          <w:tcPr>
            <w:tcW w:w="1040" w:type="dxa"/>
            <w:noWrap/>
            <w:vAlign w:val="center"/>
            <w:hideMark/>
          </w:tcPr>
          <w:p w14:paraId="4FCE7893"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19,7</w:t>
            </w:r>
          </w:p>
        </w:tc>
        <w:tc>
          <w:tcPr>
            <w:tcW w:w="1134" w:type="dxa"/>
            <w:noWrap/>
            <w:vAlign w:val="center"/>
            <w:hideMark/>
          </w:tcPr>
          <w:p w14:paraId="3EF48288"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19,4</w:t>
            </w:r>
          </w:p>
        </w:tc>
        <w:tc>
          <w:tcPr>
            <w:tcW w:w="992" w:type="dxa"/>
            <w:noWrap/>
            <w:vAlign w:val="center"/>
            <w:hideMark/>
          </w:tcPr>
          <w:p w14:paraId="45408129"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20,2</w:t>
            </w:r>
          </w:p>
        </w:tc>
        <w:tc>
          <w:tcPr>
            <w:tcW w:w="1018" w:type="dxa"/>
            <w:noWrap/>
            <w:vAlign w:val="center"/>
            <w:hideMark/>
          </w:tcPr>
          <w:p w14:paraId="56A7CEFF"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20,5</w:t>
            </w:r>
          </w:p>
        </w:tc>
        <w:tc>
          <w:tcPr>
            <w:tcW w:w="851" w:type="dxa"/>
            <w:noWrap/>
            <w:vAlign w:val="center"/>
            <w:hideMark/>
          </w:tcPr>
          <w:p w14:paraId="7EBCE2F3"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20,0</w:t>
            </w:r>
          </w:p>
        </w:tc>
        <w:tc>
          <w:tcPr>
            <w:tcW w:w="1134" w:type="dxa"/>
            <w:noWrap/>
            <w:vAlign w:val="center"/>
            <w:hideMark/>
          </w:tcPr>
          <w:p w14:paraId="2F5B8E12"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18,3</w:t>
            </w:r>
          </w:p>
        </w:tc>
        <w:tc>
          <w:tcPr>
            <w:tcW w:w="1018" w:type="dxa"/>
            <w:noWrap/>
            <w:vAlign w:val="center"/>
            <w:hideMark/>
          </w:tcPr>
          <w:p w14:paraId="666623E0"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19,6</w:t>
            </w:r>
          </w:p>
        </w:tc>
        <w:tc>
          <w:tcPr>
            <w:tcW w:w="851" w:type="dxa"/>
            <w:noWrap/>
            <w:vAlign w:val="center"/>
            <w:hideMark/>
          </w:tcPr>
          <w:p w14:paraId="777B3252"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19,7</w:t>
            </w:r>
          </w:p>
        </w:tc>
      </w:tr>
      <w:tr w:rsidR="00F63704" w:rsidRPr="00FD0882" w14:paraId="52890AD9" w14:textId="77777777" w:rsidTr="002740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7" w:type="dxa"/>
            <w:noWrap/>
            <w:vAlign w:val="center"/>
            <w:hideMark/>
          </w:tcPr>
          <w:p w14:paraId="44F0F3A0"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75-79</w:t>
            </w:r>
          </w:p>
        </w:tc>
        <w:tc>
          <w:tcPr>
            <w:tcW w:w="846" w:type="dxa"/>
            <w:noWrap/>
            <w:vAlign w:val="center"/>
            <w:hideMark/>
          </w:tcPr>
          <w:p w14:paraId="6ABF1A23"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10,3</w:t>
            </w:r>
          </w:p>
        </w:tc>
        <w:tc>
          <w:tcPr>
            <w:tcW w:w="1040" w:type="dxa"/>
            <w:noWrap/>
            <w:vAlign w:val="center"/>
            <w:hideMark/>
          </w:tcPr>
          <w:p w14:paraId="405AA8D3"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9,5</w:t>
            </w:r>
          </w:p>
        </w:tc>
        <w:tc>
          <w:tcPr>
            <w:tcW w:w="1134" w:type="dxa"/>
            <w:noWrap/>
            <w:vAlign w:val="center"/>
            <w:hideMark/>
          </w:tcPr>
          <w:p w14:paraId="710B8702"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10,9</w:t>
            </w:r>
          </w:p>
        </w:tc>
        <w:tc>
          <w:tcPr>
            <w:tcW w:w="992" w:type="dxa"/>
            <w:noWrap/>
            <w:vAlign w:val="center"/>
            <w:hideMark/>
          </w:tcPr>
          <w:p w14:paraId="62474831"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10,5</w:t>
            </w:r>
          </w:p>
        </w:tc>
        <w:tc>
          <w:tcPr>
            <w:tcW w:w="1018" w:type="dxa"/>
            <w:noWrap/>
            <w:vAlign w:val="center"/>
            <w:hideMark/>
          </w:tcPr>
          <w:p w14:paraId="63A9725D"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9,9</w:t>
            </w:r>
          </w:p>
        </w:tc>
        <w:tc>
          <w:tcPr>
            <w:tcW w:w="851" w:type="dxa"/>
            <w:noWrap/>
            <w:vAlign w:val="center"/>
            <w:hideMark/>
          </w:tcPr>
          <w:p w14:paraId="76954F92"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11,0</w:t>
            </w:r>
          </w:p>
        </w:tc>
        <w:tc>
          <w:tcPr>
            <w:tcW w:w="1134" w:type="dxa"/>
            <w:noWrap/>
            <w:vAlign w:val="center"/>
            <w:hideMark/>
          </w:tcPr>
          <w:p w14:paraId="591A828F"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10,0</w:t>
            </w:r>
          </w:p>
        </w:tc>
        <w:tc>
          <w:tcPr>
            <w:tcW w:w="1018" w:type="dxa"/>
            <w:noWrap/>
            <w:vAlign w:val="center"/>
            <w:hideMark/>
          </w:tcPr>
          <w:p w14:paraId="690F7ECA"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10,3</w:t>
            </w:r>
          </w:p>
        </w:tc>
        <w:tc>
          <w:tcPr>
            <w:tcW w:w="851" w:type="dxa"/>
            <w:noWrap/>
            <w:vAlign w:val="center"/>
            <w:hideMark/>
          </w:tcPr>
          <w:p w14:paraId="127FF93B"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9,5</w:t>
            </w:r>
          </w:p>
        </w:tc>
      </w:tr>
      <w:tr w:rsidR="00F63704" w:rsidRPr="00FD0882" w14:paraId="5EBB1D5B" w14:textId="77777777" w:rsidTr="002740DC">
        <w:trPr>
          <w:trHeight w:val="300"/>
        </w:trPr>
        <w:tc>
          <w:tcPr>
            <w:cnfStyle w:val="001000000000" w:firstRow="0" w:lastRow="0" w:firstColumn="1" w:lastColumn="0" w:oddVBand="0" w:evenVBand="0" w:oddHBand="0" w:evenHBand="0" w:firstRowFirstColumn="0" w:firstRowLastColumn="0" w:lastRowFirstColumn="0" w:lastRowLastColumn="0"/>
            <w:tcW w:w="807" w:type="dxa"/>
            <w:noWrap/>
            <w:vAlign w:val="center"/>
            <w:hideMark/>
          </w:tcPr>
          <w:p w14:paraId="6E720C6F"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80-84</w:t>
            </w:r>
          </w:p>
        </w:tc>
        <w:tc>
          <w:tcPr>
            <w:tcW w:w="846" w:type="dxa"/>
            <w:noWrap/>
            <w:vAlign w:val="center"/>
            <w:hideMark/>
          </w:tcPr>
          <w:p w14:paraId="2853E3DB"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8,8</w:t>
            </w:r>
          </w:p>
        </w:tc>
        <w:tc>
          <w:tcPr>
            <w:tcW w:w="1040" w:type="dxa"/>
            <w:noWrap/>
            <w:vAlign w:val="center"/>
            <w:hideMark/>
          </w:tcPr>
          <w:p w14:paraId="355900D5"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7,1</w:t>
            </w:r>
          </w:p>
        </w:tc>
        <w:tc>
          <w:tcPr>
            <w:tcW w:w="1134" w:type="dxa"/>
            <w:noWrap/>
            <w:vAlign w:val="center"/>
            <w:hideMark/>
          </w:tcPr>
          <w:p w14:paraId="3281AEAA"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10,1</w:t>
            </w:r>
          </w:p>
        </w:tc>
        <w:tc>
          <w:tcPr>
            <w:tcW w:w="992" w:type="dxa"/>
            <w:noWrap/>
            <w:vAlign w:val="center"/>
            <w:hideMark/>
          </w:tcPr>
          <w:p w14:paraId="34168DF2"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8,8</w:t>
            </w:r>
          </w:p>
        </w:tc>
        <w:tc>
          <w:tcPr>
            <w:tcW w:w="1018" w:type="dxa"/>
            <w:noWrap/>
            <w:vAlign w:val="center"/>
            <w:hideMark/>
          </w:tcPr>
          <w:p w14:paraId="60503CC0"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7,3</w:t>
            </w:r>
          </w:p>
        </w:tc>
        <w:tc>
          <w:tcPr>
            <w:tcW w:w="851" w:type="dxa"/>
            <w:noWrap/>
            <w:vAlign w:val="center"/>
            <w:hideMark/>
          </w:tcPr>
          <w:p w14:paraId="013788AA"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9,8</w:t>
            </w:r>
          </w:p>
        </w:tc>
        <w:tc>
          <w:tcPr>
            <w:tcW w:w="1134" w:type="dxa"/>
            <w:noWrap/>
            <w:vAlign w:val="center"/>
            <w:hideMark/>
          </w:tcPr>
          <w:p w14:paraId="4A829F59"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8,9</w:t>
            </w:r>
          </w:p>
        </w:tc>
        <w:tc>
          <w:tcPr>
            <w:tcW w:w="1018" w:type="dxa"/>
            <w:noWrap/>
            <w:vAlign w:val="center"/>
            <w:hideMark/>
          </w:tcPr>
          <w:p w14:paraId="1027FF04"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8,8</w:t>
            </w:r>
          </w:p>
        </w:tc>
        <w:tc>
          <w:tcPr>
            <w:tcW w:w="851" w:type="dxa"/>
            <w:noWrap/>
            <w:vAlign w:val="center"/>
            <w:hideMark/>
          </w:tcPr>
          <w:p w14:paraId="696EE7AF" w14:textId="77777777" w:rsidR="00F63704" w:rsidRPr="00FD0882"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D0882">
              <w:rPr>
                <w:rFonts w:cs="Times New Roman"/>
                <w:sz w:val="20"/>
                <w:szCs w:val="20"/>
              </w:rPr>
              <w:t>7,1</w:t>
            </w:r>
          </w:p>
        </w:tc>
      </w:tr>
      <w:tr w:rsidR="00F63704" w:rsidRPr="00FD0882" w14:paraId="54A446B4" w14:textId="77777777" w:rsidTr="002740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7" w:type="dxa"/>
            <w:noWrap/>
            <w:vAlign w:val="center"/>
            <w:hideMark/>
          </w:tcPr>
          <w:p w14:paraId="4B6224C5" w14:textId="77777777" w:rsidR="00F63704" w:rsidRPr="00FD0882" w:rsidRDefault="00F63704" w:rsidP="002740DC">
            <w:pPr>
              <w:spacing w:line="240" w:lineRule="auto"/>
              <w:jc w:val="center"/>
              <w:rPr>
                <w:rFonts w:eastAsia="Times New Roman" w:cs="Times New Roman"/>
                <w:color w:val="auto"/>
                <w:sz w:val="20"/>
                <w:szCs w:val="20"/>
                <w:lang w:eastAsia="pl-PL"/>
              </w:rPr>
            </w:pPr>
            <w:r w:rsidRPr="00FD0882">
              <w:rPr>
                <w:rFonts w:eastAsia="Times New Roman" w:cs="Times New Roman"/>
                <w:color w:val="auto"/>
                <w:sz w:val="20"/>
                <w:szCs w:val="20"/>
                <w:lang w:eastAsia="pl-PL"/>
              </w:rPr>
              <w:t>85 lat i więcej</w:t>
            </w:r>
          </w:p>
        </w:tc>
        <w:tc>
          <w:tcPr>
            <w:tcW w:w="846" w:type="dxa"/>
            <w:noWrap/>
            <w:vAlign w:val="center"/>
            <w:hideMark/>
          </w:tcPr>
          <w:p w14:paraId="0F2964F3"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8,3</w:t>
            </w:r>
          </w:p>
        </w:tc>
        <w:tc>
          <w:tcPr>
            <w:tcW w:w="1040" w:type="dxa"/>
            <w:noWrap/>
            <w:vAlign w:val="center"/>
            <w:hideMark/>
          </w:tcPr>
          <w:p w14:paraId="4212676A"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5,6</w:t>
            </w:r>
          </w:p>
        </w:tc>
        <w:tc>
          <w:tcPr>
            <w:tcW w:w="1134" w:type="dxa"/>
            <w:noWrap/>
            <w:vAlign w:val="center"/>
            <w:hideMark/>
          </w:tcPr>
          <w:p w14:paraId="57161CA2"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10,3</w:t>
            </w:r>
          </w:p>
        </w:tc>
        <w:tc>
          <w:tcPr>
            <w:tcW w:w="992" w:type="dxa"/>
            <w:noWrap/>
            <w:vAlign w:val="center"/>
            <w:hideMark/>
          </w:tcPr>
          <w:p w14:paraId="06554580"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8,2</w:t>
            </w:r>
          </w:p>
        </w:tc>
        <w:tc>
          <w:tcPr>
            <w:tcW w:w="1018" w:type="dxa"/>
            <w:noWrap/>
            <w:vAlign w:val="center"/>
            <w:hideMark/>
          </w:tcPr>
          <w:p w14:paraId="10580064"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5,8</w:t>
            </w:r>
          </w:p>
        </w:tc>
        <w:tc>
          <w:tcPr>
            <w:tcW w:w="851" w:type="dxa"/>
            <w:noWrap/>
            <w:vAlign w:val="center"/>
            <w:hideMark/>
          </w:tcPr>
          <w:p w14:paraId="1B13BB58"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9,9</w:t>
            </w:r>
          </w:p>
        </w:tc>
        <w:tc>
          <w:tcPr>
            <w:tcW w:w="1134" w:type="dxa"/>
            <w:noWrap/>
            <w:vAlign w:val="center"/>
            <w:hideMark/>
          </w:tcPr>
          <w:p w14:paraId="5F06EF97"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8,6</w:t>
            </w:r>
          </w:p>
        </w:tc>
        <w:tc>
          <w:tcPr>
            <w:tcW w:w="1018" w:type="dxa"/>
            <w:noWrap/>
            <w:vAlign w:val="center"/>
            <w:hideMark/>
          </w:tcPr>
          <w:p w14:paraId="28225EC8"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8,3</w:t>
            </w:r>
          </w:p>
        </w:tc>
        <w:tc>
          <w:tcPr>
            <w:tcW w:w="851" w:type="dxa"/>
            <w:noWrap/>
            <w:vAlign w:val="center"/>
            <w:hideMark/>
          </w:tcPr>
          <w:p w14:paraId="499AD9D9" w14:textId="77777777" w:rsidR="00F63704" w:rsidRPr="00FD0882"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D0882">
              <w:rPr>
                <w:rFonts w:cs="Times New Roman"/>
                <w:sz w:val="20"/>
                <w:szCs w:val="20"/>
              </w:rPr>
              <w:t>5,6</w:t>
            </w:r>
          </w:p>
        </w:tc>
      </w:tr>
    </w:tbl>
    <w:p w14:paraId="3D393E4F" w14:textId="77777777" w:rsidR="00F63704" w:rsidRPr="00392F2F" w:rsidRDefault="00F63704" w:rsidP="00F63704">
      <w:pPr>
        <w:rPr>
          <w:rFonts w:cs="Times New Roman"/>
          <w:b/>
          <w:sz w:val="22"/>
        </w:rPr>
      </w:pPr>
      <w:r w:rsidRPr="00392F2F">
        <w:rPr>
          <w:rFonts w:cs="Times New Roman"/>
          <w:b/>
          <w:sz w:val="22"/>
        </w:rPr>
        <w:t>Stan w dniu 31 XII</w:t>
      </w:r>
    </w:p>
    <w:p w14:paraId="58182B26" w14:textId="4F954838" w:rsidR="00F63704" w:rsidRPr="00392F2F" w:rsidRDefault="00F63704" w:rsidP="00F63704">
      <w:pPr>
        <w:rPr>
          <w:rFonts w:cs="Times New Roman"/>
          <w:b/>
          <w:sz w:val="22"/>
        </w:rPr>
      </w:pPr>
      <w:r w:rsidRPr="00392F2F">
        <w:rPr>
          <w:rFonts w:cs="Times New Roman"/>
          <w:b/>
          <w:sz w:val="22"/>
        </w:rPr>
        <w:t>Źródło: Wyniki bieżących bilansów ludności, GUS</w:t>
      </w:r>
      <w:r w:rsidR="00392F2F">
        <w:rPr>
          <w:rFonts w:cs="Times New Roman"/>
          <w:b/>
          <w:sz w:val="22"/>
        </w:rPr>
        <w:t>.</w:t>
      </w:r>
    </w:p>
    <w:p w14:paraId="323C3177" w14:textId="096FE5F4" w:rsidR="00F63704" w:rsidRDefault="00F63704" w:rsidP="00F63704">
      <w:pPr>
        <w:pStyle w:val="Default"/>
        <w:spacing w:line="276" w:lineRule="auto"/>
        <w:jc w:val="both"/>
        <w:rPr>
          <w:rFonts w:ascii="Times New Roman" w:hAnsi="Times New Roman" w:cs="Times New Roman"/>
          <w:color w:val="FF0000"/>
        </w:rPr>
      </w:pPr>
    </w:p>
    <w:p w14:paraId="24D58980" w14:textId="77777777" w:rsidR="00392F2F" w:rsidRPr="0092226B" w:rsidRDefault="00392F2F" w:rsidP="00F63704">
      <w:pPr>
        <w:pStyle w:val="Default"/>
        <w:spacing w:line="276" w:lineRule="auto"/>
        <w:jc w:val="both"/>
        <w:rPr>
          <w:rFonts w:ascii="Times New Roman" w:hAnsi="Times New Roman" w:cs="Times New Roman"/>
          <w:color w:val="FF0000"/>
        </w:rPr>
      </w:pPr>
    </w:p>
    <w:p w14:paraId="4A4261D8" w14:textId="77777777" w:rsidR="00F63704" w:rsidRDefault="00F63704" w:rsidP="00F174A6">
      <w:pPr>
        <w:autoSpaceDE w:val="0"/>
        <w:autoSpaceDN w:val="0"/>
        <w:adjustRightInd w:val="0"/>
        <w:rPr>
          <w:rFonts w:cs="Times New Roman"/>
        </w:rPr>
      </w:pPr>
      <w:r w:rsidRPr="00866874">
        <w:rPr>
          <w:rFonts w:cs="Times New Roman"/>
        </w:rPr>
        <w:lastRenderedPageBreak/>
        <w:t xml:space="preserve">W subpopulacji osób starszych najliczniejszą grupę (27,3%) stanowią najmłodsi seniorzy, czyli osoby w wieku 60-64 lata, jednakże w stosunku do roku poprzedniego ich udział w ogóle osób starszych zmniejszył się o 1,1 p. proc. Drugą pod względem liczebności grupę stanowią osoby </w:t>
      </w:r>
      <w:r w:rsidR="00F174A6">
        <w:rPr>
          <w:rFonts w:cs="Times New Roman"/>
        </w:rPr>
        <w:t>w </w:t>
      </w:r>
      <w:r w:rsidRPr="00866874">
        <w:rPr>
          <w:rFonts w:cs="Times New Roman"/>
        </w:rPr>
        <w:t>wieku 65-69 (ponad jednej czwartej osób w wieku senioralnym). Liczba tych osób w stosunku do roku poprzedniego wzrosła 0,2 p. proc. Mniej liczną, ale naj</w:t>
      </w:r>
      <w:r w:rsidR="00F174A6">
        <w:rPr>
          <w:rFonts w:cs="Times New Roman"/>
        </w:rPr>
        <w:t>szybciej rosnącą (w stosunku do </w:t>
      </w:r>
      <w:r w:rsidRPr="00866874">
        <w:rPr>
          <w:rFonts w:cs="Times New Roman"/>
        </w:rPr>
        <w:t>roku poprzedniego) jest grupa osób w wieku 70-74 lata. Lic</w:t>
      </w:r>
      <w:r w:rsidR="00F174A6">
        <w:rPr>
          <w:rFonts w:cs="Times New Roman"/>
        </w:rPr>
        <w:t>zba osób w tym wieku wzrosła o </w:t>
      </w:r>
      <w:r w:rsidRPr="00866874">
        <w:rPr>
          <w:rFonts w:cs="Times New Roman"/>
        </w:rPr>
        <w:t>1,5 p. proc. Należy zwrócić uwagę, że około 17,1% osób star</w:t>
      </w:r>
      <w:r w:rsidR="00F174A6">
        <w:rPr>
          <w:rFonts w:cs="Times New Roman"/>
        </w:rPr>
        <w:t>szych stanowią osoby w wieku co </w:t>
      </w:r>
      <w:r w:rsidRPr="00866874">
        <w:rPr>
          <w:rFonts w:cs="Times New Roman"/>
        </w:rPr>
        <w:t>najmniej 80 lat.</w:t>
      </w:r>
    </w:p>
    <w:p w14:paraId="6FB07D79" w14:textId="77777777" w:rsidR="00F174A6" w:rsidRDefault="00F174A6" w:rsidP="00F174A6">
      <w:pPr>
        <w:autoSpaceDE w:val="0"/>
        <w:autoSpaceDN w:val="0"/>
        <w:adjustRightInd w:val="0"/>
        <w:rPr>
          <w:rFonts w:cs="Times New Roman"/>
        </w:rPr>
      </w:pPr>
    </w:p>
    <w:p w14:paraId="60CA7B46" w14:textId="3EA62F1F" w:rsidR="00F174A6" w:rsidRDefault="00F174A6" w:rsidP="00F174A6">
      <w:pPr>
        <w:autoSpaceDE w:val="0"/>
        <w:autoSpaceDN w:val="0"/>
        <w:adjustRightInd w:val="0"/>
        <w:rPr>
          <w:rFonts w:cs="Times New Roman"/>
        </w:rPr>
      </w:pPr>
      <w:r>
        <w:rPr>
          <w:rFonts w:cs="Times New Roman"/>
        </w:rPr>
        <w:t>Wraz z wiekiem zwiększa się również współczynnik feminizacji</w:t>
      </w:r>
      <w:r w:rsidR="00565D9B">
        <w:rPr>
          <w:rFonts w:cs="Times New Roman"/>
        </w:rPr>
        <w:t>. W grupie osób liczących 60 lat i więcej na 100 mężczyzn przypada</w:t>
      </w:r>
      <w:r w:rsidR="00565D9B" w:rsidRPr="00565D9B">
        <w:rPr>
          <w:rFonts w:cs="Times New Roman"/>
        </w:rPr>
        <w:t xml:space="preserve"> 139</w:t>
      </w:r>
      <w:r w:rsidR="00565D9B">
        <w:rPr>
          <w:rFonts w:cs="Times New Roman"/>
        </w:rPr>
        <w:t xml:space="preserve"> kobiet</w:t>
      </w:r>
      <w:r w:rsidR="00565D9B" w:rsidRPr="00565D9B">
        <w:rPr>
          <w:rFonts w:cs="Times New Roman"/>
        </w:rPr>
        <w:t xml:space="preserve"> (dla ludności Polski wskaźnik feminizacji wynosi 107). </w:t>
      </w:r>
      <w:r w:rsidR="00565D9B" w:rsidRPr="00565D9B">
        <w:rPr>
          <w:rFonts w:cs="Times New Roman"/>
          <w:szCs w:val="24"/>
        </w:rPr>
        <w:t>Przewaga liczebna kobiet wzrasta wraz z przechodzeniem do kolejnych grup wieku</w:t>
      </w:r>
      <w:r w:rsidR="00AD7202">
        <w:rPr>
          <w:rFonts w:cs="Times New Roman"/>
          <w:szCs w:val="24"/>
        </w:rPr>
        <w:t>,</w:t>
      </w:r>
      <w:r w:rsidR="00565D9B">
        <w:rPr>
          <w:rFonts w:cs="Times New Roman"/>
          <w:szCs w:val="24"/>
        </w:rPr>
        <w:t xml:space="preserve"> co ilustruje poniższa tabela.</w:t>
      </w:r>
      <w:r>
        <w:rPr>
          <w:rFonts w:cs="Times New Roman"/>
        </w:rPr>
        <w:t xml:space="preserve"> </w:t>
      </w:r>
      <w:r w:rsidR="00565D9B">
        <w:rPr>
          <w:rFonts w:cs="Times New Roman"/>
        </w:rPr>
        <w:t>Warto również podkreślić, że przedmiotowy współczynnik jest większy w miastach niż na terenach wiejskich.</w:t>
      </w:r>
    </w:p>
    <w:p w14:paraId="52E8110F" w14:textId="77777777" w:rsidR="00F174A6" w:rsidRDefault="00F174A6" w:rsidP="00F174A6">
      <w:pPr>
        <w:autoSpaceDE w:val="0"/>
        <w:autoSpaceDN w:val="0"/>
        <w:adjustRightInd w:val="0"/>
        <w:rPr>
          <w:rFonts w:cs="Times New Roman"/>
        </w:rPr>
      </w:pPr>
    </w:p>
    <w:p w14:paraId="2BE3441E" w14:textId="04627CAF" w:rsidR="00F174A6" w:rsidRPr="00F174A6" w:rsidRDefault="00F174A6" w:rsidP="00F174A6">
      <w:pPr>
        <w:pStyle w:val="Legenda"/>
        <w:keepNext/>
        <w:rPr>
          <w:rFonts w:cs="Times New Roman"/>
          <w:b/>
          <w:i w:val="0"/>
          <w:color w:val="auto"/>
          <w:sz w:val="24"/>
        </w:rPr>
      </w:pPr>
      <w:bookmarkStart w:id="6" w:name="_Toc49171379"/>
      <w:r w:rsidRPr="00F174A6">
        <w:rPr>
          <w:rFonts w:cs="Times New Roman"/>
          <w:b/>
          <w:i w:val="0"/>
          <w:color w:val="auto"/>
          <w:sz w:val="24"/>
        </w:rPr>
        <w:t>Tabela 2</w:t>
      </w:r>
      <w:r w:rsidR="00EE73AF">
        <w:rPr>
          <w:rFonts w:cs="Times New Roman"/>
          <w:b/>
          <w:i w:val="0"/>
          <w:color w:val="auto"/>
          <w:sz w:val="24"/>
        </w:rPr>
        <w:t>.</w:t>
      </w:r>
      <w:r w:rsidRPr="00F174A6">
        <w:rPr>
          <w:rFonts w:cs="Times New Roman"/>
          <w:b/>
          <w:i w:val="0"/>
          <w:color w:val="auto"/>
          <w:sz w:val="24"/>
        </w:rPr>
        <w:t xml:space="preserve"> Współczynnik feminizacji w 2020 r.</w:t>
      </w:r>
      <w:bookmarkEnd w:id="6"/>
      <w:r>
        <w:rPr>
          <w:rStyle w:val="Odwoanieprzypisudolnego"/>
          <w:rFonts w:cs="Times New Roman"/>
          <w:b/>
          <w:i w:val="0"/>
          <w:color w:val="auto"/>
          <w:sz w:val="24"/>
        </w:rPr>
        <w:footnoteReference w:id="2"/>
      </w:r>
    </w:p>
    <w:tbl>
      <w:tblPr>
        <w:tblStyle w:val="Tabelasiatki5ciemnaakcent2"/>
        <w:tblW w:w="9356" w:type="dxa"/>
        <w:tblLayout w:type="fixed"/>
        <w:tblLook w:val="04A0" w:firstRow="1" w:lastRow="0" w:firstColumn="1" w:lastColumn="0" w:noHBand="0" w:noVBand="1"/>
      </w:tblPr>
      <w:tblGrid>
        <w:gridCol w:w="3544"/>
        <w:gridCol w:w="1937"/>
        <w:gridCol w:w="1937"/>
        <w:gridCol w:w="1938"/>
      </w:tblGrid>
      <w:tr w:rsidR="00565D9B" w:rsidRPr="00F174A6" w14:paraId="431BAB19" w14:textId="77777777" w:rsidTr="00565D9B">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544" w:type="dxa"/>
            <w:vAlign w:val="center"/>
            <w:hideMark/>
          </w:tcPr>
          <w:p w14:paraId="48B8FA4E" w14:textId="77777777" w:rsidR="00F174A6" w:rsidRPr="00565D9B" w:rsidRDefault="00F174A6" w:rsidP="00565D9B">
            <w:pPr>
              <w:spacing w:line="240" w:lineRule="auto"/>
              <w:jc w:val="center"/>
              <w:rPr>
                <w:rFonts w:eastAsia="Times New Roman" w:cs="Times New Roman"/>
                <w:color w:val="auto"/>
                <w:sz w:val="20"/>
                <w:szCs w:val="20"/>
                <w:lang w:eastAsia="pl-PL"/>
              </w:rPr>
            </w:pPr>
            <w:r w:rsidRPr="00565D9B">
              <w:rPr>
                <w:rFonts w:eastAsia="Times New Roman" w:cs="Times New Roman"/>
                <w:color w:val="auto"/>
                <w:sz w:val="20"/>
                <w:szCs w:val="20"/>
                <w:lang w:eastAsia="pl-PL"/>
              </w:rPr>
              <w:t>Grupy wieku</w:t>
            </w:r>
          </w:p>
        </w:tc>
        <w:tc>
          <w:tcPr>
            <w:tcW w:w="1937" w:type="dxa"/>
            <w:noWrap/>
            <w:vAlign w:val="center"/>
            <w:hideMark/>
          </w:tcPr>
          <w:p w14:paraId="7B676025" w14:textId="77777777" w:rsidR="00F174A6" w:rsidRPr="00565D9B" w:rsidRDefault="00F174A6" w:rsidP="00565D9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565D9B">
              <w:rPr>
                <w:rFonts w:eastAsia="Times New Roman" w:cs="Times New Roman"/>
                <w:color w:val="auto"/>
                <w:sz w:val="20"/>
                <w:szCs w:val="20"/>
                <w:lang w:eastAsia="pl-PL"/>
              </w:rPr>
              <w:t>Ogółem</w:t>
            </w:r>
          </w:p>
        </w:tc>
        <w:tc>
          <w:tcPr>
            <w:tcW w:w="1937" w:type="dxa"/>
            <w:noWrap/>
            <w:vAlign w:val="center"/>
            <w:hideMark/>
          </w:tcPr>
          <w:p w14:paraId="47E0552A" w14:textId="77777777" w:rsidR="00F174A6" w:rsidRPr="00565D9B" w:rsidRDefault="00F174A6" w:rsidP="00565D9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565D9B">
              <w:rPr>
                <w:rFonts w:eastAsia="Times New Roman" w:cs="Times New Roman"/>
                <w:color w:val="auto"/>
                <w:sz w:val="20"/>
                <w:szCs w:val="20"/>
                <w:lang w:eastAsia="pl-PL"/>
              </w:rPr>
              <w:t>Miasta</w:t>
            </w:r>
          </w:p>
        </w:tc>
        <w:tc>
          <w:tcPr>
            <w:tcW w:w="1938" w:type="dxa"/>
            <w:noWrap/>
            <w:vAlign w:val="center"/>
            <w:hideMark/>
          </w:tcPr>
          <w:p w14:paraId="0430117D" w14:textId="77777777" w:rsidR="00F174A6" w:rsidRPr="00565D9B" w:rsidRDefault="00F174A6" w:rsidP="00565D9B">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565D9B">
              <w:rPr>
                <w:rFonts w:eastAsia="Times New Roman" w:cs="Times New Roman"/>
                <w:color w:val="auto"/>
                <w:sz w:val="20"/>
                <w:szCs w:val="20"/>
                <w:lang w:eastAsia="pl-PL"/>
              </w:rPr>
              <w:t>Wieś</w:t>
            </w:r>
          </w:p>
        </w:tc>
      </w:tr>
      <w:tr w:rsidR="00F174A6" w:rsidRPr="00F174A6" w14:paraId="44C70850" w14:textId="77777777" w:rsidTr="00565D9B">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77FAAE3" w14:textId="77777777" w:rsidR="00F174A6" w:rsidRPr="00565D9B" w:rsidRDefault="00F174A6" w:rsidP="00F174A6">
            <w:pPr>
              <w:spacing w:line="240" w:lineRule="auto"/>
              <w:rPr>
                <w:rFonts w:eastAsia="Times New Roman" w:cs="Times New Roman"/>
                <w:color w:val="auto"/>
                <w:sz w:val="20"/>
                <w:szCs w:val="20"/>
                <w:lang w:eastAsia="pl-PL"/>
              </w:rPr>
            </w:pPr>
            <w:r w:rsidRPr="00565D9B">
              <w:rPr>
                <w:rFonts w:eastAsia="Times New Roman" w:cs="Times New Roman"/>
                <w:color w:val="auto"/>
                <w:sz w:val="20"/>
                <w:szCs w:val="20"/>
                <w:lang w:eastAsia="pl-PL"/>
              </w:rPr>
              <w:t>Ogółem</w:t>
            </w:r>
          </w:p>
        </w:tc>
        <w:tc>
          <w:tcPr>
            <w:tcW w:w="1937" w:type="dxa"/>
            <w:noWrap/>
            <w:vAlign w:val="center"/>
            <w:hideMark/>
          </w:tcPr>
          <w:p w14:paraId="17CB80E9" w14:textId="77777777" w:rsidR="00F174A6" w:rsidRPr="00565D9B" w:rsidRDefault="00F174A6" w:rsidP="00565D9B">
            <w:pPr>
              <w:jc w:val="center"/>
              <w:cnfStyle w:val="000000100000" w:firstRow="0" w:lastRow="0" w:firstColumn="0" w:lastColumn="0" w:oddVBand="0" w:evenVBand="0" w:oddHBand="1" w:evenHBand="0" w:firstRowFirstColumn="0" w:firstRowLastColumn="0" w:lastRowFirstColumn="0" w:lastRowLastColumn="0"/>
              <w:rPr>
                <w:sz w:val="20"/>
                <w:szCs w:val="20"/>
              </w:rPr>
            </w:pPr>
            <w:r w:rsidRPr="00565D9B">
              <w:rPr>
                <w:sz w:val="20"/>
                <w:szCs w:val="20"/>
              </w:rPr>
              <w:t>107</w:t>
            </w:r>
          </w:p>
        </w:tc>
        <w:tc>
          <w:tcPr>
            <w:tcW w:w="1937" w:type="dxa"/>
            <w:noWrap/>
            <w:vAlign w:val="center"/>
            <w:hideMark/>
          </w:tcPr>
          <w:p w14:paraId="751D3831" w14:textId="77777777" w:rsidR="00F174A6" w:rsidRPr="00565D9B" w:rsidRDefault="00F174A6" w:rsidP="00565D9B">
            <w:pPr>
              <w:jc w:val="center"/>
              <w:cnfStyle w:val="000000100000" w:firstRow="0" w:lastRow="0" w:firstColumn="0" w:lastColumn="0" w:oddVBand="0" w:evenVBand="0" w:oddHBand="1" w:evenHBand="0" w:firstRowFirstColumn="0" w:firstRowLastColumn="0" w:lastRowFirstColumn="0" w:lastRowLastColumn="0"/>
              <w:rPr>
                <w:sz w:val="20"/>
                <w:szCs w:val="20"/>
              </w:rPr>
            </w:pPr>
            <w:r w:rsidRPr="00565D9B">
              <w:rPr>
                <w:sz w:val="20"/>
                <w:szCs w:val="20"/>
              </w:rPr>
              <w:t>111</w:t>
            </w:r>
          </w:p>
        </w:tc>
        <w:tc>
          <w:tcPr>
            <w:tcW w:w="1938" w:type="dxa"/>
            <w:noWrap/>
            <w:vAlign w:val="center"/>
            <w:hideMark/>
          </w:tcPr>
          <w:p w14:paraId="7D01AFED" w14:textId="77777777" w:rsidR="00F174A6" w:rsidRPr="00565D9B" w:rsidRDefault="00F174A6" w:rsidP="00565D9B">
            <w:pPr>
              <w:jc w:val="center"/>
              <w:cnfStyle w:val="000000100000" w:firstRow="0" w:lastRow="0" w:firstColumn="0" w:lastColumn="0" w:oddVBand="0" w:evenVBand="0" w:oddHBand="1" w:evenHBand="0" w:firstRowFirstColumn="0" w:firstRowLastColumn="0" w:lastRowFirstColumn="0" w:lastRowLastColumn="0"/>
              <w:rPr>
                <w:sz w:val="20"/>
                <w:szCs w:val="20"/>
              </w:rPr>
            </w:pPr>
            <w:r w:rsidRPr="00565D9B">
              <w:rPr>
                <w:sz w:val="20"/>
                <w:szCs w:val="20"/>
              </w:rPr>
              <w:t>101</w:t>
            </w:r>
          </w:p>
        </w:tc>
      </w:tr>
      <w:tr w:rsidR="00F174A6" w:rsidRPr="00F174A6" w14:paraId="18DBA560" w14:textId="77777777" w:rsidTr="00565D9B">
        <w:trPr>
          <w:trHeight w:val="301"/>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296D096" w14:textId="77777777" w:rsidR="00F174A6" w:rsidRPr="00565D9B" w:rsidRDefault="00F174A6" w:rsidP="00F174A6">
            <w:pPr>
              <w:spacing w:line="240" w:lineRule="auto"/>
              <w:rPr>
                <w:rFonts w:eastAsia="Times New Roman" w:cs="Times New Roman"/>
                <w:color w:val="auto"/>
                <w:sz w:val="20"/>
                <w:szCs w:val="20"/>
                <w:lang w:eastAsia="pl-PL"/>
              </w:rPr>
            </w:pPr>
            <w:r w:rsidRPr="00565D9B">
              <w:rPr>
                <w:rFonts w:eastAsia="Times New Roman" w:cs="Times New Roman"/>
                <w:color w:val="auto"/>
                <w:sz w:val="20"/>
                <w:szCs w:val="20"/>
                <w:lang w:eastAsia="pl-PL"/>
              </w:rPr>
              <w:t xml:space="preserve">w tym 60 lat i więcej </w:t>
            </w:r>
          </w:p>
        </w:tc>
        <w:tc>
          <w:tcPr>
            <w:tcW w:w="1937" w:type="dxa"/>
            <w:noWrap/>
            <w:vAlign w:val="center"/>
            <w:hideMark/>
          </w:tcPr>
          <w:p w14:paraId="0ECCD712" w14:textId="77777777" w:rsidR="00F174A6" w:rsidRPr="00565D9B" w:rsidRDefault="00F174A6" w:rsidP="00565D9B">
            <w:pPr>
              <w:jc w:val="center"/>
              <w:cnfStyle w:val="000000000000" w:firstRow="0" w:lastRow="0" w:firstColumn="0" w:lastColumn="0" w:oddVBand="0" w:evenVBand="0" w:oddHBand="0" w:evenHBand="0" w:firstRowFirstColumn="0" w:firstRowLastColumn="0" w:lastRowFirstColumn="0" w:lastRowLastColumn="0"/>
              <w:rPr>
                <w:sz w:val="20"/>
                <w:szCs w:val="20"/>
              </w:rPr>
            </w:pPr>
            <w:r w:rsidRPr="00565D9B">
              <w:rPr>
                <w:sz w:val="20"/>
                <w:szCs w:val="20"/>
              </w:rPr>
              <w:t>139</w:t>
            </w:r>
          </w:p>
        </w:tc>
        <w:tc>
          <w:tcPr>
            <w:tcW w:w="1937" w:type="dxa"/>
            <w:noWrap/>
            <w:vAlign w:val="center"/>
            <w:hideMark/>
          </w:tcPr>
          <w:p w14:paraId="63639971" w14:textId="77777777" w:rsidR="00F174A6" w:rsidRPr="00565D9B" w:rsidRDefault="00F174A6" w:rsidP="00565D9B">
            <w:pPr>
              <w:jc w:val="center"/>
              <w:cnfStyle w:val="000000000000" w:firstRow="0" w:lastRow="0" w:firstColumn="0" w:lastColumn="0" w:oddVBand="0" w:evenVBand="0" w:oddHBand="0" w:evenHBand="0" w:firstRowFirstColumn="0" w:firstRowLastColumn="0" w:lastRowFirstColumn="0" w:lastRowLastColumn="0"/>
              <w:rPr>
                <w:sz w:val="20"/>
                <w:szCs w:val="20"/>
              </w:rPr>
            </w:pPr>
            <w:r w:rsidRPr="00565D9B">
              <w:rPr>
                <w:sz w:val="20"/>
                <w:szCs w:val="20"/>
              </w:rPr>
              <w:t>146</w:t>
            </w:r>
          </w:p>
        </w:tc>
        <w:tc>
          <w:tcPr>
            <w:tcW w:w="1938" w:type="dxa"/>
            <w:noWrap/>
            <w:vAlign w:val="center"/>
            <w:hideMark/>
          </w:tcPr>
          <w:p w14:paraId="7F025DF6" w14:textId="77777777" w:rsidR="00F174A6" w:rsidRPr="00565D9B" w:rsidRDefault="00F174A6" w:rsidP="00565D9B">
            <w:pPr>
              <w:jc w:val="center"/>
              <w:cnfStyle w:val="000000000000" w:firstRow="0" w:lastRow="0" w:firstColumn="0" w:lastColumn="0" w:oddVBand="0" w:evenVBand="0" w:oddHBand="0" w:evenHBand="0" w:firstRowFirstColumn="0" w:firstRowLastColumn="0" w:lastRowFirstColumn="0" w:lastRowLastColumn="0"/>
              <w:rPr>
                <w:sz w:val="20"/>
                <w:szCs w:val="20"/>
              </w:rPr>
            </w:pPr>
            <w:r w:rsidRPr="00565D9B">
              <w:rPr>
                <w:sz w:val="20"/>
                <w:szCs w:val="20"/>
              </w:rPr>
              <w:t>126</w:t>
            </w:r>
          </w:p>
        </w:tc>
      </w:tr>
      <w:tr w:rsidR="00F174A6" w:rsidRPr="00F174A6" w14:paraId="78810B08" w14:textId="77777777" w:rsidTr="00565D9B">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D6402DB" w14:textId="77777777" w:rsidR="00F174A6" w:rsidRPr="00565D9B" w:rsidRDefault="00F174A6" w:rsidP="00F174A6">
            <w:pPr>
              <w:spacing w:line="240" w:lineRule="auto"/>
              <w:rPr>
                <w:rFonts w:eastAsia="Times New Roman" w:cs="Times New Roman"/>
                <w:color w:val="auto"/>
                <w:sz w:val="20"/>
                <w:szCs w:val="20"/>
                <w:lang w:eastAsia="pl-PL"/>
              </w:rPr>
            </w:pPr>
            <w:r w:rsidRPr="00565D9B">
              <w:rPr>
                <w:rFonts w:eastAsia="Times New Roman" w:cs="Times New Roman"/>
                <w:color w:val="auto"/>
                <w:sz w:val="20"/>
                <w:szCs w:val="20"/>
                <w:lang w:eastAsia="pl-PL"/>
              </w:rPr>
              <w:t>60-64 lata</w:t>
            </w:r>
          </w:p>
        </w:tc>
        <w:tc>
          <w:tcPr>
            <w:tcW w:w="1937" w:type="dxa"/>
            <w:noWrap/>
            <w:vAlign w:val="center"/>
            <w:hideMark/>
          </w:tcPr>
          <w:p w14:paraId="40CE6121" w14:textId="77777777" w:rsidR="00F174A6" w:rsidRPr="00565D9B" w:rsidRDefault="00F174A6" w:rsidP="00565D9B">
            <w:pPr>
              <w:jc w:val="center"/>
              <w:cnfStyle w:val="000000100000" w:firstRow="0" w:lastRow="0" w:firstColumn="0" w:lastColumn="0" w:oddVBand="0" w:evenVBand="0" w:oddHBand="1" w:evenHBand="0" w:firstRowFirstColumn="0" w:firstRowLastColumn="0" w:lastRowFirstColumn="0" w:lastRowLastColumn="0"/>
              <w:rPr>
                <w:sz w:val="20"/>
                <w:szCs w:val="20"/>
              </w:rPr>
            </w:pPr>
            <w:r w:rsidRPr="00565D9B">
              <w:rPr>
                <w:sz w:val="20"/>
                <w:szCs w:val="20"/>
              </w:rPr>
              <w:t>113</w:t>
            </w:r>
          </w:p>
        </w:tc>
        <w:tc>
          <w:tcPr>
            <w:tcW w:w="1937" w:type="dxa"/>
            <w:noWrap/>
            <w:vAlign w:val="center"/>
            <w:hideMark/>
          </w:tcPr>
          <w:p w14:paraId="4870F319" w14:textId="77777777" w:rsidR="00F174A6" w:rsidRPr="00565D9B" w:rsidRDefault="00F174A6" w:rsidP="00565D9B">
            <w:pPr>
              <w:jc w:val="center"/>
              <w:cnfStyle w:val="000000100000" w:firstRow="0" w:lastRow="0" w:firstColumn="0" w:lastColumn="0" w:oddVBand="0" w:evenVBand="0" w:oddHBand="1" w:evenHBand="0" w:firstRowFirstColumn="0" w:firstRowLastColumn="0" w:lastRowFirstColumn="0" w:lastRowLastColumn="0"/>
              <w:rPr>
                <w:sz w:val="20"/>
                <w:szCs w:val="20"/>
              </w:rPr>
            </w:pPr>
            <w:r w:rsidRPr="00565D9B">
              <w:rPr>
                <w:sz w:val="20"/>
                <w:szCs w:val="20"/>
              </w:rPr>
              <w:t>123</w:t>
            </w:r>
          </w:p>
        </w:tc>
        <w:tc>
          <w:tcPr>
            <w:tcW w:w="1938" w:type="dxa"/>
            <w:noWrap/>
            <w:vAlign w:val="center"/>
            <w:hideMark/>
          </w:tcPr>
          <w:p w14:paraId="302AE431" w14:textId="77777777" w:rsidR="00F174A6" w:rsidRPr="00565D9B" w:rsidRDefault="00F174A6" w:rsidP="00565D9B">
            <w:pPr>
              <w:jc w:val="center"/>
              <w:cnfStyle w:val="000000100000" w:firstRow="0" w:lastRow="0" w:firstColumn="0" w:lastColumn="0" w:oddVBand="0" w:evenVBand="0" w:oddHBand="1" w:evenHBand="0" w:firstRowFirstColumn="0" w:firstRowLastColumn="0" w:lastRowFirstColumn="0" w:lastRowLastColumn="0"/>
              <w:rPr>
                <w:sz w:val="20"/>
                <w:szCs w:val="20"/>
              </w:rPr>
            </w:pPr>
            <w:r w:rsidRPr="00565D9B">
              <w:rPr>
                <w:sz w:val="20"/>
                <w:szCs w:val="20"/>
              </w:rPr>
              <w:t>98</w:t>
            </w:r>
          </w:p>
        </w:tc>
      </w:tr>
      <w:tr w:rsidR="00F174A6" w:rsidRPr="00F174A6" w14:paraId="09C60F81" w14:textId="77777777" w:rsidTr="00565D9B">
        <w:trPr>
          <w:trHeight w:val="301"/>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9912CF1" w14:textId="77777777" w:rsidR="00F174A6" w:rsidRPr="00565D9B" w:rsidRDefault="00F174A6" w:rsidP="00F174A6">
            <w:pPr>
              <w:spacing w:line="240" w:lineRule="auto"/>
              <w:rPr>
                <w:rFonts w:eastAsia="Times New Roman" w:cs="Times New Roman"/>
                <w:color w:val="auto"/>
                <w:sz w:val="20"/>
                <w:szCs w:val="20"/>
                <w:lang w:eastAsia="pl-PL"/>
              </w:rPr>
            </w:pPr>
            <w:r w:rsidRPr="00565D9B">
              <w:rPr>
                <w:rFonts w:eastAsia="Times New Roman" w:cs="Times New Roman"/>
                <w:color w:val="auto"/>
                <w:sz w:val="20"/>
                <w:szCs w:val="20"/>
                <w:lang w:eastAsia="pl-PL"/>
              </w:rPr>
              <w:t>65-69</w:t>
            </w:r>
          </w:p>
        </w:tc>
        <w:tc>
          <w:tcPr>
            <w:tcW w:w="1937" w:type="dxa"/>
            <w:noWrap/>
            <w:vAlign w:val="center"/>
            <w:hideMark/>
          </w:tcPr>
          <w:p w14:paraId="2175D6EB" w14:textId="77777777" w:rsidR="00F174A6" w:rsidRPr="00565D9B" w:rsidRDefault="00F174A6" w:rsidP="00565D9B">
            <w:pPr>
              <w:jc w:val="center"/>
              <w:cnfStyle w:val="000000000000" w:firstRow="0" w:lastRow="0" w:firstColumn="0" w:lastColumn="0" w:oddVBand="0" w:evenVBand="0" w:oddHBand="0" w:evenHBand="0" w:firstRowFirstColumn="0" w:firstRowLastColumn="0" w:lastRowFirstColumn="0" w:lastRowLastColumn="0"/>
              <w:rPr>
                <w:sz w:val="20"/>
                <w:szCs w:val="20"/>
              </w:rPr>
            </w:pPr>
            <w:r w:rsidRPr="00565D9B">
              <w:rPr>
                <w:sz w:val="20"/>
                <w:szCs w:val="20"/>
              </w:rPr>
              <w:t>123</w:t>
            </w:r>
          </w:p>
        </w:tc>
        <w:tc>
          <w:tcPr>
            <w:tcW w:w="1937" w:type="dxa"/>
            <w:noWrap/>
            <w:vAlign w:val="center"/>
            <w:hideMark/>
          </w:tcPr>
          <w:p w14:paraId="40C2C625" w14:textId="77777777" w:rsidR="00F174A6" w:rsidRPr="00565D9B" w:rsidRDefault="00F174A6" w:rsidP="00565D9B">
            <w:pPr>
              <w:jc w:val="center"/>
              <w:cnfStyle w:val="000000000000" w:firstRow="0" w:lastRow="0" w:firstColumn="0" w:lastColumn="0" w:oddVBand="0" w:evenVBand="0" w:oddHBand="0" w:evenHBand="0" w:firstRowFirstColumn="0" w:firstRowLastColumn="0" w:lastRowFirstColumn="0" w:lastRowLastColumn="0"/>
              <w:rPr>
                <w:sz w:val="20"/>
                <w:szCs w:val="20"/>
              </w:rPr>
            </w:pPr>
            <w:r w:rsidRPr="00565D9B">
              <w:rPr>
                <w:sz w:val="20"/>
                <w:szCs w:val="20"/>
              </w:rPr>
              <w:t>133</w:t>
            </w:r>
          </w:p>
        </w:tc>
        <w:tc>
          <w:tcPr>
            <w:tcW w:w="1938" w:type="dxa"/>
            <w:noWrap/>
            <w:vAlign w:val="center"/>
            <w:hideMark/>
          </w:tcPr>
          <w:p w14:paraId="0B384BF1" w14:textId="77777777" w:rsidR="00F174A6" w:rsidRPr="00565D9B" w:rsidRDefault="00F174A6" w:rsidP="00565D9B">
            <w:pPr>
              <w:jc w:val="center"/>
              <w:cnfStyle w:val="000000000000" w:firstRow="0" w:lastRow="0" w:firstColumn="0" w:lastColumn="0" w:oddVBand="0" w:evenVBand="0" w:oddHBand="0" w:evenHBand="0" w:firstRowFirstColumn="0" w:firstRowLastColumn="0" w:lastRowFirstColumn="0" w:lastRowLastColumn="0"/>
              <w:rPr>
                <w:sz w:val="20"/>
                <w:szCs w:val="20"/>
              </w:rPr>
            </w:pPr>
            <w:r w:rsidRPr="00565D9B">
              <w:rPr>
                <w:sz w:val="20"/>
                <w:szCs w:val="20"/>
              </w:rPr>
              <w:t>106</w:t>
            </w:r>
          </w:p>
        </w:tc>
      </w:tr>
      <w:tr w:rsidR="00F174A6" w:rsidRPr="00F174A6" w14:paraId="0E741B25" w14:textId="77777777" w:rsidTr="00565D9B">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E4D8F20" w14:textId="77777777" w:rsidR="00F174A6" w:rsidRPr="00565D9B" w:rsidRDefault="00F174A6" w:rsidP="00F174A6">
            <w:pPr>
              <w:spacing w:line="240" w:lineRule="auto"/>
              <w:rPr>
                <w:rFonts w:eastAsia="Times New Roman" w:cs="Times New Roman"/>
                <w:color w:val="auto"/>
                <w:sz w:val="20"/>
                <w:szCs w:val="20"/>
                <w:lang w:eastAsia="pl-PL"/>
              </w:rPr>
            </w:pPr>
            <w:r w:rsidRPr="00565D9B">
              <w:rPr>
                <w:rFonts w:eastAsia="Times New Roman" w:cs="Times New Roman"/>
                <w:color w:val="auto"/>
                <w:sz w:val="20"/>
                <w:szCs w:val="20"/>
                <w:lang w:eastAsia="pl-PL"/>
              </w:rPr>
              <w:t>70-74</w:t>
            </w:r>
          </w:p>
        </w:tc>
        <w:tc>
          <w:tcPr>
            <w:tcW w:w="1937" w:type="dxa"/>
            <w:noWrap/>
            <w:vAlign w:val="center"/>
            <w:hideMark/>
          </w:tcPr>
          <w:p w14:paraId="50786822" w14:textId="77777777" w:rsidR="00F174A6" w:rsidRPr="00565D9B" w:rsidRDefault="00F174A6" w:rsidP="00565D9B">
            <w:pPr>
              <w:jc w:val="center"/>
              <w:cnfStyle w:val="000000100000" w:firstRow="0" w:lastRow="0" w:firstColumn="0" w:lastColumn="0" w:oddVBand="0" w:evenVBand="0" w:oddHBand="1" w:evenHBand="0" w:firstRowFirstColumn="0" w:firstRowLastColumn="0" w:lastRowFirstColumn="0" w:lastRowLastColumn="0"/>
              <w:rPr>
                <w:sz w:val="20"/>
                <w:szCs w:val="20"/>
              </w:rPr>
            </w:pPr>
            <w:r w:rsidRPr="00565D9B">
              <w:rPr>
                <w:sz w:val="20"/>
                <w:szCs w:val="20"/>
              </w:rPr>
              <w:t>137</w:t>
            </w:r>
          </w:p>
        </w:tc>
        <w:tc>
          <w:tcPr>
            <w:tcW w:w="1937" w:type="dxa"/>
            <w:noWrap/>
            <w:vAlign w:val="center"/>
            <w:hideMark/>
          </w:tcPr>
          <w:p w14:paraId="363FD252" w14:textId="77777777" w:rsidR="00F174A6" w:rsidRPr="00565D9B" w:rsidRDefault="00F174A6" w:rsidP="00565D9B">
            <w:pPr>
              <w:jc w:val="center"/>
              <w:cnfStyle w:val="000000100000" w:firstRow="0" w:lastRow="0" w:firstColumn="0" w:lastColumn="0" w:oddVBand="0" w:evenVBand="0" w:oddHBand="1" w:evenHBand="0" w:firstRowFirstColumn="0" w:firstRowLastColumn="0" w:lastRowFirstColumn="0" w:lastRowLastColumn="0"/>
              <w:rPr>
                <w:sz w:val="20"/>
                <w:szCs w:val="20"/>
              </w:rPr>
            </w:pPr>
            <w:r w:rsidRPr="00565D9B">
              <w:rPr>
                <w:sz w:val="20"/>
                <w:szCs w:val="20"/>
              </w:rPr>
              <w:t>143</w:t>
            </w:r>
          </w:p>
        </w:tc>
        <w:tc>
          <w:tcPr>
            <w:tcW w:w="1938" w:type="dxa"/>
            <w:noWrap/>
            <w:vAlign w:val="center"/>
            <w:hideMark/>
          </w:tcPr>
          <w:p w14:paraId="497451D4" w14:textId="77777777" w:rsidR="00F174A6" w:rsidRPr="00565D9B" w:rsidRDefault="00F174A6" w:rsidP="00565D9B">
            <w:pPr>
              <w:jc w:val="center"/>
              <w:cnfStyle w:val="000000100000" w:firstRow="0" w:lastRow="0" w:firstColumn="0" w:lastColumn="0" w:oddVBand="0" w:evenVBand="0" w:oddHBand="1" w:evenHBand="0" w:firstRowFirstColumn="0" w:firstRowLastColumn="0" w:lastRowFirstColumn="0" w:lastRowLastColumn="0"/>
              <w:rPr>
                <w:sz w:val="20"/>
                <w:szCs w:val="20"/>
              </w:rPr>
            </w:pPr>
            <w:r w:rsidRPr="00565D9B">
              <w:rPr>
                <w:sz w:val="20"/>
                <w:szCs w:val="20"/>
              </w:rPr>
              <w:t>124</w:t>
            </w:r>
          </w:p>
        </w:tc>
      </w:tr>
      <w:tr w:rsidR="00F174A6" w:rsidRPr="00F174A6" w14:paraId="52D713BD" w14:textId="77777777" w:rsidTr="00565D9B">
        <w:trPr>
          <w:trHeight w:val="301"/>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74207DA" w14:textId="77777777" w:rsidR="00F174A6" w:rsidRPr="00565D9B" w:rsidRDefault="00F174A6" w:rsidP="00F174A6">
            <w:pPr>
              <w:spacing w:line="240" w:lineRule="auto"/>
              <w:rPr>
                <w:rFonts w:eastAsia="Times New Roman" w:cs="Times New Roman"/>
                <w:color w:val="auto"/>
                <w:sz w:val="20"/>
                <w:szCs w:val="20"/>
                <w:lang w:eastAsia="pl-PL"/>
              </w:rPr>
            </w:pPr>
            <w:r w:rsidRPr="00565D9B">
              <w:rPr>
                <w:rFonts w:eastAsia="Times New Roman" w:cs="Times New Roman"/>
                <w:color w:val="auto"/>
                <w:sz w:val="20"/>
                <w:szCs w:val="20"/>
                <w:lang w:eastAsia="pl-PL"/>
              </w:rPr>
              <w:t>75-79</w:t>
            </w:r>
          </w:p>
        </w:tc>
        <w:tc>
          <w:tcPr>
            <w:tcW w:w="1937" w:type="dxa"/>
            <w:noWrap/>
            <w:vAlign w:val="center"/>
            <w:hideMark/>
          </w:tcPr>
          <w:p w14:paraId="5B33EC84" w14:textId="77777777" w:rsidR="00F174A6" w:rsidRPr="00565D9B" w:rsidRDefault="00F174A6" w:rsidP="00565D9B">
            <w:pPr>
              <w:jc w:val="center"/>
              <w:cnfStyle w:val="000000000000" w:firstRow="0" w:lastRow="0" w:firstColumn="0" w:lastColumn="0" w:oddVBand="0" w:evenVBand="0" w:oddHBand="0" w:evenHBand="0" w:firstRowFirstColumn="0" w:firstRowLastColumn="0" w:lastRowFirstColumn="0" w:lastRowLastColumn="0"/>
              <w:rPr>
                <w:sz w:val="20"/>
                <w:szCs w:val="20"/>
              </w:rPr>
            </w:pPr>
            <w:r w:rsidRPr="00565D9B">
              <w:rPr>
                <w:sz w:val="20"/>
                <w:szCs w:val="20"/>
              </w:rPr>
              <w:t>160</w:t>
            </w:r>
          </w:p>
        </w:tc>
        <w:tc>
          <w:tcPr>
            <w:tcW w:w="1937" w:type="dxa"/>
            <w:noWrap/>
            <w:vAlign w:val="center"/>
            <w:hideMark/>
          </w:tcPr>
          <w:p w14:paraId="7205783D" w14:textId="77777777" w:rsidR="00F174A6" w:rsidRPr="00565D9B" w:rsidRDefault="00F174A6" w:rsidP="00565D9B">
            <w:pPr>
              <w:jc w:val="center"/>
              <w:cnfStyle w:val="000000000000" w:firstRow="0" w:lastRow="0" w:firstColumn="0" w:lastColumn="0" w:oddVBand="0" w:evenVBand="0" w:oddHBand="0" w:evenHBand="0" w:firstRowFirstColumn="0" w:firstRowLastColumn="0" w:lastRowFirstColumn="0" w:lastRowLastColumn="0"/>
              <w:rPr>
                <w:sz w:val="20"/>
                <w:szCs w:val="20"/>
              </w:rPr>
            </w:pPr>
            <w:r w:rsidRPr="00565D9B">
              <w:rPr>
                <w:sz w:val="20"/>
                <w:szCs w:val="20"/>
              </w:rPr>
              <w:t>162</w:t>
            </w:r>
          </w:p>
        </w:tc>
        <w:tc>
          <w:tcPr>
            <w:tcW w:w="1938" w:type="dxa"/>
            <w:noWrap/>
            <w:vAlign w:val="center"/>
            <w:hideMark/>
          </w:tcPr>
          <w:p w14:paraId="56E2B8C4" w14:textId="77777777" w:rsidR="00F174A6" w:rsidRPr="00565D9B" w:rsidRDefault="00F174A6" w:rsidP="00565D9B">
            <w:pPr>
              <w:jc w:val="center"/>
              <w:cnfStyle w:val="000000000000" w:firstRow="0" w:lastRow="0" w:firstColumn="0" w:lastColumn="0" w:oddVBand="0" w:evenVBand="0" w:oddHBand="0" w:evenHBand="0" w:firstRowFirstColumn="0" w:firstRowLastColumn="0" w:lastRowFirstColumn="0" w:lastRowLastColumn="0"/>
              <w:rPr>
                <w:sz w:val="20"/>
                <w:szCs w:val="20"/>
              </w:rPr>
            </w:pPr>
            <w:r w:rsidRPr="00565D9B">
              <w:rPr>
                <w:sz w:val="20"/>
                <w:szCs w:val="20"/>
              </w:rPr>
              <w:t>155</w:t>
            </w:r>
          </w:p>
        </w:tc>
      </w:tr>
      <w:tr w:rsidR="00F174A6" w:rsidRPr="00F174A6" w14:paraId="0DD638D3" w14:textId="77777777" w:rsidTr="00565D9B">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44" w:type="dxa"/>
            <w:noWrap/>
            <w:hideMark/>
          </w:tcPr>
          <w:p w14:paraId="201D2004" w14:textId="77777777" w:rsidR="00F174A6" w:rsidRPr="00565D9B" w:rsidRDefault="00F174A6" w:rsidP="00F174A6">
            <w:pPr>
              <w:spacing w:line="240" w:lineRule="auto"/>
              <w:rPr>
                <w:rFonts w:eastAsia="Times New Roman" w:cs="Times New Roman"/>
                <w:color w:val="auto"/>
                <w:sz w:val="20"/>
                <w:szCs w:val="20"/>
                <w:lang w:eastAsia="pl-PL"/>
              </w:rPr>
            </w:pPr>
            <w:r w:rsidRPr="00565D9B">
              <w:rPr>
                <w:rFonts w:eastAsia="Times New Roman" w:cs="Times New Roman"/>
                <w:color w:val="auto"/>
                <w:sz w:val="20"/>
                <w:szCs w:val="20"/>
                <w:lang w:eastAsia="pl-PL"/>
              </w:rPr>
              <w:t>80-84</w:t>
            </w:r>
          </w:p>
        </w:tc>
        <w:tc>
          <w:tcPr>
            <w:tcW w:w="1937" w:type="dxa"/>
            <w:noWrap/>
            <w:vAlign w:val="center"/>
            <w:hideMark/>
          </w:tcPr>
          <w:p w14:paraId="1861F194" w14:textId="77777777" w:rsidR="00F174A6" w:rsidRPr="00565D9B" w:rsidRDefault="00F174A6" w:rsidP="00565D9B">
            <w:pPr>
              <w:jc w:val="center"/>
              <w:cnfStyle w:val="000000100000" w:firstRow="0" w:lastRow="0" w:firstColumn="0" w:lastColumn="0" w:oddVBand="0" w:evenVBand="0" w:oddHBand="1" w:evenHBand="0" w:firstRowFirstColumn="0" w:firstRowLastColumn="0" w:lastRowFirstColumn="0" w:lastRowLastColumn="0"/>
              <w:rPr>
                <w:sz w:val="20"/>
                <w:szCs w:val="20"/>
              </w:rPr>
            </w:pPr>
            <w:r w:rsidRPr="00565D9B">
              <w:rPr>
                <w:sz w:val="20"/>
                <w:szCs w:val="20"/>
              </w:rPr>
              <w:t>196</w:t>
            </w:r>
          </w:p>
        </w:tc>
        <w:tc>
          <w:tcPr>
            <w:tcW w:w="1937" w:type="dxa"/>
            <w:noWrap/>
            <w:vAlign w:val="center"/>
            <w:hideMark/>
          </w:tcPr>
          <w:p w14:paraId="007D701E" w14:textId="77777777" w:rsidR="00F174A6" w:rsidRPr="00565D9B" w:rsidRDefault="00F174A6" w:rsidP="00565D9B">
            <w:pPr>
              <w:jc w:val="center"/>
              <w:cnfStyle w:val="000000100000" w:firstRow="0" w:lastRow="0" w:firstColumn="0" w:lastColumn="0" w:oddVBand="0" w:evenVBand="0" w:oddHBand="1" w:evenHBand="0" w:firstRowFirstColumn="0" w:firstRowLastColumn="0" w:lastRowFirstColumn="0" w:lastRowLastColumn="0"/>
              <w:rPr>
                <w:sz w:val="20"/>
                <w:szCs w:val="20"/>
              </w:rPr>
            </w:pPr>
            <w:r w:rsidRPr="00565D9B">
              <w:rPr>
                <w:sz w:val="20"/>
                <w:szCs w:val="20"/>
              </w:rPr>
              <w:t>197</w:t>
            </w:r>
          </w:p>
        </w:tc>
        <w:tc>
          <w:tcPr>
            <w:tcW w:w="1938" w:type="dxa"/>
            <w:noWrap/>
            <w:vAlign w:val="center"/>
            <w:hideMark/>
          </w:tcPr>
          <w:p w14:paraId="6742EEF6" w14:textId="77777777" w:rsidR="00F174A6" w:rsidRPr="00565D9B" w:rsidRDefault="00F174A6" w:rsidP="00565D9B">
            <w:pPr>
              <w:jc w:val="center"/>
              <w:cnfStyle w:val="000000100000" w:firstRow="0" w:lastRow="0" w:firstColumn="0" w:lastColumn="0" w:oddVBand="0" w:evenVBand="0" w:oddHBand="1" w:evenHBand="0" w:firstRowFirstColumn="0" w:firstRowLastColumn="0" w:lastRowFirstColumn="0" w:lastRowLastColumn="0"/>
              <w:rPr>
                <w:sz w:val="20"/>
                <w:szCs w:val="20"/>
              </w:rPr>
            </w:pPr>
            <w:r w:rsidRPr="00565D9B">
              <w:rPr>
                <w:sz w:val="20"/>
                <w:szCs w:val="20"/>
              </w:rPr>
              <w:t>193</w:t>
            </w:r>
          </w:p>
        </w:tc>
      </w:tr>
      <w:tr w:rsidR="00F174A6" w:rsidRPr="00F174A6" w14:paraId="5F2E5EEA" w14:textId="77777777" w:rsidTr="00565D9B">
        <w:trPr>
          <w:trHeight w:val="301"/>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E4EB357" w14:textId="77777777" w:rsidR="00F174A6" w:rsidRPr="00565D9B" w:rsidRDefault="00F174A6" w:rsidP="00F174A6">
            <w:pPr>
              <w:spacing w:line="240" w:lineRule="auto"/>
              <w:rPr>
                <w:rFonts w:eastAsia="Times New Roman" w:cs="Times New Roman"/>
                <w:color w:val="auto"/>
                <w:sz w:val="20"/>
                <w:szCs w:val="20"/>
                <w:lang w:eastAsia="pl-PL"/>
              </w:rPr>
            </w:pPr>
            <w:r w:rsidRPr="00565D9B">
              <w:rPr>
                <w:rFonts w:eastAsia="Times New Roman" w:cs="Times New Roman"/>
                <w:color w:val="auto"/>
                <w:sz w:val="20"/>
                <w:szCs w:val="20"/>
                <w:lang w:eastAsia="pl-PL"/>
              </w:rPr>
              <w:t>85 lat i więcej</w:t>
            </w:r>
          </w:p>
        </w:tc>
        <w:tc>
          <w:tcPr>
            <w:tcW w:w="1937" w:type="dxa"/>
            <w:noWrap/>
            <w:vAlign w:val="center"/>
            <w:hideMark/>
          </w:tcPr>
          <w:p w14:paraId="5C4315C0" w14:textId="77777777" w:rsidR="00F174A6" w:rsidRPr="00565D9B" w:rsidRDefault="00F174A6" w:rsidP="00565D9B">
            <w:pPr>
              <w:jc w:val="center"/>
              <w:cnfStyle w:val="000000000000" w:firstRow="0" w:lastRow="0" w:firstColumn="0" w:lastColumn="0" w:oddVBand="0" w:evenVBand="0" w:oddHBand="0" w:evenHBand="0" w:firstRowFirstColumn="0" w:firstRowLastColumn="0" w:lastRowFirstColumn="0" w:lastRowLastColumn="0"/>
              <w:rPr>
                <w:sz w:val="20"/>
                <w:szCs w:val="20"/>
              </w:rPr>
            </w:pPr>
            <w:r w:rsidRPr="00565D9B">
              <w:rPr>
                <w:sz w:val="20"/>
                <w:szCs w:val="20"/>
              </w:rPr>
              <w:t>257</w:t>
            </w:r>
          </w:p>
        </w:tc>
        <w:tc>
          <w:tcPr>
            <w:tcW w:w="1937" w:type="dxa"/>
            <w:noWrap/>
            <w:vAlign w:val="center"/>
            <w:hideMark/>
          </w:tcPr>
          <w:p w14:paraId="14A65E6A" w14:textId="77777777" w:rsidR="00F174A6" w:rsidRPr="00565D9B" w:rsidRDefault="00F174A6" w:rsidP="00565D9B">
            <w:pPr>
              <w:jc w:val="center"/>
              <w:cnfStyle w:val="000000000000" w:firstRow="0" w:lastRow="0" w:firstColumn="0" w:lastColumn="0" w:oddVBand="0" w:evenVBand="0" w:oddHBand="0" w:evenHBand="0" w:firstRowFirstColumn="0" w:firstRowLastColumn="0" w:lastRowFirstColumn="0" w:lastRowLastColumn="0"/>
              <w:rPr>
                <w:sz w:val="20"/>
                <w:szCs w:val="20"/>
              </w:rPr>
            </w:pPr>
            <w:r w:rsidRPr="00565D9B">
              <w:rPr>
                <w:sz w:val="20"/>
                <w:szCs w:val="20"/>
              </w:rPr>
              <w:t>248</w:t>
            </w:r>
          </w:p>
        </w:tc>
        <w:tc>
          <w:tcPr>
            <w:tcW w:w="1938" w:type="dxa"/>
            <w:noWrap/>
            <w:vAlign w:val="center"/>
            <w:hideMark/>
          </w:tcPr>
          <w:p w14:paraId="4D80BF0E" w14:textId="77777777" w:rsidR="00F174A6" w:rsidRPr="00565D9B" w:rsidRDefault="00F174A6" w:rsidP="00565D9B">
            <w:pPr>
              <w:jc w:val="center"/>
              <w:cnfStyle w:val="000000000000" w:firstRow="0" w:lastRow="0" w:firstColumn="0" w:lastColumn="0" w:oddVBand="0" w:evenVBand="0" w:oddHBand="0" w:evenHBand="0" w:firstRowFirstColumn="0" w:firstRowLastColumn="0" w:lastRowFirstColumn="0" w:lastRowLastColumn="0"/>
              <w:rPr>
                <w:sz w:val="20"/>
                <w:szCs w:val="20"/>
              </w:rPr>
            </w:pPr>
            <w:r w:rsidRPr="00565D9B">
              <w:rPr>
                <w:sz w:val="20"/>
                <w:szCs w:val="20"/>
              </w:rPr>
              <w:t>274</w:t>
            </w:r>
          </w:p>
        </w:tc>
      </w:tr>
    </w:tbl>
    <w:p w14:paraId="10FC2741" w14:textId="2D006C2E" w:rsidR="00F174A6" w:rsidRPr="00392F2F" w:rsidRDefault="00F174A6" w:rsidP="00F174A6">
      <w:pPr>
        <w:rPr>
          <w:rFonts w:cs="Times New Roman"/>
          <w:b/>
          <w:sz w:val="22"/>
        </w:rPr>
      </w:pPr>
      <w:r w:rsidRPr="00392F2F">
        <w:rPr>
          <w:rFonts w:cs="Times New Roman"/>
          <w:b/>
          <w:sz w:val="22"/>
        </w:rPr>
        <w:t>Źródło: Wyniki bieżących bilansów ludności, GUS</w:t>
      </w:r>
      <w:r w:rsidR="00392F2F">
        <w:rPr>
          <w:rFonts w:cs="Times New Roman"/>
          <w:b/>
          <w:sz w:val="22"/>
        </w:rPr>
        <w:t>.</w:t>
      </w:r>
    </w:p>
    <w:p w14:paraId="347A9FD6" w14:textId="77777777" w:rsidR="00F63704" w:rsidRDefault="00F63704" w:rsidP="00F63704">
      <w:pPr>
        <w:pStyle w:val="Default"/>
        <w:spacing w:line="276" w:lineRule="auto"/>
        <w:jc w:val="both"/>
        <w:rPr>
          <w:rFonts w:ascii="Times New Roman" w:hAnsi="Times New Roman" w:cs="Times New Roman"/>
          <w:color w:val="FF0000"/>
        </w:rPr>
      </w:pPr>
    </w:p>
    <w:p w14:paraId="179C33E5" w14:textId="77777777" w:rsidR="00611518" w:rsidRPr="00611518" w:rsidRDefault="00F63704" w:rsidP="00611518">
      <w:pPr>
        <w:autoSpaceDE w:val="0"/>
        <w:autoSpaceDN w:val="0"/>
        <w:adjustRightInd w:val="0"/>
        <w:rPr>
          <w:rFonts w:cs="Times New Roman"/>
          <w:szCs w:val="24"/>
        </w:rPr>
      </w:pPr>
      <w:r w:rsidRPr="00F63704">
        <w:rPr>
          <w:rFonts w:cs="Times New Roman"/>
          <w:szCs w:val="24"/>
        </w:rPr>
        <w:t xml:space="preserve">Struktura i częstość zgonów jest </w:t>
      </w:r>
      <w:r w:rsidR="00565D9B">
        <w:rPr>
          <w:rFonts w:cs="Times New Roman"/>
          <w:szCs w:val="24"/>
        </w:rPr>
        <w:t xml:space="preserve">także </w:t>
      </w:r>
      <w:r w:rsidRPr="00F63704">
        <w:rPr>
          <w:rFonts w:cs="Times New Roman"/>
          <w:szCs w:val="24"/>
        </w:rPr>
        <w:t xml:space="preserve">zróżnicowana według płci – zarówno dla całej populacji, jak i dla grupy osób w wieku 60 lat i więcej. Umieralność wśród mężczyzn jest zdecydowanie wyższa niż wśród kobiet i proces ten nasila się wraz z wiekiem. </w:t>
      </w:r>
    </w:p>
    <w:p w14:paraId="4461B2BD" w14:textId="77777777" w:rsidR="00611518" w:rsidRDefault="00611518" w:rsidP="00611518">
      <w:pPr>
        <w:autoSpaceDE w:val="0"/>
        <w:autoSpaceDN w:val="0"/>
        <w:adjustRightInd w:val="0"/>
        <w:rPr>
          <w:rFonts w:cs="Times New Roman"/>
          <w:szCs w:val="24"/>
        </w:rPr>
      </w:pPr>
    </w:p>
    <w:p w14:paraId="3A81A188" w14:textId="77777777" w:rsidR="00611518" w:rsidRDefault="00611518" w:rsidP="00611518">
      <w:pPr>
        <w:autoSpaceDE w:val="0"/>
        <w:autoSpaceDN w:val="0"/>
        <w:adjustRightInd w:val="0"/>
        <w:rPr>
          <w:rFonts w:cs="Times New Roman"/>
          <w:szCs w:val="24"/>
        </w:rPr>
      </w:pPr>
      <w:r w:rsidRPr="00611518">
        <w:rPr>
          <w:rFonts w:cs="Times New Roman"/>
          <w:szCs w:val="24"/>
        </w:rPr>
        <w:t xml:space="preserve">W 2020 r. liczba zgonów osób w wieku 60 lat i więcej przypadająca na 1000 ludności w tym wieku wyniosła 42,2, co oznacza wzrost w stosunku do roku poprzedniego o 5,8. Umieralność wśród mężczyzn jest zdecydowanie wyższa niż wśród kobiet i proces ten nasila się wraz z wiekiem. </w:t>
      </w:r>
    </w:p>
    <w:p w14:paraId="3D83DEDA" w14:textId="77777777" w:rsidR="00611518" w:rsidRDefault="00611518" w:rsidP="00611518">
      <w:pPr>
        <w:autoSpaceDE w:val="0"/>
        <w:autoSpaceDN w:val="0"/>
        <w:adjustRightInd w:val="0"/>
        <w:rPr>
          <w:rFonts w:cs="Times New Roman"/>
          <w:szCs w:val="24"/>
        </w:rPr>
      </w:pPr>
    </w:p>
    <w:p w14:paraId="5F52A98F" w14:textId="6F08BE92" w:rsidR="00F63704" w:rsidRPr="00F63704" w:rsidRDefault="00611518" w:rsidP="00611518">
      <w:pPr>
        <w:autoSpaceDE w:val="0"/>
        <w:autoSpaceDN w:val="0"/>
        <w:adjustRightInd w:val="0"/>
        <w:rPr>
          <w:rFonts w:cs="Times New Roman"/>
          <w:szCs w:val="24"/>
        </w:rPr>
      </w:pPr>
      <w:r w:rsidRPr="00611518">
        <w:rPr>
          <w:rFonts w:cs="Times New Roman"/>
          <w:szCs w:val="24"/>
        </w:rPr>
        <w:t>Współczynnik zgonów wśród mężczyzn w wieku senioralnym w 2020 r. wyniósł 49,5 (wobec 41,8 w roku poprzednim), a wśród kobiet ukształtował się na poziomie 37,0 (tj. o 4,5 większym niż w 2019 r.). Obserwuje się wyższą umieralność wśród seniorów zamieszkałych na wsi niż w mieście. Współczynnik zgonów osób starszych na wsi wyniósł 45,4, podczas gdy w mieście ukształtował się na poziomie 40,5.</w:t>
      </w:r>
    </w:p>
    <w:p w14:paraId="013FC478" w14:textId="65376F4B" w:rsidR="00F63704" w:rsidRDefault="00F63704" w:rsidP="00F63704">
      <w:pPr>
        <w:pStyle w:val="Default"/>
        <w:spacing w:line="276" w:lineRule="auto"/>
        <w:jc w:val="both"/>
        <w:rPr>
          <w:rFonts w:ascii="Times New Roman" w:hAnsi="Times New Roman" w:cs="Times New Roman"/>
          <w:color w:val="FF0000"/>
        </w:rPr>
      </w:pPr>
    </w:p>
    <w:p w14:paraId="1AB57B06" w14:textId="77777777" w:rsidR="00611518" w:rsidRPr="0092226B" w:rsidRDefault="00611518" w:rsidP="00F63704">
      <w:pPr>
        <w:pStyle w:val="Default"/>
        <w:spacing w:line="276" w:lineRule="auto"/>
        <w:jc w:val="both"/>
        <w:rPr>
          <w:rFonts w:ascii="Times New Roman" w:hAnsi="Times New Roman" w:cs="Times New Roman"/>
          <w:color w:val="FF0000"/>
        </w:rPr>
      </w:pPr>
    </w:p>
    <w:p w14:paraId="0660EA31" w14:textId="59D4F9AA" w:rsidR="00F63704" w:rsidRPr="00866874" w:rsidRDefault="00F63704" w:rsidP="00F63704">
      <w:pPr>
        <w:pStyle w:val="Legenda"/>
        <w:keepNext/>
        <w:rPr>
          <w:rFonts w:cs="Times New Roman"/>
          <w:b/>
          <w:i w:val="0"/>
          <w:color w:val="auto"/>
          <w:sz w:val="24"/>
        </w:rPr>
      </w:pPr>
      <w:bookmarkStart w:id="7" w:name="_Toc49171377"/>
      <w:r w:rsidRPr="00866874">
        <w:rPr>
          <w:rFonts w:cs="Times New Roman"/>
          <w:b/>
          <w:i w:val="0"/>
          <w:color w:val="auto"/>
          <w:sz w:val="24"/>
        </w:rPr>
        <w:lastRenderedPageBreak/>
        <w:t xml:space="preserve">Tabela </w:t>
      </w:r>
      <w:r w:rsidR="0082122E">
        <w:rPr>
          <w:rFonts w:cs="Times New Roman"/>
          <w:b/>
          <w:i w:val="0"/>
          <w:color w:val="auto"/>
          <w:sz w:val="24"/>
        </w:rPr>
        <w:t>3</w:t>
      </w:r>
      <w:r w:rsidR="00EE73AF">
        <w:rPr>
          <w:rFonts w:cs="Times New Roman"/>
          <w:b/>
          <w:i w:val="0"/>
          <w:color w:val="auto"/>
          <w:sz w:val="24"/>
        </w:rPr>
        <w:t>.</w:t>
      </w:r>
      <w:r w:rsidRPr="00866874">
        <w:rPr>
          <w:rFonts w:cs="Times New Roman"/>
          <w:b/>
          <w:i w:val="0"/>
          <w:color w:val="auto"/>
          <w:sz w:val="24"/>
        </w:rPr>
        <w:t xml:space="preserve"> Współczynnik zgonów w 2020 r.</w:t>
      </w:r>
      <w:bookmarkEnd w:id="7"/>
      <w:r>
        <w:rPr>
          <w:rStyle w:val="Odwoanieprzypisudolnego"/>
          <w:rFonts w:cs="Times New Roman"/>
          <w:b/>
          <w:i w:val="0"/>
          <w:color w:val="auto"/>
          <w:sz w:val="24"/>
        </w:rPr>
        <w:footnoteReference w:id="3"/>
      </w:r>
    </w:p>
    <w:tbl>
      <w:tblPr>
        <w:tblStyle w:val="Tabelasiatki5ciemnaakcent2"/>
        <w:tblW w:w="9284" w:type="dxa"/>
        <w:jc w:val="center"/>
        <w:tblLook w:val="04A0" w:firstRow="1" w:lastRow="0" w:firstColumn="1" w:lastColumn="0" w:noHBand="0" w:noVBand="1"/>
      </w:tblPr>
      <w:tblGrid>
        <w:gridCol w:w="2576"/>
        <w:gridCol w:w="1340"/>
        <w:gridCol w:w="1340"/>
        <w:gridCol w:w="1340"/>
        <w:gridCol w:w="1340"/>
        <w:gridCol w:w="1348"/>
      </w:tblGrid>
      <w:tr w:rsidR="00F63704" w:rsidRPr="00866874" w14:paraId="12A664B6" w14:textId="77777777" w:rsidTr="002740DC">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576" w:type="dxa"/>
            <w:vMerge w:val="restart"/>
            <w:noWrap/>
            <w:vAlign w:val="center"/>
            <w:hideMark/>
          </w:tcPr>
          <w:p w14:paraId="4F050EED" w14:textId="77777777" w:rsidR="00F63704" w:rsidRPr="00866874" w:rsidRDefault="00F63704" w:rsidP="002740DC">
            <w:pPr>
              <w:spacing w:line="240" w:lineRule="auto"/>
              <w:jc w:val="center"/>
              <w:rPr>
                <w:rFonts w:eastAsia="Times New Roman" w:cs="Times New Roman"/>
                <w:color w:val="auto"/>
                <w:sz w:val="20"/>
                <w:szCs w:val="20"/>
                <w:lang w:eastAsia="pl-PL"/>
              </w:rPr>
            </w:pPr>
            <w:r w:rsidRPr="00866874">
              <w:rPr>
                <w:rFonts w:eastAsia="Times New Roman" w:cs="Times New Roman"/>
                <w:color w:val="auto"/>
                <w:sz w:val="20"/>
                <w:szCs w:val="20"/>
                <w:lang w:eastAsia="pl-PL"/>
              </w:rPr>
              <w:t>Grupy wieku</w:t>
            </w:r>
          </w:p>
        </w:tc>
        <w:tc>
          <w:tcPr>
            <w:tcW w:w="1340" w:type="dxa"/>
            <w:vMerge w:val="restart"/>
            <w:noWrap/>
            <w:vAlign w:val="center"/>
            <w:hideMark/>
          </w:tcPr>
          <w:p w14:paraId="101A771F" w14:textId="77777777" w:rsidR="00F63704" w:rsidRPr="00866874" w:rsidRDefault="00F63704" w:rsidP="002740D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866874">
              <w:rPr>
                <w:rFonts w:eastAsia="Times New Roman" w:cs="Times New Roman"/>
                <w:color w:val="auto"/>
                <w:sz w:val="20"/>
                <w:szCs w:val="20"/>
                <w:lang w:eastAsia="pl-PL"/>
              </w:rPr>
              <w:t>Ogółem</w:t>
            </w:r>
          </w:p>
        </w:tc>
        <w:tc>
          <w:tcPr>
            <w:tcW w:w="1340" w:type="dxa"/>
            <w:vMerge w:val="restart"/>
            <w:noWrap/>
            <w:vAlign w:val="center"/>
            <w:hideMark/>
          </w:tcPr>
          <w:p w14:paraId="62588C65" w14:textId="77777777" w:rsidR="00F63704" w:rsidRPr="00866874" w:rsidRDefault="00F63704" w:rsidP="002740D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866874">
              <w:rPr>
                <w:rFonts w:eastAsia="Times New Roman" w:cs="Times New Roman"/>
                <w:color w:val="auto"/>
                <w:sz w:val="20"/>
                <w:szCs w:val="20"/>
                <w:lang w:eastAsia="pl-PL"/>
              </w:rPr>
              <w:t>Mężczyźni</w:t>
            </w:r>
          </w:p>
        </w:tc>
        <w:tc>
          <w:tcPr>
            <w:tcW w:w="1340" w:type="dxa"/>
            <w:vMerge w:val="restart"/>
            <w:noWrap/>
            <w:vAlign w:val="center"/>
            <w:hideMark/>
          </w:tcPr>
          <w:p w14:paraId="7A0ED801" w14:textId="77777777" w:rsidR="00F63704" w:rsidRPr="00866874" w:rsidRDefault="00F63704" w:rsidP="002740D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866874">
              <w:rPr>
                <w:rFonts w:eastAsia="Times New Roman" w:cs="Times New Roman"/>
                <w:color w:val="auto"/>
                <w:sz w:val="20"/>
                <w:szCs w:val="20"/>
                <w:lang w:eastAsia="pl-PL"/>
              </w:rPr>
              <w:t>Kobiety</w:t>
            </w:r>
          </w:p>
        </w:tc>
        <w:tc>
          <w:tcPr>
            <w:tcW w:w="1340" w:type="dxa"/>
            <w:vMerge w:val="restart"/>
            <w:noWrap/>
            <w:vAlign w:val="center"/>
            <w:hideMark/>
          </w:tcPr>
          <w:p w14:paraId="26818BFC" w14:textId="77777777" w:rsidR="00F63704" w:rsidRPr="00866874" w:rsidRDefault="00F63704" w:rsidP="002740D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866874">
              <w:rPr>
                <w:rFonts w:eastAsia="Times New Roman" w:cs="Times New Roman"/>
                <w:color w:val="auto"/>
                <w:sz w:val="20"/>
                <w:szCs w:val="20"/>
                <w:lang w:eastAsia="pl-PL"/>
              </w:rPr>
              <w:t>Miasta</w:t>
            </w:r>
          </w:p>
        </w:tc>
        <w:tc>
          <w:tcPr>
            <w:tcW w:w="1348" w:type="dxa"/>
            <w:vMerge w:val="restart"/>
            <w:noWrap/>
            <w:vAlign w:val="center"/>
            <w:hideMark/>
          </w:tcPr>
          <w:p w14:paraId="52E4127F" w14:textId="77777777" w:rsidR="00F63704" w:rsidRPr="00866874" w:rsidRDefault="00F63704" w:rsidP="002740D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866874">
              <w:rPr>
                <w:rFonts w:eastAsia="Times New Roman" w:cs="Times New Roman"/>
                <w:color w:val="auto"/>
                <w:sz w:val="20"/>
                <w:szCs w:val="20"/>
                <w:lang w:eastAsia="pl-PL"/>
              </w:rPr>
              <w:t>Wieś</w:t>
            </w:r>
          </w:p>
        </w:tc>
      </w:tr>
      <w:tr w:rsidR="00F63704" w:rsidRPr="00866874" w14:paraId="72329786" w14:textId="77777777" w:rsidTr="002740DC">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576" w:type="dxa"/>
            <w:vMerge/>
            <w:vAlign w:val="center"/>
            <w:hideMark/>
          </w:tcPr>
          <w:p w14:paraId="1472540A" w14:textId="77777777" w:rsidR="00F63704" w:rsidRPr="00866874" w:rsidRDefault="00F63704" w:rsidP="002740DC">
            <w:pPr>
              <w:spacing w:line="240" w:lineRule="auto"/>
              <w:jc w:val="center"/>
              <w:rPr>
                <w:rFonts w:eastAsia="Times New Roman" w:cs="Times New Roman"/>
                <w:color w:val="auto"/>
                <w:sz w:val="20"/>
                <w:szCs w:val="20"/>
                <w:lang w:eastAsia="pl-PL"/>
              </w:rPr>
            </w:pPr>
          </w:p>
        </w:tc>
        <w:tc>
          <w:tcPr>
            <w:tcW w:w="1340" w:type="dxa"/>
            <w:vMerge/>
            <w:vAlign w:val="center"/>
            <w:hideMark/>
          </w:tcPr>
          <w:p w14:paraId="010EC6C6" w14:textId="77777777" w:rsidR="00F63704" w:rsidRPr="00866874"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40" w:type="dxa"/>
            <w:vMerge/>
            <w:vAlign w:val="center"/>
            <w:hideMark/>
          </w:tcPr>
          <w:p w14:paraId="2EEC43D1" w14:textId="77777777" w:rsidR="00F63704" w:rsidRPr="00866874"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40" w:type="dxa"/>
            <w:vMerge/>
            <w:vAlign w:val="center"/>
            <w:hideMark/>
          </w:tcPr>
          <w:p w14:paraId="38F27102" w14:textId="77777777" w:rsidR="00F63704" w:rsidRPr="00866874"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40" w:type="dxa"/>
            <w:vMerge/>
            <w:vAlign w:val="center"/>
            <w:hideMark/>
          </w:tcPr>
          <w:p w14:paraId="47E63507" w14:textId="77777777" w:rsidR="00F63704" w:rsidRPr="00866874"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48" w:type="dxa"/>
            <w:vMerge/>
            <w:vAlign w:val="center"/>
            <w:hideMark/>
          </w:tcPr>
          <w:p w14:paraId="658D20DC" w14:textId="77777777" w:rsidR="00F63704" w:rsidRPr="00866874"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r>
      <w:tr w:rsidR="00F63704" w:rsidRPr="00866874" w14:paraId="3D57A676" w14:textId="77777777" w:rsidTr="00565D9B">
        <w:trPr>
          <w:trHeight w:val="300"/>
          <w:jc w:val="center"/>
        </w:trPr>
        <w:tc>
          <w:tcPr>
            <w:cnfStyle w:val="001000000000" w:firstRow="0" w:lastRow="0" w:firstColumn="1" w:lastColumn="0" w:oddVBand="0" w:evenVBand="0" w:oddHBand="0" w:evenHBand="0" w:firstRowFirstColumn="0" w:firstRowLastColumn="0" w:lastRowFirstColumn="0" w:lastRowLastColumn="0"/>
            <w:tcW w:w="2576" w:type="dxa"/>
            <w:noWrap/>
            <w:vAlign w:val="center"/>
            <w:hideMark/>
          </w:tcPr>
          <w:p w14:paraId="19EBD656" w14:textId="77777777" w:rsidR="00F63704" w:rsidRPr="00866874" w:rsidRDefault="00F63704" w:rsidP="00565D9B">
            <w:pPr>
              <w:spacing w:line="240" w:lineRule="auto"/>
              <w:jc w:val="left"/>
              <w:rPr>
                <w:rFonts w:eastAsia="Times New Roman" w:cs="Times New Roman"/>
                <w:color w:val="auto"/>
                <w:sz w:val="20"/>
                <w:szCs w:val="20"/>
                <w:lang w:eastAsia="pl-PL"/>
              </w:rPr>
            </w:pPr>
            <w:r w:rsidRPr="00866874">
              <w:rPr>
                <w:rFonts w:eastAsia="Times New Roman" w:cs="Times New Roman"/>
                <w:color w:val="auto"/>
                <w:sz w:val="20"/>
                <w:szCs w:val="20"/>
                <w:lang w:eastAsia="pl-PL"/>
              </w:rPr>
              <w:t>Ogółem</w:t>
            </w:r>
          </w:p>
        </w:tc>
        <w:tc>
          <w:tcPr>
            <w:tcW w:w="1340" w:type="dxa"/>
            <w:noWrap/>
            <w:vAlign w:val="center"/>
            <w:hideMark/>
          </w:tcPr>
          <w:p w14:paraId="078A4F07"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12,4</w:t>
            </w:r>
          </w:p>
        </w:tc>
        <w:tc>
          <w:tcPr>
            <w:tcW w:w="1340" w:type="dxa"/>
            <w:noWrap/>
            <w:vAlign w:val="center"/>
            <w:hideMark/>
          </w:tcPr>
          <w:p w14:paraId="60067258"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13,5</w:t>
            </w:r>
          </w:p>
        </w:tc>
        <w:tc>
          <w:tcPr>
            <w:tcW w:w="1340" w:type="dxa"/>
            <w:noWrap/>
            <w:vAlign w:val="center"/>
            <w:hideMark/>
          </w:tcPr>
          <w:p w14:paraId="725D79A6"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11,5</w:t>
            </w:r>
          </w:p>
        </w:tc>
        <w:tc>
          <w:tcPr>
            <w:tcW w:w="1340" w:type="dxa"/>
            <w:noWrap/>
            <w:vAlign w:val="center"/>
            <w:hideMark/>
          </w:tcPr>
          <w:p w14:paraId="0710D3CA"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12,8</w:t>
            </w:r>
          </w:p>
        </w:tc>
        <w:tc>
          <w:tcPr>
            <w:tcW w:w="1348" w:type="dxa"/>
            <w:noWrap/>
            <w:vAlign w:val="center"/>
            <w:hideMark/>
          </w:tcPr>
          <w:p w14:paraId="2B9990E0"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11,9</w:t>
            </w:r>
          </w:p>
        </w:tc>
      </w:tr>
      <w:tr w:rsidR="00F63704" w:rsidRPr="00866874" w14:paraId="2775462A" w14:textId="77777777" w:rsidTr="00565D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76" w:type="dxa"/>
            <w:noWrap/>
            <w:vAlign w:val="center"/>
            <w:hideMark/>
          </w:tcPr>
          <w:p w14:paraId="6699C279" w14:textId="77777777" w:rsidR="00F63704" w:rsidRPr="00866874" w:rsidRDefault="00F63704" w:rsidP="00565D9B">
            <w:pPr>
              <w:spacing w:line="240" w:lineRule="auto"/>
              <w:jc w:val="left"/>
              <w:rPr>
                <w:rFonts w:eastAsia="Times New Roman" w:cs="Times New Roman"/>
                <w:color w:val="auto"/>
                <w:sz w:val="20"/>
                <w:szCs w:val="20"/>
                <w:lang w:eastAsia="pl-PL"/>
              </w:rPr>
            </w:pPr>
            <w:r w:rsidRPr="00866874">
              <w:rPr>
                <w:rFonts w:eastAsia="Times New Roman" w:cs="Times New Roman"/>
                <w:color w:val="auto"/>
                <w:sz w:val="20"/>
                <w:szCs w:val="20"/>
                <w:lang w:eastAsia="pl-PL"/>
              </w:rPr>
              <w:t>w tym 60 lat i więcej</w:t>
            </w:r>
          </w:p>
        </w:tc>
        <w:tc>
          <w:tcPr>
            <w:tcW w:w="1340" w:type="dxa"/>
            <w:noWrap/>
            <w:vAlign w:val="center"/>
            <w:hideMark/>
          </w:tcPr>
          <w:p w14:paraId="33C69258"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42,2</w:t>
            </w:r>
          </w:p>
        </w:tc>
        <w:tc>
          <w:tcPr>
            <w:tcW w:w="1340" w:type="dxa"/>
            <w:noWrap/>
            <w:vAlign w:val="center"/>
            <w:hideMark/>
          </w:tcPr>
          <w:p w14:paraId="63E91382"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49,5</w:t>
            </w:r>
          </w:p>
        </w:tc>
        <w:tc>
          <w:tcPr>
            <w:tcW w:w="1340" w:type="dxa"/>
            <w:noWrap/>
            <w:vAlign w:val="center"/>
            <w:hideMark/>
          </w:tcPr>
          <w:p w14:paraId="7F9E3E63"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37,0</w:t>
            </w:r>
          </w:p>
        </w:tc>
        <w:tc>
          <w:tcPr>
            <w:tcW w:w="1340" w:type="dxa"/>
            <w:noWrap/>
            <w:vAlign w:val="center"/>
            <w:hideMark/>
          </w:tcPr>
          <w:p w14:paraId="74CC45D6"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40,5</w:t>
            </w:r>
          </w:p>
        </w:tc>
        <w:tc>
          <w:tcPr>
            <w:tcW w:w="1348" w:type="dxa"/>
            <w:noWrap/>
            <w:vAlign w:val="center"/>
            <w:hideMark/>
          </w:tcPr>
          <w:p w14:paraId="5BA015E8"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45,4</w:t>
            </w:r>
          </w:p>
        </w:tc>
      </w:tr>
      <w:tr w:rsidR="00F63704" w:rsidRPr="00866874" w14:paraId="5B4A6AB8" w14:textId="77777777" w:rsidTr="00565D9B">
        <w:trPr>
          <w:trHeight w:val="300"/>
          <w:jc w:val="center"/>
        </w:trPr>
        <w:tc>
          <w:tcPr>
            <w:cnfStyle w:val="001000000000" w:firstRow="0" w:lastRow="0" w:firstColumn="1" w:lastColumn="0" w:oddVBand="0" w:evenVBand="0" w:oddHBand="0" w:evenHBand="0" w:firstRowFirstColumn="0" w:firstRowLastColumn="0" w:lastRowFirstColumn="0" w:lastRowLastColumn="0"/>
            <w:tcW w:w="2576" w:type="dxa"/>
            <w:noWrap/>
            <w:vAlign w:val="center"/>
            <w:hideMark/>
          </w:tcPr>
          <w:p w14:paraId="59118DC7" w14:textId="77777777" w:rsidR="00F63704" w:rsidRPr="00866874" w:rsidRDefault="00F63704" w:rsidP="00565D9B">
            <w:pPr>
              <w:spacing w:line="240" w:lineRule="auto"/>
              <w:jc w:val="left"/>
              <w:rPr>
                <w:rFonts w:eastAsia="Times New Roman" w:cs="Times New Roman"/>
                <w:color w:val="auto"/>
                <w:sz w:val="20"/>
                <w:szCs w:val="20"/>
                <w:lang w:eastAsia="pl-PL"/>
              </w:rPr>
            </w:pPr>
            <w:r w:rsidRPr="00866874">
              <w:rPr>
                <w:rFonts w:eastAsia="Times New Roman" w:cs="Times New Roman"/>
                <w:color w:val="auto"/>
                <w:sz w:val="20"/>
                <w:szCs w:val="20"/>
                <w:lang w:eastAsia="pl-PL"/>
              </w:rPr>
              <w:t>60-64 lata</w:t>
            </w:r>
          </w:p>
        </w:tc>
        <w:tc>
          <w:tcPr>
            <w:tcW w:w="1340" w:type="dxa"/>
            <w:noWrap/>
            <w:vAlign w:val="center"/>
            <w:hideMark/>
          </w:tcPr>
          <w:p w14:paraId="1178E0F0"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14,7</w:t>
            </w:r>
          </w:p>
        </w:tc>
        <w:tc>
          <w:tcPr>
            <w:tcW w:w="1340" w:type="dxa"/>
            <w:noWrap/>
            <w:vAlign w:val="center"/>
            <w:hideMark/>
          </w:tcPr>
          <w:p w14:paraId="655A2244"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21,3</w:t>
            </w:r>
          </w:p>
        </w:tc>
        <w:tc>
          <w:tcPr>
            <w:tcW w:w="1340" w:type="dxa"/>
            <w:noWrap/>
            <w:vAlign w:val="center"/>
            <w:hideMark/>
          </w:tcPr>
          <w:p w14:paraId="4DE164B1"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8,8</w:t>
            </w:r>
          </w:p>
        </w:tc>
        <w:tc>
          <w:tcPr>
            <w:tcW w:w="1340" w:type="dxa"/>
            <w:noWrap/>
            <w:vAlign w:val="center"/>
            <w:hideMark/>
          </w:tcPr>
          <w:p w14:paraId="5AE0B9E8"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14,3</w:t>
            </w:r>
          </w:p>
        </w:tc>
        <w:tc>
          <w:tcPr>
            <w:tcW w:w="1348" w:type="dxa"/>
            <w:noWrap/>
            <w:vAlign w:val="center"/>
            <w:hideMark/>
          </w:tcPr>
          <w:p w14:paraId="7A48F0CA"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15,3</w:t>
            </w:r>
          </w:p>
        </w:tc>
      </w:tr>
      <w:tr w:rsidR="00F63704" w:rsidRPr="00866874" w14:paraId="14A08B0B" w14:textId="77777777" w:rsidTr="00565D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76" w:type="dxa"/>
            <w:noWrap/>
            <w:vAlign w:val="center"/>
            <w:hideMark/>
          </w:tcPr>
          <w:p w14:paraId="50ED0011" w14:textId="77777777" w:rsidR="00F63704" w:rsidRPr="00866874" w:rsidRDefault="00F63704" w:rsidP="00565D9B">
            <w:pPr>
              <w:spacing w:line="240" w:lineRule="auto"/>
              <w:jc w:val="left"/>
              <w:rPr>
                <w:rFonts w:eastAsia="Times New Roman" w:cs="Times New Roman"/>
                <w:color w:val="auto"/>
                <w:sz w:val="20"/>
                <w:szCs w:val="20"/>
                <w:lang w:eastAsia="pl-PL"/>
              </w:rPr>
            </w:pPr>
            <w:r w:rsidRPr="00866874">
              <w:rPr>
                <w:rFonts w:eastAsia="Times New Roman" w:cs="Times New Roman"/>
                <w:color w:val="auto"/>
                <w:sz w:val="20"/>
                <w:szCs w:val="20"/>
                <w:lang w:eastAsia="pl-PL"/>
              </w:rPr>
              <w:t>65-69</w:t>
            </w:r>
          </w:p>
        </w:tc>
        <w:tc>
          <w:tcPr>
            <w:tcW w:w="1340" w:type="dxa"/>
            <w:noWrap/>
            <w:vAlign w:val="center"/>
            <w:hideMark/>
          </w:tcPr>
          <w:p w14:paraId="2F28633E"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22,4</w:t>
            </w:r>
          </w:p>
        </w:tc>
        <w:tc>
          <w:tcPr>
            <w:tcW w:w="1340" w:type="dxa"/>
            <w:noWrap/>
            <w:vAlign w:val="center"/>
            <w:hideMark/>
          </w:tcPr>
          <w:p w14:paraId="3B741DE9"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32,8</w:t>
            </w:r>
          </w:p>
        </w:tc>
        <w:tc>
          <w:tcPr>
            <w:tcW w:w="1340" w:type="dxa"/>
            <w:noWrap/>
            <w:vAlign w:val="center"/>
            <w:hideMark/>
          </w:tcPr>
          <w:p w14:paraId="70AC4C0F"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13,9</w:t>
            </w:r>
          </w:p>
        </w:tc>
        <w:tc>
          <w:tcPr>
            <w:tcW w:w="1340" w:type="dxa"/>
            <w:noWrap/>
            <w:vAlign w:val="center"/>
            <w:hideMark/>
          </w:tcPr>
          <w:p w14:paraId="1CEEC22E"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21,7</w:t>
            </w:r>
          </w:p>
        </w:tc>
        <w:tc>
          <w:tcPr>
            <w:tcW w:w="1348" w:type="dxa"/>
            <w:noWrap/>
            <w:vAlign w:val="center"/>
            <w:hideMark/>
          </w:tcPr>
          <w:p w14:paraId="0E9C1364"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23,7</w:t>
            </w:r>
          </w:p>
        </w:tc>
      </w:tr>
      <w:tr w:rsidR="00F63704" w:rsidRPr="00866874" w14:paraId="79556194" w14:textId="77777777" w:rsidTr="00565D9B">
        <w:trPr>
          <w:trHeight w:val="300"/>
          <w:jc w:val="center"/>
        </w:trPr>
        <w:tc>
          <w:tcPr>
            <w:cnfStyle w:val="001000000000" w:firstRow="0" w:lastRow="0" w:firstColumn="1" w:lastColumn="0" w:oddVBand="0" w:evenVBand="0" w:oddHBand="0" w:evenHBand="0" w:firstRowFirstColumn="0" w:firstRowLastColumn="0" w:lastRowFirstColumn="0" w:lastRowLastColumn="0"/>
            <w:tcW w:w="2576" w:type="dxa"/>
            <w:noWrap/>
            <w:vAlign w:val="center"/>
            <w:hideMark/>
          </w:tcPr>
          <w:p w14:paraId="6E02E2CF" w14:textId="77777777" w:rsidR="00F63704" w:rsidRPr="00866874" w:rsidRDefault="00F63704" w:rsidP="00565D9B">
            <w:pPr>
              <w:spacing w:line="240" w:lineRule="auto"/>
              <w:jc w:val="left"/>
              <w:rPr>
                <w:rFonts w:eastAsia="Times New Roman" w:cs="Times New Roman"/>
                <w:color w:val="auto"/>
                <w:sz w:val="20"/>
                <w:szCs w:val="20"/>
                <w:lang w:eastAsia="pl-PL"/>
              </w:rPr>
            </w:pPr>
            <w:r w:rsidRPr="00866874">
              <w:rPr>
                <w:rFonts w:eastAsia="Times New Roman" w:cs="Times New Roman"/>
                <w:color w:val="auto"/>
                <w:sz w:val="20"/>
                <w:szCs w:val="20"/>
                <w:lang w:eastAsia="pl-PL"/>
              </w:rPr>
              <w:t>70-74</w:t>
            </w:r>
          </w:p>
        </w:tc>
        <w:tc>
          <w:tcPr>
            <w:tcW w:w="1340" w:type="dxa"/>
            <w:noWrap/>
            <w:vAlign w:val="center"/>
            <w:hideMark/>
          </w:tcPr>
          <w:p w14:paraId="7FC419C7"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31,9</w:t>
            </w:r>
          </w:p>
        </w:tc>
        <w:tc>
          <w:tcPr>
            <w:tcW w:w="1340" w:type="dxa"/>
            <w:noWrap/>
            <w:vAlign w:val="center"/>
            <w:hideMark/>
          </w:tcPr>
          <w:p w14:paraId="211DEDCB"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45,1</w:t>
            </w:r>
          </w:p>
        </w:tc>
        <w:tc>
          <w:tcPr>
            <w:tcW w:w="1340" w:type="dxa"/>
            <w:noWrap/>
            <w:vAlign w:val="center"/>
            <w:hideMark/>
          </w:tcPr>
          <w:p w14:paraId="14383A06"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22,2</w:t>
            </w:r>
          </w:p>
        </w:tc>
        <w:tc>
          <w:tcPr>
            <w:tcW w:w="1340" w:type="dxa"/>
            <w:noWrap/>
            <w:vAlign w:val="center"/>
            <w:hideMark/>
          </w:tcPr>
          <w:p w14:paraId="4C16B146"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31,1</w:t>
            </w:r>
          </w:p>
        </w:tc>
        <w:tc>
          <w:tcPr>
            <w:tcW w:w="1348" w:type="dxa"/>
            <w:noWrap/>
            <w:vAlign w:val="center"/>
            <w:hideMark/>
          </w:tcPr>
          <w:p w14:paraId="1D9BB402"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33,7</w:t>
            </w:r>
          </w:p>
        </w:tc>
      </w:tr>
      <w:tr w:rsidR="00F63704" w:rsidRPr="00866874" w14:paraId="09657A2A" w14:textId="77777777" w:rsidTr="00565D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76" w:type="dxa"/>
            <w:noWrap/>
            <w:vAlign w:val="center"/>
            <w:hideMark/>
          </w:tcPr>
          <w:p w14:paraId="5B8D5516" w14:textId="77777777" w:rsidR="00F63704" w:rsidRPr="00866874" w:rsidRDefault="00F63704" w:rsidP="00565D9B">
            <w:pPr>
              <w:spacing w:line="240" w:lineRule="auto"/>
              <w:jc w:val="left"/>
              <w:rPr>
                <w:rFonts w:eastAsia="Times New Roman" w:cs="Times New Roman"/>
                <w:color w:val="auto"/>
                <w:sz w:val="20"/>
                <w:szCs w:val="20"/>
                <w:lang w:eastAsia="pl-PL"/>
              </w:rPr>
            </w:pPr>
            <w:r w:rsidRPr="00866874">
              <w:rPr>
                <w:rFonts w:eastAsia="Times New Roman" w:cs="Times New Roman"/>
                <w:color w:val="auto"/>
                <w:sz w:val="20"/>
                <w:szCs w:val="20"/>
                <w:lang w:eastAsia="pl-PL"/>
              </w:rPr>
              <w:t>75-79</w:t>
            </w:r>
          </w:p>
        </w:tc>
        <w:tc>
          <w:tcPr>
            <w:tcW w:w="1340" w:type="dxa"/>
            <w:noWrap/>
            <w:vAlign w:val="center"/>
            <w:hideMark/>
          </w:tcPr>
          <w:p w14:paraId="5806239A"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48,6</w:t>
            </w:r>
          </w:p>
        </w:tc>
        <w:tc>
          <w:tcPr>
            <w:tcW w:w="1340" w:type="dxa"/>
            <w:noWrap/>
            <w:vAlign w:val="center"/>
            <w:hideMark/>
          </w:tcPr>
          <w:p w14:paraId="7E90B963"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67,2</w:t>
            </w:r>
          </w:p>
        </w:tc>
        <w:tc>
          <w:tcPr>
            <w:tcW w:w="1340" w:type="dxa"/>
            <w:noWrap/>
            <w:vAlign w:val="center"/>
            <w:hideMark/>
          </w:tcPr>
          <w:p w14:paraId="11250121"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37,0</w:t>
            </w:r>
          </w:p>
        </w:tc>
        <w:tc>
          <w:tcPr>
            <w:tcW w:w="1340" w:type="dxa"/>
            <w:noWrap/>
            <w:vAlign w:val="center"/>
            <w:hideMark/>
          </w:tcPr>
          <w:p w14:paraId="53A913B2"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47,3</w:t>
            </w:r>
          </w:p>
        </w:tc>
        <w:tc>
          <w:tcPr>
            <w:tcW w:w="1348" w:type="dxa"/>
            <w:noWrap/>
            <w:vAlign w:val="center"/>
            <w:hideMark/>
          </w:tcPr>
          <w:p w14:paraId="18658329"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51,2</w:t>
            </w:r>
          </w:p>
        </w:tc>
      </w:tr>
      <w:tr w:rsidR="00F63704" w:rsidRPr="00866874" w14:paraId="0BF1E621" w14:textId="77777777" w:rsidTr="00565D9B">
        <w:trPr>
          <w:trHeight w:val="300"/>
          <w:jc w:val="center"/>
        </w:trPr>
        <w:tc>
          <w:tcPr>
            <w:cnfStyle w:val="001000000000" w:firstRow="0" w:lastRow="0" w:firstColumn="1" w:lastColumn="0" w:oddVBand="0" w:evenVBand="0" w:oddHBand="0" w:evenHBand="0" w:firstRowFirstColumn="0" w:firstRowLastColumn="0" w:lastRowFirstColumn="0" w:lastRowLastColumn="0"/>
            <w:tcW w:w="2576" w:type="dxa"/>
            <w:noWrap/>
            <w:vAlign w:val="center"/>
            <w:hideMark/>
          </w:tcPr>
          <w:p w14:paraId="150C4E90" w14:textId="77777777" w:rsidR="00F63704" w:rsidRPr="00866874" w:rsidRDefault="00F63704" w:rsidP="00565D9B">
            <w:pPr>
              <w:spacing w:line="240" w:lineRule="auto"/>
              <w:jc w:val="left"/>
              <w:rPr>
                <w:rFonts w:eastAsia="Times New Roman" w:cs="Times New Roman"/>
                <w:color w:val="auto"/>
                <w:sz w:val="20"/>
                <w:szCs w:val="20"/>
                <w:lang w:eastAsia="pl-PL"/>
              </w:rPr>
            </w:pPr>
            <w:r w:rsidRPr="00866874">
              <w:rPr>
                <w:rFonts w:eastAsia="Times New Roman" w:cs="Times New Roman"/>
                <w:color w:val="auto"/>
                <w:sz w:val="20"/>
                <w:szCs w:val="20"/>
                <w:lang w:eastAsia="pl-PL"/>
              </w:rPr>
              <w:t>80-84</w:t>
            </w:r>
          </w:p>
        </w:tc>
        <w:tc>
          <w:tcPr>
            <w:tcW w:w="1340" w:type="dxa"/>
            <w:noWrap/>
            <w:vAlign w:val="center"/>
            <w:hideMark/>
          </w:tcPr>
          <w:p w14:paraId="142EB1B9"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78,6</w:t>
            </w:r>
          </w:p>
        </w:tc>
        <w:tc>
          <w:tcPr>
            <w:tcW w:w="1340" w:type="dxa"/>
            <w:noWrap/>
            <w:vAlign w:val="center"/>
            <w:hideMark/>
          </w:tcPr>
          <w:p w14:paraId="5E64BDA7"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105,8</w:t>
            </w:r>
          </w:p>
        </w:tc>
        <w:tc>
          <w:tcPr>
            <w:tcW w:w="1340" w:type="dxa"/>
            <w:noWrap/>
            <w:vAlign w:val="center"/>
            <w:hideMark/>
          </w:tcPr>
          <w:p w14:paraId="59CC9964"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64,6</w:t>
            </w:r>
          </w:p>
        </w:tc>
        <w:tc>
          <w:tcPr>
            <w:tcW w:w="1340" w:type="dxa"/>
            <w:noWrap/>
            <w:vAlign w:val="center"/>
            <w:hideMark/>
          </w:tcPr>
          <w:p w14:paraId="1925767C"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74,9</w:t>
            </w:r>
          </w:p>
        </w:tc>
        <w:tc>
          <w:tcPr>
            <w:tcW w:w="1348" w:type="dxa"/>
            <w:noWrap/>
            <w:vAlign w:val="center"/>
            <w:hideMark/>
          </w:tcPr>
          <w:p w14:paraId="4D3F2EC4" w14:textId="77777777" w:rsidR="00F63704" w:rsidRPr="00866874" w:rsidRDefault="00F63704" w:rsidP="002740D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66874">
              <w:rPr>
                <w:rFonts w:cs="Times New Roman"/>
                <w:sz w:val="20"/>
                <w:szCs w:val="20"/>
              </w:rPr>
              <w:t>85,4</w:t>
            </w:r>
          </w:p>
        </w:tc>
      </w:tr>
      <w:tr w:rsidR="00F63704" w:rsidRPr="00866874" w14:paraId="61C3CC75" w14:textId="77777777" w:rsidTr="00565D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76" w:type="dxa"/>
            <w:noWrap/>
            <w:vAlign w:val="center"/>
            <w:hideMark/>
          </w:tcPr>
          <w:p w14:paraId="5A163A0E" w14:textId="77777777" w:rsidR="00F63704" w:rsidRPr="00866874" w:rsidRDefault="00F63704" w:rsidP="00565D9B">
            <w:pPr>
              <w:spacing w:line="240" w:lineRule="auto"/>
              <w:jc w:val="left"/>
              <w:rPr>
                <w:rFonts w:eastAsia="Times New Roman" w:cs="Times New Roman"/>
                <w:color w:val="auto"/>
                <w:sz w:val="20"/>
                <w:szCs w:val="20"/>
                <w:lang w:eastAsia="pl-PL"/>
              </w:rPr>
            </w:pPr>
            <w:r w:rsidRPr="00866874">
              <w:rPr>
                <w:rFonts w:eastAsia="Times New Roman" w:cs="Times New Roman"/>
                <w:color w:val="auto"/>
                <w:sz w:val="20"/>
                <w:szCs w:val="20"/>
                <w:lang w:eastAsia="pl-PL"/>
              </w:rPr>
              <w:t>85 lat i więcej</w:t>
            </w:r>
          </w:p>
        </w:tc>
        <w:tc>
          <w:tcPr>
            <w:tcW w:w="1340" w:type="dxa"/>
            <w:noWrap/>
            <w:vAlign w:val="center"/>
            <w:hideMark/>
          </w:tcPr>
          <w:p w14:paraId="21BE2286"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169,2</w:t>
            </w:r>
          </w:p>
        </w:tc>
        <w:tc>
          <w:tcPr>
            <w:tcW w:w="1340" w:type="dxa"/>
            <w:noWrap/>
            <w:vAlign w:val="center"/>
            <w:hideMark/>
          </w:tcPr>
          <w:p w14:paraId="163F36B0"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195,9</w:t>
            </w:r>
          </w:p>
        </w:tc>
        <w:tc>
          <w:tcPr>
            <w:tcW w:w="1340" w:type="dxa"/>
            <w:noWrap/>
            <w:vAlign w:val="center"/>
            <w:hideMark/>
          </w:tcPr>
          <w:p w14:paraId="1221C6C5"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158,7</w:t>
            </w:r>
          </w:p>
        </w:tc>
        <w:tc>
          <w:tcPr>
            <w:tcW w:w="1340" w:type="dxa"/>
            <w:noWrap/>
            <w:vAlign w:val="center"/>
            <w:hideMark/>
          </w:tcPr>
          <w:p w14:paraId="34D33C53"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160,7</w:t>
            </w:r>
          </w:p>
        </w:tc>
        <w:tc>
          <w:tcPr>
            <w:tcW w:w="1348" w:type="dxa"/>
            <w:noWrap/>
            <w:vAlign w:val="center"/>
            <w:hideMark/>
          </w:tcPr>
          <w:p w14:paraId="26BDFDF1" w14:textId="77777777" w:rsidR="00F63704" w:rsidRPr="00866874" w:rsidRDefault="00F63704" w:rsidP="002740D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66874">
              <w:rPr>
                <w:rFonts w:cs="Times New Roman"/>
                <w:sz w:val="20"/>
                <w:szCs w:val="20"/>
              </w:rPr>
              <w:t>184,3</w:t>
            </w:r>
          </w:p>
        </w:tc>
      </w:tr>
    </w:tbl>
    <w:p w14:paraId="2F879067" w14:textId="0442E067" w:rsidR="00F63704" w:rsidRPr="00392F2F" w:rsidRDefault="00F63704" w:rsidP="00F63704">
      <w:pPr>
        <w:rPr>
          <w:rFonts w:cs="Times New Roman"/>
          <w:b/>
          <w:sz w:val="22"/>
        </w:rPr>
      </w:pPr>
      <w:r w:rsidRPr="00392F2F">
        <w:rPr>
          <w:rFonts w:cs="Times New Roman"/>
          <w:b/>
          <w:sz w:val="22"/>
        </w:rPr>
        <w:t>Źródło: Wyniki bieżących badań GUS</w:t>
      </w:r>
      <w:r w:rsidR="00392F2F">
        <w:rPr>
          <w:rFonts w:cs="Times New Roman"/>
          <w:b/>
          <w:sz w:val="22"/>
        </w:rPr>
        <w:t>.</w:t>
      </w:r>
    </w:p>
    <w:p w14:paraId="58448F3B" w14:textId="77777777" w:rsidR="00611518" w:rsidRDefault="00611518" w:rsidP="00B47D0A"/>
    <w:p w14:paraId="37EAC6CE" w14:textId="77777777" w:rsidR="00611518" w:rsidRDefault="00611518" w:rsidP="00611518">
      <w:r>
        <w:t>W 2020 r. przeciętne dalsze trwanie życia noworodka płci męskiej wynosiło 72,6 roku, natomiast płci żeńskiej 80,7, co oznacza pogorszenie się tych wskaźników w porównaniu do roku poprzedniego odpowiednio o 1,5 i 1,1 roku. Kobiety osiągające wiek 60 lat w 2020 r. miały przed sobą ponad 5 lat więcej dalszego trwania życia niż mężczyźni. W 2020 r. mężczyzna w wieku 60 lat miał przed sobą jeszcze średnio 17,9 lat życia (w 2019 r. było to ponad 19 lat), zaś kobieta w tym wieku 23,2 roku życia (w roku poprzednim ponad 24 lata).</w:t>
      </w:r>
    </w:p>
    <w:p w14:paraId="5925742A" w14:textId="77777777" w:rsidR="00611518" w:rsidRDefault="00611518" w:rsidP="00611518"/>
    <w:p w14:paraId="21C7DCF0" w14:textId="02322797" w:rsidR="00611518" w:rsidRDefault="00611518" w:rsidP="00611518">
      <w:r>
        <w:t xml:space="preserve"> Przeciętne dalsze trwanie życia mężczyzn mających 60 lat zamieszkałych w miastach wynosiło 18,2 roku tj. o 0,8 rok dłużej niż mężczyzn na wsi, natomiast dalsze trwanie życia kobiet w tym wieku zamieszkałych w miastach wyniosło 23,4 roku (tj. o 0,4 więcej niż na wsi).</w:t>
      </w:r>
    </w:p>
    <w:p w14:paraId="66385C49" w14:textId="66182B41" w:rsidR="00565D9B" w:rsidRPr="0092226B" w:rsidRDefault="00565D9B" w:rsidP="00F63704">
      <w:pPr>
        <w:rPr>
          <w:color w:val="FF0000"/>
        </w:rPr>
      </w:pPr>
    </w:p>
    <w:p w14:paraId="1B393CA8" w14:textId="24C3B889" w:rsidR="00F63704" w:rsidRPr="00B47D0A" w:rsidRDefault="00F63704" w:rsidP="00F63704">
      <w:pPr>
        <w:pStyle w:val="Legenda"/>
        <w:keepNext/>
        <w:rPr>
          <w:rFonts w:cs="Times New Roman"/>
          <w:b/>
          <w:i w:val="0"/>
          <w:color w:val="auto"/>
          <w:sz w:val="24"/>
        </w:rPr>
      </w:pPr>
      <w:bookmarkStart w:id="8" w:name="_Toc49171378"/>
      <w:r w:rsidRPr="00B47D0A">
        <w:rPr>
          <w:rFonts w:cs="Times New Roman"/>
          <w:b/>
          <w:i w:val="0"/>
          <w:color w:val="auto"/>
          <w:sz w:val="24"/>
        </w:rPr>
        <w:t xml:space="preserve">Tabela </w:t>
      </w:r>
      <w:r w:rsidR="00873168">
        <w:rPr>
          <w:rFonts w:cs="Times New Roman"/>
          <w:b/>
          <w:i w:val="0"/>
          <w:color w:val="auto"/>
          <w:sz w:val="24"/>
        </w:rPr>
        <w:t>4</w:t>
      </w:r>
      <w:r w:rsidR="00EE73AF">
        <w:rPr>
          <w:rFonts w:cs="Times New Roman"/>
          <w:b/>
          <w:i w:val="0"/>
          <w:color w:val="auto"/>
          <w:sz w:val="24"/>
        </w:rPr>
        <w:t>.</w:t>
      </w:r>
      <w:r w:rsidRPr="00B47D0A">
        <w:rPr>
          <w:rFonts w:cs="Times New Roman"/>
          <w:b/>
          <w:i w:val="0"/>
          <w:color w:val="auto"/>
          <w:sz w:val="24"/>
        </w:rPr>
        <w:t xml:space="preserve"> Prognoza ludności - udział osób w wieku 60 lat i więcej w populacji ogółem</w:t>
      </w:r>
      <w:bookmarkEnd w:id="8"/>
    </w:p>
    <w:tbl>
      <w:tblPr>
        <w:tblStyle w:val="Tabelasiatki5ciemnaakcent2"/>
        <w:tblW w:w="9351" w:type="dxa"/>
        <w:tblLook w:val="04A0" w:firstRow="1" w:lastRow="0" w:firstColumn="1" w:lastColumn="0" w:noHBand="0" w:noVBand="1"/>
      </w:tblPr>
      <w:tblGrid>
        <w:gridCol w:w="1276"/>
        <w:gridCol w:w="1755"/>
        <w:gridCol w:w="1222"/>
        <w:gridCol w:w="1417"/>
        <w:gridCol w:w="1276"/>
        <w:gridCol w:w="1418"/>
        <w:gridCol w:w="987"/>
      </w:tblGrid>
      <w:tr w:rsidR="00B47D0A" w:rsidRPr="00B47D0A" w14:paraId="2A621594" w14:textId="77777777" w:rsidTr="00457E07">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276" w:type="dxa"/>
            <w:vMerge w:val="restart"/>
            <w:vAlign w:val="center"/>
            <w:hideMark/>
          </w:tcPr>
          <w:p w14:paraId="7DD8AE3A" w14:textId="77777777" w:rsidR="00F63704" w:rsidRPr="00B47D0A" w:rsidRDefault="00F63704" w:rsidP="00B47D0A">
            <w:pPr>
              <w:spacing w:line="240" w:lineRule="auto"/>
              <w:jc w:val="center"/>
              <w:rPr>
                <w:rFonts w:eastAsia="Times New Roman" w:cs="Times New Roman"/>
                <w:color w:val="auto"/>
                <w:sz w:val="20"/>
                <w:szCs w:val="20"/>
                <w:lang w:eastAsia="pl-PL"/>
              </w:rPr>
            </w:pPr>
            <w:r w:rsidRPr="00B47D0A">
              <w:rPr>
                <w:rFonts w:eastAsia="Times New Roman" w:cs="Times New Roman"/>
                <w:color w:val="auto"/>
                <w:sz w:val="20"/>
                <w:szCs w:val="20"/>
                <w:lang w:eastAsia="pl-PL"/>
              </w:rPr>
              <w:t>Rok prognozy</w:t>
            </w:r>
          </w:p>
        </w:tc>
        <w:tc>
          <w:tcPr>
            <w:tcW w:w="1755" w:type="dxa"/>
            <w:vMerge w:val="restart"/>
            <w:vAlign w:val="center"/>
            <w:hideMark/>
          </w:tcPr>
          <w:p w14:paraId="7CA0E5EC" w14:textId="77777777" w:rsidR="00F63704" w:rsidRPr="00B47D0A" w:rsidRDefault="00F63704" w:rsidP="00B47D0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B47D0A">
              <w:rPr>
                <w:rFonts w:eastAsia="Times New Roman" w:cs="Times New Roman"/>
                <w:color w:val="auto"/>
                <w:sz w:val="20"/>
                <w:szCs w:val="20"/>
                <w:lang w:eastAsia="pl-PL"/>
              </w:rPr>
              <w:t>Grupy wieku</w:t>
            </w:r>
          </w:p>
        </w:tc>
        <w:tc>
          <w:tcPr>
            <w:tcW w:w="1222" w:type="dxa"/>
            <w:vAlign w:val="center"/>
            <w:hideMark/>
          </w:tcPr>
          <w:p w14:paraId="43A17C81" w14:textId="77777777" w:rsidR="00F63704" w:rsidRPr="00B47D0A" w:rsidRDefault="00F63704" w:rsidP="00B47D0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B47D0A">
              <w:rPr>
                <w:rFonts w:eastAsia="Times New Roman" w:cs="Times New Roman"/>
                <w:color w:val="auto"/>
                <w:sz w:val="20"/>
                <w:szCs w:val="20"/>
                <w:lang w:eastAsia="pl-PL"/>
              </w:rPr>
              <w:t>Ogółem</w:t>
            </w:r>
          </w:p>
        </w:tc>
        <w:tc>
          <w:tcPr>
            <w:tcW w:w="1417" w:type="dxa"/>
            <w:vAlign w:val="center"/>
            <w:hideMark/>
          </w:tcPr>
          <w:p w14:paraId="25323EC0" w14:textId="77777777" w:rsidR="00F63704" w:rsidRPr="00B47D0A" w:rsidRDefault="00F63704" w:rsidP="00B47D0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B47D0A">
              <w:rPr>
                <w:rFonts w:eastAsia="Times New Roman" w:cs="Times New Roman"/>
                <w:color w:val="auto"/>
                <w:sz w:val="20"/>
                <w:szCs w:val="20"/>
                <w:lang w:eastAsia="pl-PL"/>
              </w:rPr>
              <w:t>Miasta</w:t>
            </w:r>
          </w:p>
        </w:tc>
        <w:tc>
          <w:tcPr>
            <w:tcW w:w="1276" w:type="dxa"/>
            <w:vAlign w:val="center"/>
            <w:hideMark/>
          </w:tcPr>
          <w:p w14:paraId="139E1615" w14:textId="77777777" w:rsidR="00F63704" w:rsidRPr="00B47D0A" w:rsidRDefault="00F63704" w:rsidP="00B47D0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B47D0A">
              <w:rPr>
                <w:rFonts w:eastAsia="Times New Roman" w:cs="Times New Roman"/>
                <w:color w:val="auto"/>
                <w:sz w:val="20"/>
                <w:szCs w:val="20"/>
                <w:lang w:eastAsia="pl-PL"/>
              </w:rPr>
              <w:t>Wieś</w:t>
            </w:r>
          </w:p>
        </w:tc>
        <w:tc>
          <w:tcPr>
            <w:tcW w:w="1418" w:type="dxa"/>
            <w:vAlign w:val="center"/>
            <w:hideMark/>
          </w:tcPr>
          <w:p w14:paraId="32C1DE4D" w14:textId="77777777" w:rsidR="00F63704" w:rsidRPr="00B47D0A" w:rsidRDefault="00F63704" w:rsidP="00B47D0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B47D0A">
              <w:rPr>
                <w:rFonts w:eastAsia="Times New Roman" w:cs="Times New Roman"/>
                <w:color w:val="auto"/>
                <w:sz w:val="20"/>
                <w:szCs w:val="20"/>
                <w:lang w:eastAsia="pl-PL"/>
              </w:rPr>
              <w:t>Mężczyźni</w:t>
            </w:r>
          </w:p>
        </w:tc>
        <w:tc>
          <w:tcPr>
            <w:tcW w:w="987" w:type="dxa"/>
            <w:vAlign w:val="center"/>
            <w:hideMark/>
          </w:tcPr>
          <w:p w14:paraId="5279EC10" w14:textId="77777777" w:rsidR="00F63704" w:rsidRPr="00B47D0A" w:rsidRDefault="00F63704" w:rsidP="00B47D0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B47D0A">
              <w:rPr>
                <w:rFonts w:eastAsia="Times New Roman" w:cs="Times New Roman"/>
                <w:color w:val="auto"/>
                <w:sz w:val="20"/>
                <w:szCs w:val="20"/>
                <w:lang w:eastAsia="pl-PL"/>
              </w:rPr>
              <w:t>Kobiety</w:t>
            </w:r>
          </w:p>
        </w:tc>
      </w:tr>
      <w:tr w:rsidR="00B47D0A" w:rsidRPr="00B47D0A" w14:paraId="0C5608B7" w14:textId="77777777" w:rsidTr="00457E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vAlign w:val="center"/>
            <w:hideMark/>
          </w:tcPr>
          <w:p w14:paraId="0FE29A99" w14:textId="77777777" w:rsidR="00F63704" w:rsidRPr="00B47D0A" w:rsidRDefault="00F63704" w:rsidP="00B47D0A">
            <w:pPr>
              <w:spacing w:line="240" w:lineRule="auto"/>
              <w:jc w:val="center"/>
              <w:rPr>
                <w:rFonts w:eastAsia="Times New Roman" w:cs="Times New Roman"/>
                <w:b w:val="0"/>
                <w:color w:val="auto"/>
                <w:sz w:val="20"/>
                <w:szCs w:val="20"/>
                <w:lang w:eastAsia="pl-PL"/>
              </w:rPr>
            </w:pPr>
          </w:p>
        </w:tc>
        <w:tc>
          <w:tcPr>
            <w:tcW w:w="1755" w:type="dxa"/>
            <w:vMerge/>
            <w:hideMark/>
          </w:tcPr>
          <w:p w14:paraId="03518C2B"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6320" w:type="dxa"/>
            <w:gridSpan w:val="5"/>
            <w:hideMark/>
          </w:tcPr>
          <w:p w14:paraId="6A7B0404"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B47D0A">
              <w:rPr>
                <w:rFonts w:eastAsia="Times New Roman" w:cs="Times New Roman"/>
                <w:b/>
                <w:sz w:val="20"/>
                <w:szCs w:val="20"/>
                <w:lang w:eastAsia="pl-PL"/>
              </w:rPr>
              <w:t>ogółem = 100</w:t>
            </w:r>
          </w:p>
        </w:tc>
      </w:tr>
      <w:tr w:rsidR="00B47D0A" w:rsidRPr="00B47D0A" w14:paraId="702E4ABA" w14:textId="77777777" w:rsidTr="00457E07">
        <w:trPr>
          <w:trHeight w:val="300"/>
        </w:trPr>
        <w:tc>
          <w:tcPr>
            <w:cnfStyle w:val="001000000000" w:firstRow="0" w:lastRow="0" w:firstColumn="1" w:lastColumn="0" w:oddVBand="0" w:evenVBand="0" w:oddHBand="0" w:evenHBand="0" w:firstRowFirstColumn="0" w:firstRowLastColumn="0" w:lastRowFirstColumn="0" w:lastRowLastColumn="0"/>
            <w:tcW w:w="1276" w:type="dxa"/>
            <w:vMerge w:val="restart"/>
            <w:noWrap/>
            <w:vAlign w:val="center"/>
            <w:hideMark/>
          </w:tcPr>
          <w:p w14:paraId="1EF03BD2" w14:textId="6ECEFF44" w:rsidR="00F63704" w:rsidRPr="00B47D0A" w:rsidRDefault="00F63704" w:rsidP="008428AF">
            <w:pPr>
              <w:spacing w:line="240" w:lineRule="auto"/>
              <w:jc w:val="center"/>
              <w:rPr>
                <w:rFonts w:eastAsia="Times New Roman" w:cs="Times New Roman"/>
                <w:bCs w:val="0"/>
                <w:color w:val="auto"/>
                <w:sz w:val="20"/>
                <w:szCs w:val="20"/>
                <w:lang w:eastAsia="pl-PL"/>
              </w:rPr>
            </w:pPr>
            <w:r w:rsidRPr="00B47D0A">
              <w:rPr>
                <w:rFonts w:eastAsia="Times New Roman" w:cs="Times New Roman"/>
                <w:bCs w:val="0"/>
                <w:color w:val="auto"/>
                <w:sz w:val="20"/>
                <w:szCs w:val="20"/>
                <w:lang w:eastAsia="pl-PL"/>
              </w:rPr>
              <w:t>2030</w:t>
            </w:r>
          </w:p>
        </w:tc>
        <w:tc>
          <w:tcPr>
            <w:tcW w:w="1755" w:type="dxa"/>
            <w:noWrap/>
            <w:hideMark/>
          </w:tcPr>
          <w:p w14:paraId="01339C44" w14:textId="77777777" w:rsidR="00F63704" w:rsidRPr="00B47D0A" w:rsidRDefault="00F63704" w:rsidP="002740DC">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Ogółem</w:t>
            </w:r>
          </w:p>
        </w:tc>
        <w:tc>
          <w:tcPr>
            <w:tcW w:w="1222" w:type="dxa"/>
            <w:noWrap/>
            <w:hideMark/>
          </w:tcPr>
          <w:p w14:paraId="33FEA04A"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100,0</w:t>
            </w:r>
          </w:p>
        </w:tc>
        <w:tc>
          <w:tcPr>
            <w:tcW w:w="1417" w:type="dxa"/>
            <w:noWrap/>
            <w:hideMark/>
          </w:tcPr>
          <w:p w14:paraId="4A580A94"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58,1</w:t>
            </w:r>
          </w:p>
        </w:tc>
        <w:tc>
          <w:tcPr>
            <w:tcW w:w="1276" w:type="dxa"/>
            <w:noWrap/>
            <w:hideMark/>
          </w:tcPr>
          <w:p w14:paraId="2E9AB0FD"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41,9</w:t>
            </w:r>
          </w:p>
        </w:tc>
        <w:tc>
          <w:tcPr>
            <w:tcW w:w="1418" w:type="dxa"/>
            <w:noWrap/>
            <w:hideMark/>
          </w:tcPr>
          <w:p w14:paraId="7F849433"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48,4</w:t>
            </w:r>
          </w:p>
        </w:tc>
        <w:tc>
          <w:tcPr>
            <w:tcW w:w="987" w:type="dxa"/>
            <w:noWrap/>
            <w:hideMark/>
          </w:tcPr>
          <w:p w14:paraId="1C3674DF"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51,6</w:t>
            </w:r>
          </w:p>
        </w:tc>
      </w:tr>
      <w:tr w:rsidR="00B47D0A" w:rsidRPr="00B47D0A" w14:paraId="256A4D52" w14:textId="77777777" w:rsidTr="00457E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noWrap/>
            <w:vAlign w:val="center"/>
            <w:hideMark/>
          </w:tcPr>
          <w:p w14:paraId="3AF5B8DB" w14:textId="77777777" w:rsidR="00F63704" w:rsidRPr="00B47D0A" w:rsidRDefault="00F63704" w:rsidP="00B47D0A">
            <w:pPr>
              <w:spacing w:line="240" w:lineRule="auto"/>
              <w:jc w:val="center"/>
              <w:rPr>
                <w:rFonts w:eastAsia="Times New Roman" w:cs="Times New Roman"/>
                <w:color w:val="auto"/>
                <w:sz w:val="20"/>
                <w:szCs w:val="20"/>
                <w:lang w:eastAsia="pl-PL"/>
              </w:rPr>
            </w:pPr>
          </w:p>
        </w:tc>
        <w:tc>
          <w:tcPr>
            <w:tcW w:w="1755" w:type="dxa"/>
            <w:noWrap/>
            <w:hideMark/>
          </w:tcPr>
          <w:p w14:paraId="7FC189FD" w14:textId="77777777" w:rsidR="00F63704" w:rsidRPr="00B47D0A" w:rsidRDefault="00F63704" w:rsidP="008428AF">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 xml:space="preserve">w tym 60 lat </w:t>
            </w:r>
            <w:r w:rsidR="00B47D0A" w:rsidRPr="00B47D0A">
              <w:rPr>
                <w:rFonts w:eastAsia="Times New Roman" w:cs="Times New Roman"/>
                <w:sz w:val="20"/>
                <w:szCs w:val="20"/>
                <w:lang w:eastAsia="pl-PL"/>
              </w:rPr>
              <w:t xml:space="preserve">                       </w:t>
            </w:r>
            <w:r w:rsidRPr="00B47D0A">
              <w:rPr>
                <w:rFonts w:eastAsia="Times New Roman" w:cs="Times New Roman"/>
                <w:sz w:val="20"/>
                <w:szCs w:val="20"/>
                <w:lang w:eastAsia="pl-PL"/>
              </w:rPr>
              <w:t xml:space="preserve">i więcej </w:t>
            </w:r>
          </w:p>
        </w:tc>
        <w:tc>
          <w:tcPr>
            <w:tcW w:w="1222" w:type="dxa"/>
            <w:noWrap/>
            <w:hideMark/>
          </w:tcPr>
          <w:p w14:paraId="3ED7A659"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29,0</w:t>
            </w:r>
          </w:p>
        </w:tc>
        <w:tc>
          <w:tcPr>
            <w:tcW w:w="1417" w:type="dxa"/>
            <w:noWrap/>
            <w:hideMark/>
          </w:tcPr>
          <w:p w14:paraId="72156C7C"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18,0</w:t>
            </w:r>
          </w:p>
        </w:tc>
        <w:tc>
          <w:tcPr>
            <w:tcW w:w="1276" w:type="dxa"/>
            <w:noWrap/>
            <w:hideMark/>
          </w:tcPr>
          <w:p w14:paraId="3AEFCE2E"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11,0</w:t>
            </w:r>
          </w:p>
        </w:tc>
        <w:tc>
          <w:tcPr>
            <w:tcW w:w="1418" w:type="dxa"/>
            <w:noWrap/>
            <w:hideMark/>
          </w:tcPr>
          <w:p w14:paraId="1CC57B60"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12,3</w:t>
            </w:r>
          </w:p>
        </w:tc>
        <w:tc>
          <w:tcPr>
            <w:tcW w:w="987" w:type="dxa"/>
            <w:noWrap/>
            <w:hideMark/>
          </w:tcPr>
          <w:p w14:paraId="5F1AE259"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16,7</w:t>
            </w:r>
          </w:p>
        </w:tc>
      </w:tr>
      <w:tr w:rsidR="00B47D0A" w:rsidRPr="00B47D0A" w14:paraId="137BD041" w14:textId="77777777" w:rsidTr="00457E07">
        <w:trPr>
          <w:trHeight w:val="300"/>
        </w:trPr>
        <w:tc>
          <w:tcPr>
            <w:cnfStyle w:val="001000000000" w:firstRow="0" w:lastRow="0" w:firstColumn="1" w:lastColumn="0" w:oddVBand="0" w:evenVBand="0" w:oddHBand="0" w:evenHBand="0" w:firstRowFirstColumn="0" w:firstRowLastColumn="0" w:lastRowFirstColumn="0" w:lastRowLastColumn="0"/>
            <w:tcW w:w="1276" w:type="dxa"/>
            <w:vMerge/>
            <w:noWrap/>
            <w:vAlign w:val="center"/>
            <w:hideMark/>
          </w:tcPr>
          <w:p w14:paraId="7A250639" w14:textId="77777777" w:rsidR="00F63704" w:rsidRPr="00B47D0A" w:rsidRDefault="00F63704" w:rsidP="00B47D0A">
            <w:pPr>
              <w:spacing w:line="240" w:lineRule="auto"/>
              <w:jc w:val="center"/>
              <w:rPr>
                <w:rFonts w:eastAsia="Times New Roman" w:cs="Times New Roman"/>
                <w:color w:val="auto"/>
                <w:sz w:val="20"/>
                <w:szCs w:val="20"/>
                <w:lang w:eastAsia="pl-PL"/>
              </w:rPr>
            </w:pPr>
          </w:p>
        </w:tc>
        <w:tc>
          <w:tcPr>
            <w:tcW w:w="1755" w:type="dxa"/>
            <w:noWrap/>
            <w:hideMark/>
          </w:tcPr>
          <w:p w14:paraId="796CA4D3" w14:textId="77777777" w:rsidR="00F63704" w:rsidRPr="00B47D0A" w:rsidRDefault="00F63704" w:rsidP="002740DC">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60-64 lata</w:t>
            </w:r>
          </w:p>
        </w:tc>
        <w:tc>
          <w:tcPr>
            <w:tcW w:w="1222" w:type="dxa"/>
            <w:noWrap/>
            <w:hideMark/>
          </w:tcPr>
          <w:p w14:paraId="57FC370D"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5,7</w:t>
            </w:r>
          </w:p>
        </w:tc>
        <w:tc>
          <w:tcPr>
            <w:tcW w:w="1417" w:type="dxa"/>
            <w:noWrap/>
            <w:hideMark/>
          </w:tcPr>
          <w:p w14:paraId="01D8C611"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3,3</w:t>
            </w:r>
          </w:p>
        </w:tc>
        <w:tc>
          <w:tcPr>
            <w:tcW w:w="1276" w:type="dxa"/>
            <w:noWrap/>
            <w:hideMark/>
          </w:tcPr>
          <w:p w14:paraId="74333391"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2,5</w:t>
            </w:r>
          </w:p>
        </w:tc>
        <w:tc>
          <w:tcPr>
            <w:tcW w:w="1418" w:type="dxa"/>
            <w:noWrap/>
            <w:hideMark/>
          </w:tcPr>
          <w:p w14:paraId="6B4E4720"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2,8</w:t>
            </w:r>
          </w:p>
        </w:tc>
        <w:tc>
          <w:tcPr>
            <w:tcW w:w="987" w:type="dxa"/>
            <w:noWrap/>
            <w:hideMark/>
          </w:tcPr>
          <w:p w14:paraId="350B745C"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3,0</w:t>
            </w:r>
          </w:p>
        </w:tc>
      </w:tr>
      <w:tr w:rsidR="00B47D0A" w:rsidRPr="00B47D0A" w14:paraId="6DDA554C" w14:textId="77777777" w:rsidTr="00457E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noWrap/>
            <w:vAlign w:val="center"/>
            <w:hideMark/>
          </w:tcPr>
          <w:p w14:paraId="0FF1177F" w14:textId="77777777" w:rsidR="00F63704" w:rsidRPr="00B47D0A" w:rsidRDefault="00F63704" w:rsidP="00B47D0A">
            <w:pPr>
              <w:spacing w:line="240" w:lineRule="auto"/>
              <w:jc w:val="center"/>
              <w:rPr>
                <w:rFonts w:eastAsia="Times New Roman" w:cs="Times New Roman"/>
                <w:color w:val="auto"/>
                <w:sz w:val="20"/>
                <w:szCs w:val="20"/>
                <w:lang w:eastAsia="pl-PL"/>
              </w:rPr>
            </w:pPr>
          </w:p>
        </w:tc>
        <w:tc>
          <w:tcPr>
            <w:tcW w:w="1755" w:type="dxa"/>
            <w:noWrap/>
            <w:hideMark/>
          </w:tcPr>
          <w:p w14:paraId="2F1F1A5C" w14:textId="77777777" w:rsidR="00F63704" w:rsidRPr="00B47D0A" w:rsidRDefault="00F63704" w:rsidP="002740DC">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65-69</w:t>
            </w:r>
          </w:p>
        </w:tc>
        <w:tc>
          <w:tcPr>
            <w:tcW w:w="1222" w:type="dxa"/>
            <w:noWrap/>
            <w:hideMark/>
          </w:tcPr>
          <w:p w14:paraId="5743103D"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5,7</w:t>
            </w:r>
          </w:p>
        </w:tc>
        <w:tc>
          <w:tcPr>
            <w:tcW w:w="1417" w:type="dxa"/>
            <w:noWrap/>
            <w:hideMark/>
          </w:tcPr>
          <w:p w14:paraId="42D2E5AD"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3,3</w:t>
            </w:r>
          </w:p>
        </w:tc>
        <w:tc>
          <w:tcPr>
            <w:tcW w:w="1276" w:type="dxa"/>
            <w:noWrap/>
            <w:hideMark/>
          </w:tcPr>
          <w:p w14:paraId="2FC1FECE"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2,4</w:t>
            </w:r>
          </w:p>
        </w:tc>
        <w:tc>
          <w:tcPr>
            <w:tcW w:w="1418" w:type="dxa"/>
            <w:noWrap/>
            <w:hideMark/>
          </w:tcPr>
          <w:p w14:paraId="40590053"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2,7</w:t>
            </w:r>
          </w:p>
        </w:tc>
        <w:tc>
          <w:tcPr>
            <w:tcW w:w="987" w:type="dxa"/>
            <w:noWrap/>
            <w:hideMark/>
          </w:tcPr>
          <w:p w14:paraId="316E41AD"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3,0</w:t>
            </w:r>
          </w:p>
        </w:tc>
      </w:tr>
      <w:tr w:rsidR="00B47D0A" w:rsidRPr="00B47D0A" w14:paraId="40343783" w14:textId="77777777" w:rsidTr="00457E07">
        <w:trPr>
          <w:trHeight w:val="300"/>
        </w:trPr>
        <w:tc>
          <w:tcPr>
            <w:cnfStyle w:val="001000000000" w:firstRow="0" w:lastRow="0" w:firstColumn="1" w:lastColumn="0" w:oddVBand="0" w:evenVBand="0" w:oddHBand="0" w:evenHBand="0" w:firstRowFirstColumn="0" w:firstRowLastColumn="0" w:lastRowFirstColumn="0" w:lastRowLastColumn="0"/>
            <w:tcW w:w="1276" w:type="dxa"/>
            <w:vMerge/>
            <w:noWrap/>
            <w:vAlign w:val="center"/>
            <w:hideMark/>
          </w:tcPr>
          <w:p w14:paraId="6C074170" w14:textId="77777777" w:rsidR="00F63704" w:rsidRPr="00B47D0A" w:rsidRDefault="00F63704" w:rsidP="00B47D0A">
            <w:pPr>
              <w:spacing w:line="240" w:lineRule="auto"/>
              <w:jc w:val="center"/>
              <w:rPr>
                <w:rFonts w:eastAsia="Times New Roman" w:cs="Times New Roman"/>
                <w:color w:val="auto"/>
                <w:sz w:val="20"/>
                <w:szCs w:val="20"/>
                <w:lang w:eastAsia="pl-PL"/>
              </w:rPr>
            </w:pPr>
          </w:p>
        </w:tc>
        <w:tc>
          <w:tcPr>
            <w:tcW w:w="1755" w:type="dxa"/>
            <w:noWrap/>
            <w:hideMark/>
          </w:tcPr>
          <w:p w14:paraId="6D665734" w14:textId="77777777" w:rsidR="00F63704" w:rsidRPr="00B47D0A" w:rsidRDefault="00F63704" w:rsidP="002740DC">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70-74</w:t>
            </w:r>
          </w:p>
        </w:tc>
        <w:tc>
          <w:tcPr>
            <w:tcW w:w="1222" w:type="dxa"/>
            <w:noWrap/>
            <w:hideMark/>
          </w:tcPr>
          <w:p w14:paraId="0A2C46ED"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6,2</w:t>
            </w:r>
          </w:p>
        </w:tc>
        <w:tc>
          <w:tcPr>
            <w:tcW w:w="1417" w:type="dxa"/>
            <w:noWrap/>
            <w:hideMark/>
          </w:tcPr>
          <w:p w14:paraId="5FA9AE43"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3,9</w:t>
            </w:r>
          </w:p>
        </w:tc>
        <w:tc>
          <w:tcPr>
            <w:tcW w:w="1276" w:type="dxa"/>
            <w:noWrap/>
            <w:hideMark/>
          </w:tcPr>
          <w:p w14:paraId="0B8F3B13"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2,4</w:t>
            </w:r>
          </w:p>
        </w:tc>
        <w:tc>
          <w:tcPr>
            <w:tcW w:w="1418" w:type="dxa"/>
            <w:noWrap/>
            <w:hideMark/>
          </w:tcPr>
          <w:p w14:paraId="10DA0F9D"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2,8</w:t>
            </w:r>
          </w:p>
        </w:tc>
        <w:tc>
          <w:tcPr>
            <w:tcW w:w="987" w:type="dxa"/>
            <w:noWrap/>
            <w:hideMark/>
          </w:tcPr>
          <w:p w14:paraId="1895A6FF"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3,5</w:t>
            </w:r>
          </w:p>
        </w:tc>
      </w:tr>
      <w:tr w:rsidR="00B47D0A" w:rsidRPr="00B47D0A" w14:paraId="20685848" w14:textId="77777777" w:rsidTr="00457E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noWrap/>
            <w:vAlign w:val="center"/>
            <w:hideMark/>
          </w:tcPr>
          <w:p w14:paraId="2E42833E" w14:textId="77777777" w:rsidR="00F63704" w:rsidRPr="00B47D0A" w:rsidRDefault="00F63704" w:rsidP="00B47D0A">
            <w:pPr>
              <w:spacing w:line="240" w:lineRule="auto"/>
              <w:jc w:val="center"/>
              <w:rPr>
                <w:rFonts w:eastAsia="Times New Roman" w:cs="Times New Roman"/>
                <w:color w:val="auto"/>
                <w:sz w:val="20"/>
                <w:szCs w:val="20"/>
                <w:lang w:eastAsia="pl-PL"/>
              </w:rPr>
            </w:pPr>
          </w:p>
        </w:tc>
        <w:tc>
          <w:tcPr>
            <w:tcW w:w="1755" w:type="dxa"/>
            <w:noWrap/>
            <w:hideMark/>
          </w:tcPr>
          <w:p w14:paraId="48B1B585" w14:textId="77777777" w:rsidR="00F63704" w:rsidRPr="00B47D0A" w:rsidRDefault="00F63704" w:rsidP="002740DC">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75-79</w:t>
            </w:r>
          </w:p>
        </w:tc>
        <w:tc>
          <w:tcPr>
            <w:tcW w:w="1222" w:type="dxa"/>
            <w:noWrap/>
            <w:hideMark/>
          </w:tcPr>
          <w:p w14:paraId="648D7A8B"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5,4</w:t>
            </w:r>
          </w:p>
        </w:tc>
        <w:tc>
          <w:tcPr>
            <w:tcW w:w="1417" w:type="dxa"/>
            <w:noWrap/>
            <w:hideMark/>
          </w:tcPr>
          <w:p w14:paraId="22A30E6C"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3,6</w:t>
            </w:r>
          </w:p>
        </w:tc>
        <w:tc>
          <w:tcPr>
            <w:tcW w:w="1276" w:type="dxa"/>
            <w:noWrap/>
            <w:hideMark/>
          </w:tcPr>
          <w:p w14:paraId="646D1C99"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1,8</w:t>
            </w:r>
          </w:p>
        </w:tc>
        <w:tc>
          <w:tcPr>
            <w:tcW w:w="1418" w:type="dxa"/>
            <w:noWrap/>
            <w:hideMark/>
          </w:tcPr>
          <w:p w14:paraId="48EF11D7"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2,2</w:t>
            </w:r>
          </w:p>
        </w:tc>
        <w:tc>
          <w:tcPr>
            <w:tcW w:w="987" w:type="dxa"/>
            <w:noWrap/>
            <w:hideMark/>
          </w:tcPr>
          <w:p w14:paraId="168C5367"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3,2</w:t>
            </w:r>
          </w:p>
        </w:tc>
      </w:tr>
      <w:tr w:rsidR="00B47D0A" w:rsidRPr="00B47D0A" w14:paraId="7F43CEA0" w14:textId="77777777" w:rsidTr="00457E07">
        <w:trPr>
          <w:trHeight w:val="300"/>
        </w:trPr>
        <w:tc>
          <w:tcPr>
            <w:cnfStyle w:val="001000000000" w:firstRow="0" w:lastRow="0" w:firstColumn="1" w:lastColumn="0" w:oddVBand="0" w:evenVBand="0" w:oddHBand="0" w:evenHBand="0" w:firstRowFirstColumn="0" w:firstRowLastColumn="0" w:lastRowFirstColumn="0" w:lastRowLastColumn="0"/>
            <w:tcW w:w="1276" w:type="dxa"/>
            <w:vMerge/>
            <w:noWrap/>
            <w:vAlign w:val="center"/>
            <w:hideMark/>
          </w:tcPr>
          <w:p w14:paraId="5E0F8F08" w14:textId="77777777" w:rsidR="00F63704" w:rsidRPr="00B47D0A" w:rsidRDefault="00F63704" w:rsidP="00B47D0A">
            <w:pPr>
              <w:spacing w:line="240" w:lineRule="auto"/>
              <w:jc w:val="center"/>
              <w:rPr>
                <w:rFonts w:eastAsia="Times New Roman" w:cs="Times New Roman"/>
                <w:color w:val="auto"/>
                <w:sz w:val="20"/>
                <w:szCs w:val="20"/>
                <w:lang w:eastAsia="pl-PL"/>
              </w:rPr>
            </w:pPr>
          </w:p>
        </w:tc>
        <w:tc>
          <w:tcPr>
            <w:tcW w:w="1755" w:type="dxa"/>
            <w:noWrap/>
            <w:hideMark/>
          </w:tcPr>
          <w:p w14:paraId="15EF0DAF" w14:textId="77777777" w:rsidR="00F63704" w:rsidRPr="00B47D0A" w:rsidRDefault="00F63704" w:rsidP="002740DC">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80-84</w:t>
            </w:r>
          </w:p>
        </w:tc>
        <w:tc>
          <w:tcPr>
            <w:tcW w:w="1222" w:type="dxa"/>
            <w:noWrap/>
            <w:hideMark/>
          </w:tcPr>
          <w:p w14:paraId="0EECBC02"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3,5</w:t>
            </w:r>
          </w:p>
        </w:tc>
        <w:tc>
          <w:tcPr>
            <w:tcW w:w="1417" w:type="dxa"/>
            <w:noWrap/>
            <w:hideMark/>
          </w:tcPr>
          <w:p w14:paraId="2AF54C81"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2,4</w:t>
            </w:r>
          </w:p>
        </w:tc>
        <w:tc>
          <w:tcPr>
            <w:tcW w:w="1276" w:type="dxa"/>
            <w:noWrap/>
            <w:hideMark/>
          </w:tcPr>
          <w:p w14:paraId="1F84B80C"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1,2</w:t>
            </w:r>
          </w:p>
        </w:tc>
        <w:tc>
          <w:tcPr>
            <w:tcW w:w="1418" w:type="dxa"/>
            <w:noWrap/>
            <w:hideMark/>
          </w:tcPr>
          <w:p w14:paraId="41956D44"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1,3</w:t>
            </w:r>
          </w:p>
        </w:tc>
        <w:tc>
          <w:tcPr>
            <w:tcW w:w="987" w:type="dxa"/>
            <w:noWrap/>
            <w:hideMark/>
          </w:tcPr>
          <w:p w14:paraId="1C8D996E"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2,3</w:t>
            </w:r>
          </w:p>
        </w:tc>
      </w:tr>
      <w:tr w:rsidR="00B47D0A" w:rsidRPr="00B47D0A" w14:paraId="67DB63AC" w14:textId="77777777" w:rsidTr="00457E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noWrap/>
            <w:vAlign w:val="center"/>
            <w:hideMark/>
          </w:tcPr>
          <w:p w14:paraId="675ABCC5" w14:textId="77777777" w:rsidR="00F63704" w:rsidRPr="00B47D0A" w:rsidRDefault="00F63704" w:rsidP="00B47D0A">
            <w:pPr>
              <w:spacing w:line="240" w:lineRule="auto"/>
              <w:jc w:val="center"/>
              <w:rPr>
                <w:rFonts w:eastAsia="Times New Roman" w:cs="Times New Roman"/>
                <w:color w:val="auto"/>
                <w:sz w:val="20"/>
                <w:szCs w:val="20"/>
                <w:lang w:eastAsia="pl-PL"/>
              </w:rPr>
            </w:pPr>
          </w:p>
        </w:tc>
        <w:tc>
          <w:tcPr>
            <w:tcW w:w="1755" w:type="dxa"/>
            <w:noWrap/>
            <w:hideMark/>
          </w:tcPr>
          <w:p w14:paraId="1F08BA18" w14:textId="77777777" w:rsidR="00F63704" w:rsidRPr="00B47D0A" w:rsidRDefault="00F63704" w:rsidP="002740DC">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85 lat i więcej</w:t>
            </w:r>
          </w:p>
        </w:tc>
        <w:tc>
          <w:tcPr>
            <w:tcW w:w="1222" w:type="dxa"/>
            <w:noWrap/>
            <w:hideMark/>
          </w:tcPr>
          <w:p w14:paraId="2CD7ED1B"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2,4</w:t>
            </w:r>
          </w:p>
        </w:tc>
        <w:tc>
          <w:tcPr>
            <w:tcW w:w="1417" w:type="dxa"/>
            <w:noWrap/>
            <w:hideMark/>
          </w:tcPr>
          <w:p w14:paraId="72AFFC19"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1,6</w:t>
            </w:r>
          </w:p>
        </w:tc>
        <w:tc>
          <w:tcPr>
            <w:tcW w:w="1276" w:type="dxa"/>
            <w:noWrap/>
            <w:hideMark/>
          </w:tcPr>
          <w:p w14:paraId="64673C5F"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0,8</w:t>
            </w:r>
          </w:p>
        </w:tc>
        <w:tc>
          <w:tcPr>
            <w:tcW w:w="1418" w:type="dxa"/>
            <w:noWrap/>
            <w:hideMark/>
          </w:tcPr>
          <w:p w14:paraId="6783FAED"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0,7</w:t>
            </w:r>
          </w:p>
        </w:tc>
        <w:tc>
          <w:tcPr>
            <w:tcW w:w="987" w:type="dxa"/>
            <w:noWrap/>
            <w:hideMark/>
          </w:tcPr>
          <w:p w14:paraId="4D3E3DF3"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1,7</w:t>
            </w:r>
          </w:p>
        </w:tc>
      </w:tr>
      <w:tr w:rsidR="00B47D0A" w:rsidRPr="00B47D0A" w14:paraId="3BB3CE2A" w14:textId="77777777" w:rsidTr="00457E07">
        <w:trPr>
          <w:trHeight w:val="300"/>
        </w:trPr>
        <w:tc>
          <w:tcPr>
            <w:cnfStyle w:val="001000000000" w:firstRow="0" w:lastRow="0" w:firstColumn="1" w:lastColumn="0" w:oddVBand="0" w:evenVBand="0" w:oddHBand="0" w:evenHBand="0" w:firstRowFirstColumn="0" w:firstRowLastColumn="0" w:lastRowFirstColumn="0" w:lastRowLastColumn="0"/>
            <w:tcW w:w="1276" w:type="dxa"/>
            <w:vMerge w:val="restart"/>
            <w:noWrap/>
            <w:vAlign w:val="center"/>
            <w:hideMark/>
          </w:tcPr>
          <w:p w14:paraId="23880017" w14:textId="5426C7E2" w:rsidR="00F63704" w:rsidRPr="00B47D0A" w:rsidRDefault="00F63704" w:rsidP="008428AF">
            <w:pPr>
              <w:spacing w:line="240" w:lineRule="auto"/>
              <w:jc w:val="center"/>
              <w:rPr>
                <w:rFonts w:eastAsia="Times New Roman" w:cs="Times New Roman"/>
                <w:bCs w:val="0"/>
                <w:color w:val="auto"/>
                <w:sz w:val="20"/>
                <w:szCs w:val="20"/>
                <w:lang w:eastAsia="pl-PL"/>
              </w:rPr>
            </w:pPr>
            <w:r w:rsidRPr="00B47D0A">
              <w:rPr>
                <w:rFonts w:eastAsia="Times New Roman" w:cs="Times New Roman"/>
                <w:bCs w:val="0"/>
                <w:color w:val="auto"/>
                <w:sz w:val="20"/>
                <w:szCs w:val="20"/>
                <w:lang w:eastAsia="pl-PL"/>
              </w:rPr>
              <w:t>2040</w:t>
            </w:r>
          </w:p>
        </w:tc>
        <w:tc>
          <w:tcPr>
            <w:tcW w:w="1755" w:type="dxa"/>
            <w:noWrap/>
            <w:hideMark/>
          </w:tcPr>
          <w:p w14:paraId="337846E0" w14:textId="77777777" w:rsidR="00F63704" w:rsidRPr="00B47D0A" w:rsidRDefault="00F63704" w:rsidP="002740DC">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Ogółem</w:t>
            </w:r>
          </w:p>
        </w:tc>
        <w:tc>
          <w:tcPr>
            <w:tcW w:w="1222" w:type="dxa"/>
            <w:noWrap/>
            <w:hideMark/>
          </w:tcPr>
          <w:p w14:paraId="2843D505"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100,0</w:t>
            </w:r>
          </w:p>
        </w:tc>
        <w:tc>
          <w:tcPr>
            <w:tcW w:w="1417" w:type="dxa"/>
            <w:noWrap/>
            <w:hideMark/>
          </w:tcPr>
          <w:p w14:paraId="4D4FEBE5"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56,7</w:t>
            </w:r>
          </w:p>
        </w:tc>
        <w:tc>
          <w:tcPr>
            <w:tcW w:w="1276" w:type="dxa"/>
            <w:noWrap/>
            <w:hideMark/>
          </w:tcPr>
          <w:p w14:paraId="0E198A2F"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43,3</w:t>
            </w:r>
          </w:p>
        </w:tc>
        <w:tc>
          <w:tcPr>
            <w:tcW w:w="1418" w:type="dxa"/>
            <w:noWrap/>
            <w:hideMark/>
          </w:tcPr>
          <w:p w14:paraId="04D6E653"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48,5</w:t>
            </w:r>
          </w:p>
        </w:tc>
        <w:tc>
          <w:tcPr>
            <w:tcW w:w="987" w:type="dxa"/>
            <w:noWrap/>
            <w:hideMark/>
          </w:tcPr>
          <w:p w14:paraId="434EA8F0"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51,5</w:t>
            </w:r>
          </w:p>
        </w:tc>
      </w:tr>
      <w:tr w:rsidR="00B47D0A" w:rsidRPr="00B47D0A" w14:paraId="39150124" w14:textId="77777777" w:rsidTr="00457E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noWrap/>
            <w:vAlign w:val="center"/>
            <w:hideMark/>
          </w:tcPr>
          <w:p w14:paraId="7BF8E5F7" w14:textId="77777777" w:rsidR="00F63704" w:rsidRPr="00B47D0A" w:rsidRDefault="00F63704" w:rsidP="00B47D0A">
            <w:pPr>
              <w:spacing w:line="240" w:lineRule="auto"/>
              <w:jc w:val="center"/>
              <w:rPr>
                <w:rFonts w:eastAsia="Times New Roman" w:cs="Times New Roman"/>
                <w:color w:val="auto"/>
                <w:sz w:val="20"/>
                <w:szCs w:val="20"/>
                <w:lang w:eastAsia="pl-PL"/>
              </w:rPr>
            </w:pPr>
          </w:p>
        </w:tc>
        <w:tc>
          <w:tcPr>
            <w:tcW w:w="1755" w:type="dxa"/>
            <w:noWrap/>
            <w:hideMark/>
          </w:tcPr>
          <w:p w14:paraId="169B243A" w14:textId="77777777" w:rsidR="00F63704" w:rsidRPr="00B47D0A" w:rsidRDefault="00F63704" w:rsidP="008428AF">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 xml:space="preserve">w tym 60 lat </w:t>
            </w:r>
            <w:r w:rsidR="00F812E9">
              <w:rPr>
                <w:rFonts w:eastAsia="Times New Roman" w:cs="Times New Roman"/>
                <w:sz w:val="20"/>
                <w:szCs w:val="20"/>
                <w:lang w:eastAsia="pl-PL"/>
              </w:rPr>
              <w:t xml:space="preserve">                    </w:t>
            </w:r>
            <w:r w:rsidRPr="00B47D0A">
              <w:rPr>
                <w:rFonts w:eastAsia="Times New Roman" w:cs="Times New Roman"/>
                <w:sz w:val="20"/>
                <w:szCs w:val="20"/>
                <w:lang w:eastAsia="pl-PL"/>
              </w:rPr>
              <w:t xml:space="preserve">i więcej </w:t>
            </w:r>
          </w:p>
        </w:tc>
        <w:tc>
          <w:tcPr>
            <w:tcW w:w="1222" w:type="dxa"/>
            <w:noWrap/>
            <w:hideMark/>
          </w:tcPr>
          <w:p w14:paraId="58C98356"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34,4</w:t>
            </w:r>
          </w:p>
        </w:tc>
        <w:tc>
          <w:tcPr>
            <w:tcW w:w="1417" w:type="dxa"/>
            <w:noWrap/>
            <w:hideMark/>
          </w:tcPr>
          <w:p w14:paraId="45C051E9"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20,6</w:t>
            </w:r>
          </w:p>
        </w:tc>
        <w:tc>
          <w:tcPr>
            <w:tcW w:w="1276" w:type="dxa"/>
            <w:noWrap/>
            <w:hideMark/>
          </w:tcPr>
          <w:p w14:paraId="7E131F0C"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13,7</w:t>
            </w:r>
          </w:p>
        </w:tc>
        <w:tc>
          <w:tcPr>
            <w:tcW w:w="1418" w:type="dxa"/>
            <w:noWrap/>
            <w:hideMark/>
          </w:tcPr>
          <w:p w14:paraId="3E9B1389"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15,0</w:t>
            </w:r>
          </w:p>
        </w:tc>
        <w:tc>
          <w:tcPr>
            <w:tcW w:w="987" w:type="dxa"/>
            <w:noWrap/>
            <w:hideMark/>
          </w:tcPr>
          <w:p w14:paraId="5E493221"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19,4</w:t>
            </w:r>
          </w:p>
        </w:tc>
      </w:tr>
      <w:tr w:rsidR="00B47D0A" w:rsidRPr="00B47D0A" w14:paraId="0523CA3A" w14:textId="77777777" w:rsidTr="00457E07">
        <w:trPr>
          <w:trHeight w:val="300"/>
        </w:trPr>
        <w:tc>
          <w:tcPr>
            <w:cnfStyle w:val="001000000000" w:firstRow="0" w:lastRow="0" w:firstColumn="1" w:lastColumn="0" w:oddVBand="0" w:evenVBand="0" w:oddHBand="0" w:evenHBand="0" w:firstRowFirstColumn="0" w:firstRowLastColumn="0" w:lastRowFirstColumn="0" w:lastRowLastColumn="0"/>
            <w:tcW w:w="1276" w:type="dxa"/>
            <w:vMerge/>
            <w:noWrap/>
            <w:vAlign w:val="center"/>
            <w:hideMark/>
          </w:tcPr>
          <w:p w14:paraId="75D9A428" w14:textId="77777777" w:rsidR="00F63704" w:rsidRPr="00B47D0A" w:rsidRDefault="00F63704" w:rsidP="00B47D0A">
            <w:pPr>
              <w:spacing w:line="240" w:lineRule="auto"/>
              <w:jc w:val="center"/>
              <w:rPr>
                <w:rFonts w:eastAsia="Times New Roman" w:cs="Times New Roman"/>
                <w:color w:val="auto"/>
                <w:sz w:val="20"/>
                <w:szCs w:val="20"/>
                <w:lang w:eastAsia="pl-PL"/>
              </w:rPr>
            </w:pPr>
          </w:p>
        </w:tc>
        <w:tc>
          <w:tcPr>
            <w:tcW w:w="1755" w:type="dxa"/>
            <w:noWrap/>
            <w:hideMark/>
          </w:tcPr>
          <w:p w14:paraId="397B89D1" w14:textId="77777777" w:rsidR="00F63704" w:rsidRPr="00B47D0A" w:rsidRDefault="00F63704" w:rsidP="002740DC">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60-64 lata</w:t>
            </w:r>
          </w:p>
        </w:tc>
        <w:tc>
          <w:tcPr>
            <w:tcW w:w="1222" w:type="dxa"/>
            <w:noWrap/>
            <w:hideMark/>
          </w:tcPr>
          <w:p w14:paraId="5362F75C"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7,9</w:t>
            </w:r>
          </w:p>
        </w:tc>
        <w:tc>
          <w:tcPr>
            <w:tcW w:w="1417" w:type="dxa"/>
            <w:noWrap/>
            <w:hideMark/>
          </w:tcPr>
          <w:p w14:paraId="16B8557F"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4,7</w:t>
            </w:r>
          </w:p>
        </w:tc>
        <w:tc>
          <w:tcPr>
            <w:tcW w:w="1276" w:type="dxa"/>
            <w:noWrap/>
            <w:hideMark/>
          </w:tcPr>
          <w:p w14:paraId="38B4B125"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3,3</w:t>
            </w:r>
          </w:p>
        </w:tc>
        <w:tc>
          <w:tcPr>
            <w:tcW w:w="1418" w:type="dxa"/>
            <w:noWrap/>
            <w:hideMark/>
          </w:tcPr>
          <w:p w14:paraId="06FCA147"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3,9</w:t>
            </w:r>
          </w:p>
        </w:tc>
        <w:tc>
          <w:tcPr>
            <w:tcW w:w="987" w:type="dxa"/>
            <w:noWrap/>
            <w:hideMark/>
          </w:tcPr>
          <w:p w14:paraId="24C3C330"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4,0</w:t>
            </w:r>
          </w:p>
        </w:tc>
      </w:tr>
      <w:tr w:rsidR="00B47D0A" w:rsidRPr="00B47D0A" w14:paraId="27BAD5FA" w14:textId="77777777" w:rsidTr="00457E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noWrap/>
            <w:vAlign w:val="center"/>
            <w:hideMark/>
          </w:tcPr>
          <w:p w14:paraId="4911D8FA" w14:textId="77777777" w:rsidR="00F63704" w:rsidRPr="00B47D0A" w:rsidRDefault="00F63704" w:rsidP="00B47D0A">
            <w:pPr>
              <w:spacing w:line="240" w:lineRule="auto"/>
              <w:jc w:val="center"/>
              <w:rPr>
                <w:rFonts w:eastAsia="Times New Roman" w:cs="Times New Roman"/>
                <w:color w:val="auto"/>
                <w:sz w:val="20"/>
                <w:szCs w:val="20"/>
                <w:lang w:eastAsia="pl-PL"/>
              </w:rPr>
            </w:pPr>
          </w:p>
        </w:tc>
        <w:tc>
          <w:tcPr>
            <w:tcW w:w="1755" w:type="dxa"/>
            <w:noWrap/>
            <w:hideMark/>
          </w:tcPr>
          <w:p w14:paraId="4CBDDAB7" w14:textId="77777777" w:rsidR="00F63704" w:rsidRPr="00B47D0A" w:rsidRDefault="00F63704" w:rsidP="002740DC">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65-69</w:t>
            </w:r>
          </w:p>
        </w:tc>
        <w:tc>
          <w:tcPr>
            <w:tcW w:w="1222" w:type="dxa"/>
            <w:noWrap/>
            <w:hideMark/>
          </w:tcPr>
          <w:p w14:paraId="2A7C8DE7"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6,7</w:t>
            </w:r>
          </w:p>
        </w:tc>
        <w:tc>
          <w:tcPr>
            <w:tcW w:w="1417" w:type="dxa"/>
            <w:noWrap/>
            <w:hideMark/>
          </w:tcPr>
          <w:p w14:paraId="075C8E38"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3,9</w:t>
            </w:r>
          </w:p>
        </w:tc>
        <w:tc>
          <w:tcPr>
            <w:tcW w:w="1276" w:type="dxa"/>
            <w:noWrap/>
            <w:hideMark/>
          </w:tcPr>
          <w:p w14:paraId="04C8AFC6"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2,9</w:t>
            </w:r>
          </w:p>
        </w:tc>
        <w:tc>
          <w:tcPr>
            <w:tcW w:w="1418" w:type="dxa"/>
            <w:noWrap/>
            <w:hideMark/>
          </w:tcPr>
          <w:p w14:paraId="220BDF9A"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3,2</w:t>
            </w:r>
          </w:p>
        </w:tc>
        <w:tc>
          <w:tcPr>
            <w:tcW w:w="987" w:type="dxa"/>
            <w:noWrap/>
            <w:hideMark/>
          </w:tcPr>
          <w:p w14:paraId="3C8DD1EA"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3,5</w:t>
            </w:r>
          </w:p>
        </w:tc>
      </w:tr>
      <w:tr w:rsidR="00B47D0A" w:rsidRPr="00B47D0A" w14:paraId="07AB0253" w14:textId="77777777" w:rsidTr="00457E07">
        <w:trPr>
          <w:trHeight w:val="300"/>
        </w:trPr>
        <w:tc>
          <w:tcPr>
            <w:cnfStyle w:val="001000000000" w:firstRow="0" w:lastRow="0" w:firstColumn="1" w:lastColumn="0" w:oddVBand="0" w:evenVBand="0" w:oddHBand="0" w:evenHBand="0" w:firstRowFirstColumn="0" w:firstRowLastColumn="0" w:lastRowFirstColumn="0" w:lastRowLastColumn="0"/>
            <w:tcW w:w="1276" w:type="dxa"/>
            <w:vMerge/>
            <w:noWrap/>
            <w:vAlign w:val="center"/>
            <w:hideMark/>
          </w:tcPr>
          <w:p w14:paraId="45AF94BD" w14:textId="77777777" w:rsidR="00F63704" w:rsidRPr="00B47D0A" w:rsidRDefault="00F63704" w:rsidP="00B47D0A">
            <w:pPr>
              <w:spacing w:line="240" w:lineRule="auto"/>
              <w:jc w:val="center"/>
              <w:rPr>
                <w:rFonts w:eastAsia="Times New Roman" w:cs="Times New Roman"/>
                <w:color w:val="auto"/>
                <w:sz w:val="20"/>
                <w:szCs w:val="20"/>
                <w:lang w:eastAsia="pl-PL"/>
              </w:rPr>
            </w:pPr>
          </w:p>
        </w:tc>
        <w:tc>
          <w:tcPr>
            <w:tcW w:w="1755" w:type="dxa"/>
            <w:noWrap/>
            <w:hideMark/>
          </w:tcPr>
          <w:p w14:paraId="7BE9E3FC" w14:textId="77777777" w:rsidR="00F63704" w:rsidRPr="00B47D0A" w:rsidRDefault="00F63704" w:rsidP="002740DC">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70-74</w:t>
            </w:r>
          </w:p>
        </w:tc>
        <w:tc>
          <w:tcPr>
            <w:tcW w:w="1222" w:type="dxa"/>
            <w:noWrap/>
            <w:hideMark/>
          </w:tcPr>
          <w:p w14:paraId="56DC25C5"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5,4</w:t>
            </w:r>
          </w:p>
        </w:tc>
        <w:tc>
          <w:tcPr>
            <w:tcW w:w="1417" w:type="dxa"/>
            <w:noWrap/>
            <w:hideMark/>
          </w:tcPr>
          <w:p w14:paraId="56A1CDB5"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3,0</w:t>
            </w:r>
          </w:p>
        </w:tc>
        <w:tc>
          <w:tcPr>
            <w:tcW w:w="1276" w:type="dxa"/>
            <w:noWrap/>
            <w:hideMark/>
          </w:tcPr>
          <w:p w14:paraId="185D7C1D"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2,3</w:t>
            </w:r>
          </w:p>
        </w:tc>
        <w:tc>
          <w:tcPr>
            <w:tcW w:w="1418" w:type="dxa"/>
            <w:noWrap/>
            <w:hideMark/>
          </w:tcPr>
          <w:p w14:paraId="556F1277"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2,5</w:t>
            </w:r>
          </w:p>
        </w:tc>
        <w:tc>
          <w:tcPr>
            <w:tcW w:w="987" w:type="dxa"/>
            <w:noWrap/>
            <w:hideMark/>
          </w:tcPr>
          <w:p w14:paraId="21244656"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2,9</w:t>
            </w:r>
          </w:p>
        </w:tc>
      </w:tr>
      <w:tr w:rsidR="00B47D0A" w:rsidRPr="00B47D0A" w14:paraId="6CF2227B" w14:textId="77777777" w:rsidTr="00457E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noWrap/>
            <w:vAlign w:val="center"/>
            <w:hideMark/>
          </w:tcPr>
          <w:p w14:paraId="4684DCA7" w14:textId="77777777" w:rsidR="00F63704" w:rsidRPr="00B47D0A" w:rsidRDefault="00F63704" w:rsidP="00B47D0A">
            <w:pPr>
              <w:spacing w:line="240" w:lineRule="auto"/>
              <w:jc w:val="center"/>
              <w:rPr>
                <w:rFonts w:eastAsia="Times New Roman" w:cs="Times New Roman"/>
                <w:color w:val="auto"/>
                <w:sz w:val="20"/>
                <w:szCs w:val="20"/>
                <w:lang w:eastAsia="pl-PL"/>
              </w:rPr>
            </w:pPr>
          </w:p>
        </w:tc>
        <w:tc>
          <w:tcPr>
            <w:tcW w:w="1755" w:type="dxa"/>
            <w:noWrap/>
            <w:hideMark/>
          </w:tcPr>
          <w:p w14:paraId="7211DCD7" w14:textId="77777777" w:rsidR="00F63704" w:rsidRPr="00B47D0A" w:rsidRDefault="00F63704" w:rsidP="002740DC">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75-79</w:t>
            </w:r>
          </w:p>
        </w:tc>
        <w:tc>
          <w:tcPr>
            <w:tcW w:w="1222" w:type="dxa"/>
            <w:noWrap/>
            <w:hideMark/>
          </w:tcPr>
          <w:p w14:paraId="32520CB5"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4,9</w:t>
            </w:r>
          </w:p>
        </w:tc>
        <w:tc>
          <w:tcPr>
            <w:tcW w:w="1417" w:type="dxa"/>
            <w:noWrap/>
            <w:hideMark/>
          </w:tcPr>
          <w:p w14:paraId="10BE451D"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2,9</w:t>
            </w:r>
          </w:p>
        </w:tc>
        <w:tc>
          <w:tcPr>
            <w:tcW w:w="1276" w:type="dxa"/>
            <w:noWrap/>
            <w:hideMark/>
          </w:tcPr>
          <w:p w14:paraId="6E6E1657"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2,0</w:t>
            </w:r>
          </w:p>
        </w:tc>
        <w:tc>
          <w:tcPr>
            <w:tcW w:w="1418" w:type="dxa"/>
            <w:noWrap/>
            <w:hideMark/>
          </w:tcPr>
          <w:p w14:paraId="105BF946"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2,1</w:t>
            </w:r>
          </w:p>
        </w:tc>
        <w:tc>
          <w:tcPr>
            <w:tcW w:w="987" w:type="dxa"/>
            <w:noWrap/>
            <w:hideMark/>
          </w:tcPr>
          <w:p w14:paraId="3376BB09"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2,8</w:t>
            </w:r>
          </w:p>
        </w:tc>
      </w:tr>
      <w:tr w:rsidR="00B47D0A" w:rsidRPr="00B47D0A" w14:paraId="73BB152D" w14:textId="77777777" w:rsidTr="00457E07">
        <w:trPr>
          <w:trHeight w:val="300"/>
        </w:trPr>
        <w:tc>
          <w:tcPr>
            <w:cnfStyle w:val="001000000000" w:firstRow="0" w:lastRow="0" w:firstColumn="1" w:lastColumn="0" w:oddVBand="0" w:evenVBand="0" w:oddHBand="0" w:evenHBand="0" w:firstRowFirstColumn="0" w:firstRowLastColumn="0" w:lastRowFirstColumn="0" w:lastRowLastColumn="0"/>
            <w:tcW w:w="1276" w:type="dxa"/>
            <w:vMerge/>
            <w:noWrap/>
            <w:vAlign w:val="center"/>
            <w:hideMark/>
          </w:tcPr>
          <w:p w14:paraId="2021BD33" w14:textId="77777777" w:rsidR="00F63704" w:rsidRPr="00B47D0A" w:rsidRDefault="00F63704" w:rsidP="00B47D0A">
            <w:pPr>
              <w:spacing w:line="240" w:lineRule="auto"/>
              <w:jc w:val="center"/>
              <w:rPr>
                <w:rFonts w:eastAsia="Times New Roman" w:cs="Times New Roman"/>
                <w:color w:val="auto"/>
                <w:sz w:val="20"/>
                <w:szCs w:val="20"/>
                <w:lang w:eastAsia="pl-PL"/>
              </w:rPr>
            </w:pPr>
          </w:p>
        </w:tc>
        <w:tc>
          <w:tcPr>
            <w:tcW w:w="1755" w:type="dxa"/>
            <w:noWrap/>
            <w:hideMark/>
          </w:tcPr>
          <w:p w14:paraId="49641263" w14:textId="77777777" w:rsidR="00F63704" w:rsidRPr="00B47D0A" w:rsidRDefault="00F63704" w:rsidP="002740DC">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80-84</w:t>
            </w:r>
          </w:p>
        </w:tc>
        <w:tc>
          <w:tcPr>
            <w:tcW w:w="1222" w:type="dxa"/>
            <w:noWrap/>
            <w:hideMark/>
          </w:tcPr>
          <w:p w14:paraId="1F223709"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4,7</w:t>
            </w:r>
          </w:p>
        </w:tc>
        <w:tc>
          <w:tcPr>
            <w:tcW w:w="1417" w:type="dxa"/>
            <w:noWrap/>
            <w:hideMark/>
          </w:tcPr>
          <w:p w14:paraId="7EA60A4A"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2,9</w:t>
            </w:r>
          </w:p>
        </w:tc>
        <w:tc>
          <w:tcPr>
            <w:tcW w:w="1276" w:type="dxa"/>
            <w:noWrap/>
            <w:hideMark/>
          </w:tcPr>
          <w:p w14:paraId="42E5B7A9"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1,7</w:t>
            </w:r>
          </w:p>
        </w:tc>
        <w:tc>
          <w:tcPr>
            <w:tcW w:w="1418" w:type="dxa"/>
            <w:noWrap/>
            <w:hideMark/>
          </w:tcPr>
          <w:p w14:paraId="01C3B520"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1,8</w:t>
            </w:r>
          </w:p>
        </w:tc>
        <w:tc>
          <w:tcPr>
            <w:tcW w:w="987" w:type="dxa"/>
            <w:noWrap/>
            <w:hideMark/>
          </w:tcPr>
          <w:p w14:paraId="4C084139"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2,9</w:t>
            </w:r>
          </w:p>
        </w:tc>
      </w:tr>
      <w:tr w:rsidR="00B47D0A" w:rsidRPr="00B47D0A" w14:paraId="33FB6EF5" w14:textId="77777777" w:rsidTr="00457E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noWrap/>
            <w:vAlign w:val="center"/>
            <w:hideMark/>
          </w:tcPr>
          <w:p w14:paraId="6B285EA6" w14:textId="77777777" w:rsidR="00F63704" w:rsidRPr="00B47D0A" w:rsidRDefault="00F63704" w:rsidP="00B47D0A">
            <w:pPr>
              <w:spacing w:line="240" w:lineRule="auto"/>
              <w:jc w:val="center"/>
              <w:rPr>
                <w:rFonts w:eastAsia="Times New Roman" w:cs="Times New Roman"/>
                <w:color w:val="auto"/>
                <w:sz w:val="20"/>
                <w:szCs w:val="20"/>
                <w:lang w:eastAsia="pl-PL"/>
              </w:rPr>
            </w:pPr>
          </w:p>
        </w:tc>
        <w:tc>
          <w:tcPr>
            <w:tcW w:w="1755" w:type="dxa"/>
            <w:noWrap/>
            <w:hideMark/>
          </w:tcPr>
          <w:p w14:paraId="06C3F786" w14:textId="77777777" w:rsidR="00F63704" w:rsidRPr="00B47D0A" w:rsidRDefault="00F63704" w:rsidP="002740DC">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85 lat i więcej</w:t>
            </w:r>
          </w:p>
        </w:tc>
        <w:tc>
          <w:tcPr>
            <w:tcW w:w="1222" w:type="dxa"/>
            <w:noWrap/>
            <w:hideMark/>
          </w:tcPr>
          <w:p w14:paraId="26FB94D7"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4,8</w:t>
            </w:r>
          </w:p>
        </w:tc>
        <w:tc>
          <w:tcPr>
            <w:tcW w:w="1417" w:type="dxa"/>
            <w:noWrap/>
            <w:hideMark/>
          </w:tcPr>
          <w:p w14:paraId="1C89C8AF"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3,3</w:t>
            </w:r>
          </w:p>
        </w:tc>
        <w:tc>
          <w:tcPr>
            <w:tcW w:w="1276" w:type="dxa"/>
            <w:noWrap/>
            <w:hideMark/>
          </w:tcPr>
          <w:p w14:paraId="6CE4AD79"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1,5</w:t>
            </w:r>
          </w:p>
        </w:tc>
        <w:tc>
          <w:tcPr>
            <w:tcW w:w="1418" w:type="dxa"/>
            <w:noWrap/>
            <w:hideMark/>
          </w:tcPr>
          <w:p w14:paraId="1BDFFB3D"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1,5</w:t>
            </w:r>
          </w:p>
        </w:tc>
        <w:tc>
          <w:tcPr>
            <w:tcW w:w="987" w:type="dxa"/>
            <w:noWrap/>
            <w:hideMark/>
          </w:tcPr>
          <w:p w14:paraId="7AB6056F"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3,3</w:t>
            </w:r>
          </w:p>
        </w:tc>
      </w:tr>
      <w:tr w:rsidR="00B47D0A" w:rsidRPr="00B47D0A" w14:paraId="2BE478CE" w14:textId="77777777" w:rsidTr="00457E07">
        <w:trPr>
          <w:trHeight w:val="300"/>
        </w:trPr>
        <w:tc>
          <w:tcPr>
            <w:cnfStyle w:val="001000000000" w:firstRow="0" w:lastRow="0" w:firstColumn="1" w:lastColumn="0" w:oddVBand="0" w:evenVBand="0" w:oddHBand="0" w:evenHBand="0" w:firstRowFirstColumn="0" w:firstRowLastColumn="0" w:lastRowFirstColumn="0" w:lastRowLastColumn="0"/>
            <w:tcW w:w="1276" w:type="dxa"/>
            <w:vMerge w:val="restart"/>
            <w:noWrap/>
            <w:vAlign w:val="center"/>
            <w:hideMark/>
          </w:tcPr>
          <w:p w14:paraId="633CBCD1" w14:textId="0ECFC78B" w:rsidR="00F63704" w:rsidRPr="008428AF" w:rsidRDefault="00F63704" w:rsidP="008428AF">
            <w:pPr>
              <w:spacing w:line="240" w:lineRule="auto"/>
              <w:jc w:val="center"/>
              <w:rPr>
                <w:rFonts w:eastAsia="Times New Roman" w:cs="Times New Roman"/>
                <w:bCs w:val="0"/>
                <w:color w:val="auto"/>
                <w:sz w:val="20"/>
                <w:szCs w:val="20"/>
                <w:lang w:eastAsia="pl-PL"/>
              </w:rPr>
            </w:pPr>
            <w:r w:rsidRPr="00B47D0A">
              <w:rPr>
                <w:rFonts w:eastAsia="Times New Roman" w:cs="Times New Roman"/>
                <w:bCs w:val="0"/>
                <w:color w:val="auto"/>
                <w:sz w:val="20"/>
                <w:szCs w:val="20"/>
                <w:lang w:eastAsia="pl-PL"/>
              </w:rPr>
              <w:lastRenderedPageBreak/>
              <w:t>2050</w:t>
            </w:r>
          </w:p>
          <w:p w14:paraId="2C249C7B" w14:textId="77777777" w:rsidR="00F63704" w:rsidRPr="00B47D0A" w:rsidRDefault="00F63704" w:rsidP="00B47D0A">
            <w:pPr>
              <w:spacing w:line="240" w:lineRule="auto"/>
              <w:jc w:val="center"/>
              <w:rPr>
                <w:rFonts w:eastAsia="Times New Roman" w:cs="Times New Roman"/>
                <w:bCs w:val="0"/>
                <w:color w:val="auto"/>
                <w:sz w:val="20"/>
                <w:szCs w:val="20"/>
                <w:lang w:eastAsia="pl-PL"/>
              </w:rPr>
            </w:pPr>
          </w:p>
        </w:tc>
        <w:tc>
          <w:tcPr>
            <w:tcW w:w="1755" w:type="dxa"/>
            <w:noWrap/>
            <w:hideMark/>
          </w:tcPr>
          <w:p w14:paraId="1393EC82" w14:textId="77777777" w:rsidR="00F63704" w:rsidRPr="00B47D0A" w:rsidRDefault="00F63704" w:rsidP="002740DC">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Ogółem</w:t>
            </w:r>
          </w:p>
        </w:tc>
        <w:tc>
          <w:tcPr>
            <w:tcW w:w="1222" w:type="dxa"/>
            <w:noWrap/>
            <w:hideMark/>
          </w:tcPr>
          <w:p w14:paraId="2CE4F831"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100,0</w:t>
            </w:r>
          </w:p>
        </w:tc>
        <w:tc>
          <w:tcPr>
            <w:tcW w:w="1417" w:type="dxa"/>
            <w:noWrap/>
            <w:hideMark/>
          </w:tcPr>
          <w:p w14:paraId="671235C8"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55,5</w:t>
            </w:r>
          </w:p>
        </w:tc>
        <w:tc>
          <w:tcPr>
            <w:tcW w:w="1276" w:type="dxa"/>
            <w:noWrap/>
            <w:hideMark/>
          </w:tcPr>
          <w:p w14:paraId="40A62C86"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44,5</w:t>
            </w:r>
          </w:p>
        </w:tc>
        <w:tc>
          <w:tcPr>
            <w:tcW w:w="1418" w:type="dxa"/>
            <w:noWrap/>
            <w:hideMark/>
          </w:tcPr>
          <w:p w14:paraId="4206D59D"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48,8</w:t>
            </w:r>
          </w:p>
        </w:tc>
        <w:tc>
          <w:tcPr>
            <w:tcW w:w="987" w:type="dxa"/>
            <w:noWrap/>
            <w:hideMark/>
          </w:tcPr>
          <w:p w14:paraId="1B3DC613"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B47D0A">
              <w:rPr>
                <w:rFonts w:eastAsia="Times New Roman" w:cs="Times New Roman"/>
                <w:b/>
                <w:bCs/>
                <w:sz w:val="20"/>
                <w:szCs w:val="20"/>
                <w:lang w:eastAsia="pl-PL"/>
              </w:rPr>
              <w:t>51,2</w:t>
            </w:r>
          </w:p>
        </w:tc>
      </w:tr>
      <w:tr w:rsidR="00B47D0A" w:rsidRPr="00B47D0A" w14:paraId="095E2391" w14:textId="77777777" w:rsidTr="00457E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76FB4F9F" w14:textId="77777777" w:rsidR="00F63704" w:rsidRPr="00B47D0A" w:rsidRDefault="00F63704" w:rsidP="002740DC">
            <w:pPr>
              <w:spacing w:line="240" w:lineRule="auto"/>
              <w:rPr>
                <w:rFonts w:eastAsia="Times New Roman" w:cs="Times New Roman"/>
                <w:color w:val="auto"/>
                <w:sz w:val="20"/>
                <w:szCs w:val="20"/>
                <w:lang w:eastAsia="pl-PL"/>
              </w:rPr>
            </w:pPr>
          </w:p>
        </w:tc>
        <w:tc>
          <w:tcPr>
            <w:tcW w:w="1755" w:type="dxa"/>
            <w:noWrap/>
            <w:hideMark/>
          </w:tcPr>
          <w:p w14:paraId="222A9055" w14:textId="77777777" w:rsidR="00F63704" w:rsidRPr="00B47D0A" w:rsidRDefault="00F63704" w:rsidP="008428AF">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 xml:space="preserve">w tym 60 lat </w:t>
            </w:r>
            <w:r w:rsidR="00F812E9">
              <w:rPr>
                <w:rFonts w:eastAsia="Times New Roman" w:cs="Times New Roman"/>
                <w:sz w:val="20"/>
                <w:szCs w:val="20"/>
                <w:lang w:eastAsia="pl-PL"/>
              </w:rPr>
              <w:t xml:space="preserve">                   </w:t>
            </w:r>
            <w:r w:rsidRPr="00B47D0A">
              <w:rPr>
                <w:rFonts w:eastAsia="Times New Roman" w:cs="Times New Roman"/>
                <w:sz w:val="20"/>
                <w:szCs w:val="20"/>
                <w:lang w:eastAsia="pl-PL"/>
              </w:rPr>
              <w:t xml:space="preserve">i więcej </w:t>
            </w:r>
          </w:p>
        </w:tc>
        <w:tc>
          <w:tcPr>
            <w:tcW w:w="1222" w:type="dxa"/>
            <w:noWrap/>
            <w:hideMark/>
          </w:tcPr>
          <w:p w14:paraId="55EFD33C"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40,4</w:t>
            </w:r>
          </w:p>
        </w:tc>
        <w:tc>
          <w:tcPr>
            <w:tcW w:w="1417" w:type="dxa"/>
            <w:noWrap/>
            <w:hideMark/>
          </w:tcPr>
          <w:p w14:paraId="6C879423"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23,5</w:t>
            </w:r>
          </w:p>
        </w:tc>
        <w:tc>
          <w:tcPr>
            <w:tcW w:w="1276" w:type="dxa"/>
            <w:noWrap/>
            <w:hideMark/>
          </w:tcPr>
          <w:p w14:paraId="284AFFC6"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16,8</w:t>
            </w:r>
          </w:p>
        </w:tc>
        <w:tc>
          <w:tcPr>
            <w:tcW w:w="1418" w:type="dxa"/>
            <w:noWrap/>
            <w:hideMark/>
          </w:tcPr>
          <w:p w14:paraId="6043088C"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18,2</w:t>
            </w:r>
          </w:p>
        </w:tc>
        <w:tc>
          <w:tcPr>
            <w:tcW w:w="987" w:type="dxa"/>
            <w:noWrap/>
            <w:hideMark/>
          </w:tcPr>
          <w:p w14:paraId="06ABD6DA"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22,2</w:t>
            </w:r>
          </w:p>
        </w:tc>
      </w:tr>
      <w:tr w:rsidR="00B47D0A" w:rsidRPr="00B47D0A" w14:paraId="1000C4E8" w14:textId="77777777" w:rsidTr="00457E07">
        <w:trPr>
          <w:trHeight w:val="300"/>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7B873841" w14:textId="77777777" w:rsidR="00F63704" w:rsidRPr="00B47D0A" w:rsidRDefault="00F63704" w:rsidP="002740DC">
            <w:pPr>
              <w:spacing w:line="240" w:lineRule="auto"/>
              <w:rPr>
                <w:rFonts w:eastAsia="Times New Roman" w:cs="Times New Roman"/>
                <w:color w:val="auto"/>
                <w:sz w:val="20"/>
                <w:szCs w:val="20"/>
                <w:lang w:eastAsia="pl-PL"/>
              </w:rPr>
            </w:pPr>
          </w:p>
        </w:tc>
        <w:tc>
          <w:tcPr>
            <w:tcW w:w="1755" w:type="dxa"/>
            <w:noWrap/>
            <w:hideMark/>
          </w:tcPr>
          <w:p w14:paraId="0D8619DD" w14:textId="77777777" w:rsidR="00F63704" w:rsidRPr="00B47D0A" w:rsidRDefault="00F63704" w:rsidP="002740DC">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60-64 lata</w:t>
            </w:r>
          </w:p>
        </w:tc>
        <w:tc>
          <w:tcPr>
            <w:tcW w:w="1222" w:type="dxa"/>
            <w:noWrap/>
            <w:hideMark/>
          </w:tcPr>
          <w:p w14:paraId="6C9AFDB0"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7,7</w:t>
            </w:r>
          </w:p>
        </w:tc>
        <w:tc>
          <w:tcPr>
            <w:tcW w:w="1417" w:type="dxa"/>
            <w:noWrap/>
            <w:hideMark/>
          </w:tcPr>
          <w:p w14:paraId="110330F1"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4,3</w:t>
            </w:r>
          </w:p>
        </w:tc>
        <w:tc>
          <w:tcPr>
            <w:tcW w:w="1276" w:type="dxa"/>
            <w:noWrap/>
            <w:hideMark/>
          </w:tcPr>
          <w:p w14:paraId="42794586"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3,4</w:t>
            </w:r>
          </w:p>
        </w:tc>
        <w:tc>
          <w:tcPr>
            <w:tcW w:w="1418" w:type="dxa"/>
            <w:noWrap/>
            <w:hideMark/>
          </w:tcPr>
          <w:p w14:paraId="416CF375"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3,8</w:t>
            </w:r>
          </w:p>
        </w:tc>
        <w:tc>
          <w:tcPr>
            <w:tcW w:w="987" w:type="dxa"/>
            <w:noWrap/>
            <w:hideMark/>
          </w:tcPr>
          <w:p w14:paraId="0BC497D0"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3,8</w:t>
            </w:r>
          </w:p>
        </w:tc>
      </w:tr>
      <w:tr w:rsidR="00B47D0A" w:rsidRPr="00B47D0A" w14:paraId="39D6C74A" w14:textId="77777777" w:rsidTr="00457E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088EB08E" w14:textId="77777777" w:rsidR="00F63704" w:rsidRPr="00B47D0A" w:rsidRDefault="00F63704" w:rsidP="002740DC">
            <w:pPr>
              <w:spacing w:line="240" w:lineRule="auto"/>
              <w:rPr>
                <w:rFonts w:eastAsia="Times New Roman" w:cs="Times New Roman"/>
                <w:color w:val="auto"/>
                <w:sz w:val="20"/>
                <w:szCs w:val="20"/>
                <w:lang w:eastAsia="pl-PL"/>
              </w:rPr>
            </w:pPr>
          </w:p>
        </w:tc>
        <w:tc>
          <w:tcPr>
            <w:tcW w:w="1755" w:type="dxa"/>
            <w:noWrap/>
            <w:hideMark/>
          </w:tcPr>
          <w:p w14:paraId="6517FADF" w14:textId="77777777" w:rsidR="00F63704" w:rsidRPr="00B47D0A" w:rsidRDefault="00F63704" w:rsidP="002740DC">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65-69</w:t>
            </w:r>
          </w:p>
        </w:tc>
        <w:tc>
          <w:tcPr>
            <w:tcW w:w="1222" w:type="dxa"/>
            <w:noWrap/>
            <w:hideMark/>
          </w:tcPr>
          <w:p w14:paraId="64001B32"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8,5</w:t>
            </w:r>
          </w:p>
        </w:tc>
        <w:tc>
          <w:tcPr>
            <w:tcW w:w="1417" w:type="dxa"/>
            <w:noWrap/>
            <w:hideMark/>
          </w:tcPr>
          <w:p w14:paraId="7320335D"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4,9</w:t>
            </w:r>
          </w:p>
        </w:tc>
        <w:tc>
          <w:tcPr>
            <w:tcW w:w="1276" w:type="dxa"/>
            <w:noWrap/>
            <w:hideMark/>
          </w:tcPr>
          <w:p w14:paraId="355F6DB3"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3,6</w:t>
            </w:r>
          </w:p>
        </w:tc>
        <w:tc>
          <w:tcPr>
            <w:tcW w:w="1418" w:type="dxa"/>
            <w:noWrap/>
            <w:hideMark/>
          </w:tcPr>
          <w:p w14:paraId="290029B2"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4,1</w:t>
            </w:r>
          </w:p>
        </w:tc>
        <w:tc>
          <w:tcPr>
            <w:tcW w:w="987" w:type="dxa"/>
            <w:noWrap/>
            <w:hideMark/>
          </w:tcPr>
          <w:p w14:paraId="064C57F3"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4,3</w:t>
            </w:r>
          </w:p>
        </w:tc>
      </w:tr>
      <w:tr w:rsidR="00B47D0A" w:rsidRPr="00B47D0A" w14:paraId="5980ECBA" w14:textId="77777777" w:rsidTr="00457E07">
        <w:trPr>
          <w:trHeight w:val="300"/>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7FA83CB1" w14:textId="77777777" w:rsidR="00F63704" w:rsidRPr="00B47D0A" w:rsidRDefault="00F63704" w:rsidP="002740DC">
            <w:pPr>
              <w:spacing w:line="240" w:lineRule="auto"/>
              <w:rPr>
                <w:rFonts w:eastAsia="Times New Roman" w:cs="Times New Roman"/>
                <w:color w:val="auto"/>
                <w:sz w:val="20"/>
                <w:szCs w:val="20"/>
                <w:lang w:eastAsia="pl-PL"/>
              </w:rPr>
            </w:pPr>
          </w:p>
        </w:tc>
        <w:tc>
          <w:tcPr>
            <w:tcW w:w="1755" w:type="dxa"/>
            <w:noWrap/>
            <w:hideMark/>
          </w:tcPr>
          <w:p w14:paraId="742D5832" w14:textId="77777777" w:rsidR="00F63704" w:rsidRPr="00B47D0A" w:rsidRDefault="00F63704" w:rsidP="002740DC">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70-74</w:t>
            </w:r>
          </w:p>
        </w:tc>
        <w:tc>
          <w:tcPr>
            <w:tcW w:w="1222" w:type="dxa"/>
            <w:noWrap/>
            <w:hideMark/>
          </w:tcPr>
          <w:p w14:paraId="0A9D66C9"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7,7</w:t>
            </w:r>
          </w:p>
        </w:tc>
        <w:tc>
          <w:tcPr>
            <w:tcW w:w="1417" w:type="dxa"/>
            <w:noWrap/>
            <w:hideMark/>
          </w:tcPr>
          <w:p w14:paraId="537CE0CB"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4,5</w:t>
            </w:r>
          </w:p>
        </w:tc>
        <w:tc>
          <w:tcPr>
            <w:tcW w:w="1276" w:type="dxa"/>
            <w:noWrap/>
            <w:hideMark/>
          </w:tcPr>
          <w:p w14:paraId="78C8B94A"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3,2</w:t>
            </w:r>
          </w:p>
        </w:tc>
        <w:tc>
          <w:tcPr>
            <w:tcW w:w="1418" w:type="dxa"/>
            <w:noWrap/>
            <w:hideMark/>
          </w:tcPr>
          <w:p w14:paraId="47793B27"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3,7</w:t>
            </w:r>
          </w:p>
        </w:tc>
        <w:tc>
          <w:tcPr>
            <w:tcW w:w="987" w:type="dxa"/>
            <w:noWrap/>
            <w:hideMark/>
          </w:tcPr>
          <w:p w14:paraId="10DF16F8"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4,0</w:t>
            </w:r>
          </w:p>
        </w:tc>
      </w:tr>
      <w:tr w:rsidR="00B47D0A" w:rsidRPr="00B47D0A" w14:paraId="40395AB0" w14:textId="77777777" w:rsidTr="00457E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42068418" w14:textId="77777777" w:rsidR="00F63704" w:rsidRPr="00B47D0A" w:rsidRDefault="00F63704" w:rsidP="002740DC">
            <w:pPr>
              <w:spacing w:line="240" w:lineRule="auto"/>
              <w:rPr>
                <w:rFonts w:eastAsia="Times New Roman" w:cs="Times New Roman"/>
                <w:color w:val="auto"/>
                <w:sz w:val="20"/>
                <w:szCs w:val="20"/>
                <w:lang w:eastAsia="pl-PL"/>
              </w:rPr>
            </w:pPr>
          </w:p>
        </w:tc>
        <w:tc>
          <w:tcPr>
            <w:tcW w:w="1755" w:type="dxa"/>
            <w:noWrap/>
            <w:hideMark/>
          </w:tcPr>
          <w:p w14:paraId="0F067579" w14:textId="77777777" w:rsidR="00F63704" w:rsidRPr="00B47D0A" w:rsidRDefault="00F63704" w:rsidP="002740DC">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75-79</w:t>
            </w:r>
          </w:p>
        </w:tc>
        <w:tc>
          <w:tcPr>
            <w:tcW w:w="1222" w:type="dxa"/>
            <w:noWrap/>
            <w:hideMark/>
          </w:tcPr>
          <w:p w14:paraId="05D553E4"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6,1</w:t>
            </w:r>
          </w:p>
        </w:tc>
        <w:tc>
          <w:tcPr>
            <w:tcW w:w="1417" w:type="dxa"/>
            <w:noWrap/>
            <w:hideMark/>
          </w:tcPr>
          <w:p w14:paraId="63FFF664"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3,5</w:t>
            </w:r>
          </w:p>
        </w:tc>
        <w:tc>
          <w:tcPr>
            <w:tcW w:w="1276" w:type="dxa"/>
            <w:noWrap/>
            <w:hideMark/>
          </w:tcPr>
          <w:p w14:paraId="6D9C4CBE"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2,6</w:t>
            </w:r>
          </w:p>
        </w:tc>
        <w:tc>
          <w:tcPr>
            <w:tcW w:w="1418" w:type="dxa"/>
            <w:noWrap/>
            <w:hideMark/>
          </w:tcPr>
          <w:p w14:paraId="2038FCE0"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2,8</w:t>
            </w:r>
          </w:p>
        </w:tc>
        <w:tc>
          <w:tcPr>
            <w:tcW w:w="987" w:type="dxa"/>
            <w:noWrap/>
            <w:hideMark/>
          </w:tcPr>
          <w:p w14:paraId="4549EDEC"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3,3</w:t>
            </w:r>
          </w:p>
        </w:tc>
      </w:tr>
      <w:tr w:rsidR="00B47D0A" w:rsidRPr="00B47D0A" w14:paraId="572AA7A7" w14:textId="77777777" w:rsidTr="00457E07">
        <w:trPr>
          <w:trHeight w:val="300"/>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7358F79D" w14:textId="77777777" w:rsidR="00F63704" w:rsidRPr="00B47D0A" w:rsidRDefault="00F63704" w:rsidP="002740DC">
            <w:pPr>
              <w:spacing w:line="240" w:lineRule="auto"/>
              <w:rPr>
                <w:rFonts w:eastAsia="Times New Roman" w:cs="Times New Roman"/>
                <w:color w:val="auto"/>
                <w:sz w:val="20"/>
                <w:szCs w:val="20"/>
                <w:lang w:eastAsia="pl-PL"/>
              </w:rPr>
            </w:pPr>
          </w:p>
        </w:tc>
        <w:tc>
          <w:tcPr>
            <w:tcW w:w="1755" w:type="dxa"/>
            <w:noWrap/>
            <w:hideMark/>
          </w:tcPr>
          <w:p w14:paraId="37202E88" w14:textId="77777777" w:rsidR="00F63704" w:rsidRPr="00B47D0A" w:rsidRDefault="00F63704" w:rsidP="002740DC">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80-84</w:t>
            </w:r>
          </w:p>
        </w:tc>
        <w:tc>
          <w:tcPr>
            <w:tcW w:w="1222" w:type="dxa"/>
            <w:noWrap/>
            <w:hideMark/>
          </w:tcPr>
          <w:p w14:paraId="68A5F1D8"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4,3</w:t>
            </w:r>
          </w:p>
        </w:tc>
        <w:tc>
          <w:tcPr>
            <w:tcW w:w="1417" w:type="dxa"/>
            <w:noWrap/>
            <w:hideMark/>
          </w:tcPr>
          <w:p w14:paraId="413BCE86"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2,5</w:t>
            </w:r>
          </w:p>
        </w:tc>
        <w:tc>
          <w:tcPr>
            <w:tcW w:w="1276" w:type="dxa"/>
            <w:noWrap/>
            <w:hideMark/>
          </w:tcPr>
          <w:p w14:paraId="2E6EC977"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1,8</w:t>
            </w:r>
          </w:p>
        </w:tc>
        <w:tc>
          <w:tcPr>
            <w:tcW w:w="1418" w:type="dxa"/>
            <w:noWrap/>
            <w:hideMark/>
          </w:tcPr>
          <w:p w14:paraId="6B33AB73"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1,8</w:t>
            </w:r>
          </w:p>
        </w:tc>
        <w:tc>
          <w:tcPr>
            <w:tcW w:w="987" w:type="dxa"/>
            <w:noWrap/>
            <w:hideMark/>
          </w:tcPr>
          <w:p w14:paraId="38455716" w14:textId="77777777" w:rsidR="00F63704" w:rsidRPr="00B47D0A" w:rsidRDefault="00F63704" w:rsidP="002740D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2,5</w:t>
            </w:r>
          </w:p>
        </w:tc>
      </w:tr>
      <w:tr w:rsidR="00B47D0A" w:rsidRPr="00B47D0A" w14:paraId="2DC12650" w14:textId="77777777" w:rsidTr="00457E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1A6EA882" w14:textId="77777777" w:rsidR="00F63704" w:rsidRPr="00B47D0A" w:rsidRDefault="00F63704" w:rsidP="002740DC">
            <w:pPr>
              <w:spacing w:line="240" w:lineRule="auto"/>
              <w:rPr>
                <w:rFonts w:eastAsia="Times New Roman" w:cs="Times New Roman"/>
                <w:color w:val="auto"/>
                <w:sz w:val="20"/>
                <w:szCs w:val="20"/>
                <w:lang w:eastAsia="pl-PL"/>
              </w:rPr>
            </w:pPr>
          </w:p>
        </w:tc>
        <w:tc>
          <w:tcPr>
            <w:tcW w:w="1755" w:type="dxa"/>
            <w:noWrap/>
            <w:hideMark/>
          </w:tcPr>
          <w:p w14:paraId="224339DA" w14:textId="77777777" w:rsidR="00F63704" w:rsidRPr="00B47D0A" w:rsidRDefault="00F63704" w:rsidP="002740DC">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85 lat i więcej</w:t>
            </w:r>
          </w:p>
        </w:tc>
        <w:tc>
          <w:tcPr>
            <w:tcW w:w="1222" w:type="dxa"/>
            <w:noWrap/>
            <w:hideMark/>
          </w:tcPr>
          <w:p w14:paraId="080F23A2"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6,1</w:t>
            </w:r>
          </w:p>
        </w:tc>
        <w:tc>
          <w:tcPr>
            <w:tcW w:w="1417" w:type="dxa"/>
            <w:noWrap/>
            <w:hideMark/>
          </w:tcPr>
          <w:p w14:paraId="47D6C39C"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3,8</w:t>
            </w:r>
          </w:p>
        </w:tc>
        <w:tc>
          <w:tcPr>
            <w:tcW w:w="1276" w:type="dxa"/>
            <w:noWrap/>
            <w:hideMark/>
          </w:tcPr>
          <w:p w14:paraId="151B15A3"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2,3</w:t>
            </w:r>
          </w:p>
        </w:tc>
        <w:tc>
          <w:tcPr>
            <w:tcW w:w="1418" w:type="dxa"/>
            <w:noWrap/>
            <w:hideMark/>
          </w:tcPr>
          <w:p w14:paraId="4B19B926"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2,0</w:t>
            </w:r>
          </w:p>
        </w:tc>
        <w:tc>
          <w:tcPr>
            <w:tcW w:w="987" w:type="dxa"/>
            <w:noWrap/>
            <w:hideMark/>
          </w:tcPr>
          <w:p w14:paraId="34E0C3B7" w14:textId="77777777" w:rsidR="00F63704" w:rsidRPr="00B47D0A" w:rsidRDefault="00F63704" w:rsidP="002740D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47D0A">
              <w:rPr>
                <w:rFonts w:eastAsia="Times New Roman" w:cs="Times New Roman"/>
                <w:sz w:val="20"/>
                <w:szCs w:val="20"/>
                <w:lang w:eastAsia="pl-PL"/>
              </w:rPr>
              <w:t>4,1</w:t>
            </w:r>
          </w:p>
        </w:tc>
      </w:tr>
    </w:tbl>
    <w:p w14:paraId="65E794F1" w14:textId="77777777" w:rsidR="00F63704" w:rsidRPr="00392F2F" w:rsidRDefault="00F63704" w:rsidP="00F63704">
      <w:pPr>
        <w:rPr>
          <w:rFonts w:cs="Times New Roman"/>
          <w:b/>
          <w:sz w:val="22"/>
        </w:rPr>
      </w:pPr>
      <w:r w:rsidRPr="00392F2F">
        <w:rPr>
          <w:rFonts w:cs="Times New Roman"/>
          <w:b/>
          <w:sz w:val="22"/>
        </w:rPr>
        <w:t>Stan w dniu 31 XII</w:t>
      </w:r>
    </w:p>
    <w:p w14:paraId="0049BF24" w14:textId="14A79208" w:rsidR="00F63704" w:rsidRPr="00392F2F" w:rsidRDefault="00F63704" w:rsidP="00F63704">
      <w:pPr>
        <w:rPr>
          <w:rFonts w:cs="Times New Roman"/>
          <w:b/>
          <w:sz w:val="22"/>
        </w:rPr>
      </w:pPr>
      <w:r w:rsidRPr="00392F2F">
        <w:rPr>
          <w:rFonts w:cs="Times New Roman"/>
          <w:b/>
          <w:sz w:val="22"/>
        </w:rPr>
        <w:t>Źródło:  Prognozy GUS</w:t>
      </w:r>
      <w:r w:rsidR="00392F2F">
        <w:rPr>
          <w:rFonts w:cs="Times New Roman"/>
          <w:b/>
          <w:sz w:val="22"/>
        </w:rPr>
        <w:t>.</w:t>
      </w:r>
    </w:p>
    <w:p w14:paraId="28367689" w14:textId="77777777" w:rsidR="00B47D0A" w:rsidRDefault="00B47D0A" w:rsidP="00B47D0A">
      <w:pPr>
        <w:pStyle w:val="Default"/>
        <w:spacing w:line="276" w:lineRule="auto"/>
        <w:jc w:val="both"/>
        <w:rPr>
          <w:rFonts w:ascii="Times New Roman" w:hAnsi="Times New Roman" w:cs="Times New Roman"/>
          <w:color w:val="FF0000"/>
        </w:rPr>
      </w:pPr>
    </w:p>
    <w:p w14:paraId="4C6E30EC" w14:textId="029684D6" w:rsidR="00B47D0A" w:rsidRDefault="00F63704" w:rsidP="007574FB">
      <w:pPr>
        <w:pStyle w:val="Default"/>
        <w:spacing w:line="276" w:lineRule="auto"/>
        <w:jc w:val="both"/>
        <w:rPr>
          <w:rFonts w:ascii="Times New Roman" w:hAnsi="Times New Roman" w:cs="Times New Roman"/>
          <w:color w:val="auto"/>
        </w:rPr>
      </w:pPr>
      <w:r w:rsidRPr="007574FB">
        <w:rPr>
          <w:rFonts w:ascii="Times New Roman" w:hAnsi="Times New Roman" w:cs="Times New Roman"/>
          <w:color w:val="auto"/>
        </w:rPr>
        <w:t>W</w:t>
      </w:r>
      <w:r w:rsidR="00B47D0A" w:rsidRPr="007574FB">
        <w:rPr>
          <w:rFonts w:ascii="Times New Roman" w:hAnsi="Times New Roman" w:cs="Times New Roman"/>
          <w:color w:val="auto"/>
        </w:rPr>
        <w:t xml:space="preserve">yniki opracowanej przez GUS </w:t>
      </w:r>
      <w:r w:rsidR="007574FB" w:rsidRPr="007574FB">
        <w:rPr>
          <w:rFonts w:ascii="Times New Roman" w:hAnsi="Times New Roman" w:cs="Times New Roman"/>
          <w:i/>
          <w:color w:val="auto"/>
        </w:rPr>
        <w:t>Prognozy Ludności</w:t>
      </w:r>
      <w:r w:rsidR="007574FB" w:rsidRPr="007574FB">
        <w:rPr>
          <w:rFonts w:ascii="Times New Roman" w:hAnsi="Times New Roman" w:cs="Times New Roman"/>
          <w:color w:val="auto"/>
        </w:rPr>
        <w:t xml:space="preserve"> jednoznacznie wskazują na pogłębianie się procesu starzenia polskiego społeczeństwa. Jednocześnie, pomimo spodziewanego spadku </w:t>
      </w:r>
      <w:r w:rsidR="007F5626">
        <w:rPr>
          <w:rFonts w:ascii="Times New Roman" w:hAnsi="Times New Roman" w:cs="Times New Roman"/>
          <w:color w:val="auto"/>
        </w:rPr>
        <w:t xml:space="preserve">ogólnej </w:t>
      </w:r>
      <w:r w:rsidR="007574FB" w:rsidRPr="007574FB">
        <w:rPr>
          <w:rFonts w:ascii="Times New Roman" w:hAnsi="Times New Roman" w:cs="Times New Roman"/>
          <w:color w:val="auto"/>
        </w:rPr>
        <w:t>liczby ludności spodziewany jest systematyczny wzrost liczby ludności w wieku 60 lat i więcej.</w:t>
      </w:r>
    </w:p>
    <w:p w14:paraId="3A57BD14" w14:textId="77777777" w:rsidR="007574FB" w:rsidRDefault="007574FB" w:rsidP="007574FB">
      <w:pPr>
        <w:pStyle w:val="Default"/>
        <w:spacing w:line="276" w:lineRule="auto"/>
        <w:jc w:val="both"/>
        <w:rPr>
          <w:rFonts w:ascii="Times New Roman" w:hAnsi="Times New Roman" w:cs="Times New Roman"/>
          <w:color w:val="auto"/>
        </w:rPr>
      </w:pPr>
    </w:p>
    <w:p w14:paraId="52FD7EF5" w14:textId="2562FDC8" w:rsidR="000675A2" w:rsidRPr="00F812E9" w:rsidRDefault="000675A2" w:rsidP="0075104E">
      <w:pPr>
        <w:pStyle w:val="Nagwek2"/>
        <w:ind w:hanging="788"/>
      </w:pPr>
      <w:bookmarkStart w:id="9" w:name="_Toc80523040"/>
      <w:r w:rsidRPr="00F812E9">
        <w:t>Sytuacja ekonomiczn</w:t>
      </w:r>
      <w:r w:rsidR="0075104E">
        <w:t>o-społeczna</w:t>
      </w:r>
      <w:bookmarkEnd w:id="9"/>
      <w:r w:rsidRPr="00F812E9">
        <w:t xml:space="preserve"> </w:t>
      </w:r>
    </w:p>
    <w:p w14:paraId="61FC5CE9" w14:textId="77777777" w:rsidR="000675A2" w:rsidRDefault="000675A2" w:rsidP="00F812E9">
      <w:r>
        <w:t>Zgodnie z wynikami badania budżetów gospodarstw domowych w 2020 r. przeciętny miesięczny dochód rozporządzalny na 1 osobę w gospodarstwach domowych wynosił:</w:t>
      </w:r>
    </w:p>
    <w:p w14:paraId="298543AB" w14:textId="77777777" w:rsidR="000675A2" w:rsidRDefault="000675A2" w:rsidP="00FE70E3">
      <w:pPr>
        <w:pStyle w:val="Akapitzlist"/>
        <w:numPr>
          <w:ilvl w:val="0"/>
          <w:numId w:val="63"/>
        </w:numPr>
      </w:pPr>
      <w:r w:rsidRPr="000675A2">
        <w:t>1 953,73</w:t>
      </w:r>
      <w:r>
        <w:t xml:space="preserve"> zł w gospodarstwach domowych bez osób w wieku 60 lat i więcej;</w:t>
      </w:r>
    </w:p>
    <w:p w14:paraId="7881B59C" w14:textId="77777777" w:rsidR="000675A2" w:rsidRDefault="000675A2" w:rsidP="00FE70E3">
      <w:pPr>
        <w:pStyle w:val="Akapitzlist"/>
        <w:numPr>
          <w:ilvl w:val="0"/>
          <w:numId w:val="63"/>
        </w:numPr>
      </w:pPr>
      <w:r w:rsidRPr="000675A2">
        <w:t>1 867,60</w:t>
      </w:r>
      <w:r>
        <w:t xml:space="preserve"> zł</w:t>
      </w:r>
      <w:r w:rsidRPr="000675A2">
        <w:t xml:space="preserve"> w gospodarstwach domowych </w:t>
      </w:r>
      <w:r>
        <w:t>z przynajmniej jedną osobą</w:t>
      </w:r>
      <w:r w:rsidRPr="000675A2">
        <w:t xml:space="preserve"> w wieku 60 lat i więcej;</w:t>
      </w:r>
    </w:p>
    <w:p w14:paraId="23210E3F" w14:textId="77777777" w:rsidR="000675A2" w:rsidRDefault="000675A2" w:rsidP="00FE70E3">
      <w:pPr>
        <w:pStyle w:val="Akapitzlist"/>
        <w:numPr>
          <w:ilvl w:val="0"/>
          <w:numId w:val="63"/>
        </w:numPr>
      </w:pPr>
      <w:r w:rsidRPr="000675A2">
        <w:t>2 169,53</w:t>
      </w:r>
      <w:r>
        <w:t xml:space="preserve"> zł</w:t>
      </w:r>
      <w:r w:rsidRPr="000675A2">
        <w:t xml:space="preserve"> </w:t>
      </w:r>
      <w:r>
        <w:t>w gospodarstwach domowych wyłącznie z osobami w wieku 60 lat i więcej.</w:t>
      </w:r>
    </w:p>
    <w:p w14:paraId="4CE0AFBC" w14:textId="77777777" w:rsidR="00552001" w:rsidRDefault="00552001" w:rsidP="00F812E9"/>
    <w:p w14:paraId="462C4201" w14:textId="2385537D" w:rsidR="00F812E9" w:rsidRDefault="000675A2" w:rsidP="00F812E9">
      <w:r>
        <w:t>Analizując powyższe dane należy wziąć pod uwagę średnią liczbę osób w tych gospodarstwach. W gospodarstwach domowych wyłącznie z osobami w wieku 60 lat i więcej dominowały gospodarstwa 1- i 2-osobowe, podczas gdy w skład gospodarstw domowych bez osób starszych</w:t>
      </w:r>
      <w:r w:rsidR="00F812E9">
        <w:t xml:space="preserve"> wchodziło przeciętnie około 3 osób (w tym dzieci, które pozostawały na utrzymaniu).</w:t>
      </w:r>
      <w:r w:rsidRPr="000675A2">
        <w:t xml:space="preserve"> </w:t>
      </w:r>
    </w:p>
    <w:p w14:paraId="2AED0644" w14:textId="6C8C85D0" w:rsidR="00F812E9" w:rsidRDefault="00F812E9" w:rsidP="00F812E9">
      <w:pPr>
        <w:rPr>
          <w:b/>
        </w:rPr>
      </w:pPr>
    </w:p>
    <w:p w14:paraId="786CD5DD" w14:textId="77777777" w:rsidR="00552001" w:rsidRDefault="00552001" w:rsidP="00552001">
      <w:r w:rsidRPr="00552001">
        <w:t xml:space="preserve">Zgodnie z wynikami reprezentacyjnego </w:t>
      </w:r>
      <w:r w:rsidRPr="00552001">
        <w:rPr>
          <w:i/>
        </w:rPr>
        <w:t>Badania budżetów gospodarstw domowych</w:t>
      </w:r>
      <w:r w:rsidRPr="00552001">
        <w:t xml:space="preserve"> przeciętny miesięczny dochód rozporządzalny na 1 osobę w gospodarstwach domowych wyłąc</w:t>
      </w:r>
      <w:r>
        <w:t xml:space="preserve">znie z osobami starszymi </w:t>
      </w:r>
      <w:r w:rsidRPr="00552001">
        <w:t xml:space="preserve">był o 11,0% wyższy niż w gospodarstwach, w skład których wchodziły wyłącznie osoby młodsze, mające poniżej 60 lat. </w:t>
      </w:r>
    </w:p>
    <w:p w14:paraId="34D40748" w14:textId="77777777" w:rsidR="00552001" w:rsidRDefault="00552001" w:rsidP="00552001"/>
    <w:p w14:paraId="2D6912C8" w14:textId="4383DD77" w:rsidR="00552001" w:rsidRDefault="00552001" w:rsidP="00552001">
      <w:r w:rsidRPr="00552001">
        <w:t>W porównaniu do roku 2019 nastąpił wzrost dochodów na 1 osobę w gospodarstwach domowych wyłącznie z osobami starszymi o 2,9%, podczas gdy w gospodarstwach wyłącznie z osobami w wieku poniżej 60 lat ten wzrost był wyższy i wyniósł  6,2%.</w:t>
      </w:r>
    </w:p>
    <w:p w14:paraId="789B95C5" w14:textId="77777777" w:rsidR="00552001" w:rsidRPr="00552001" w:rsidRDefault="00552001" w:rsidP="00552001"/>
    <w:p w14:paraId="65F66709" w14:textId="33023B27" w:rsidR="00552001" w:rsidRPr="00552001" w:rsidRDefault="00552001" w:rsidP="00552001">
      <w:r w:rsidRPr="00552001">
        <w:t>Gospodarstwa domowe wyłącznie z osobami w wieku 60 lat i więcej utrzymują się przede wszystkim z emerytur lub rent, które w 2020 r. stanowiły 79,8% ich dochodów. Dochody z pracy najemnej w przypadku tych gospodarstw stanowiły 9,9 % ogółu dochodów, a dochody z pracy na własny rachunek poza gospodarstwem rolnym – 2,4%.</w:t>
      </w:r>
    </w:p>
    <w:p w14:paraId="133B8763" w14:textId="77777777" w:rsidR="00552001" w:rsidRDefault="00552001" w:rsidP="00F812E9">
      <w:pPr>
        <w:rPr>
          <w:b/>
        </w:rPr>
      </w:pPr>
    </w:p>
    <w:p w14:paraId="09B1FC1A" w14:textId="77777777" w:rsidR="00CC2DD4" w:rsidRPr="00F812E9" w:rsidRDefault="00CC2DD4" w:rsidP="00F812E9">
      <w:pPr>
        <w:rPr>
          <w:b/>
        </w:rPr>
      </w:pPr>
    </w:p>
    <w:p w14:paraId="0C212F44" w14:textId="77913CAB" w:rsidR="00F812E9" w:rsidRPr="00CC2DD4" w:rsidRDefault="00F812E9" w:rsidP="00F812E9">
      <w:pPr>
        <w:pStyle w:val="Legenda"/>
        <w:keepNext/>
        <w:rPr>
          <w:rFonts w:cs="Times New Roman"/>
          <w:b/>
          <w:i w:val="0"/>
          <w:color w:val="auto"/>
          <w:sz w:val="24"/>
          <w:szCs w:val="24"/>
        </w:rPr>
      </w:pPr>
      <w:bookmarkStart w:id="10" w:name="_Toc49171380"/>
      <w:r w:rsidRPr="00CC2DD4">
        <w:rPr>
          <w:rFonts w:cs="Times New Roman"/>
          <w:b/>
          <w:i w:val="0"/>
          <w:color w:val="auto"/>
          <w:sz w:val="24"/>
          <w:szCs w:val="24"/>
        </w:rPr>
        <w:lastRenderedPageBreak/>
        <w:t xml:space="preserve">Tabela </w:t>
      </w:r>
      <w:r w:rsidR="00CC2DD4">
        <w:rPr>
          <w:rFonts w:cs="Times New Roman"/>
          <w:b/>
          <w:i w:val="0"/>
          <w:color w:val="auto"/>
          <w:sz w:val="24"/>
          <w:szCs w:val="24"/>
        </w:rPr>
        <w:t>5</w:t>
      </w:r>
      <w:r w:rsidR="00EE73AF">
        <w:rPr>
          <w:rFonts w:cs="Times New Roman"/>
          <w:b/>
          <w:i w:val="0"/>
          <w:color w:val="auto"/>
          <w:sz w:val="24"/>
          <w:szCs w:val="24"/>
        </w:rPr>
        <w:t>.</w:t>
      </w:r>
      <w:r w:rsidRPr="00CC2DD4">
        <w:rPr>
          <w:rFonts w:cs="Times New Roman"/>
          <w:b/>
          <w:i w:val="0"/>
          <w:color w:val="auto"/>
          <w:sz w:val="24"/>
          <w:szCs w:val="24"/>
        </w:rPr>
        <w:t xml:space="preserve"> Przeciętne miesięczne dochody na 1 osobę w gospodarstwach domowych według liczby osób</w:t>
      </w:r>
      <w:bookmarkEnd w:id="10"/>
    </w:p>
    <w:tbl>
      <w:tblPr>
        <w:tblStyle w:val="Tabelasiatki4akcent2"/>
        <w:tblW w:w="9493" w:type="dxa"/>
        <w:tblLook w:val="04A0" w:firstRow="1" w:lastRow="0" w:firstColumn="1" w:lastColumn="0" w:noHBand="0" w:noVBand="1"/>
      </w:tblPr>
      <w:tblGrid>
        <w:gridCol w:w="3189"/>
        <w:gridCol w:w="1340"/>
        <w:gridCol w:w="1372"/>
        <w:gridCol w:w="1282"/>
        <w:gridCol w:w="1316"/>
        <w:gridCol w:w="994"/>
      </w:tblGrid>
      <w:tr w:rsidR="00F812E9" w:rsidRPr="00F812E9" w14:paraId="3D529044" w14:textId="77777777" w:rsidTr="00934271">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252" w:type="dxa"/>
            <w:vMerge w:val="restart"/>
            <w:tcBorders>
              <w:top w:val="single" w:sz="4" w:space="0" w:color="auto"/>
              <w:left w:val="single" w:sz="4" w:space="0" w:color="auto"/>
              <w:bottom w:val="single" w:sz="4" w:space="0" w:color="auto"/>
              <w:right w:val="single" w:sz="4" w:space="0" w:color="auto"/>
            </w:tcBorders>
            <w:hideMark/>
          </w:tcPr>
          <w:p w14:paraId="701EF18E" w14:textId="77777777" w:rsidR="00F812E9" w:rsidRPr="00F812E9" w:rsidRDefault="00F812E9" w:rsidP="00E86941">
            <w:pPr>
              <w:spacing w:line="240" w:lineRule="auto"/>
              <w:jc w:val="center"/>
              <w:rPr>
                <w:rFonts w:eastAsia="Times New Roman" w:cs="Times New Roman"/>
                <w:color w:val="auto"/>
                <w:sz w:val="20"/>
                <w:szCs w:val="20"/>
                <w:lang w:eastAsia="pl-PL"/>
              </w:rPr>
            </w:pPr>
          </w:p>
        </w:tc>
        <w:tc>
          <w:tcPr>
            <w:tcW w:w="6241" w:type="dxa"/>
            <w:gridSpan w:val="5"/>
            <w:tcBorders>
              <w:top w:val="single" w:sz="4" w:space="0" w:color="auto"/>
              <w:left w:val="single" w:sz="4" w:space="0" w:color="auto"/>
              <w:bottom w:val="single" w:sz="4" w:space="0" w:color="auto"/>
              <w:right w:val="single" w:sz="4" w:space="0" w:color="auto"/>
            </w:tcBorders>
            <w:hideMark/>
          </w:tcPr>
          <w:p w14:paraId="6E25DB14" w14:textId="77777777" w:rsidR="00F812E9" w:rsidRPr="00F812E9" w:rsidRDefault="00F812E9" w:rsidP="00E869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F812E9">
              <w:rPr>
                <w:rFonts w:eastAsia="Times New Roman" w:cs="Times New Roman"/>
                <w:color w:val="auto"/>
                <w:sz w:val="20"/>
                <w:szCs w:val="20"/>
                <w:lang w:eastAsia="pl-PL"/>
              </w:rPr>
              <w:t>Gospodarstwa domowe</w:t>
            </w:r>
          </w:p>
        </w:tc>
      </w:tr>
      <w:tr w:rsidR="00F812E9" w:rsidRPr="00F812E9" w14:paraId="61311738" w14:textId="77777777" w:rsidTr="0093427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252" w:type="dxa"/>
            <w:vMerge/>
            <w:tcBorders>
              <w:top w:val="single" w:sz="4" w:space="0" w:color="auto"/>
              <w:left w:val="single" w:sz="4" w:space="0" w:color="auto"/>
              <w:bottom w:val="single" w:sz="4" w:space="0" w:color="auto"/>
              <w:right w:val="single" w:sz="4" w:space="0" w:color="auto"/>
            </w:tcBorders>
            <w:hideMark/>
          </w:tcPr>
          <w:p w14:paraId="2375603D" w14:textId="77777777" w:rsidR="00F812E9" w:rsidRPr="00F812E9" w:rsidRDefault="00F812E9" w:rsidP="00E86941">
            <w:pPr>
              <w:spacing w:line="240" w:lineRule="auto"/>
              <w:jc w:val="center"/>
              <w:rPr>
                <w:rFonts w:eastAsia="Times New Roman" w:cs="Times New Roman"/>
                <w:sz w:val="20"/>
                <w:szCs w:val="20"/>
                <w:lang w:eastAsia="pl-PL"/>
              </w:rPr>
            </w:pPr>
          </w:p>
        </w:tc>
        <w:tc>
          <w:tcPr>
            <w:tcW w:w="1340" w:type="dxa"/>
            <w:vMerge w:val="restart"/>
            <w:tcBorders>
              <w:top w:val="single" w:sz="4" w:space="0" w:color="auto"/>
              <w:left w:val="single" w:sz="4" w:space="0" w:color="auto"/>
              <w:bottom w:val="single" w:sz="4" w:space="0" w:color="auto"/>
              <w:right w:val="single" w:sz="4" w:space="0" w:color="auto"/>
            </w:tcBorders>
            <w:shd w:val="clear" w:color="auto" w:fill="ED7D31" w:themeFill="accent2"/>
            <w:hideMark/>
          </w:tcPr>
          <w:p w14:paraId="68F9CE56" w14:textId="77777777" w:rsidR="00F812E9" w:rsidRPr="00F812E9" w:rsidRDefault="00F812E9"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812E9">
              <w:rPr>
                <w:rFonts w:eastAsia="Times New Roman" w:cs="Times New Roman"/>
                <w:b/>
                <w:sz w:val="20"/>
                <w:szCs w:val="20"/>
                <w:lang w:eastAsia="pl-PL"/>
              </w:rPr>
              <w:t xml:space="preserve">bez osób </w:t>
            </w:r>
            <w:r w:rsidRPr="00F812E9">
              <w:rPr>
                <w:rFonts w:eastAsia="Times New Roman" w:cs="Times New Roman"/>
                <w:b/>
                <w:sz w:val="20"/>
                <w:szCs w:val="20"/>
                <w:lang w:eastAsia="pl-PL"/>
              </w:rPr>
              <w:br/>
              <w:t xml:space="preserve">w wieku 60 lat </w:t>
            </w:r>
            <w:r w:rsidRPr="00F812E9">
              <w:rPr>
                <w:rFonts w:eastAsia="Times New Roman" w:cs="Times New Roman"/>
                <w:b/>
                <w:sz w:val="20"/>
                <w:szCs w:val="20"/>
                <w:lang w:eastAsia="pl-PL"/>
              </w:rPr>
              <w:br/>
              <w:t>i więcej</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ED7D31" w:themeFill="accent2"/>
            <w:hideMark/>
          </w:tcPr>
          <w:p w14:paraId="526DB2B3" w14:textId="77777777" w:rsidR="00F812E9" w:rsidRPr="00F812E9" w:rsidRDefault="00F812E9"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812E9">
              <w:rPr>
                <w:rFonts w:eastAsia="Times New Roman" w:cs="Times New Roman"/>
                <w:b/>
                <w:sz w:val="20"/>
                <w:szCs w:val="20"/>
                <w:lang w:eastAsia="pl-PL"/>
              </w:rPr>
              <w:t xml:space="preserve">z przynajmniej </w:t>
            </w:r>
            <w:r w:rsidRPr="00F812E9">
              <w:rPr>
                <w:rFonts w:eastAsia="Times New Roman" w:cs="Times New Roman"/>
                <w:b/>
                <w:sz w:val="20"/>
                <w:szCs w:val="20"/>
                <w:lang w:eastAsia="pl-PL"/>
              </w:rPr>
              <w:br/>
              <w:t>1 osobą w wieku 60 lat i więcej</w:t>
            </w:r>
          </w:p>
        </w:tc>
        <w:tc>
          <w:tcPr>
            <w:tcW w:w="3529" w:type="dxa"/>
            <w:gridSpan w:val="3"/>
            <w:tcBorders>
              <w:top w:val="single" w:sz="4" w:space="0" w:color="auto"/>
              <w:left w:val="single" w:sz="4" w:space="0" w:color="auto"/>
              <w:bottom w:val="single" w:sz="4" w:space="0" w:color="auto"/>
              <w:right w:val="single" w:sz="4" w:space="0" w:color="auto"/>
            </w:tcBorders>
            <w:shd w:val="clear" w:color="auto" w:fill="ED7D31" w:themeFill="accent2"/>
            <w:hideMark/>
          </w:tcPr>
          <w:p w14:paraId="556D67B9" w14:textId="77777777" w:rsidR="00F812E9" w:rsidRPr="00F812E9" w:rsidRDefault="00F812E9"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812E9">
              <w:rPr>
                <w:rFonts w:eastAsia="Times New Roman" w:cs="Times New Roman"/>
                <w:b/>
                <w:sz w:val="20"/>
                <w:szCs w:val="20"/>
                <w:lang w:eastAsia="pl-PL"/>
              </w:rPr>
              <w:t>wyłącznie z osobami w wieku 60 lat i więcej</w:t>
            </w:r>
          </w:p>
        </w:tc>
      </w:tr>
      <w:tr w:rsidR="00F812E9" w:rsidRPr="00F812E9" w14:paraId="0F7DCB51" w14:textId="77777777" w:rsidTr="00934271">
        <w:trPr>
          <w:trHeight w:val="398"/>
        </w:trPr>
        <w:tc>
          <w:tcPr>
            <w:cnfStyle w:val="001000000000" w:firstRow="0" w:lastRow="0" w:firstColumn="1" w:lastColumn="0" w:oddVBand="0" w:evenVBand="0" w:oddHBand="0" w:evenHBand="0" w:firstRowFirstColumn="0" w:firstRowLastColumn="0" w:lastRowFirstColumn="0" w:lastRowLastColumn="0"/>
            <w:tcW w:w="3252" w:type="dxa"/>
            <w:vMerge/>
            <w:tcBorders>
              <w:top w:val="single" w:sz="4" w:space="0" w:color="auto"/>
              <w:left w:val="single" w:sz="4" w:space="0" w:color="auto"/>
              <w:bottom w:val="single" w:sz="4" w:space="0" w:color="auto"/>
              <w:right w:val="single" w:sz="4" w:space="0" w:color="auto"/>
            </w:tcBorders>
            <w:hideMark/>
          </w:tcPr>
          <w:p w14:paraId="3354B894" w14:textId="77777777" w:rsidR="00F812E9" w:rsidRPr="00F812E9" w:rsidRDefault="00F812E9" w:rsidP="00E86941">
            <w:pPr>
              <w:spacing w:line="240" w:lineRule="auto"/>
              <w:jc w:val="center"/>
              <w:rPr>
                <w:rFonts w:eastAsia="Times New Roman" w:cs="Times New Roman"/>
                <w:sz w:val="20"/>
                <w:szCs w:val="20"/>
                <w:lang w:eastAsia="pl-PL"/>
              </w:rPr>
            </w:pPr>
          </w:p>
        </w:tc>
        <w:tc>
          <w:tcPr>
            <w:tcW w:w="1340" w:type="dxa"/>
            <w:vMerge/>
            <w:tcBorders>
              <w:top w:val="single" w:sz="4" w:space="0" w:color="auto"/>
              <w:left w:val="single" w:sz="4" w:space="0" w:color="auto"/>
              <w:bottom w:val="single" w:sz="4" w:space="0" w:color="auto"/>
              <w:right w:val="single" w:sz="4" w:space="0" w:color="auto"/>
            </w:tcBorders>
            <w:shd w:val="clear" w:color="auto" w:fill="ED7D31" w:themeFill="accent2"/>
            <w:hideMark/>
          </w:tcPr>
          <w:p w14:paraId="5439DB8F" w14:textId="77777777" w:rsidR="00F812E9" w:rsidRPr="00F812E9" w:rsidRDefault="00F812E9"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72" w:type="dxa"/>
            <w:vMerge/>
            <w:tcBorders>
              <w:top w:val="single" w:sz="4" w:space="0" w:color="auto"/>
              <w:left w:val="single" w:sz="4" w:space="0" w:color="auto"/>
              <w:bottom w:val="single" w:sz="4" w:space="0" w:color="auto"/>
              <w:right w:val="single" w:sz="4" w:space="0" w:color="auto"/>
            </w:tcBorders>
            <w:shd w:val="clear" w:color="auto" w:fill="ED7D31" w:themeFill="accent2"/>
            <w:hideMark/>
          </w:tcPr>
          <w:p w14:paraId="4AA8D5F7" w14:textId="77777777" w:rsidR="00F812E9" w:rsidRPr="00F812E9" w:rsidRDefault="00F812E9"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08" w:type="dxa"/>
            <w:vMerge w:val="restart"/>
            <w:tcBorders>
              <w:top w:val="single" w:sz="4" w:space="0" w:color="auto"/>
              <w:left w:val="single" w:sz="4" w:space="0" w:color="auto"/>
              <w:bottom w:val="single" w:sz="4" w:space="0" w:color="auto"/>
              <w:right w:val="single" w:sz="4" w:space="0" w:color="auto"/>
            </w:tcBorders>
            <w:shd w:val="clear" w:color="auto" w:fill="ED7D31" w:themeFill="accent2"/>
            <w:hideMark/>
          </w:tcPr>
          <w:p w14:paraId="4A25367A" w14:textId="77777777" w:rsidR="00F812E9" w:rsidRPr="00F812E9" w:rsidRDefault="00F812E9"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F812E9">
              <w:rPr>
                <w:rFonts w:eastAsia="Times New Roman" w:cs="Times New Roman"/>
                <w:b/>
                <w:sz w:val="20"/>
                <w:szCs w:val="20"/>
                <w:lang w:eastAsia="pl-PL"/>
              </w:rPr>
              <w:t>razem</w:t>
            </w:r>
          </w:p>
        </w:tc>
        <w:tc>
          <w:tcPr>
            <w:tcW w:w="2221"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14:paraId="10A7C6AE" w14:textId="77777777" w:rsidR="00F812E9" w:rsidRPr="00F812E9" w:rsidRDefault="00F812E9"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F812E9">
              <w:rPr>
                <w:rFonts w:eastAsia="Times New Roman" w:cs="Times New Roman"/>
                <w:b/>
                <w:sz w:val="20"/>
                <w:szCs w:val="20"/>
                <w:lang w:eastAsia="pl-PL"/>
              </w:rPr>
              <w:t>w tym</w:t>
            </w:r>
          </w:p>
        </w:tc>
      </w:tr>
      <w:tr w:rsidR="00F812E9" w:rsidRPr="00F812E9" w14:paraId="7E804EB1" w14:textId="77777777" w:rsidTr="0093427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252" w:type="dxa"/>
            <w:vMerge/>
            <w:tcBorders>
              <w:top w:val="single" w:sz="4" w:space="0" w:color="auto"/>
              <w:left w:val="single" w:sz="4" w:space="0" w:color="auto"/>
              <w:bottom w:val="single" w:sz="4" w:space="0" w:color="auto"/>
              <w:right w:val="single" w:sz="4" w:space="0" w:color="auto"/>
            </w:tcBorders>
            <w:hideMark/>
          </w:tcPr>
          <w:p w14:paraId="67EDAE8D" w14:textId="77777777" w:rsidR="00F812E9" w:rsidRPr="00F812E9" w:rsidRDefault="00F812E9" w:rsidP="00E86941">
            <w:pPr>
              <w:spacing w:line="240" w:lineRule="auto"/>
              <w:jc w:val="center"/>
              <w:rPr>
                <w:rFonts w:eastAsia="Times New Roman" w:cs="Times New Roman"/>
                <w:sz w:val="20"/>
                <w:szCs w:val="20"/>
                <w:lang w:eastAsia="pl-PL"/>
              </w:rPr>
            </w:pPr>
          </w:p>
        </w:tc>
        <w:tc>
          <w:tcPr>
            <w:tcW w:w="1340" w:type="dxa"/>
            <w:vMerge/>
            <w:tcBorders>
              <w:top w:val="single" w:sz="4" w:space="0" w:color="auto"/>
              <w:left w:val="single" w:sz="4" w:space="0" w:color="auto"/>
              <w:bottom w:val="single" w:sz="4" w:space="0" w:color="auto"/>
              <w:right w:val="single" w:sz="4" w:space="0" w:color="auto"/>
            </w:tcBorders>
            <w:shd w:val="clear" w:color="auto" w:fill="ED7D31" w:themeFill="accent2"/>
            <w:hideMark/>
          </w:tcPr>
          <w:p w14:paraId="244E460B" w14:textId="77777777" w:rsidR="00F812E9" w:rsidRPr="00F812E9" w:rsidRDefault="00F812E9"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72" w:type="dxa"/>
            <w:vMerge/>
            <w:tcBorders>
              <w:top w:val="single" w:sz="4" w:space="0" w:color="auto"/>
              <w:left w:val="single" w:sz="4" w:space="0" w:color="auto"/>
              <w:bottom w:val="single" w:sz="4" w:space="0" w:color="auto"/>
              <w:right w:val="single" w:sz="4" w:space="0" w:color="auto"/>
            </w:tcBorders>
            <w:shd w:val="clear" w:color="auto" w:fill="ED7D31" w:themeFill="accent2"/>
            <w:hideMark/>
          </w:tcPr>
          <w:p w14:paraId="69E1E045" w14:textId="77777777" w:rsidR="00F812E9" w:rsidRPr="00F812E9" w:rsidRDefault="00F812E9"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08" w:type="dxa"/>
            <w:vMerge/>
            <w:tcBorders>
              <w:top w:val="single" w:sz="4" w:space="0" w:color="auto"/>
              <w:left w:val="single" w:sz="4" w:space="0" w:color="auto"/>
              <w:bottom w:val="single" w:sz="4" w:space="0" w:color="auto"/>
              <w:right w:val="single" w:sz="4" w:space="0" w:color="auto"/>
            </w:tcBorders>
            <w:shd w:val="clear" w:color="auto" w:fill="ED7D31" w:themeFill="accent2"/>
            <w:hideMark/>
          </w:tcPr>
          <w:p w14:paraId="1965B3D3" w14:textId="77777777" w:rsidR="00F812E9" w:rsidRPr="00F812E9" w:rsidRDefault="00F812E9"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40" w:type="dxa"/>
            <w:vMerge w:val="restart"/>
            <w:tcBorders>
              <w:top w:val="single" w:sz="4" w:space="0" w:color="auto"/>
              <w:left w:val="single" w:sz="4" w:space="0" w:color="auto"/>
              <w:bottom w:val="single" w:sz="4" w:space="0" w:color="auto"/>
              <w:right w:val="single" w:sz="4" w:space="0" w:color="auto"/>
            </w:tcBorders>
            <w:shd w:val="clear" w:color="auto" w:fill="ED7D31" w:themeFill="accent2"/>
            <w:hideMark/>
          </w:tcPr>
          <w:p w14:paraId="6DB069AF" w14:textId="77777777" w:rsidR="00F812E9" w:rsidRPr="00F812E9" w:rsidRDefault="00F812E9"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812E9">
              <w:rPr>
                <w:rFonts w:eastAsia="Times New Roman" w:cs="Times New Roman"/>
                <w:b/>
                <w:sz w:val="20"/>
                <w:szCs w:val="20"/>
                <w:lang w:eastAsia="pl-PL"/>
              </w:rPr>
              <w:t>1-osobowe</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ED7D31" w:themeFill="accent2"/>
            <w:hideMark/>
          </w:tcPr>
          <w:p w14:paraId="23D35C15" w14:textId="77777777" w:rsidR="00F812E9" w:rsidRPr="00F812E9" w:rsidRDefault="00F812E9"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812E9">
              <w:rPr>
                <w:rFonts w:eastAsia="Times New Roman" w:cs="Times New Roman"/>
                <w:b/>
                <w:sz w:val="20"/>
                <w:szCs w:val="20"/>
                <w:lang w:eastAsia="pl-PL"/>
              </w:rPr>
              <w:t>2-osobowe (obydwie osoby</w:t>
            </w:r>
            <w:r w:rsidRPr="00F812E9">
              <w:rPr>
                <w:rFonts w:eastAsia="Times New Roman" w:cs="Times New Roman"/>
                <w:b/>
                <w:sz w:val="20"/>
                <w:szCs w:val="20"/>
                <w:lang w:eastAsia="pl-PL"/>
              </w:rPr>
              <w:br/>
              <w:t xml:space="preserve">w wieku 60 lat </w:t>
            </w:r>
            <w:r w:rsidRPr="00F812E9">
              <w:rPr>
                <w:rFonts w:eastAsia="Times New Roman" w:cs="Times New Roman"/>
                <w:b/>
                <w:sz w:val="20"/>
                <w:szCs w:val="20"/>
                <w:lang w:eastAsia="pl-PL"/>
              </w:rPr>
              <w:br/>
              <w:t>i więcej)</w:t>
            </w:r>
          </w:p>
        </w:tc>
      </w:tr>
      <w:tr w:rsidR="00F812E9" w:rsidRPr="00F812E9" w14:paraId="48EC2997" w14:textId="77777777" w:rsidTr="00934271">
        <w:trPr>
          <w:trHeight w:val="458"/>
        </w:trPr>
        <w:tc>
          <w:tcPr>
            <w:cnfStyle w:val="001000000000" w:firstRow="0" w:lastRow="0" w:firstColumn="1" w:lastColumn="0" w:oddVBand="0" w:evenVBand="0" w:oddHBand="0" w:evenHBand="0" w:firstRowFirstColumn="0" w:firstRowLastColumn="0" w:lastRowFirstColumn="0" w:lastRowLastColumn="0"/>
            <w:tcW w:w="3252" w:type="dxa"/>
            <w:vMerge/>
            <w:tcBorders>
              <w:top w:val="single" w:sz="4" w:space="0" w:color="auto"/>
              <w:left w:val="single" w:sz="4" w:space="0" w:color="auto"/>
              <w:bottom w:val="single" w:sz="4" w:space="0" w:color="auto"/>
              <w:right w:val="single" w:sz="4" w:space="0" w:color="auto"/>
            </w:tcBorders>
            <w:hideMark/>
          </w:tcPr>
          <w:p w14:paraId="1B57DDEE" w14:textId="77777777" w:rsidR="00F812E9" w:rsidRPr="00F812E9" w:rsidRDefault="00F812E9" w:rsidP="00E86941">
            <w:pPr>
              <w:spacing w:line="240" w:lineRule="auto"/>
              <w:rPr>
                <w:rFonts w:eastAsia="Times New Roman" w:cs="Times New Roman"/>
                <w:sz w:val="20"/>
                <w:szCs w:val="20"/>
                <w:lang w:eastAsia="pl-PL"/>
              </w:rPr>
            </w:pPr>
          </w:p>
        </w:tc>
        <w:tc>
          <w:tcPr>
            <w:tcW w:w="1340" w:type="dxa"/>
            <w:vMerge/>
            <w:tcBorders>
              <w:top w:val="single" w:sz="4" w:space="0" w:color="auto"/>
              <w:left w:val="single" w:sz="4" w:space="0" w:color="auto"/>
              <w:bottom w:val="single" w:sz="4" w:space="0" w:color="auto"/>
              <w:right w:val="single" w:sz="4" w:space="0" w:color="auto"/>
            </w:tcBorders>
            <w:shd w:val="clear" w:color="auto" w:fill="ED7D31" w:themeFill="accent2"/>
            <w:hideMark/>
          </w:tcPr>
          <w:p w14:paraId="14E9B03B" w14:textId="77777777" w:rsidR="00F812E9" w:rsidRPr="00F812E9" w:rsidRDefault="00F812E9" w:rsidP="00E86941">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1372" w:type="dxa"/>
            <w:vMerge/>
            <w:tcBorders>
              <w:top w:val="single" w:sz="4" w:space="0" w:color="auto"/>
              <w:left w:val="single" w:sz="4" w:space="0" w:color="auto"/>
              <w:bottom w:val="single" w:sz="4" w:space="0" w:color="auto"/>
              <w:right w:val="single" w:sz="4" w:space="0" w:color="auto"/>
            </w:tcBorders>
            <w:shd w:val="clear" w:color="auto" w:fill="ED7D31" w:themeFill="accent2"/>
            <w:hideMark/>
          </w:tcPr>
          <w:p w14:paraId="641A86D2" w14:textId="77777777" w:rsidR="00F812E9" w:rsidRPr="00F812E9" w:rsidRDefault="00F812E9" w:rsidP="00E86941">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1308" w:type="dxa"/>
            <w:vMerge/>
            <w:tcBorders>
              <w:top w:val="single" w:sz="4" w:space="0" w:color="auto"/>
              <w:left w:val="single" w:sz="4" w:space="0" w:color="auto"/>
              <w:bottom w:val="single" w:sz="4" w:space="0" w:color="auto"/>
              <w:right w:val="single" w:sz="4" w:space="0" w:color="auto"/>
            </w:tcBorders>
            <w:shd w:val="clear" w:color="auto" w:fill="ED7D31" w:themeFill="accent2"/>
            <w:hideMark/>
          </w:tcPr>
          <w:p w14:paraId="68B319C0" w14:textId="77777777" w:rsidR="00F812E9" w:rsidRPr="00F812E9" w:rsidRDefault="00F812E9" w:rsidP="00E86941">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1340" w:type="dxa"/>
            <w:vMerge/>
            <w:tcBorders>
              <w:top w:val="single" w:sz="4" w:space="0" w:color="auto"/>
              <w:left w:val="single" w:sz="4" w:space="0" w:color="auto"/>
              <w:bottom w:val="single" w:sz="4" w:space="0" w:color="auto"/>
              <w:right w:val="single" w:sz="4" w:space="0" w:color="auto"/>
            </w:tcBorders>
            <w:shd w:val="clear" w:color="auto" w:fill="ED7D31" w:themeFill="accent2"/>
            <w:hideMark/>
          </w:tcPr>
          <w:p w14:paraId="39EFD76E" w14:textId="77777777" w:rsidR="00F812E9" w:rsidRPr="00F812E9" w:rsidRDefault="00F812E9" w:rsidP="00E86941">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881" w:type="dxa"/>
            <w:vMerge/>
            <w:tcBorders>
              <w:top w:val="single" w:sz="4" w:space="0" w:color="auto"/>
              <w:left w:val="single" w:sz="4" w:space="0" w:color="auto"/>
              <w:bottom w:val="single" w:sz="4" w:space="0" w:color="auto"/>
              <w:right w:val="single" w:sz="4" w:space="0" w:color="auto"/>
            </w:tcBorders>
            <w:shd w:val="clear" w:color="auto" w:fill="ED7D31" w:themeFill="accent2"/>
            <w:hideMark/>
          </w:tcPr>
          <w:p w14:paraId="41287A64" w14:textId="77777777" w:rsidR="00F812E9" w:rsidRPr="00F812E9" w:rsidRDefault="00F812E9" w:rsidP="00E86941">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r>
      <w:tr w:rsidR="00F812E9" w:rsidRPr="00F812E9" w14:paraId="43AAE3AD" w14:textId="77777777" w:rsidTr="0093427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252" w:type="dxa"/>
            <w:vMerge/>
            <w:tcBorders>
              <w:top w:val="single" w:sz="4" w:space="0" w:color="auto"/>
              <w:left w:val="single" w:sz="4" w:space="0" w:color="auto"/>
              <w:bottom w:val="single" w:sz="4" w:space="0" w:color="auto"/>
              <w:right w:val="single" w:sz="4" w:space="0" w:color="auto"/>
            </w:tcBorders>
            <w:hideMark/>
          </w:tcPr>
          <w:p w14:paraId="270468D6" w14:textId="77777777" w:rsidR="00F812E9" w:rsidRPr="00F812E9" w:rsidRDefault="00F812E9" w:rsidP="00E86941">
            <w:pPr>
              <w:spacing w:line="240" w:lineRule="auto"/>
              <w:rPr>
                <w:rFonts w:eastAsia="Times New Roman" w:cs="Times New Roman"/>
                <w:sz w:val="20"/>
                <w:szCs w:val="20"/>
                <w:lang w:eastAsia="pl-PL"/>
              </w:rPr>
            </w:pPr>
          </w:p>
        </w:tc>
        <w:tc>
          <w:tcPr>
            <w:tcW w:w="1340" w:type="dxa"/>
            <w:vMerge/>
            <w:tcBorders>
              <w:top w:val="single" w:sz="4" w:space="0" w:color="auto"/>
              <w:left w:val="single" w:sz="4" w:space="0" w:color="auto"/>
              <w:bottom w:val="single" w:sz="4" w:space="0" w:color="auto"/>
              <w:right w:val="single" w:sz="4" w:space="0" w:color="auto"/>
            </w:tcBorders>
            <w:shd w:val="clear" w:color="auto" w:fill="ED7D31" w:themeFill="accent2"/>
            <w:hideMark/>
          </w:tcPr>
          <w:p w14:paraId="6F36B18E" w14:textId="77777777" w:rsidR="00F812E9" w:rsidRPr="00F812E9" w:rsidRDefault="00F812E9" w:rsidP="00E86941">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72" w:type="dxa"/>
            <w:vMerge/>
            <w:tcBorders>
              <w:top w:val="single" w:sz="4" w:space="0" w:color="auto"/>
              <w:left w:val="single" w:sz="4" w:space="0" w:color="auto"/>
              <w:bottom w:val="single" w:sz="4" w:space="0" w:color="auto"/>
              <w:right w:val="single" w:sz="4" w:space="0" w:color="auto"/>
            </w:tcBorders>
            <w:shd w:val="clear" w:color="auto" w:fill="ED7D31" w:themeFill="accent2"/>
            <w:hideMark/>
          </w:tcPr>
          <w:p w14:paraId="2046904B" w14:textId="77777777" w:rsidR="00F812E9" w:rsidRPr="00F812E9" w:rsidRDefault="00F812E9" w:rsidP="00E86941">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08" w:type="dxa"/>
            <w:vMerge/>
            <w:tcBorders>
              <w:top w:val="single" w:sz="4" w:space="0" w:color="auto"/>
              <w:left w:val="single" w:sz="4" w:space="0" w:color="auto"/>
              <w:bottom w:val="single" w:sz="4" w:space="0" w:color="auto"/>
              <w:right w:val="single" w:sz="4" w:space="0" w:color="auto"/>
            </w:tcBorders>
            <w:shd w:val="clear" w:color="auto" w:fill="ED7D31" w:themeFill="accent2"/>
            <w:hideMark/>
          </w:tcPr>
          <w:p w14:paraId="4E1A62E3" w14:textId="77777777" w:rsidR="00F812E9" w:rsidRPr="00F812E9" w:rsidRDefault="00F812E9" w:rsidP="00E86941">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40" w:type="dxa"/>
            <w:vMerge/>
            <w:tcBorders>
              <w:top w:val="single" w:sz="4" w:space="0" w:color="auto"/>
              <w:left w:val="single" w:sz="4" w:space="0" w:color="auto"/>
              <w:bottom w:val="single" w:sz="4" w:space="0" w:color="auto"/>
              <w:right w:val="single" w:sz="4" w:space="0" w:color="auto"/>
            </w:tcBorders>
            <w:shd w:val="clear" w:color="auto" w:fill="ED7D31" w:themeFill="accent2"/>
            <w:hideMark/>
          </w:tcPr>
          <w:p w14:paraId="65508FE8" w14:textId="77777777" w:rsidR="00F812E9" w:rsidRPr="00F812E9" w:rsidRDefault="00F812E9" w:rsidP="00E86941">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881" w:type="dxa"/>
            <w:vMerge/>
            <w:tcBorders>
              <w:top w:val="single" w:sz="4" w:space="0" w:color="auto"/>
              <w:left w:val="single" w:sz="4" w:space="0" w:color="auto"/>
              <w:bottom w:val="single" w:sz="4" w:space="0" w:color="auto"/>
              <w:right w:val="single" w:sz="4" w:space="0" w:color="auto"/>
            </w:tcBorders>
            <w:shd w:val="clear" w:color="auto" w:fill="ED7D31" w:themeFill="accent2"/>
            <w:hideMark/>
          </w:tcPr>
          <w:p w14:paraId="5EAD9145" w14:textId="77777777" w:rsidR="00F812E9" w:rsidRPr="00F812E9" w:rsidRDefault="00F812E9" w:rsidP="00E86941">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r>
      <w:tr w:rsidR="00F812E9" w:rsidRPr="00F812E9" w14:paraId="6016E99C" w14:textId="77777777" w:rsidTr="00934271">
        <w:trPr>
          <w:trHeight w:val="398"/>
        </w:trPr>
        <w:tc>
          <w:tcPr>
            <w:cnfStyle w:val="001000000000" w:firstRow="0" w:lastRow="0" w:firstColumn="1" w:lastColumn="0" w:oddVBand="0" w:evenVBand="0" w:oddHBand="0" w:evenHBand="0" w:firstRowFirstColumn="0" w:firstRowLastColumn="0" w:lastRowFirstColumn="0" w:lastRowLastColumn="0"/>
            <w:tcW w:w="9493" w:type="dxa"/>
            <w:gridSpan w:val="6"/>
            <w:tcBorders>
              <w:top w:val="single" w:sz="4" w:space="0" w:color="auto"/>
            </w:tcBorders>
            <w:hideMark/>
          </w:tcPr>
          <w:p w14:paraId="0DED3500" w14:textId="77777777" w:rsidR="00F812E9" w:rsidRPr="00F812E9" w:rsidRDefault="00F812E9" w:rsidP="00E86941">
            <w:pPr>
              <w:spacing w:line="240" w:lineRule="auto"/>
              <w:jc w:val="center"/>
              <w:rPr>
                <w:rFonts w:eastAsia="Times New Roman" w:cs="Times New Roman"/>
                <w:sz w:val="20"/>
                <w:szCs w:val="20"/>
                <w:lang w:eastAsia="pl-PL"/>
              </w:rPr>
            </w:pPr>
            <w:r w:rsidRPr="00F812E9">
              <w:rPr>
                <w:rFonts w:eastAsia="Times New Roman" w:cs="Times New Roman"/>
                <w:sz w:val="20"/>
                <w:szCs w:val="20"/>
                <w:lang w:eastAsia="pl-PL"/>
              </w:rPr>
              <w:t>OGÓŁEM</w:t>
            </w:r>
          </w:p>
        </w:tc>
      </w:tr>
      <w:tr w:rsidR="00F812E9" w:rsidRPr="00F812E9" w14:paraId="0D7C9885"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6A0CF0BE" w14:textId="77777777" w:rsidR="00F812E9" w:rsidRPr="00F812E9" w:rsidRDefault="00F812E9" w:rsidP="00E86941">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w złotych</w:t>
            </w:r>
          </w:p>
        </w:tc>
      </w:tr>
      <w:tr w:rsidR="00F812E9" w:rsidRPr="00F812E9" w14:paraId="7EFD020C"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7FF3E494" w14:textId="77777777" w:rsidR="00F812E9" w:rsidRPr="00F812E9" w:rsidRDefault="00F812E9" w:rsidP="00F812E9">
            <w:pPr>
              <w:spacing w:line="240" w:lineRule="auto"/>
              <w:rPr>
                <w:rFonts w:eastAsia="Times New Roman" w:cs="Times New Roman"/>
                <w:b w:val="0"/>
                <w:bCs w:val="0"/>
                <w:sz w:val="20"/>
                <w:szCs w:val="20"/>
                <w:lang w:eastAsia="pl-PL"/>
              </w:rPr>
            </w:pPr>
            <w:r w:rsidRPr="00F812E9">
              <w:rPr>
                <w:rFonts w:eastAsia="Times New Roman" w:cs="Times New Roman"/>
                <w:b w:val="0"/>
                <w:bCs w:val="0"/>
                <w:sz w:val="20"/>
                <w:szCs w:val="20"/>
                <w:lang w:eastAsia="pl-PL"/>
              </w:rPr>
              <w:t xml:space="preserve">Dochód rozporządzalny                                                                                                                                                                                     </w:t>
            </w:r>
          </w:p>
        </w:tc>
        <w:tc>
          <w:tcPr>
            <w:tcW w:w="1340" w:type="dxa"/>
            <w:vAlign w:val="center"/>
            <w:hideMark/>
          </w:tcPr>
          <w:p w14:paraId="4A94FFCB"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1 953,73</w:t>
            </w:r>
          </w:p>
        </w:tc>
        <w:tc>
          <w:tcPr>
            <w:tcW w:w="1372" w:type="dxa"/>
            <w:vAlign w:val="center"/>
            <w:hideMark/>
          </w:tcPr>
          <w:p w14:paraId="5125FCAA"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1 867,60</w:t>
            </w:r>
          </w:p>
        </w:tc>
        <w:tc>
          <w:tcPr>
            <w:tcW w:w="1308" w:type="dxa"/>
            <w:vAlign w:val="center"/>
            <w:hideMark/>
          </w:tcPr>
          <w:p w14:paraId="395AF181"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2 169,53</w:t>
            </w:r>
          </w:p>
        </w:tc>
        <w:tc>
          <w:tcPr>
            <w:tcW w:w="1340" w:type="dxa"/>
            <w:vAlign w:val="center"/>
            <w:hideMark/>
          </w:tcPr>
          <w:p w14:paraId="70EFC358"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2 177,73</w:t>
            </w:r>
          </w:p>
        </w:tc>
        <w:tc>
          <w:tcPr>
            <w:tcW w:w="881" w:type="dxa"/>
            <w:vAlign w:val="center"/>
            <w:hideMark/>
          </w:tcPr>
          <w:p w14:paraId="3925ECDF"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2 173,87</w:t>
            </w:r>
          </w:p>
        </w:tc>
      </w:tr>
      <w:tr w:rsidR="00F812E9" w:rsidRPr="00F812E9" w14:paraId="1D27C871"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B447ACC" w14:textId="77777777" w:rsidR="00F812E9" w:rsidRPr="00F812E9" w:rsidRDefault="00F812E9" w:rsidP="00E86941">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w odsetkach</w:t>
            </w:r>
          </w:p>
        </w:tc>
      </w:tr>
      <w:tr w:rsidR="00F812E9" w:rsidRPr="00F812E9" w14:paraId="72E350A5"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1A4152D9" w14:textId="77777777" w:rsidR="00F812E9" w:rsidRPr="00F812E9" w:rsidRDefault="00F812E9" w:rsidP="00F812E9">
            <w:pPr>
              <w:spacing w:line="240" w:lineRule="auto"/>
              <w:rPr>
                <w:rFonts w:eastAsia="Times New Roman" w:cs="Times New Roman"/>
                <w:b w:val="0"/>
                <w:bCs w:val="0"/>
                <w:sz w:val="20"/>
                <w:szCs w:val="20"/>
                <w:lang w:eastAsia="pl-PL"/>
              </w:rPr>
            </w:pPr>
            <w:r w:rsidRPr="00F812E9">
              <w:rPr>
                <w:rFonts w:eastAsia="Times New Roman" w:cs="Times New Roman"/>
                <w:b w:val="0"/>
                <w:bCs w:val="0"/>
                <w:sz w:val="20"/>
                <w:szCs w:val="20"/>
                <w:lang w:eastAsia="pl-PL"/>
              </w:rPr>
              <w:t>Dochód rozporządzalny</w:t>
            </w:r>
          </w:p>
        </w:tc>
        <w:tc>
          <w:tcPr>
            <w:tcW w:w="1340" w:type="dxa"/>
            <w:vAlign w:val="center"/>
            <w:hideMark/>
          </w:tcPr>
          <w:p w14:paraId="5714005C"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97,9</w:t>
            </w:r>
          </w:p>
        </w:tc>
        <w:tc>
          <w:tcPr>
            <w:tcW w:w="1372" w:type="dxa"/>
            <w:vAlign w:val="center"/>
            <w:hideMark/>
          </w:tcPr>
          <w:p w14:paraId="355EA5BC"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97,2</w:t>
            </w:r>
          </w:p>
        </w:tc>
        <w:tc>
          <w:tcPr>
            <w:tcW w:w="1308" w:type="dxa"/>
            <w:vAlign w:val="center"/>
            <w:hideMark/>
          </w:tcPr>
          <w:p w14:paraId="0B08EEBF"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95,9</w:t>
            </w:r>
          </w:p>
        </w:tc>
        <w:tc>
          <w:tcPr>
            <w:tcW w:w="1340" w:type="dxa"/>
            <w:vAlign w:val="center"/>
            <w:hideMark/>
          </w:tcPr>
          <w:p w14:paraId="70BBD9DE"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95,2</w:t>
            </w:r>
          </w:p>
        </w:tc>
        <w:tc>
          <w:tcPr>
            <w:tcW w:w="881" w:type="dxa"/>
            <w:vAlign w:val="center"/>
            <w:hideMark/>
          </w:tcPr>
          <w:p w14:paraId="71A21A99"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96,3</w:t>
            </w:r>
          </w:p>
        </w:tc>
      </w:tr>
      <w:tr w:rsidR="00F812E9" w:rsidRPr="00F812E9" w14:paraId="0FC2A07E"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1599CDE5"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w tym dochód do dyspozycji</w:t>
            </w:r>
          </w:p>
        </w:tc>
        <w:tc>
          <w:tcPr>
            <w:tcW w:w="1340" w:type="dxa"/>
            <w:vAlign w:val="center"/>
            <w:hideMark/>
          </w:tcPr>
          <w:p w14:paraId="487C78B9"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67,7</w:t>
            </w:r>
          </w:p>
        </w:tc>
        <w:tc>
          <w:tcPr>
            <w:tcW w:w="1372" w:type="dxa"/>
            <w:vAlign w:val="center"/>
            <w:hideMark/>
          </w:tcPr>
          <w:p w14:paraId="6A302354"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30,0</w:t>
            </w:r>
          </w:p>
        </w:tc>
        <w:tc>
          <w:tcPr>
            <w:tcW w:w="1308" w:type="dxa"/>
            <w:vAlign w:val="center"/>
            <w:hideMark/>
          </w:tcPr>
          <w:p w14:paraId="53C82A5A"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9,9</w:t>
            </w:r>
          </w:p>
        </w:tc>
        <w:tc>
          <w:tcPr>
            <w:tcW w:w="1340" w:type="dxa"/>
            <w:vAlign w:val="center"/>
            <w:hideMark/>
          </w:tcPr>
          <w:p w14:paraId="410D9A8F"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8,3</w:t>
            </w:r>
          </w:p>
        </w:tc>
        <w:tc>
          <w:tcPr>
            <w:tcW w:w="881" w:type="dxa"/>
            <w:vAlign w:val="center"/>
            <w:hideMark/>
          </w:tcPr>
          <w:p w14:paraId="41EF2DF3"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10,8</w:t>
            </w:r>
          </w:p>
        </w:tc>
      </w:tr>
      <w:tr w:rsidR="00F812E9" w:rsidRPr="00F812E9" w14:paraId="42279848"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3893B3C0"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Dochody z pracy najemnej                                                                                                                                                                             </w:t>
            </w:r>
          </w:p>
        </w:tc>
        <w:tc>
          <w:tcPr>
            <w:tcW w:w="1340" w:type="dxa"/>
            <w:vAlign w:val="center"/>
            <w:hideMark/>
          </w:tcPr>
          <w:p w14:paraId="1563AC83"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12,3</w:t>
            </w:r>
          </w:p>
        </w:tc>
        <w:tc>
          <w:tcPr>
            <w:tcW w:w="1372" w:type="dxa"/>
            <w:vAlign w:val="center"/>
            <w:hideMark/>
          </w:tcPr>
          <w:p w14:paraId="2BDDD650"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4,1</w:t>
            </w:r>
          </w:p>
        </w:tc>
        <w:tc>
          <w:tcPr>
            <w:tcW w:w="1308" w:type="dxa"/>
            <w:vAlign w:val="center"/>
            <w:hideMark/>
          </w:tcPr>
          <w:p w14:paraId="787381CB"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2,4</w:t>
            </w:r>
          </w:p>
        </w:tc>
        <w:tc>
          <w:tcPr>
            <w:tcW w:w="1340" w:type="dxa"/>
            <w:vAlign w:val="center"/>
            <w:hideMark/>
          </w:tcPr>
          <w:p w14:paraId="02473492"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1,5</w:t>
            </w:r>
          </w:p>
        </w:tc>
        <w:tc>
          <w:tcPr>
            <w:tcW w:w="881" w:type="dxa"/>
            <w:vAlign w:val="center"/>
            <w:hideMark/>
          </w:tcPr>
          <w:p w14:paraId="00B88734"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2,8</w:t>
            </w:r>
          </w:p>
        </w:tc>
      </w:tr>
      <w:tr w:rsidR="00F812E9" w:rsidRPr="00F812E9" w14:paraId="1CD18DA6" w14:textId="77777777" w:rsidTr="009342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52" w:type="dxa"/>
            <w:hideMark/>
          </w:tcPr>
          <w:p w14:paraId="0409CA16"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Dochody </w:t>
            </w:r>
            <w:r w:rsidR="00CC2DD4">
              <w:rPr>
                <w:rFonts w:eastAsia="Times New Roman" w:cs="Times New Roman"/>
                <w:b w:val="0"/>
                <w:sz w:val="20"/>
                <w:szCs w:val="20"/>
                <w:lang w:eastAsia="pl-PL"/>
              </w:rPr>
              <w:t xml:space="preserve">z pracy na własny rachunek poza gospodarstwem </w:t>
            </w:r>
            <w:r w:rsidRPr="00F812E9">
              <w:rPr>
                <w:rFonts w:eastAsia="Times New Roman" w:cs="Times New Roman"/>
                <w:b w:val="0"/>
                <w:sz w:val="20"/>
                <w:szCs w:val="20"/>
                <w:lang w:eastAsia="pl-PL"/>
              </w:rPr>
              <w:t xml:space="preserve">rolnym </w:t>
            </w:r>
            <w:r w:rsidR="00CC2DD4">
              <w:rPr>
                <w:rFonts w:eastAsia="Times New Roman" w:cs="Times New Roman"/>
                <w:b w:val="0"/>
                <w:sz w:val="20"/>
                <w:szCs w:val="20"/>
                <w:lang w:eastAsia="pl-PL"/>
              </w:rPr>
              <w:t xml:space="preserve">                         </w:t>
            </w:r>
            <w:r w:rsidRPr="00F812E9">
              <w:rPr>
                <w:rFonts w:eastAsia="Times New Roman" w:cs="Times New Roman"/>
                <w:b w:val="0"/>
                <w:sz w:val="20"/>
                <w:szCs w:val="20"/>
                <w:lang w:eastAsia="pl-PL"/>
              </w:rPr>
              <w:t xml:space="preserve">w użytkowaniu indywidualnym                                                                                                     </w:t>
            </w:r>
          </w:p>
        </w:tc>
        <w:tc>
          <w:tcPr>
            <w:tcW w:w="1340" w:type="dxa"/>
            <w:vAlign w:val="center"/>
            <w:hideMark/>
          </w:tcPr>
          <w:p w14:paraId="069A5CC0"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3,1</w:t>
            </w:r>
          </w:p>
        </w:tc>
        <w:tc>
          <w:tcPr>
            <w:tcW w:w="1372" w:type="dxa"/>
            <w:vAlign w:val="center"/>
            <w:hideMark/>
          </w:tcPr>
          <w:p w14:paraId="6AE4F269"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3,6</w:t>
            </w:r>
          </w:p>
        </w:tc>
        <w:tc>
          <w:tcPr>
            <w:tcW w:w="1308" w:type="dxa"/>
            <w:vAlign w:val="center"/>
            <w:hideMark/>
          </w:tcPr>
          <w:p w14:paraId="6C349CFA"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0,4</w:t>
            </w:r>
          </w:p>
        </w:tc>
        <w:tc>
          <w:tcPr>
            <w:tcW w:w="1340" w:type="dxa"/>
            <w:vAlign w:val="center"/>
            <w:hideMark/>
          </w:tcPr>
          <w:p w14:paraId="39772652"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0,3</w:t>
            </w:r>
          </w:p>
        </w:tc>
        <w:tc>
          <w:tcPr>
            <w:tcW w:w="881" w:type="dxa"/>
            <w:vAlign w:val="center"/>
            <w:hideMark/>
          </w:tcPr>
          <w:p w14:paraId="2B05E93D"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0,5</w:t>
            </w:r>
          </w:p>
        </w:tc>
      </w:tr>
      <w:tr w:rsidR="00F812E9" w:rsidRPr="00F812E9" w14:paraId="57FEE931"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2E33CD88"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Dochody z gospodarstwa rolnego                                                                                                                                                                                              </w:t>
            </w:r>
          </w:p>
        </w:tc>
        <w:tc>
          <w:tcPr>
            <w:tcW w:w="1340" w:type="dxa"/>
            <w:vAlign w:val="center"/>
            <w:hideMark/>
          </w:tcPr>
          <w:p w14:paraId="1460A50A"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14,2</w:t>
            </w:r>
          </w:p>
        </w:tc>
        <w:tc>
          <w:tcPr>
            <w:tcW w:w="1372" w:type="dxa"/>
            <w:vAlign w:val="center"/>
            <w:hideMark/>
          </w:tcPr>
          <w:p w14:paraId="5AA820CF"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60,5</w:t>
            </w:r>
          </w:p>
        </w:tc>
        <w:tc>
          <w:tcPr>
            <w:tcW w:w="1308" w:type="dxa"/>
            <w:vAlign w:val="center"/>
            <w:hideMark/>
          </w:tcPr>
          <w:p w14:paraId="7EFF9D88"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84,7</w:t>
            </w:r>
          </w:p>
        </w:tc>
        <w:tc>
          <w:tcPr>
            <w:tcW w:w="1340" w:type="dxa"/>
            <w:vAlign w:val="center"/>
            <w:hideMark/>
          </w:tcPr>
          <w:p w14:paraId="2F4B5FAC"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85,6</w:t>
            </w:r>
          </w:p>
        </w:tc>
        <w:tc>
          <w:tcPr>
            <w:tcW w:w="881" w:type="dxa"/>
            <w:vAlign w:val="center"/>
            <w:hideMark/>
          </w:tcPr>
          <w:p w14:paraId="79A2074C"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84,3</w:t>
            </w:r>
          </w:p>
        </w:tc>
      </w:tr>
      <w:tr w:rsidR="00F812E9" w:rsidRPr="00F812E9" w14:paraId="77F44B62"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6944DCEE"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Dochody ze świadczeń społecznych                                                                                                                                                                                                                  </w:t>
            </w:r>
          </w:p>
        </w:tc>
        <w:tc>
          <w:tcPr>
            <w:tcW w:w="1340" w:type="dxa"/>
            <w:vAlign w:val="center"/>
            <w:hideMark/>
          </w:tcPr>
          <w:p w14:paraId="11DC9864"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3,5</w:t>
            </w:r>
          </w:p>
        </w:tc>
        <w:tc>
          <w:tcPr>
            <w:tcW w:w="1372" w:type="dxa"/>
            <w:vAlign w:val="center"/>
            <w:hideMark/>
          </w:tcPr>
          <w:p w14:paraId="56CEE674"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55,9</w:t>
            </w:r>
          </w:p>
        </w:tc>
        <w:tc>
          <w:tcPr>
            <w:tcW w:w="1308" w:type="dxa"/>
            <w:vAlign w:val="center"/>
            <w:hideMark/>
          </w:tcPr>
          <w:p w14:paraId="5A6BDDD6"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84,1</w:t>
            </w:r>
          </w:p>
        </w:tc>
        <w:tc>
          <w:tcPr>
            <w:tcW w:w="1340" w:type="dxa"/>
            <w:vAlign w:val="center"/>
            <w:hideMark/>
          </w:tcPr>
          <w:p w14:paraId="772A3195"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84,7</w:t>
            </w:r>
          </w:p>
        </w:tc>
        <w:tc>
          <w:tcPr>
            <w:tcW w:w="881" w:type="dxa"/>
            <w:vAlign w:val="center"/>
            <w:hideMark/>
          </w:tcPr>
          <w:p w14:paraId="28BD0EFA"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84,0</w:t>
            </w:r>
          </w:p>
        </w:tc>
      </w:tr>
      <w:tr w:rsidR="00F812E9" w:rsidRPr="00F812E9" w14:paraId="3BDB1139" w14:textId="77777777" w:rsidTr="00934271">
        <w:trPr>
          <w:trHeight w:val="480"/>
        </w:trPr>
        <w:tc>
          <w:tcPr>
            <w:cnfStyle w:val="001000000000" w:firstRow="0" w:lastRow="0" w:firstColumn="1" w:lastColumn="0" w:oddVBand="0" w:evenVBand="0" w:oddHBand="0" w:evenHBand="0" w:firstRowFirstColumn="0" w:firstRowLastColumn="0" w:lastRowFirstColumn="0" w:lastRowLastColumn="0"/>
            <w:tcW w:w="3252" w:type="dxa"/>
            <w:hideMark/>
          </w:tcPr>
          <w:p w14:paraId="71FCE223"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dochody ze świadczeń z ubezpieczeń społecznych                                                                       </w:t>
            </w:r>
          </w:p>
        </w:tc>
        <w:tc>
          <w:tcPr>
            <w:tcW w:w="1340" w:type="dxa"/>
            <w:vAlign w:val="center"/>
            <w:hideMark/>
          </w:tcPr>
          <w:p w14:paraId="0D7C5C84"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2,4</w:t>
            </w:r>
          </w:p>
        </w:tc>
        <w:tc>
          <w:tcPr>
            <w:tcW w:w="1372" w:type="dxa"/>
            <w:vAlign w:val="center"/>
            <w:hideMark/>
          </w:tcPr>
          <w:p w14:paraId="76F5FAE8"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52,6</w:t>
            </w:r>
          </w:p>
        </w:tc>
        <w:tc>
          <w:tcPr>
            <w:tcW w:w="1308" w:type="dxa"/>
            <w:vAlign w:val="center"/>
            <w:hideMark/>
          </w:tcPr>
          <w:p w14:paraId="55A79702"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79,8</w:t>
            </w:r>
          </w:p>
        </w:tc>
        <w:tc>
          <w:tcPr>
            <w:tcW w:w="1340" w:type="dxa"/>
            <w:vAlign w:val="center"/>
            <w:hideMark/>
          </w:tcPr>
          <w:p w14:paraId="195903F7"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74,4</w:t>
            </w:r>
          </w:p>
        </w:tc>
        <w:tc>
          <w:tcPr>
            <w:tcW w:w="881" w:type="dxa"/>
            <w:vAlign w:val="center"/>
            <w:hideMark/>
          </w:tcPr>
          <w:p w14:paraId="06F9E537"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83,5</w:t>
            </w:r>
          </w:p>
        </w:tc>
      </w:tr>
      <w:tr w:rsidR="00F812E9" w:rsidRPr="00F812E9" w14:paraId="69F6BFB0"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5E3091EB"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w tym emerytury i renty                                                                                                                                                                               </w:t>
            </w:r>
          </w:p>
        </w:tc>
        <w:tc>
          <w:tcPr>
            <w:tcW w:w="1340" w:type="dxa"/>
            <w:vAlign w:val="center"/>
            <w:hideMark/>
          </w:tcPr>
          <w:p w14:paraId="085AD8E3"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10,7</w:t>
            </w:r>
          </w:p>
        </w:tc>
        <w:tc>
          <w:tcPr>
            <w:tcW w:w="1372" w:type="dxa"/>
            <w:vAlign w:val="center"/>
            <w:hideMark/>
          </w:tcPr>
          <w:p w14:paraId="203F4140"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4,6</w:t>
            </w:r>
          </w:p>
        </w:tc>
        <w:tc>
          <w:tcPr>
            <w:tcW w:w="1308" w:type="dxa"/>
            <w:vAlign w:val="center"/>
            <w:hideMark/>
          </w:tcPr>
          <w:p w14:paraId="35B70459"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0,6</w:t>
            </w:r>
          </w:p>
        </w:tc>
        <w:tc>
          <w:tcPr>
            <w:tcW w:w="1340" w:type="dxa"/>
            <w:vAlign w:val="center"/>
            <w:hideMark/>
          </w:tcPr>
          <w:p w14:paraId="492EAAD7"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0,8</w:t>
            </w:r>
          </w:p>
        </w:tc>
        <w:tc>
          <w:tcPr>
            <w:tcW w:w="881" w:type="dxa"/>
            <w:vAlign w:val="center"/>
            <w:hideMark/>
          </w:tcPr>
          <w:p w14:paraId="1E5CD226"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0,4</w:t>
            </w:r>
          </w:p>
        </w:tc>
      </w:tr>
      <w:tr w:rsidR="00F812E9" w:rsidRPr="00F812E9" w14:paraId="0DACB47A"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3A24B282"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dochody z pozostałych świadczeń społecznych                            </w:t>
            </w:r>
          </w:p>
        </w:tc>
        <w:tc>
          <w:tcPr>
            <w:tcW w:w="1340" w:type="dxa"/>
            <w:vAlign w:val="center"/>
            <w:hideMark/>
          </w:tcPr>
          <w:p w14:paraId="2CE0EA76"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2,2</w:t>
            </w:r>
          </w:p>
        </w:tc>
        <w:tc>
          <w:tcPr>
            <w:tcW w:w="1372" w:type="dxa"/>
            <w:vAlign w:val="center"/>
            <w:hideMark/>
          </w:tcPr>
          <w:p w14:paraId="4B8F8469"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1,5</w:t>
            </w:r>
          </w:p>
        </w:tc>
        <w:tc>
          <w:tcPr>
            <w:tcW w:w="1308" w:type="dxa"/>
            <w:vAlign w:val="center"/>
            <w:hideMark/>
          </w:tcPr>
          <w:p w14:paraId="5BD79E4A"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2,0</w:t>
            </w:r>
          </w:p>
        </w:tc>
        <w:tc>
          <w:tcPr>
            <w:tcW w:w="1340" w:type="dxa"/>
            <w:vAlign w:val="center"/>
            <w:hideMark/>
          </w:tcPr>
          <w:p w14:paraId="79E0572B"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3,6</w:t>
            </w:r>
          </w:p>
        </w:tc>
        <w:tc>
          <w:tcPr>
            <w:tcW w:w="881" w:type="dxa"/>
            <w:vAlign w:val="center"/>
            <w:hideMark/>
          </w:tcPr>
          <w:p w14:paraId="2E7D081B"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1,1</w:t>
            </w:r>
          </w:p>
        </w:tc>
      </w:tr>
      <w:tr w:rsidR="00F812E9" w:rsidRPr="00F812E9" w14:paraId="31004FDD"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3594566E"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Pozostałe dochody                                                                                                                          </w:t>
            </w:r>
          </w:p>
        </w:tc>
        <w:tc>
          <w:tcPr>
            <w:tcW w:w="1340" w:type="dxa"/>
            <w:vAlign w:val="center"/>
            <w:hideMark/>
          </w:tcPr>
          <w:p w14:paraId="16C496F3"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2,0</w:t>
            </w:r>
          </w:p>
        </w:tc>
        <w:tc>
          <w:tcPr>
            <w:tcW w:w="1372" w:type="dxa"/>
            <w:vAlign w:val="center"/>
            <w:hideMark/>
          </w:tcPr>
          <w:p w14:paraId="0EDFABB7"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1,2</w:t>
            </w:r>
          </w:p>
        </w:tc>
        <w:tc>
          <w:tcPr>
            <w:tcW w:w="1308" w:type="dxa"/>
            <w:vAlign w:val="center"/>
            <w:hideMark/>
          </w:tcPr>
          <w:p w14:paraId="35CB513D"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1,7</w:t>
            </w:r>
          </w:p>
        </w:tc>
        <w:tc>
          <w:tcPr>
            <w:tcW w:w="1340" w:type="dxa"/>
            <w:vAlign w:val="center"/>
            <w:hideMark/>
          </w:tcPr>
          <w:p w14:paraId="53F86F1F"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3,3</w:t>
            </w:r>
          </w:p>
        </w:tc>
        <w:tc>
          <w:tcPr>
            <w:tcW w:w="881" w:type="dxa"/>
            <w:vAlign w:val="center"/>
            <w:hideMark/>
          </w:tcPr>
          <w:p w14:paraId="7CCBC98E"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0,8</w:t>
            </w:r>
          </w:p>
        </w:tc>
      </w:tr>
      <w:tr w:rsidR="00F812E9" w:rsidRPr="00F812E9" w14:paraId="4BB980C4" w14:textId="77777777" w:rsidTr="00934271">
        <w:trPr>
          <w:trHeight w:val="480"/>
        </w:trPr>
        <w:tc>
          <w:tcPr>
            <w:cnfStyle w:val="001000000000" w:firstRow="0" w:lastRow="0" w:firstColumn="1" w:lastColumn="0" w:oddVBand="0" w:evenVBand="0" w:oddHBand="0" w:evenHBand="0" w:firstRowFirstColumn="0" w:firstRowLastColumn="0" w:lastRowFirstColumn="0" w:lastRowLastColumn="0"/>
            <w:tcW w:w="3252" w:type="dxa"/>
            <w:hideMark/>
          </w:tcPr>
          <w:p w14:paraId="74048DC0"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w tym dary otrzymane od osób prywatnych </w:t>
            </w:r>
            <w:r w:rsidR="00CC2DD4">
              <w:rPr>
                <w:rFonts w:eastAsia="Times New Roman" w:cs="Times New Roman"/>
                <w:b w:val="0"/>
                <w:sz w:val="20"/>
                <w:szCs w:val="20"/>
                <w:lang w:eastAsia="pl-PL"/>
              </w:rPr>
              <w:t xml:space="preserve">na </w:t>
            </w:r>
            <w:r w:rsidRPr="00F812E9">
              <w:rPr>
                <w:rFonts w:eastAsia="Times New Roman" w:cs="Times New Roman"/>
                <w:b w:val="0"/>
                <w:sz w:val="20"/>
                <w:szCs w:val="20"/>
                <w:lang w:eastAsia="pl-PL"/>
              </w:rPr>
              <w:t xml:space="preserve">gospodarstwo domowe </w:t>
            </w:r>
          </w:p>
        </w:tc>
        <w:tc>
          <w:tcPr>
            <w:tcW w:w="1340" w:type="dxa"/>
            <w:vAlign w:val="center"/>
            <w:hideMark/>
          </w:tcPr>
          <w:p w14:paraId="6DBEEEFD"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97,9</w:t>
            </w:r>
          </w:p>
        </w:tc>
        <w:tc>
          <w:tcPr>
            <w:tcW w:w="1372" w:type="dxa"/>
            <w:vAlign w:val="center"/>
            <w:hideMark/>
          </w:tcPr>
          <w:p w14:paraId="50E36402"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97,2</w:t>
            </w:r>
          </w:p>
        </w:tc>
        <w:tc>
          <w:tcPr>
            <w:tcW w:w="1308" w:type="dxa"/>
            <w:vAlign w:val="center"/>
            <w:hideMark/>
          </w:tcPr>
          <w:p w14:paraId="3E80838F"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95,9</w:t>
            </w:r>
          </w:p>
        </w:tc>
        <w:tc>
          <w:tcPr>
            <w:tcW w:w="1340" w:type="dxa"/>
            <w:vAlign w:val="center"/>
            <w:hideMark/>
          </w:tcPr>
          <w:p w14:paraId="6343CED4"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95,2</w:t>
            </w:r>
          </w:p>
        </w:tc>
        <w:tc>
          <w:tcPr>
            <w:tcW w:w="881" w:type="dxa"/>
            <w:vAlign w:val="center"/>
            <w:hideMark/>
          </w:tcPr>
          <w:p w14:paraId="3B62789A"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96,3</w:t>
            </w:r>
          </w:p>
        </w:tc>
      </w:tr>
      <w:tr w:rsidR="00F812E9" w:rsidRPr="00F812E9" w14:paraId="23CD4605" w14:textId="77777777" w:rsidTr="0093427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493" w:type="dxa"/>
            <w:gridSpan w:val="6"/>
            <w:noWrap/>
            <w:hideMark/>
          </w:tcPr>
          <w:p w14:paraId="268DAA5C" w14:textId="77777777" w:rsidR="00F812E9" w:rsidRPr="00F812E9" w:rsidRDefault="00F812E9" w:rsidP="00E86941">
            <w:pPr>
              <w:spacing w:line="240" w:lineRule="auto"/>
              <w:jc w:val="center"/>
              <w:rPr>
                <w:rFonts w:eastAsia="Times New Roman" w:cs="Times New Roman"/>
                <w:sz w:val="20"/>
                <w:szCs w:val="20"/>
                <w:lang w:eastAsia="pl-PL"/>
              </w:rPr>
            </w:pPr>
            <w:r w:rsidRPr="00F812E9">
              <w:rPr>
                <w:rFonts w:eastAsia="Times New Roman" w:cs="Times New Roman"/>
                <w:sz w:val="20"/>
                <w:szCs w:val="20"/>
                <w:lang w:eastAsia="pl-PL"/>
              </w:rPr>
              <w:t>MIASTA</w:t>
            </w:r>
          </w:p>
        </w:tc>
      </w:tr>
      <w:tr w:rsidR="00F812E9" w:rsidRPr="00F812E9" w14:paraId="51260912"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503E2F2" w14:textId="77777777" w:rsidR="00F812E9" w:rsidRPr="00F812E9" w:rsidRDefault="00F812E9" w:rsidP="00E86941">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w złotych</w:t>
            </w:r>
          </w:p>
        </w:tc>
      </w:tr>
      <w:tr w:rsidR="00F812E9" w:rsidRPr="00F812E9" w14:paraId="6BA17C24"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3B36E95B" w14:textId="77777777" w:rsidR="00F812E9" w:rsidRPr="00F812E9" w:rsidRDefault="00F812E9" w:rsidP="00F812E9">
            <w:pPr>
              <w:spacing w:line="240" w:lineRule="auto"/>
              <w:rPr>
                <w:rFonts w:eastAsia="Times New Roman" w:cs="Times New Roman"/>
                <w:b w:val="0"/>
                <w:bCs w:val="0"/>
                <w:sz w:val="20"/>
                <w:szCs w:val="20"/>
                <w:lang w:eastAsia="pl-PL"/>
              </w:rPr>
            </w:pPr>
            <w:r w:rsidRPr="00F812E9">
              <w:rPr>
                <w:rFonts w:eastAsia="Times New Roman" w:cs="Times New Roman"/>
                <w:b w:val="0"/>
                <w:bCs w:val="0"/>
                <w:sz w:val="20"/>
                <w:szCs w:val="20"/>
                <w:lang w:eastAsia="pl-PL"/>
              </w:rPr>
              <w:t xml:space="preserve">Dochód rozporządzalny                                                                                                                                                                                       </w:t>
            </w:r>
          </w:p>
        </w:tc>
        <w:tc>
          <w:tcPr>
            <w:tcW w:w="1340" w:type="dxa"/>
            <w:vAlign w:val="center"/>
            <w:hideMark/>
          </w:tcPr>
          <w:p w14:paraId="44A31E87"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2 105,28</w:t>
            </w:r>
          </w:p>
        </w:tc>
        <w:tc>
          <w:tcPr>
            <w:tcW w:w="1372" w:type="dxa"/>
            <w:vAlign w:val="center"/>
            <w:hideMark/>
          </w:tcPr>
          <w:p w14:paraId="40D6EC0C"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2 085,82</w:t>
            </w:r>
          </w:p>
        </w:tc>
        <w:tc>
          <w:tcPr>
            <w:tcW w:w="1308" w:type="dxa"/>
            <w:vAlign w:val="center"/>
            <w:hideMark/>
          </w:tcPr>
          <w:p w14:paraId="102A5B62"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2 269,16</w:t>
            </w:r>
          </w:p>
        </w:tc>
        <w:tc>
          <w:tcPr>
            <w:tcW w:w="1340" w:type="dxa"/>
            <w:vAlign w:val="center"/>
            <w:hideMark/>
          </w:tcPr>
          <w:p w14:paraId="44007BF8"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2 294,05</w:t>
            </w:r>
          </w:p>
        </w:tc>
        <w:tc>
          <w:tcPr>
            <w:tcW w:w="881" w:type="dxa"/>
            <w:vAlign w:val="center"/>
            <w:hideMark/>
          </w:tcPr>
          <w:p w14:paraId="61A0A9DD"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2 262,33</w:t>
            </w:r>
          </w:p>
        </w:tc>
      </w:tr>
      <w:tr w:rsidR="00F812E9" w:rsidRPr="00F812E9" w14:paraId="6A0689BB"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2D2470C2" w14:textId="77777777" w:rsidR="00F812E9" w:rsidRPr="00F812E9" w:rsidRDefault="00F812E9" w:rsidP="00E86941">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w odsetkach</w:t>
            </w:r>
          </w:p>
        </w:tc>
      </w:tr>
      <w:tr w:rsidR="00F812E9" w:rsidRPr="00F812E9" w14:paraId="047AF26C"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17DEC12C" w14:textId="77777777" w:rsidR="00F812E9" w:rsidRPr="00F812E9" w:rsidRDefault="00F812E9" w:rsidP="00E86941">
            <w:pPr>
              <w:spacing w:line="240" w:lineRule="auto"/>
              <w:rPr>
                <w:rFonts w:eastAsia="Times New Roman" w:cs="Times New Roman"/>
                <w:b w:val="0"/>
                <w:bCs w:val="0"/>
                <w:sz w:val="20"/>
                <w:szCs w:val="20"/>
                <w:lang w:eastAsia="pl-PL"/>
              </w:rPr>
            </w:pPr>
            <w:r w:rsidRPr="00F812E9">
              <w:rPr>
                <w:rFonts w:eastAsia="Times New Roman" w:cs="Times New Roman"/>
                <w:b w:val="0"/>
                <w:bCs w:val="0"/>
                <w:sz w:val="20"/>
                <w:szCs w:val="20"/>
                <w:lang w:eastAsia="pl-PL"/>
              </w:rPr>
              <w:t>Dochód rozporządzalny</w:t>
            </w:r>
          </w:p>
        </w:tc>
        <w:tc>
          <w:tcPr>
            <w:tcW w:w="1340" w:type="dxa"/>
            <w:hideMark/>
          </w:tcPr>
          <w:p w14:paraId="57A58096" w14:textId="77777777" w:rsidR="00F812E9" w:rsidRPr="00F812E9" w:rsidRDefault="00F812E9"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F812E9">
              <w:rPr>
                <w:rFonts w:eastAsia="Times New Roman" w:cs="Times New Roman"/>
                <w:b/>
                <w:bCs/>
                <w:sz w:val="20"/>
                <w:szCs w:val="20"/>
                <w:lang w:eastAsia="pl-PL"/>
              </w:rPr>
              <w:t>100,0</w:t>
            </w:r>
          </w:p>
        </w:tc>
        <w:tc>
          <w:tcPr>
            <w:tcW w:w="1372" w:type="dxa"/>
            <w:hideMark/>
          </w:tcPr>
          <w:p w14:paraId="0342DEE6" w14:textId="77777777" w:rsidR="00F812E9" w:rsidRPr="00F812E9" w:rsidRDefault="00F812E9"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F812E9">
              <w:rPr>
                <w:rFonts w:eastAsia="Times New Roman" w:cs="Times New Roman"/>
                <w:b/>
                <w:bCs/>
                <w:sz w:val="20"/>
                <w:szCs w:val="20"/>
                <w:lang w:eastAsia="pl-PL"/>
              </w:rPr>
              <w:t>100,0</w:t>
            </w:r>
          </w:p>
        </w:tc>
        <w:tc>
          <w:tcPr>
            <w:tcW w:w="1308" w:type="dxa"/>
            <w:hideMark/>
          </w:tcPr>
          <w:p w14:paraId="376DE051" w14:textId="77777777" w:rsidR="00F812E9" w:rsidRPr="00F812E9" w:rsidRDefault="00F812E9"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F812E9">
              <w:rPr>
                <w:rFonts w:eastAsia="Times New Roman" w:cs="Times New Roman"/>
                <w:b/>
                <w:bCs/>
                <w:sz w:val="20"/>
                <w:szCs w:val="20"/>
                <w:lang w:eastAsia="pl-PL"/>
              </w:rPr>
              <w:t>100,0</w:t>
            </w:r>
          </w:p>
        </w:tc>
        <w:tc>
          <w:tcPr>
            <w:tcW w:w="1340" w:type="dxa"/>
            <w:hideMark/>
          </w:tcPr>
          <w:p w14:paraId="0D435734" w14:textId="77777777" w:rsidR="00F812E9" w:rsidRPr="00F812E9" w:rsidRDefault="00F812E9"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F812E9">
              <w:rPr>
                <w:rFonts w:eastAsia="Times New Roman" w:cs="Times New Roman"/>
                <w:b/>
                <w:bCs/>
                <w:sz w:val="20"/>
                <w:szCs w:val="20"/>
                <w:lang w:eastAsia="pl-PL"/>
              </w:rPr>
              <w:t>100,0</w:t>
            </w:r>
          </w:p>
        </w:tc>
        <w:tc>
          <w:tcPr>
            <w:tcW w:w="881" w:type="dxa"/>
            <w:hideMark/>
          </w:tcPr>
          <w:p w14:paraId="6B750CDA" w14:textId="77777777" w:rsidR="00F812E9" w:rsidRPr="00F812E9" w:rsidRDefault="00F812E9"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F812E9">
              <w:rPr>
                <w:rFonts w:eastAsia="Times New Roman" w:cs="Times New Roman"/>
                <w:b/>
                <w:bCs/>
                <w:sz w:val="20"/>
                <w:szCs w:val="20"/>
                <w:lang w:eastAsia="pl-PL"/>
              </w:rPr>
              <w:t>100,0</w:t>
            </w:r>
          </w:p>
        </w:tc>
      </w:tr>
      <w:tr w:rsidR="00F812E9" w:rsidRPr="00F812E9" w14:paraId="27818F33"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7BB2CA02"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w tym dochód do dyspozycji</w:t>
            </w:r>
          </w:p>
        </w:tc>
        <w:tc>
          <w:tcPr>
            <w:tcW w:w="1340" w:type="dxa"/>
            <w:vAlign w:val="center"/>
            <w:hideMark/>
          </w:tcPr>
          <w:p w14:paraId="14FCB873"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97,7</w:t>
            </w:r>
          </w:p>
        </w:tc>
        <w:tc>
          <w:tcPr>
            <w:tcW w:w="1372" w:type="dxa"/>
            <w:vAlign w:val="center"/>
            <w:hideMark/>
          </w:tcPr>
          <w:p w14:paraId="3E3CC1DC"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96,6</w:t>
            </w:r>
          </w:p>
        </w:tc>
        <w:tc>
          <w:tcPr>
            <w:tcW w:w="1308" w:type="dxa"/>
            <w:vAlign w:val="center"/>
            <w:hideMark/>
          </w:tcPr>
          <w:p w14:paraId="3BE5E399"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95,8</w:t>
            </w:r>
          </w:p>
        </w:tc>
        <w:tc>
          <w:tcPr>
            <w:tcW w:w="1340" w:type="dxa"/>
            <w:vAlign w:val="center"/>
            <w:hideMark/>
          </w:tcPr>
          <w:p w14:paraId="7D5933C7"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95,1</w:t>
            </w:r>
          </w:p>
        </w:tc>
        <w:tc>
          <w:tcPr>
            <w:tcW w:w="881" w:type="dxa"/>
            <w:vAlign w:val="center"/>
            <w:hideMark/>
          </w:tcPr>
          <w:p w14:paraId="62245945"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96,2</w:t>
            </w:r>
          </w:p>
        </w:tc>
      </w:tr>
      <w:tr w:rsidR="00F812E9" w:rsidRPr="00F812E9" w14:paraId="077A83E8"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305F56EB"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Dochody z pracy najemnej                                                                                                                                                                             </w:t>
            </w:r>
          </w:p>
        </w:tc>
        <w:tc>
          <w:tcPr>
            <w:tcW w:w="1340" w:type="dxa"/>
            <w:vAlign w:val="center"/>
            <w:hideMark/>
          </w:tcPr>
          <w:p w14:paraId="54964279"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70,8</w:t>
            </w:r>
          </w:p>
        </w:tc>
        <w:tc>
          <w:tcPr>
            <w:tcW w:w="1372" w:type="dxa"/>
            <w:vAlign w:val="center"/>
            <w:hideMark/>
          </w:tcPr>
          <w:p w14:paraId="2380F247"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27,3</w:t>
            </w:r>
          </w:p>
        </w:tc>
        <w:tc>
          <w:tcPr>
            <w:tcW w:w="1308" w:type="dxa"/>
            <w:vAlign w:val="center"/>
            <w:hideMark/>
          </w:tcPr>
          <w:p w14:paraId="24DB4ADD"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10,5</w:t>
            </w:r>
          </w:p>
        </w:tc>
        <w:tc>
          <w:tcPr>
            <w:tcW w:w="1340" w:type="dxa"/>
            <w:vAlign w:val="center"/>
            <w:hideMark/>
          </w:tcPr>
          <w:p w14:paraId="0BD3B530"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9,0</w:t>
            </w:r>
          </w:p>
        </w:tc>
        <w:tc>
          <w:tcPr>
            <w:tcW w:w="881" w:type="dxa"/>
            <w:vAlign w:val="center"/>
            <w:hideMark/>
          </w:tcPr>
          <w:p w14:paraId="53DAAF0E"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11,3</w:t>
            </w:r>
          </w:p>
        </w:tc>
      </w:tr>
      <w:tr w:rsidR="00F812E9" w:rsidRPr="00F812E9" w14:paraId="3BAE3E2C" w14:textId="77777777" w:rsidTr="00934271">
        <w:trPr>
          <w:trHeight w:val="720"/>
        </w:trPr>
        <w:tc>
          <w:tcPr>
            <w:cnfStyle w:val="001000000000" w:firstRow="0" w:lastRow="0" w:firstColumn="1" w:lastColumn="0" w:oddVBand="0" w:evenVBand="0" w:oddHBand="0" w:evenHBand="0" w:firstRowFirstColumn="0" w:firstRowLastColumn="0" w:lastRowFirstColumn="0" w:lastRowLastColumn="0"/>
            <w:tcW w:w="3252" w:type="dxa"/>
            <w:hideMark/>
          </w:tcPr>
          <w:p w14:paraId="02230A44"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Dochody </w:t>
            </w:r>
            <w:r w:rsidR="00CC2DD4">
              <w:rPr>
                <w:rFonts w:eastAsia="Times New Roman" w:cs="Times New Roman"/>
                <w:b w:val="0"/>
                <w:sz w:val="20"/>
                <w:szCs w:val="20"/>
                <w:lang w:eastAsia="pl-PL"/>
              </w:rPr>
              <w:t xml:space="preserve">z pracy na własny rachunek poza gospodarstwem rolnym                       w użytkowaniu </w:t>
            </w:r>
            <w:r w:rsidRPr="00F812E9">
              <w:rPr>
                <w:rFonts w:eastAsia="Times New Roman" w:cs="Times New Roman"/>
                <w:b w:val="0"/>
                <w:sz w:val="20"/>
                <w:szCs w:val="20"/>
                <w:lang w:eastAsia="pl-PL"/>
              </w:rPr>
              <w:t xml:space="preserve">indywidualnym                                                                                                     </w:t>
            </w:r>
          </w:p>
        </w:tc>
        <w:tc>
          <w:tcPr>
            <w:tcW w:w="1340" w:type="dxa"/>
            <w:vAlign w:val="center"/>
            <w:hideMark/>
          </w:tcPr>
          <w:p w14:paraId="154D81E9"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13,1</w:t>
            </w:r>
          </w:p>
        </w:tc>
        <w:tc>
          <w:tcPr>
            <w:tcW w:w="1372" w:type="dxa"/>
            <w:vAlign w:val="center"/>
            <w:hideMark/>
          </w:tcPr>
          <w:p w14:paraId="597D8BC1"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4,2</w:t>
            </w:r>
          </w:p>
        </w:tc>
        <w:tc>
          <w:tcPr>
            <w:tcW w:w="1308" w:type="dxa"/>
            <w:vAlign w:val="center"/>
            <w:hideMark/>
          </w:tcPr>
          <w:p w14:paraId="4067603A"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2,7</w:t>
            </w:r>
          </w:p>
        </w:tc>
        <w:tc>
          <w:tcPr>
            <w:tcW w:w="1340" w:type="dxa"/>
            <w:vAlign w:val="center"/>
            <w:hideMark/>
          </w:tcPr>
          <w:p w14:paraId="58E3673D"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1,8</w:t>
            </w:r>
          </w:p>
        </w:tc>
        <w:tc>
          <w:tcPr>
            <w:tcW w:w="881" w:type="dxa"/>
            <w:vAlign w:val="center"/>
            <w:hideMark/>
          </w:tcPr>
          <w:p w14:paraId="26FC64A8"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3,1</w:t>
            </w:r>
          </w:p>
        </w:tc>
      </w:tr>
      <w:tr w:rsidR="00F812E9" w:rsidRPr="00F812E9" w14:paraId="6754BD26"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26940038"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Dochody z gospodarstwa rolnego                                                                                                                                                                                              </w:t>
            </w:r>
          </w:p>
        </w:tc>
        <w:tc>
          <w:tcPr>
            <w:tcW w:w="1340" w:type="dxa"/>
            <w:vAlign w:val="center"/>
            <w:hideMark/>
          </w:tcPr>
          <w:p w14:paraId="16D91CD8"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0,2</w:t>
            </w:r>
          </w:p>
        </w:tc>
        <w:tc>
          <w:tcPr>
            <w:tcW w:w="1372" w:type="dxa"/>
            <w:vAlign w:val="center"/>
            <w:hideMark/>
          </w:tcPr>
          <w:p w14:paraId="22343C4C"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0,2</w:t>
            </w:r>
          </w:p>
        </w:tc>
        <w:tc>
          <w:tcPr>
            <w:tcW w:w="1308" w:type="dxa"/>
            <w:vAlign w:val="center"/>
            <w:hideMark/>
          </w:tcPr>
          <w:p w14:paraId="48FA016E"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0,0</w:t>
            </w:r>
          </w:p>
        </w:tc>
        <w:tc>
          <w:tcPr>
            <w:tcW w:w="1340" w:type="dxa"/>
            <w:vAlign w:val="center"/>
            <w:hideMark/>
          </w:tcPr>
          <w:p w14:paraId="3A15C04A"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0,0</w:t>
            </w:r>
          </w:p>
        </w:tc>
        <w:tc>
          <w:tcPr>
            <w:tcW w:w="881" w:type="dxa"/>
            <w:vAlign w:val="center"/>
            <w:hideMark/>
          </w:tcPr>
          <w:p w14:paraId="6F7E9CDD"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0,0</w:t>
            </w:r>
          </w:p>
        </w:tc>
      </w:tr>
      <w:tr w:rsidR="00F812E9" w:rsidRPr="00F812E9" w14:paraId="689CB448"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38E9462D"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Dochody ze świadczeń społecznych                                                                                                                                                                                                                  </w:t>
            </w:r>
          </w:p>
        </w:tc>
        <w:tc>
          <w:tcPr>
            <w:tcW w:w="1340" w:type="dxa"/>
            <w:vAlign w:val="center"/>
            <w:hideMark/>
          </w:tcPr>
          <w:p w14:paraId="68361159"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13,0</w:t>
            </w:r>
          </w:p>
        </w:tc>
        <w:tc>
          <w:tcPr>
            <w:tcW w:w="1372" w:type="dxa"/>
            <w:vAlign w:val="center"/>
            <w:hideMark/>
          </w:tcPr>
          <w:p w14:paraId="7D447DD6"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66,2</w:t>
            </w:r>
          </w:p>
        </w:tc>
        <w:tc>
          <w:tcPr>
            <w:tcW w:w="1308" w:type="dxa"/>
            <w:vAlign w:val="center"/>
            <w:hideMark/>
          </w:tcPr>
          <w:p w14:paraId="479C7A45"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84,3</w:t>
            </w:r>
          </w:p>
        </w:tc>
        <w:tc>
          <w:tcPr>
            <w:tcW w:w="1340" w:type="dxa"/>
            <w:vAlign w:val="center"/>
            <w:hideMark/>
          </w:tcPr>
          <w:p w14:paraId="590B88E6"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85,1</w:t>
            </w:r>
          </w:p>
        </w:tc>
        <w:tc>
          <w:tcPr>
            <w:tcW w:w="881" w:type="dxa"/>
            <w:vAlign w:val="center"/>
            <w:hideMark/>
          </w:tcPr>
          <w:p w14:paraId="2A8FC59C"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84,0</w:t>
            </w:r>
          </w:p>
        </w:tc>
      </w:tr>
      <w:tr w:rsidR="00F812E9" w:rsidRPr="00F812E9" w14:paraId="291EE5FE" w14:textId="77777777" w:rsidTr="00934271">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52" w:type="dxa"/>
            <w:hideMark/>
          </w:tcPr>
          <w:p w14:paraId="5EBD1A5A"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 dochody ze świadczeń z ubezpieczeń społecznych                                                                       </w:t>
            </w:r>
          </w:p>
        </w:tc>
        <w:tc>
          <w:tcPr>
            <w:tcW w:w="1340" w:type="dxa"/>
            <w:vAlign w:val="center"/>
            <w:hideMark/>
          </w:tcPr>
          <w:p w14:paraId="17A8D3A0"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3,3</w:t>
            </w:r>
          </w:p>
        </w:tc>
        <w:tc>
          <w:tcPr>
            <w:tcW w:w="1372" w:type="dxa"/>
            <w:vAlign w:val="center"/>
            <w:hideMark/>
          </w:tcPr>
          <w:p w14:paraId="42CB6E4D"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63,2</w:t>
            </w:r>
          </w:p>
        </w:tc>
        <w:tc>
          <w:tcPr>
            <w:tcW w:w="1308" w:type="dxa"/>
            <w:vAlign w:val="center"/>
            <w:hideMark/>
          </w:tcPr>
          <w:p w14:paraId="11535D43"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83,8</w:t>
            </w:r>
          </w:p>
        </w:tc>
        <w:tc>
          <w:tcPr>
            <w:tcW w:w="1340" w:type="dxa"/>
            <w:vAlign w:val="center"/>
            <w:hideMark/>
          </w:tcPr>
          <w:p w14:paraId="462D8C49"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84,4</w:t>
            </w:r>
          </w:p>
        </w:tc>
        <w:tc>
          <w:tcPr>
            <w:tcW w:w="881" w:type="dxa"/>
            <w:vAlign w:val="center"/>
            <w:hideMark/>
          </w:tcPr>
          <w:p w14:paraId="5C6BA828"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83,7</w:t>
            </w:r>
          </w:p>
        </w:tc>
      </w:tr>
      <w:tr w:rsidR="00F812E9" w:rsidRPr="00F812E9" w14:paraId="2819DFB6"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216A047C"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w tym emerytury i renty                                                                                                                                                                               </w:t>
            </w:r>
          </w:p>
        </w:tc>
        <w:tc>
          <w:tcPr>
            <w:tcW w:w="1340" w:type="dxa"/>
            <w:vAlign w:val="center"/>
            <w:hideMark/>
          </w:tcPr>
          <w:p w14:paraId="7B3AE043"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2,2</w:t>
            </w:r>
          </w:p>
        </w:tc>
        <w:tc>
          <w:tcPr>
            <w:tcW w:w="1372" w:type="dxa"/>
            <w:vAlign w:val="center"/>
            <w:hideMark/>
          </w:tcPr>
          <w:p w14:paraId="1CBA54AA"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59,7</w:t>
            </w:r>
          </w:p>
        </w:tc>
        <w:tc>
          <w:tcPr>
            <w:tcW w:w="1308" w:type="dxa"/>
            <w:vAlign w:val="center"/>
            <w:hideMark/>
          </w:tcPr>
          <w:p w14:paraId="334ECE02"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79,6</w:t>
            </w:r>
          </w:p>
        </w:tc>
        <w:tc>
          <w:tcPr>
            <w:tcW w:w="1340" w:type="dxa"/>
            <w:vAlign w:val="center"/>
            <w:hideMark/>
          </w:tcPr>
          <w:p w14:paraId="7141EACE"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74,5</w:t>
            </w:r>
          </w:p>
        </w:tc>
        <w:tc>
          <w:tcPr>
            <w:tcW w:w="881" w:type="dxa"/>
            <w:vAlign w:val="center"/>
            <w:hideMark/>
          </w:tcPr>
          <w:p w14:paraId="08D9D700"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83,3</w:t>
            </w:r>
          </w:p>
        </w:tc>
      </w:tr>
      <w:tr w:rsidR="00F812E9" w:rsidRPr="00F812E9" w14:paraId="51DB1FBA"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03A81240"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dochody z pozostałych świadczeń społecznych                            </w:t>
            </w:r>
          </w:p>
        </w:tc>
        <w:tc>
          <w:tcPr>
            <w:tcW w:w="1340" w:type="dxa"/>
            <w:vAlign w:val="center"/>
            <w:hideMark/>
          </w:tcPr>
          <w:p w14:paraId="61D0DF84"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9,7</w:t>
            </w:r>
          </w:p>
        </w:tc>
        <w:tc>
          <w:tcPr>
            <w:tcW w:w="1372" w:type="dxa"/>
            <w:vAlign w:val="center"/>
            <w:hideMark/>
          </w:tcPr>
          <w:p w14:paraId="251BA29F"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3,0</w:t>
            </w:r>
          </w:p>
        </w:tc>
        <w:tc>
          <w:tcPr>
            <w:tcW w:w="1308" w:type="dxa"/>
            <w:vAlign w:val="center"/>
            <w:hideMark/>
          </w:tcPr>
          <w:p w14:paraId="303A752B"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0,5</w:t>
            </w:r>
          </w:p>
        </w:tc>
        <w:tc>
          <w:tcPr>
            <w:tcW w:w="1340" w:type="dxa"/>
            <w:vAlign w:val="center"/>
            <w:hideMark/>
          </w:tcPr>
          <w:p w14:paraId="4DADD06E"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0,7</w:t>
            </w:r>
          </w:p>
        </w:tc>
        <w:tc>
          <w:tcPr>
            <w:tcW w:w="881" w:type="dxa"/>
            <w:vAlign w:val="center"/>
            <w:hideMark/>
          </w:tcPr>
          <w:p w14:paraId="2021F5B0"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0,3</w:t>
            </w:r>
          </w:p>
        </w:tc>
      </w:tr>
      <w:tr w:rsidR="00F812E9" w:rsidRPr="00F812E9" w14:paraId="21748F7E"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5E5D04A6"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Pozostałe dochody                                                                                                                          </w:t>
            </w:r>
          </w:p>
        </w:tc>
        <w:tc>
          <w:tcPr>
            <w:tcW w:w="1340" w:type="dxa"/>
            <w:vAlign w:val="center"/>
            <w:hideMark/>
          </w:tcPr>
          <w:p w14:paraId="31884B97"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2,5</w:t>
            </w:r>
          </w:p>
        </w:tc>
        <w:tc>
          <w:tcPr>
            <w:tcW w:w="1372" w:type="dxa"/>
            <w:vAlign w:val="center"/>
            <w:hideMark/>
          </w:tcPr>
          <w:p w14:paraId="54C8C04A"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1,6</w:t>
            </w:r>
          </w:p>
        </w:tc>
        <w:tc>
          <w:tcPr>
            <w:tcW w:w="1308" w:type="dxa"/>
            <w:vAlign w:val="center"/>
            <w:hideMark/>
          </w:tcPr>
          <w:p w14:paraId="3485A7F5"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1,9</w:t>
            </w:r>
          </w:p>
        </w:tc>
        <w:tc>
          <w:tcPr>
            <w:tcW w:w="1340" w:type="dxa"/>
            <w:vAlign w:val="center"/>
            <w:hideMark/>
          </w:tcPr>
          <w:p w14:paraId="06892A04"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3,4</w:t>
            </w:r>
          </w:p>
        </w:tc>
        <w:tc>
          <w:tcPr>
            <w:tcW w:w="881" w:type="dxa"/>
            <w:vAlign w:val="center"/>
            <w:hideMark/>
          </w:tcPr>
          <w:p w14:paraId="571D7DEB"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1,0</w:t>
            </w:r>
          </w:p>
        </w:tc>
      </w:tr>
      <w:tr w:rsidR="00F812E9" w:rsidRPr="00F812E9" w14:paraId="1098B413" w14:textId="77777777" w:rsidTr="00934271">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52" w:type="dxa"/>
            <w:hideMark/>
          </w:tcPr>
          <w:p w14:paraId="0FB19690"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lastRenderedPageBreak/>
              <w:t xml:space="preserve">w tym dary </w:t>
            </w:r>
            <w:r w:rsidR="00CC2DD4">
              <w:rPr>
                <w:rFonts w:eastAsia="Times New Roman" w:cs="Times New Roman"/>
                <w:b w:val="0"/>
                <w:sz w:val="20"/>
                <w:szCs w:val="20"/>
                <w:lang w:eastAsia="pl-PL"/>
              </w:rPr>
              <w:t xml:space="preserve">otrzymane od osób prywatnych na </w:t>
            </w:r>
            <w:r w:rsidRPr="00F812E9">
              <w:rPr>
                <w:rFonts w:eastAsia="Times New Roman" w:cs="Times New Roman"/>
                <w:b w:val="0"/>
                <w:sz w:val="20"/>
                <w:szCs w:val="20"/>
                <w:lang w:eastAsia="pl-PL"/>
              </w:rPr>
              <w:t xml:space="preserve">gospodarstwo domowe </w:t>
            </w:r>
          </w:p>
        </w:tc>
        <w:tc>
          <w:tcPr>
            <w:tcW w:w="1340" w:type="dxa"/>
            <w:vAlign w:val="center"/>
            <w:hideMark/>
          </w:tcPr>
          <w:p w14:paraId="2AE9D839"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2,2</w:t>
            </w:r>
          </w:p>
        </w:tc>
        <w:tc>
          <w:tcPr>
            <w:tcW w:w="1372" w:type="dxa"/>
            <w:vAlign w:val="center"/>
            <w:hideMark/>
          </w:tcPr>
          <w:p w14:paraId="6818C83D"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1,4</w:t>
            </w:r>
          </w:p>
        </w:tc>
        <w:tc>
          <w:tcPr>
            <w:tcW w:w="1308" w:type="dxa"/>
            <w:vAlign w:val="center"/>
            <w:hideMark/>
          </w:tcPr>
          <w:p w14:paraId="19C6BB95"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1,6</w:t>
            </w:r>
          </w:p>
        </w:tc>
        <w:tc>
          <w:tcPr>
            <w:tcW w:w="1340" w:type="dxa"/>
            <w:vAlign w:val="center"/>
            <w:hideMark/>
          </w:tcPr>
          <w:p w14:paraId="7816FA6C"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3,1</w:t>
            </w:r>
          </w:p>
        </w:tc>
        <w:tc>
          <w:tcPr>
            <w:tcW w:w="881" w:type="dxa"/>
            <w:vAlign w:val="center"/>
            <w:hideMark/>
          </w:tcPr>
          <w:p w14:paraId="24920363"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0,7</w:t>
            </w:r>
          </w:p>
        </w:tc>
      </w:tr>
      <w:tr w:rsidR="00F812E9" w:rsidRPr="00F812E9" w14:paraId="517D51F3" w14:textId="77777777" w:rsidTr="00934271">
        <w:trPr>
          <w:trHeight w:val="260"/>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40FED7" w14:textId="77777777" w:rsidR="00F812E9" w:rsidRPr="00F812E9" w:rsidRDefault="00F812E9" w:rsidP="00E86941">
            <w:pPr>
              <w:spacing w:line="240" w:lineRule="auto"/>
              <w:jc w:val="center"/>
              <w:rPr>
                <w:rFonts w:eastAsia="Times New Roman" w:cs="Times New Roman"/>
                <w:sz w:val="20"/>
                <w:szCs w:val="20"/>
                <w:lang w:eastAsia="pl-PL"/>
              </w:rPr>
            </w:pPr>
            <w:r w:rsidRPr="00F812E9">
              <w:rPr>
                <w:rFonts w:eastAsia="Times New Roman" w:cs="Times New Roman"/>
                <w:sz w:val="20"/>
                <w:szCs w:val="20"/>
                <w:lang w:eastAsia="pl-PL"/>
              </w:rPr>
              <w:t>WIEŚ</w:t>
            </w:r>
          </w:p>
        </w:tc>
      </w:tr>
      <w:tr w:rsidR="00F812E9" w:rsidRPr="00F812E9" w14:paraId="3CB92CA1"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FBDBAEE" w14:textId="77777777" w:rsidR="00F812E9" w:rsidRPr="00F812E9" w:rsidRDefault="00F812E9" w:rsidP="00E86941">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w złotych</w:t>
            </w:r>
          </w:p>
        </w:tc>
      </w:tr>
      <w:tr w:rsidR="00F812E9" w:rsidRPr="00F812E9" w14:paraId="3D0679B3"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26F1F31B" w14:textId="77777777" w:rsidR="00F812E9" w:rsidRPr="00F812E9" w:rsidRDefault="00F812E9" w:rsidP="00F812E9">
            <w:pPr>
              <w:spacing w:line="240" w:lineRule="auto"/>
              <w:rPr>
                <w:rFonts w:eastAsia="Times New Roman" w:cs="Times New Roman"/>
                <w:b w:val="0"/>
                <w:bCs w:val="0"/>
                <w:sz w:val="20"/>
                <w:szCs w:val="20"/>
                <w:lang w:eastAsia="pl-PL"/>
              </w:rPr>
            </w:pPr>
            <w:r w:rsidRPr="00F812E9">
              <w:rPr>
                <w:rFonts w:eastAsia="Times New Roman" w:cs="Times New Roman"/>
                <w:b w:val="0"/>
                <w:bCs w:val="0"/>
                <w:sz w:val="20"/>
                <w:szCs w:val="20"/>
                <w:lang w:eastAsia="pl-PL"/>
              </w:rPr>
              <w:t xml:space="preserve">Dochód rozporządzalny                                                                                                                                                                                       </w:t>
            </w:r>
          </w:p>
        </w:tc>
        <w:tc>
          <w:tcPr>
            <w:tcW w:w="1340" w:type="dxa"/>
            <w:vAlign w:val="center"/>
            <w:hideMark/>
          </w:tcPr>
          <w:p w14:paraId="2B082BC0"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1 673,94</w:t>
            </w:r>
          </w:p>
        </w:tc>
        <w:tc>
          <w:tcPr>
            <w:tcW w:w="1372" w:type="dxa"/>
            <w:vAlign w:val="center"/>
            <w:hideMark/>
          </w:tcPr>
          <w:p w14:paraId="73832F87"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1 598,76</w:t>
            </w:r>
          </w:p>
        </w:tc>
        <w:tc>
          <w:tcPr>
            <w:tcW w:w="1308" w:type="dxa"/>
            <w:vAlign w:val="center"/>
            <w:hideMark/>
          </w:tcPr>
          <w:p w14:paraId="0AC33286"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1 879,79</w:t>
            </w:r>
          </w:p>
        </w:tc>
        <w:tc>
          <w:tcPr>
            <w:tcW w:w="1340" w:type="dxa"/>
            <w:vAlign w:val="center"/>
            <w:hideMark/>
          </w:tcPr>
          <w:p w14:paraId="7D76087B"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1 838,14</w:t>
            </w:r>
          </w:p>
        </w:tc>
        <w:tc>
          <w:tcPr>
            <w:tcW w:w="881" w:type="dxa"/>
            <w:vAlign w:val="center"/>
            <w:hideMark/>
          </w:tcPr>
          <w:p w14:paraId="343053AA"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1 909,71</w:t>
            </w:r>
          </w:p>
        </w:tc>
      </w:tr>
      <w:tr w:rsidR="00F812E9" w:rsidRPr="00F812E9" w14:paraId="5247CD50"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6"/>
            <w:vAlign w:val="center"/>
            <w:hideMark/>
          </w:tcPr>
          <w:p w14:paraId="3C7792CE" w14:textId="77777777" w:rsidR="00F812E9" w:rsidRPr="00F812E9" w:rsidRDefault="00F812E9" w:rsidP="00F812E9">
            <w:pPr>
              <w:spacing w:line="240" w:lineRule="auto"/>
              <w:jc w:val="center"/>
              <w:rPr>
                <w:rFonts w:eastAsia="Times New Roman" w:cs="Times New Roman"/>
                <w:b w:val="0"/>
                <w:sz w:val="20"/>
                <w:szCs w:val="20"/>
                <w:lang w:eastAsia="pl-PL"/>
              </w:rPr>
            </w:pPr>
            <w:r w:rsidRPr="00F812E9">
              <w:rPr>
                <w:rFonts w:eastAsia="Times New Roman" w:cs="Times New Roman"/>
                <w:b w:val="0"/>
                <w:sz w:val="20"/>
                <w:szCs w:val="20"/>
                <w:lang w:eastAsia="pl-PL"/>
              </w:rPr>
              <w:t>w odsetkach</w:t>
            </w:r>
          </w:p>
        </w:tc>
      </w:tr>
      <w:tr w:rsidR="00F812E9" w:rsidRPr="00F812E9" w14:paraId="6D1873AD"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279C6628" w14:textId="77777777" w:rsidR="00F812E9" w:rsidRPr="00F812E9" w:rsidRDefault="00F812E9" w:rsidP="00F812E9">
            <w:pPr>
              <w:spacing w:line="240" w:lineRule="auto"/>
              <w:rPr>
                <w:rFonts w:eastAsia="Times New Roman" w:cs="Times New Roman"/>
                <w:b w:val="0"/>
                <w:bCs w:val="0"/>
                <w:sz w:val="20"/>
                <w:szCs w:val="20"/>
                <w:lang w:eastAsia="pl-PL"/>
              </w:rPr>
            </w:pPr>
            <w:r w:rsidRPr="00F812E9">
              <w:rPr>
                <w:rFonts w:eastAsia="Times New Roman" w:cs="Times New Roman"/>
                <w:b w:val="0"/>
                <w:bCs w:val="0"/>
                <w:sz w:val="20"/>
                <w:szCs w:val="20"/>
                <w:lang w:eastAsia="pl-PL"/>
              </w:rPr>
              <w:t>Dochód rozporządzalny</w:t>
            </w:r>
          </w:p>
        </w:tc>
        <w:tc>
          <w:tcPr>
            <w:tcW w:w="1340" w:type="dxa"/>
            <w:vAlign w:val="center"/>
            <w:hideMark/>
          </w:tcPr>
          <w:p w14:paraId="3607DC2E"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98,5</w:t>
            </w:r>
          </w:p>
        </w:tc>
        <w:tc>
          <w:tcPr>
            <w:tcW w:w="1372" w:type="dxa"/>
            <w:vAlign w:val="center"/>
            <w:hideMark/>
          </w:tcPr>
          <w:p w14:paraId="6696ADC5"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98,2</w:t>
            </w:r>
          </w:p>
        </w:tc>
        <w:tc>
          <w:tcPr>
            <w:tcW w:w="1308" w:type="dxa"/>
            <w:vAlign w:val="center"/>
            <w:hideMark/>
          </w:tcPr>
          <w:p w14:paraId="3D954F55"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96,5</w:t>
            </w:r>
          </w:p>
        </w:tc>
        <w:tc>
          <w:tcPr>
            <w:tcW w:w="1340" w:type="dxa"/>
            <w:vAlign w:val="center"/>
            <w:hideMark/>
          </w:tcPr>
          <w:p w14:paraId="241157E2"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95,6</w:t>
            </w:r>
          </w:p>
        </w:tc>
        <w:tc>
          <w:tcPr>
            <w:tcW w:w="881" w:type="dxa"/>
            <w:vAlign w:val="center"/>
            <w:hideMark/>
          </w:tcPr>
          <w:p w14:paraId="48653113"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97,0</w:t>
            </w:r>
          </w:p>
        </w:tc>
      </w:tr>
      <w:tr w:rsidR="00F812E9" w:rsidRPr="00F812E9" w14:paraId="3CEE8C05"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5E1AA284"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w tym dochód do dyspozycji</w:t>
            </w:r>
          </w:p>
        </w:tc>
        <w:tc>
          <w:tcPr>
            <w:tcW w:w="1340" w:type="dxa"/>
            <w:vAlign w:val="center"/>
            <w:hideMark/>
          </w:tcPr>
          <w:p w14:paraId="3ED986BB"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60,8</w:t>
            </w:r>
          </w:p>
        </w:tc>
        <w:tc>
          <w:tcPr>
            <w:tcW w:w="1372" w:type="dxa"/>
            <w:vAlign w:val="center"/>
            <w:hideMark/>
          </w:tcPr>
          <w:p w14:paraId="3A129989"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34,3</w:t>
            </w:r>
          </w:p>
        </w:tc>
        <w:tc>
          <w:tcPr>
            <w:tcW w:w="1308" w:type="dxa"/>
            <w:vAlign w:val="center"/>
            <w:hideMark/>
          </w:tcPr>
          <w:p w14:paraId="7699024B"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7,8</w:t>
            </w:r>
          </w:p>
        </w:tc>
        <w:tc>
          <w:tcPr>
            <w:tcW w:w="1340" w:type="dxa"/>
            <w:vAlign w:val="center"/>
            <w:hideMark/>
          </w:tcPr>
          <w:p w14:paraId="66F9FC2B"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5,7</w:t>
            </w:r>
          </w:p>
        </w:tc>
        <w:tc>
          <w:tcPr>
            <w:tcW w:w="881" w:type="dxa"/>
            <w:vAlign w:val="center"/>
            <w:hideMark/>
          </w:tcPr>
          <w:p w14:paraId="1F4BE074"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8,8</w:t>
            </w:r>
          </w:p>
        </w:tc>
      </w:tr>
      <w:tr w:rsidR="00F812E9" w:rsidRPr="00F812E9" w14:paraId="381A8D61"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267E7967"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Dochody z pracy najemnej                                                                                                                                                                             </w:t>
            </w:r>
          </w:p>
        </w:tc>
        <w:tc>
          <w:tcPr>
            <w:tcW w:w="1340" w:type="dxa"/>
            <w:vAlign w:val="center"/>
            <w:hideMark/>
          </w:tcPr>
          <w:p w14:paraId="5D04393C"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10,3</w:t>
            </w:r>
          </w:p>
        </w:tc>
        <w:tc>
          <w:tcPr>
            <w:tcW w:w="1372" w:type="dxa"/>
            <w:vAlign w:val="center"/>
            <w:hideMark/>
          </w:tcPr>
          <w:p w14:paraId="0614A451"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3,9</w:t>
            </w:r>
          </w:p>
        </w:tc>
        <w:tc>
          <w:tcPr>
            <w:tcW w:w="1308" w:type="dxa"/>
            <w:vAlign w:val="center"/>
            <w:hideMark/>
          </w:tcPr>
          <w:p w14:paraId="60F07205"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1,4</w:t>
            </w:r>
          </w:p>
        </w:tc>
        <w:tc>
          <w:tcPr>
            <w:tcW w:w="1340" w:type="dxa"/>
            <w:vAlign w:val="center"/>
            <w:hideMark/>
          </w:tcPr>
          <w:p w14:paraId="0353054F"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0,5</w:t>
            </w:r>
          </w:p>
        </w:tc>
        <w:tc>
          <w:tcPr>
            <w:tcW w:w="881" w:type="dxa"/>
            <w:vAlign w:val="center"/>
            <w:hideMark/>
          </w:tcPr>
          <w:p w14:paraId="22FF52DC"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1,9</w:t>
            </w:r>
          </w:p>
        </w:tc>
      </w:tr>
      <w:tr w:rsidR="00F812E9" w:rsidRPr="00F812E9" w14:paraId="184357E2" w14:textId="77777777" w:rsidTr="0093427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52" w:type="dxa"/>
            <w:hideMark/>
          </w:tcPr>
          <w:p w14:paraId="6DAE8958"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Dochody </w:t>
            </w:r>
            <w:r w:rsidR="00CC2DD4">
              <w:rPr>
                <w:rFonts w:eastAsia="Times New Roman" w:cs="Times New Roman"/>
                <w:b w:val="0"/>
                <w:sz w:val="20"/>
                <w:szCs w:val="20"/>
                <w:lang w:eastAsia="pl-PL"/>
              </w:rPr>
              <w:t xml:space="preserve">z pracy na własny rachunek poza </w:t>
            </w:r>
            <w:r w:rsidRPr="00F812E9">
              <w:rPr>
                <w:rFonts w:eastAsia="Times New Roman" w:cs="Times New Roman"/>
                <w:b w:val="0"/>
                <w:sz w:val="20"/>
                <w:szCs w:val="20"/>
                <w:lang w:eastAsia="pl-PL"/>
              </w:rPr>
              <w:t xml:space="preserve">gospodarstwem rolnym </w:t>
            </w:r>
            <w:r w:rsidR="00CC2DD4">
              <w:rPr>
                <w:rFonts w:eastAsia="Times New Roman" w:cs="Times New Roman"/>
                <w:b w:val="0"/>
                <w:sz w:val="20"/>
                <w:szCs w:val="20"/>
                <w:lang w:eastAsia="pl-PL"/>
              </w:rPr>
              <w:t xml:space="preserve">                     </w:t>
            </w:r>
            <w:r w:rsidRPr="00F812E9">
              <w:rPr>
                <w:rFonts w:eastAsia="Times New Roman" w:cs="Times New Roman"/>
                <w:b w:val="0"/>
                <w:sz w:val="20"/>
                <w:szCs w:val="20"/>
                <w:lang w:eastAsia="pl-PL"/>
              </w:rPr>
              <w:t xml:space="preserve">w użytkowaniu indywidualnym                                                                                                     </w:t>
            </w:r>
          </w:p>
        </w:tc>
        <w:tc>
          <w:tcPr>
            <w:tcW w:w="1340" w:type="dxa"/>
            <w:vAlign w:val="center"/>
            <w:hideMark/>
          </w:tcPr>
          <w:p w14:paraId="5BD7DD44"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10,1</w:t>
            </w:r>
          </w:p>
        </w:tc>
        <w:tc>
          <w:tcPr>
            <w:tcW w:w="1372" w:type="dxa"/>
            <w:vAlign w:val="center"/>
            <w:hideMark/>
          </w:tcPr>
          <w:p w14:paraId="035073EA"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9,0</w:t>
            </w:r>
          </w:p>
        </w:tc>
        <w:tc>
          <w:tcPr>
            <w:tcW w:w="1308" w:type="dxa"/>
            <w:vAlign w:val="center"/>
            <w:hideMark/>
          </w:tcPr>
          <w:p w14:paraId="407B954D"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1,7</w:t>
            </w:r>
          </w:p>
        </w:tc>
        <w:tc>
          <w:tcPr>
            <w:tcW w:w="1340" w:type="dxa"/>
            <w:vAlign w:val="center"/>
            <w:hideMark/>
          </w:tcPr>
          <w:p w14:paraId="601B74C7"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1,3</w:t>
            </w:r>
          </w:p>
        </w:tc>
        <w:tc>
          <w:tcPr>
            <w:tcW w:w="881" w:type="dxa"/>
            <w:vAlign w:val="center"/>
            <w:hideMark/>
          </w:tcPr>
          <w:p w14:paraId="185BE3EA"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2,1</w:t>
            </w:r>
          </w:p>
        </w:tc>
      </w:tr>
      <w:tr w:rsidR="00F812E9" w:rsidRPr="00F812E9" w14:paraId="5104546F"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6A8F44B4"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Dochody z gospodarstwa rolnego                                                                                                                                                                                              </w:t>
            </w:r>
          </w:p>
        </w:tc>
        <w:tc>
          <w:tcPr>
            <w:tcW w:w="1340" w:type="dxa"/>
            <w:vAlign w:val="center"/>
            <w:hideMark/>
          </w:tcPr>
          <w:p w14:paraId="154B91CC"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16,9</w:t>
            </w:r>
          </w:p>
        </w:tc>
        <w:tc>
          <w:tcPr>
            <w:tcW w:w="1372" w:type="dxa"/>
            <w:vAlign w:val="center"/>
            <w:hideMark/>
          </w:tcPr>
          <w:p w14:paraId="0F2501E0"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51,2</w:t>
            </w:r>
          </w:p>
        </w:tc>
        <w:tc>
          <w:tcPr>
            <w:tcW w:w="1308" w:type="dxa"/>
            <w:vAlign w:val="center"/>
            <w:hideMark/>
          </w:tcPr>
          <w:p w14:paraId="19C59BC9"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86,1</w:t>
            </w:r>
          </w:p>
        </w:tc>
        <w:tc>
          <w:tcPr>
            <w:tcW w:w="1340" w:type="dxa"/>
            <w:vAlign w:val="center"/>
            <w:hideMark/>
          </w:tcPr>
          <w:p w14:paraId="4CF62458"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87,4</w:t>
            </w:r>
          </w:p>
        </w:tc>
        <w:tc>
          <w:tcPr>
            <w:tcW w:w="881" w:type="dxa"/>
            <w:vAlign w:val="center"/>
            <w:hideMark/>
          </w:tcPr>
          <w:p w14:paraId="19DD11E6"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85,4</w:t>
            </w:r>
          </w:p>
        </w:tc>
      </w:tr>
      <w:tr w:rsidR="00F812E9" w:rsidRPr="00F812E9" w14:paraId="0F8571C2"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2E2802CA"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Dochody ze świadczeń społecznych                                                                                                                                                                                                                  </w:t>
            </w:r>
          </w:p>
        </w:tc>
        <w:tc>
          <w:tcPr>
            <w:tcW w:w="1340" w:type="dxa"/>
            <w:vAlign w:val="center"/>
            <w:hideMark/>
          </w:tcPr>
          <w:p w14:paraId="4FFFB867"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3,8</w:t>
            </w:r>
          </w:p>
        </w:tc>
        <w:tc>
          <w:tcPr>
            <w:tcW w:w="1372" w:type="dxa"/>
            <w:vAlign w:val="center"/>
            <w:hideMark/>
          </w:tcPr>
          <w:p w14:paraId="20522A07"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44,0</w:t>
            </w:r>
          </w:p>
        </w:tc>
        <w:tc>
          <w:tcPr>
            <w:tcW w:w="1308" w:type="dxa"/>
            <w:vAlign w:val="center"/>
            <w:hideMark/>
          </w:tcPr>
          <w:p w14:paraId="0B230385"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85,3</w:t>
            </w:r>
          </w:p>
        </w:tc>
        <w:tc>
          <w:tcPr>
            <w:tcW w:w="1340" w:type="dxa"/>
            <w:vAlign w:val="center"/>
            <w:hideMark/>
          </w:tcPr>
          <w:p w14:paraId="594AC8E7"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86,1</w:t>
            </w:r>
          </w:p>
        </w:tc>
        <w:tc>
          <w:tcPr>
            <w:tcW w:w="881" w:type="dxa"/>
            <w:vAlign w:val="center"/>
            <w:hideMark/>
          </w:tcPr>
          <w:p w14:paraId="250A199D"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84,8</w:t>
            </w:r>
          </w:p>
        </w:tc>
      </w:tr>
      <w:tr w:rsidR="00F812E9" w:rsidRPr="00F812E9" w14:paraId="7EE4D202" w14:textId="77777777" w:rsidTr="00934271">
        <w:trPr>
          <w:trHeight w:val="480"/>
        </w:trPr>
        <w:tc>
          <w:tcPr>
            <w:cnfStyle w:val="001000000000" w:firstRow="0" w:lastRow="0" w:firstColumn="1" w:lastColumn="0" w:oddVBand="0" w:evenVBand="0" w:oddHBand="0" w:evenHBand="0" w:firstRowFirstColumn="0" w:firstRowLastColumn="0" w:lastRowFirstColumn="0" w:lastRowLastColumn="0"/>
            <w:tcW w:w="3252" w:type="dxa"/>
            <w:hideMark/>
          </w:tcPr>
          <w:p w14:paraId="0D69CB2A"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 dochody ze świadczeń z ubezpieczeń społecznych                                                                       </w:t>
            </w:r>
          </w:p>
        </w:tc>
        <w:tc>
          <w:tcPr>
            <w:tcW w:w="1340" w:type="dxa"/>
            <w:vAlign w:val="center"/>
            <w:hideMark/>
          </w:tcPr>
          <w:p w14:paraId="2EA3B9C4"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2,7</w:t>
            </w:r>
          </w:p>
        </w:tc>
        <w:tc>
          <w:tcPr>
            <w:tcW w:w="1372" w:type="dxa"/>
            <w:vAlign w:val="center"/>
            <w:hideMark/>
          </w:tcPr>
          <w:p w14:paraId="5A1A4DD2"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41,1</w:t>
            </w:r>
          </w:p>
        </w:tc>
        <w:tc>
          <w:tcPr>
            <w:tcW w:w="1308" w:type="dxa"/>
            <w:vAlign w:val="center"/>
            <w:hideMark/>
          </w:tcPr>
          <w:p w14:paraId="3E286547"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80,3</w:t>
            </w:r>
          </w:p>
        </w:tc>
        <w:tc>
          <w:tcPr>
            <w:tcW w:w="1340" w:type="dxa"/>
            <w:vAlign w:val="center"/>
            <w:hideMark/>
          </w:tcPr>
          <w:p w14:paraId="2EC23587"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73,9</w:t>
            </w:r>
          </w:p>
        </w:tc>
        <w:tc>
          <w:tcPr>
            <w:tcW w:w="881" w:type="dxa"/>
            <w:vAlign w:val="center"/>
            <w:hideMark/>
          </w:tcPr>
          <w:p w14:paraId="6B8C42A0"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84,3</w:t>
            </w:r>
          </w:p>
        </w:tc>
      </w:tr>
      <w:tr w:rsidR="00F812E9" w:rsidRPr="00F812E9" w14:paraId="018DDF95"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2B59877F"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w tym emerytury i renty                                                                                                                                                                               </w:t>
            </w:r>
          </w:p>
        </w:tc>
        <w:tc>
          <w:tcPr>
            <w:tcW w:w="1340" w:type="dxa"/>
            <w:vAlign w:val="center"/>
            <w:hideMark/>
          </w:tcPr>
          <w:p w14:paraId="24AFD4DA"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13,1</w:t>
            </w:r>
          </w:p>
        </w:tc>
        <w:tc>
          <w:tcPr>
            <w:tcW w:w="1372" w:type="dxa"/>
            <w:vAlign w:val="center"/>
            <w:hideMark/>
          </w:tcPr>
          <w:p w14:paraId="08856E24"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7,2</w:t>
            </w:r>
          </w:p>
        </w:tc>
        <w:tc>
          <w:tcPr>
            <w:tcW w:w="1308" w:type="dxa"/>
            <w:vAlign w:val="center"/>
            <w:hideMark/>
          </w:tcPr>
          <w:p w14:paraId="01DEFE60"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0,9</w:t>
            </w:r>
          </w:p>
        </w:tc>
        <w:tc>
          <w:tcPr>
            <w:tcW w:w="1340" w:type="dxa"/>
            <w:vAlign w:val="center"/>
            <w:hideMark/>
          </w:tcPr>
          <w:p w14:paraId="62D14B31"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1,3</w:t>
            </w:r>
          </w:p>
        </w:tc>
        <w:tc>
          <w:tcPr>
            <w:tcW w:w="881" w:type="dxa"/>
            <w:vAlign w:val="center"/>
            <w:hideMark/>
          </w:tcPr>
          <w:p w14:paraId="123E77FD"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0,6</w:t>
            </w:r>
          </w:p>
        </w:tc>
      </w:tr>
      <w:tr w:rsidR="00F812E9" w:rsidRPr="00F812E9" w14:paraId="2751C6C7"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3AC71339"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dochody z pozostałych świadczeń społecznych                            </w:t>
            </w:r>
          </w:p>
        </w:tc>
        <w:tc>
          <w:tcPr>
            <w:tcW w:w="1340" w:type="dxa"/>
            <w:vAlign w:val="center"/>
            <w:hideMark/>
          </w:tcPr>
          <w:p w14:paraId="02393F1D"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1,7</w:t>
            </w:r>
          </w:p>
        </w:tc>
        <w:tc>
          <w:tcPr>
            <w:tcW w:w="1372" w:type="dxa"/>
            <w:vAlign w:val="center"/>
            <w:hideMark/>
          </w:tcPr>
          <w:p w14:paraId="6936EC76"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1,5</w:t>
            </w:r>
          </w:p>
        </w:tc>
        <w:tc>
          <w:tcPr>
            <w:tcW w:w="1308" w:type="dxa"/>
            <w:vAlign w:val="center"/>
            <w:hideMark/>
          </w:tcPr>
          <w:p w14:paraId="7B1A5C28"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2,6</w:t>
            </w:r>
          </w:p>
        </w:tc>
        <w:tc>
          <w:tcPr>
            <w:tcW w:w="1340" w:type="dxa"/>
            <w:vAlign w:val="center"/>
            <w:hideMark/>
          </w:tcPr>
          <w:p w14:paraId="3D4E73F3"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4,6</w:t>
            </w:r>
          </w:p>
        </w:tc>
        <w:tc>
          <w:tcPr>
            <w:tcW w:w="881" w:type="dxa"/>
            <w:vAlign w:val="center"/>
            <w:hideMark/>
          </w:tcPr>
          <w:p w14:paraId="05C31037"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1,6</w:t>
            </w:r>
          </w:p>
        </w:tc>
      </w:tr>
      <w:tr w:rsidR="00F812E9" w:rsidRPr="00F812E9" w14:paraId="17311C8C"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dxa"/>
            <w:hideMark/>
          </w:tcPr>
          <w:p w14:paraId="07438DFF"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Pozostałe dochody                                                                                                                          </w:t>
            </w:r>
          </w:p>
        </w:tc>
        <w:tc>
          <w:tcPr>
            <w:tcW w:w="1340" w:type="dxa"/>
            <w:vAlign w:val="center"/>
            <w:hideMark/>
          </w:tcPr>
          <w:p w14:paraId="45AB30F9"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1,4</w:t>
            </w:r>
          </w:p>
        </w:tc>
        <w:tc>
          <w:tcPr>
            <w:tcW w:w="1372" w:type="dxa"/>
            <w:vAlign w:val="center"/>
            <w:hideMark/>
          </w:tcPr>
          <w:p w14:paraId="5382A948"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1,0</w:t>
            </w:r>
          </w:p>
        </w:tc>
        <w:tc>
          <w:tcPr>
            <w:tcW w:w="1308" w:type="dxa"/>
            <w:vAlign w:val="center"/>
            <w:hideMark/>
          </w:tcPr>
          <w:p w14:paraId="56A50D6A"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2,0</w:t>
            </w:r>
          </w:p>
        </w:tc>
        <w:tc>
          <w:tcPr>
            <w:tcW w:w="1340" w:type="dxa"/>
            <w:vAlign w:val="center"/>
            <w:hideMark/>
          </w:tcPr>
          <w:p w14:paraId="150088AE"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4,0</w:t>
            </w:r>
          </w:p>
        </w:tc>
        <w:tc>
          <w:tcPr>
            <w:tcW w:w="881" w:type="dxa"/>
            <w:vAlign w:val="center"/>
            <w:hideMark/>
          </w:tcPr>
          <w:p w14:paraId="508847A3" w14:textId="77777777" w:rsidR="00F812E9" w:rsidRPr="00F812E9" w:rsidRDefault="00F812E9" w:rsidP="00F812E9">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812E9">
              <w:rPr>
                <w:rFonts w:cs="Times New Roman"/>
                <w:sz w:val="20"/>
                <w:szCs w:val="20"/>
              </w:rPr>
              <w:t>0,9</w:t>
            </w:r>
          </w:p>
        </w:tc>
      </w:tr>
      <w:tr w:rsidR="00F812E9" w:rsidRPr="00F812E9" w14:paraId="2561F5AE" w14:textId="77777777" w:rsidTr="00934271">
        <w:trPr>
          <w:trHeight w:val="480"/>
        </w:trPr>
        <w:tc>
          <w:tcPr>
            <w:cnfStyle w:val="001000000000" w:firstRow="0" w:lastRow="0" w:firstColumn="1" w:lastColumn="0" w:oddVBand="0" w:evenVBand="0" w:oddHBand="0" w:evenHBand="0" w:firstRowFirstColumn="0" w:firstRowLastColumn="0" w:lastRowFirstColumn="0" w:lastRowLastColumn="0"/>
            <w:tcW w:w="3252" w:type="dxa"/>
            <w:hideMark/>
          </w:tcPr>
          <w:p w14:paraId="5220E2A7" w14:textId="77777777" w:rsidR="00F812E9" w:rsidRPr="00F812E9" w:rsidRDefault="00F812E9" w:rsidP="00F812E9">
            <w:pPr>
              <w:spacing w:line="240" w:lineRule="auto"/>
              <w:rPr>
                <w:rFonts w:eastAsia="Times New Roman" w:cs="Times New Roman"/>
                <w:b w:val="0"/>
                <w:sz w:val="20"/>
                <w:szCs w:val="20"/>
                <w:lang w:eastAsia="pl-PL"/>
              </w:rPr>
            </w:pPr>
            <w:r w:rsidRPr="00F812E9">
              <w:rPr>
                <w:rFonts w:eastAsia="Times New Roman" w:cs="Times New Roman"/>
                <w:b w:val="0"/>
                <w:sz w:val="20"/>
                <w:szCs w:val="20"/>
                <w:lang w:eastAsia="pl-PL"/>
              </w:rPr>
              <w:t xml:space="preserve">w tym dary </w:t>
            </w:r>
            <w:r w:rsidR="00CC2DD4">
              <w:rPr>
                <w:rFonts w:eastAsia="Times New Roman" w:cs="Times New Roman"/>
                <w:b w:val="0"/>
                <w:sz w:val="20"/>
                <w:szCs w:val="20"/>
                <w:lang w:eastAsia="pl-PL"/>
              </w:rPr>
              <w:t xml:space="preserve">otrzymane od osób prywatnych na </w:t>
            </w:r>
            <w:r w:rsidRPr="00F812E9">
              <w:rPr>
                <w:rFonts w:eastAsia="Times New Roman" w:cs="Times New Roman"/>
                <w:b w:val="0"/>
                <w:sz w:val="20"/>
                <w:szCs w:val="20"/>
                <w:lang w:eastAsia="pl-PL"/>
              </w:rPr>
              <w:t xml:space="preserve">gospodarstwo domowe </w:t>
            </w:r>
          </w:p>
        </w:tc>
        <w:tc>
          <w:tcPr>
            <w:tcW w:w="1340" w:type="dxa"/>
            <w:vAlign w:val="center"/>
            <w:hideMark/>
          </w:tcPr>
          <w:p w14:paraId="52A3F88F"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98,5</w:t>
            </w:r>
          </w:p>
        </w:tc>
        <w:tc>
          <w:tcPr>
            <w:tcW w:w="1372" w:type="dxa"/>
            <w:vAlign w:val="center"/>
            <w:hideMark/>
          </w:tcPr>
          <w:p w14:paraId="77836242"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98,2</w:t>
            </w:r>
          </w:p>
        </w:tc>
        <w:tc>
          <w:tcPr>
            <w:tcW w:w="1308" w:type="dxa"/>
            <w:vAlign w:val="center"/>
            <w:hideMark/>
          </w:tcPr>
          <w:p w14:paraId="065D75CA"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96,5</w:t>
            </w:r>
          </w:p>
        </w:tc>
        <w:tc>
          <w:tcPr>
            <w:tcW w:w="1340" w:type="dxa"/>
            <w:vAlign w:val="center"/>
            <w:hideMark/>
          </w:tcPr>
          <w:p w14:paraId="4A7C8AF1"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95,6</w:t>
            </w:r>
          </w:p>
        </w:tc>
        <w:tc>
          <w:tcPr>
            <w:tcW w:w="881" w:type="dxa"/>
            <w:vAlign w:val="center"/>
            <w:hideMark/>
          </w:tcPr>
          <w:p w14:paraId="26EB211C" w14:textId="77777777" w:rsidR="00F812E9" w:rsidRPr="00F812E9" w:rsidRDefault="00F812E9" w:rsidP="00F812E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812E9">
              <w:rPr>
                <w:rFonts w:cs="Times New Roman"/>
                <w:sz w:val="20"/>
                <w:szCs w:val="20"/>
              </w:rPr>
              <w:t>97,0</w:t>
            </w:r>
          </w:p>
        </w:tc>
      </w:tr>
    </w:tbl>
    <w:p w14:paraId="3A1AEB21" w14:textId="7B9A02BC" w:rsidR="00F812E9" w:rsidRPr="00392F2F" w:rsidRDefault="00F812E9" w:rsidP="00F812E9">
      <w:pPr>
        <w:spacing w:after="120"/>
        <w:rPr>
          <w:rFonts w:cs="Times New Roman"/>
          <w:b/>
          <w:sz w:val="22"/>
        </w:rPr>
      </w:pPr>
      <w:r w:rsidRPr="00392F2F">
        <w:rPr>
          <w:rFonts w:cs="Times New Roman"/>
          <w:b/>
          <w:sz w:val="22"/>
        </w:rPr>
        <w:t>Źródło: Badanie budż</w:t>
      </w:r>
      <w:r w:rsidR="00660857" w:rsidRPr="00392F2F">
        <w:rPr>
          <w:rFonts w:cs="Times New Roman"/>
          <w:b/>
          <w:sz w:val="22"/>
        </w:rPr>
        <w:t>etów gospodarstw domowych w 2020</w:t>
      </w:r>
      <w:r w:rsidRPr="00392F2F">
        <w:rPr>
          <w:rFonts w:cs="Times New Roman"/>
          <w:b/>
          <w:sz w:val="22"/>
        </w:rPr>
        <w:t xml:space="preserve"> r., GUS</w:t>
      </w:r>
      <w:r w:rsidR="00392F2F">
        <w:rPr>
          <w:rFonts w:cs="Times New Roman"/>
          <w:b/>
          <w:sz w:val="22"/>
        </w:rPr>
        <w:t>.</w:t>
      </w:r>
    </w:p>
    <w:p w14:paraId="35BB1F70" w14:textId="77777777" w:rsidR="00F812E9" w:rsidRDefault="00F812E9" w:rsidP="00F812E9"/>
    <w:p w14:paraId="66B1EC58" w14:textId="1CB46828" w:rsidR="00660857" w:rsidRDefault="00552001" w:rsidP="00660857">
      <w:pPr>
        <w:rPr>
          <w:rFonts w:cs="Times New Roman"/>
          <w:spacing w:val="-2"/>
          <w:szCs w:val="24"/>
        </w:rPr>
      </w:pPr>
      <w:r w:rsidRPr="00552001">
        <w:rPr>
          <w:rFonts w:cs="Times New Roman"/>
          <w:spacing w:val="-2"/>
          <w:szCs w:val="24"/>
        </w:rPr>
        <w:t>Przeciętne miesięczne wydatki na 1 osobę w gospodarstwach domowych wyłącznie z osobami starszymi w 2020 roku wyniosły 1530,65 zł i były o 24,5% wyższe niż w gospodarstwach, w skład których wchodziły wyłącznie osoby młodsze. W porównaniu do roku 2019 nastąpił spadek wydatków na 1 osobę w gospodarstwach domowych wyłącznie z osobami w wieku 60 lat i więcej o 2,9%, podczas gdy w gospodarstwach, mających w składzie wyłącznie osoby młodsze, spadek wydatków był większy i wyniósł 3,9%.</w:t>
      </w:r>
    </w:p>
    <w:p w14:paraId="4952E59B" w14:textId="77777777" w:rsidR="00552001" w:rsidRDefault="00552001" w:rsidP="00552001">
      <w:pPr>
        <w:rPr>
          <w:rFonts w:cs="Times New Roman"/>
          <w:spacing w:val="-2"/>
          <w:szCs w:val="24"/>
        </w:rPr>
      </w:pPr>
    </w:p>
    <w:p w14:paraId="6763CEAF" w14:textId="06A02909" w:rsidR="00552001" w:rsidRPr="00552001" w:rsidRDefault="00552001" w:rsidP="00552001">
      <w:pPr>
        <w:rPr>
          <w:rFonts w:cs="Times New Roman"/>
          <w:spacing w:val="-2"/>
          <w:szCs w:val="24"/>
        </w:rPr>
      </w:pPr>
      <w:r w:rsidRPr="00552001">
        <w:rPr>
          <w:rFonts w:cs="Times New Roman"/>
          <w:spacing w:val="-2"/>
          <w:szCs w:val="24"/>
        </w:rPr>
        <w:t>Udział przeciętnych miesięcznych wydatków na 1 osobę w dochodzie rozporządzalnym w gospodarstwach domowych składających się wyłącznie z osób w wieku 60 lat i więcej w 2020 r. ukształtował się na poziomie 70,6% i był niższy o 4,1 p. proc. niż w 2019 r., podczas gdy w gospodarstwach domowych wyłącznie z osobami poniżej 60 lat wyniósł 62,9% (w 2019 r. – 69,6%).</w:t>
      </w:r>
    </w:p>
    <w:p w14:paraId="3C850F04" w14:textId="77777777" w:rsidR="00552001" w:rsidRDefault="00552001" w:rsidP="00552001">
      <w:pPr>
        <w:rPr>
          <w:rFonts w:cs="Times New Roman"/>
          <w:spacing w:val="-2"/>
          <w:szCs w:val="24"/>
        </w:rPr>
      </w:pPr>
    </w:p>
    <w:p w14:paraId="500C8432" w14:textId="3474DF53" w:rsidR="00552001" w:rsidRDefault="00552001" w:rsidP="00552001">
      <w:pPr>
        <w:rPr>
          <w:rFonts w:cs="Times New Roman"/>
          <w:spacing w:val="-2"/>
          <w:szCs w:val="24"/>
        </w:rPr>
      </w:pPr>
      <w:r w:rsidRPr="00552001">
        <w:rPr>
          <w:rFonts w:cs="Times New Roman"/>
          <w:spacing w:val="-2"/>
          <w:szCs w:val="24"/>
        </w:rPr>
        <w:t>W gospodarstwach domowych, w skład których wchodziły tylko osoby w wieku 60 lat i więcej, udział wydatków na 1 osobę na żywność i napoje bezalkoholowe, wyniósł w 2020 r. 29,3% (o 3,1 p. proc. więcej niż w gospodarstwach osób młodszych). Użytkowanie mieszkania lub domu i nośniki energii stanowiły 22,7% ogółu wydatków gospodarstw wyłącznie z osobami w wieku 60 lat i więcej a wydatki na zdrowie  - 9,0%, odpowiednio o 5,1 i 5,0 p. proc więcej w porównaniu z gospodarstwami młodszymi.</w:t>
      </w:r>
    </w:p>
    <w:p w14:paraId="02A833F8" w14:textId="32A73DE6" w:rsidR="00552001" w:rsidRDefault="00552001" w:rsidP="00552001">
      <w:pPr>
        <w:rPr>
          <w:rFonts w:cs="Times New Roman"/>
          <w:spacing w:val="-2"/>
          <w:szCs w:val="24"/>
        </w:rPr>
      </w:pPr>
    </w:p>
    <w:p w14:paraId="54FE5E25" w14:textId="79D3551A" w:rsidR="00552001" w:rsidRDefault="00552001" w:rsidP="00552001">
      <w:pPr>
        <w:rPr>
          <w:rFonts w:cs="Times New Roman"/>
          <w:spacing w:val="-2"/>
          <w:szCs w:val="24"/>
        </w:rPr>
      </w:pPr>
    </w:p>
    <w:p w14:paraId="3B74C6CC" w14:textId="77777777" w:rsidR="00552001" w:rsidRDefault="00552001" w:rsidP="00552001">
      <w:pPr>
        <w:rPr>
          <w:rFonts w:cs="Times New Roman"/>
          <w:spacing w:val="-2"/>
          <w:szCs w:val="24"/>
        </w:rPr>
      </w:pPr>
    </w:p>
    <w:p w14:paraId="2994E8F1" w14:textId="77777777" w:rsidR="00552001" w:rsidRPr="00660857" w:rsidRDefault="00552001" w:rsidP="00660857">
      <w:pPr>
        <w:rPr>
          <w:rFonts w:cs="Times New Roman"/>
          <w:spacing w:val="-2"/>
          <w:szCs w:val="24"/>
        </w:rPr>
      </w:pPr>
    </w:p>
    <w:p w14:paraId="52C4D1F2" w14:textId="26004E1E" w:rsidR="00660857" w:rsidRPr="00660857" w:rsidRDefault="00660857" w:rsidP="00660857">
      <w:pPr>
        <w:pStyle w:val="Legenda"/>
        <w:keepNext/>
        <w:rPr>
          <w:rFonts w:cs="Times New Roman"/>
          <w:b/>
          <w:i w:val="0"/>
          <w:color w:val="auto"/>
          <w:sz w:val="24"/>
        </w:rPr>
      </w:pPr>
      <w:bookmarkStart w:id="11" w:name="_Toc49171381"/>
      <w:r w:rsidRPr="00660857">
        <w:rPr>
          <w:rFonts w:cs="Times New Roman"/>
          <w:b/>
          <w:i w:val="0"/>
          <w:color w:val="auto"/>
          <w:sz w:val="24"/>
        </w:rPr>
        <w:lastRenderedPageBreak/>
        <w:t>Tabela 6</w:t>
      </w:r>
      <w:r w:rsidR="00EE73AF">
        <w:rPr>
          <w:rFonts w:cs="Times New Roman"/>
          <w:b/>
          <w:i w:val="0"/>
          <w:color w:val="auto"/>
          <w:sz w:val="24"/>
        </w:rPr>
        <w:t>.</w:t>
      </w:r>
      <w:r w:rsidRPr="00660857">
        <w:rPr>
          <w:rFonts w:cs="Times New Roman"/>
          <w:b/>
          <w:i w:val="0"/>
          <w:color w:val="auto"/>
          <w:sz w:val="24"/>
        </w:rPr>
        <w:t xml:space="preserve"> Przeciętne miesięczne wydatki na 1 osobę w gospodarstwach domowych</w:t>
      </w:r>
      <w:bookmarkEnd w:id="11"/>
    </w:p>
    <w:tbl>
      <w:tblPr>
        <w:tblStyle w:val="Tabelasiatki5ciemnaakcent2"/>
        <w:tblW w:w="9493" w:type="dxa"/>
        <w:tblLook w:val="04A0" w:firstRow="1" w:lastRow="0" w:firstColumn="1" w:lastColumn="0" w:noHBand="0" w:noVBand="1"/>
      </w:tblPr>
      <w:tblGrid>
        <w:gridCol w:w="3257"/>
        <w:gridCol w:w="1312"/>
        <w:gridCol w:w="1372"/>
        <w:gridCol w:w="1246"/>
        <w:gridCol w:w="1312"/>
        <w:gridCol w:w="994"/>
      </w:tblGrid>
      <w:tr w:rsidR="00660857" w:rsidRPr="00660857" w14:paraId="0276917F" w14:textId="77777777" w:rsidTr="00934271">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257" w:type="dxa"/>
            <w:vMerge w:val="restart"/>
            <w:vAlign w:val="center"/>
            <w:hideMark/>
          </w:tcPr>
          <w:p w14:paraId="63B712EB" w14:textId="77777777" w:rsidR="00660857" w:rsidRPr="00660857" w:rsidRDefault="00660857" w:rsidP="00E86941">
            <w:pPr>
              <w:spacing w:line="240" w:lineRule="auto"/>
              <w:jc w:val="center"/>
              <w:rPr>
                <w:rFonts w:eastAsia="Times New Roman" w:cs="Times New Roman"/>
                <w:color w:val="auto"/>
                <w:sz w:val="20"/>
                <w:szCs w:val="20"/>
                <w:lang w:eastAsia="pl-PL"/>
              </w:rPr>
            </w:pPr>
            <w:r w:rsidRPr="00660857">
              <w:rPr>
                <w:rFonts w:eastAsia="Times New Roman" w:cs="Times New Roman"/>
                <w:color w:val="auto"/>
                <w:sz w:val="20"/>
                <w:szCs w:val="20"/>
                <w:lang w:eastAsia="pl-PL"/>
              </w:rPr>
              <w:t>Wyszczególnienie</w:t>
            </w:r>
          </w:p>
        </w:tc>
        <w:tc>
          <w:tcPr>
            <w:tcW w:w="6236" w:type="dxa"/>
            <w:gridSpan w:val="5"/>
            <w:vAlign w:val="center"/>
            <w:hideMark/>
          </w:tcPr>
          <w:p w14:paraId="015DB1B1" w14:textId="77777777" w:rsidR="00660857" w:rsidRPr="00660857" w:rsidRDefault="00660857" w:rsidP="00E869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660857">
              <w:rPr>
                <w:rFonts w:eastAsia="Times New Roman" w:cs="Times New Roman"/>
                <w:color w:val="auto"/>
                <w:sz w:val="20"/>
                <w:szCs w:val="20"/>
                <w:lang w:eastAsia="pl-PL"/>
              </w:rPr>
              <w:t>Gospodarstwa domowe</w:t>
            </w:r>
          </w:p>
        </w:tc>
      </w:tr>
      <w:tr w:rsidR="00660857" w:rsidRPr="00660857" w14:paraId="3F41E99D" w14:textId="77777777" w:rsidTr="0093427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257" w:type="dxa"/>
            <w:vMerge/>
            <w:vAlign w:val="center"/>
            <w:hideMark/>
          </w:tcPr>
          <w:p w14:paraId="19B85F7A" w14:textId="77777777" w:rsidR="00660857" w:rsidRPr="00660857" w:rsidRDefault="00660857" w:rsidP="00E86941">
            <w:pPr>
              <w:spacing w:line="240" w:lineRule="auto"/>
              <w:jc w:val="center"/>
              <w:rPr>
                <w:rFonts w:eastAsia="Times New Roman" w:cs="Times New Roman"/>
                <w:color w:val="auto"/>
                <w:sz w:val="20"/>
                <w:szCs w:val="20"/>
                <w:lang w:eastAsia="pl-PL"/>
              </w:rPr>
            </w:pPr>
          </w:p>
        </w:tc>
        <w:tc>
          <w:tcPr>
            <w:tcW w:w="1340" w:type="dxa"/>
            <w:vMerge w:val="restart"/>
            <w:vAlign w:val="center"/>
            <w:hideMark/>
          </w:tcPr>
          <w:p w14:paraId="51337BFC"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660857">
              <w:rPr>
                <w:rFonts w:eastAsia="Times New Roman" w:cs="Times New Roman"/>
                <w:b/>
                <w:sz w:val="20"/>
                <w:szCs w:val="20"/>
                <w:lang w:eastAsia="pl-PL"/>
              </w:rPr>
              <w:t xml:space="preserve">bez osób </w:t>
            </w:r>
            <w:r w:rsidRPr="00660857">
              <w:rPr>
                <w:rFonts w:eastAsia="Times New Roman" w:cs="Times New Roman"/>
                <w:b/>
                <w:sz w:val="20"/>
                <w:szCs w:val="20"/>
                <w:lang w:eastAsia="pl-PL"/>
              </w:rPr>
              <w:br/>
              <w:t xml:space="preserve">w wieku 60 lat </w:t>
            </w:r>
            <w:r w:rsidRPr="00660857">
              <w:rPr>
                <w:rFonts w:eastAsia="Times New Roman" w:cs="Times New Roman"/>
                <w:b/>
                <w:sz w:val="20"/>
                <w:szCs w:val="20"/>
                <w:lang w:eastAsia="pl-PL"/>
              </w:rPr>
              <w:br/>
              <w:t>i więcej</w:t>
            </w:r>
          </w:p>
        </w:tc>
        <w:tc>
          <w:tcPr>
            <w:tcW w:w="1372" w:type="dxa"/>
            <w:vMerge w:val="restart"/>
            <w:vAlign w:val="center"/>
            <w:hideMark/>
          </w:tcPr>
          <w:p w14:paraId="3F2847A1"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660857">
              <w:rPr>
                <w:rFonts w:eastAsia="Times New Roman" w:cs="Times New Roman"/>
                <w:b/>
                <w:sz w:val="20"/>
                <w:szCs w:val="20"/>
                <w:lang w:eastAsia="pl-PL"/>
              </w:rPr>
              <w:t xml:space="preserve">z przynajmniej </w:t>
            </w:r>
            <w:r w:rsidRPr="00660857">
              <w:rPr>
                <w:rFonts w:eastAsia="Times New Roman" w:cs="Times New Roman"/>
                <w:b/>
                <w:sz w:val="20"/>
                <w:szCs w:val="20"/>
                <w:lang w:eastAsia="pl-PL"/>
              </w:rPr>
              <w:br/>
              <w:t>1 osobą w wieku 60 lat i więcej</w:t>
            </w:r>
          </w:p>
        </w:tc>
        <w:tc>
          <w:tcPr>
            <w:tcW w:w="3524" w:type="dxa"/>
            <w:gridSpan w:val="3"/>
            <w:vAlign w:val="center"/>
            <w:hideMark/>
          </w:tcPr>
          <w:p w14:paraId="0750BBD1"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660857">
              <w:rPr>
                <w:rFonts w:eastAsia="Times New Roman" w:cs="Times New Roman"/>
                <w:b/>
                <w:sz w:val="20"/>
                <w:szCs w:val="20"/>
                <w:lang w:eastAsia="pl-PL"/>
              </w:rPr>
              <w:t>wyłącznie z osobami w wieku 60 lat i więcej</w:t>
            </w:r>
          </w:p>
        </w:tc>
      </w:tr>
      <w:tr w:rsidR="00660857" w:rsidRPr="00660857" w14:paraId="41AE8036" w14:textId="77777777" w:rsidTr="00934271">
        <w:trPr>
          <w:trHeight w:val="398"/>
        </w:trPr>
        <w:tc>
          <w:tcPr>
            <w:cnfStyle w:val="001000000000" w:firstRow="0" w:lastRow="0" w:firstColumn="1" w:lastColumn="0" w:oddVBand="0" w:evenVBand="0" w:oddHBand="0" w:evenHBand="0" w:firstRowFirstColumn="0" w:firstRowLastColumn="0" w:lastRowFirstColumn="0" w:lastRowLastColumn="0"/>
            <w:tcW w:w="3257" w:type="dxa"/>
            <w:vMerge/>
            <w:vAlign w:val="center"/>
            <w:hideMark/>
          </w:tcPr>
          <w:p w14:paraId="5EABF7B6" w14:textId="77777777" w:rsidR="00660857" w:rsidRPr="00660857" w:rsidRDefault="00660857" w:rsidP="00E86941">
            <w:pPr>
              <w:spacing w:line="240" w:lineRule="auto"/>
              <w:jc w:val="center"/>
              <w:rPr>
                <w:rFonts w:eastAsia="Times New Roman" w:cs="Times New Roman"/>
                <w:color w:val="auto"/>
                <w:sz w:val="20"/>
                <w:szCs w:val="20"/>
                <w:lang w:eastAsia="pl-PL"/>
              </w:rPr>
            </w:pPr>
          </w:p>
        </w:tc>
        <w:tc>
          <w:tcPr>
            <w:tcW w:w="1340" w:type="dxa"/>
            <w:vMerge/>
            <w:vAlign w:val="center"/>
            <w:hideMark/>
          </w:tcPr>
          <w:p w14:paraId="064AEC7E"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72" w:type="dxa"/>
            <w:vMerge/>
            <w:vAlign w:val="center"/>
            <w:hideMark/>
          </w:tcPr>
          <w:p w14:paraId="035F5C6B"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08" w:type="dxa"/>
            <w:vMerge w:val="restart"/>
            <w:vAlign w:val="center"/>
            <w:hideMark/>
          </w:tcPr>
          <w:p w14:paraId="7C6922A6"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660857">
              <w:rPr>
                <w:rFonts w:eastAsia="Times New Roman" w:cs="Times New Roman"/>
                <w:b/>
                <w:sz w:val="20"/>
                <w:szCs w:val="20"/>
                <w:lang w:eastAsia="pl-PL"/>
              </w:rPr>
              <w:t>razem</w:t>
            </w:r>
          </w:p>
        </w:tc>
        <w:tc>
          <w:tcPr>
            <w:tcW w:w="2216" w:type="dxa"/>
            <w:gridSpan w:val="2"/>
            <w:vAlign w:val="center"/>
            <w:hideMark/>
          </w:tcPr>
          <w:p w14:paraId="686339D5"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660857">
              <w:rPr>
                <w:rFonts w:eastAsia="Times New Roman" w:cs="Times New Roman"/>
                <w:b/>
                <w:sz w:val="20"/>
                <w:szCs w:val="20"/>
                <w:lang w:eastAsia="pl-PL"/>
              </w:rPr>
              <w:t>w tym</w:t>
            </w:r>
          </w:p>
        </w:tc>
      </w:tr>
      <w:tr w:rsidR="00660857" w:rsidRPr="00660857" w14:paraId="1DDD85DA" w14:textId="77777777" w:rsidTr="0093427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257" w:type="dxa"/>
            <w:vMerge/>
            <w:vAlign w:val="center"/>
            <w:hideMark/>
          </w:tcPr>
          <w:p w14:paraId="5E797DAB" w14:textId="77777777" w:rsidR="00660857" w:rsidRPr="00660857" w:rsidRDefault="00660857" w:rsidP="00E86941">
            <w:pPr>
              <w:spacing w:line="240" w:lineRule="auto"/>
              <w:jc w:val="center"/>
              <w:rPr>
                <w:rFonts w:eastAsia="Times New Roman" w:cs="Times New Roman"/>
                <w:color w:val="auto"/>
                <w:sz w:val="20"/>
                <w:szCs w:val="20"/>
                <w:lang w:eastAsia="pl-PL"/>
              </w:rPr>
            </w:pPr>
          </w:p>
        </w:tc>
        <w:tc>
          <w:tcPr>
            <w:tcW w:w="1340" w:type="dxa"/>
            <w:vMerge/>
            <w:vAlign w:val="center"/>
            <w:hideMark/>
          </w:tcPr>
          <w:p w14:paraId="75D6F218"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72" w:type="dxa"/>
            <w:vMerge/>
            <w:vAlign w:val="center"/>
            <w:hideMark/>
          </w:tcPr>
          <w:p w14:paraId="52126EEA"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08" w:type="dxa"/>
            <w:vMerge/>
            <w:vAlign w:val="center"/>
            <w:hideMark/>
          </w:tcPr>
          <w:p w14:paraId="2835EBF0"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40" w:type="dxa"/>
            <w:vMerge w:val="restart"/>
            <w:vAlign w:val="center"/>
            <w:hideMark/>
          </w:tcPr>
          <w:p w14:paraId="37A9235D"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660857">
              <w:rPr>
                <w:rFonts w:eastAsia="Times New Roman" w:cs="Times New Roman"/>
                <w:b/>
                <w:sz w:val="20"/>
                <w:szCs w:val="20"/>
                <w:lang w:eastAsia="pl-PL"/>
              </w:rPr>
              <w:t>1-osobowe</w:t>
            </w:r>
          </w:p>
        </w:tc>
        <w:tc>
          <w:tcPr>
            <w:tcW w:w="876" w:type="dxa"/>
            <w:vMerge w:val="restart"/>
            <w:vAlign w:val="center"/>
            <w:hideMark/>
          </w:tcPr>
          <w:p w14:paraId="6EBE8411"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660857">
              <w:rPr>
                <w:rFonts w:eastAsia="Times New Roman" w:cs="Times New Roman"/>
                <w:b/>
                <w:sz w:val="20"/>
                <w:szCs w:val="20"/>
                <w:lang w:eastAsia="pl-PL"/>
              </w:rPr>
              <w:t xml:space="preserve">2-osobowe (obydwie osoby </w:t>
            </w:r>
            <w:r w:rsidRPr="00660857">
              <w:rPr>
                <w:rFonts w:eastAsia="Times New Roman" w:cs="Times New Roman"/>
                <w:b/>
                <w:sz w:val="20"/>
                <w:szCs w:val="20"/>
                <w:lang w:eastAsia="pl-PL"/>
              </w:rPr>
              <w:br/>
              <w:t xml:space="preserve">w wieku 60 lat </w:t>
            </w:r>
            <w:r w:rsidRPr="00660857">
              <w:rPr>
                <w:rFonts w:eastAsia="Times New Roman" w:cs="Times New Roman"/>
                <w:b/>
                <w:sz w:val="20"/>
                <w:szCs w:val="20"/>
                <w:lang w:eastAsia="pl-PL"/>
              </w:rPr>
              <w:br/>
              <w:t>i więcej)</w:t>
            </w:r>
          </w:p>
        </w:tc>
      </w:tr>
      <w:tr w:rsidR="00660857" w:rsidRPr="00660857" w14:paraId="4BFE43F4" w14:textId="77777777" w:rsidTr="00934271">
        <w:trPr>
          <w:trHeight w:val="458"/>
        </w:trPr>
        <w:tc>
          <w:tcPr>
            <w:cnfStyle w:val="001000000000" w:firstRow="0" w:lastRow="0" w:firstColumn="1" w:lastColumn="0" w:oddVBand="0" w:evenVBand="0" w:oddHBand="0" w:evenHBand="0" w:firstRowFirstColumn="0" w:firstRowLastColumn="0" w:lastRowFirstColumn="0" w:lastRowLastColumn="0"/>
            <w:tcW w:w="3257" w:type="dxa"/>
            <w:vMerge/>
            <w:vAlign w:val="center"/>
            <w:hideMark/>
          </w:tcPr>
          <w:p w14:paraId="5664B178" w14:textId="77777777" w:rsidR="00660857" w:rsidRPr="00660857" w:rsidRDefault="00660857" w:rsidP="00E86941">
            <w:pPr>
              <w:spacing w:line="240" w:lineRule="auto"/>
              <w:jc w:val="center"/>
              <w:rPr>
                <w:rFonts w:eastAsia="Times New Roman" w:cs="Times New Roman"/>
                <w:color w:val="auto"/>
                <w:sz w:val="20"/>
                <w:szCs w:val="20"/>
                <w:lang w:eastAsia="pl-PL"/>
              </w:rPr>
            </w:pPr>
          </w:p>
        </w:tc>
        <w:tc>
          <w:tcPr>
            <w:tcW w:w="1340" w:type="dxa"/>
            <w:vMerge/>
            <w:vAlign w:val="center"/>
            <w:hideMark/>
          </w:tcPr>
          <w:p w14:paraId="6FF9280D"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72" w:type="dxa"/>
            <w:vMerge/>
            <w:vAlign w:val="center"/>
            <w:hideMark/>
          </w:tcPr>
          <w:p w14:paraId="4482644C"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08" w:type="dxa"/>
            <w:vMerge/>
            <w:vAlign w:val="center"/>
            <w:hideMark/>
          </w:tcPr>
          <w:p w14:paraId="594E8EE6"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40" w:type="dxa"/>
            <w:vMerge/>
            <w:vAlign w:val="center"/>
            <w:hideMark/>
          </w:tcPr>
          <w:p w14:paraId="35CCFED9"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876" w:type="dxa"/>
            <w:vMerge/>
            <w:vAlign w:val="center"/>
            <w:hideMark/>
          </w:tcPr>
          <w:p w14:paraId="145996E3"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r>
      <w:tr w:rsidR="00660857" w:rsidRPr="00660857" w14:paraId="6E6349CB" w14:textId="77777777" w:rsidTr="0093427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257" w:type="dxa"/>
            <w:vMerge/>
            <w:vAlign w:val="center"/>
            <w:hideMark/>
          </w:tcPr>
          <w:p w14:paraId="7481B809" w14:textId="77777777" w:rsidR="00660857" w:rsidRPr="00660857" w:rsidRDefault="00660857" w:rsidP="00E86941">
            <w:pPr>
              <w:spacing w:line="240" w:lineRule="auto"/>
              <w:jc w:val="center"/>
              <w:rPr>
                <w:rFonts w:eastAsia="Times New Roman" w:cs="Times New Roman"/>
                <w:color w:val="auto"/>
                <w:sz w:val="20"/>
                <w:szCs w:val="20"/>
                <w:lang w:eastAsia="pl-PL"/>
              </w:rPr>
            </w:pPr>
          </w:p>
        </w:tc>
        <w:tc>
          <w:tcPr>
            <w:tcW w:w="1340" w:type="dxa"/>
            <w:vMerge/>
            <w:vAlign w:val="center"/>
            <w:hideMark/>
          </w:tcPr>
          <w:p w14:paraId="2F7E2DA7"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72" w:type="dxa"/>
            <w:vMerge/>
            <w:vAlign w:val="center"/>
            <w:hideMark/>
          </w:tcPr>
          <w:p w14:paraId="16AA273A"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08" w:type="dxa"/>
            <w:vMerge/>
            <w:vAlign w:val="center"/>
            <w:hideMark/>
          </w:tcPr>
          <w:p w14:paraId="18AFA175"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40" w:type="dxa"/>
            <w:vMerge/>
            <w:vAlign w:val="center"/>
            <w:hideMark/>
          </w:tcPr>
          <w:p w14:paraId="24D1C0A0"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876" w:type="dxa"/>
            <w:vMerge/>
            <w:vAlign w:val="center"/>
            <w:hideMark/>
          </w:tcPr>
          <w:p w14:paraId="1DD779AB"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r>
      <w:tr w:rsidR="00660857" w:rsidRPr="00660857" w14:paraId="59EF2067" w14:textId="77777777" w:rsidTr="00934271">
        <w:trPr>
          <w:trHeight w:val="315"/>
        </w:trPr>
        <w:tc>
          <w:tcPr>
            <w:cnfStyle w:val="001000000000" w:firstRow="0" w:lastRow="0" w:firstColumn="1" w:lastColumn="0" w:oddVBand="0" w:evenVBand="0" w:oddHBand="0" w:evenHBand="0" w:firstRowFirstColumn="0" w:firstRowLastColumn="0" w:lastRowFirstColumn="0" w:lastRowLastColumn="0"/>
            <w:tcW w:w="9493" w:type="dxa"/>
            <w:gridSpan w:val="6"/>
            <w:vAlign w:val="center"/>
            <w:hideMark/>
          </w:tcPr>
          <w:p w14:paraId="7212E52F" w14:textId="77777777" w:rsidR="00660857" w:rsidRPr="00660857" w:rsidRDefault="00660857" w:rsidP="00E86941">
            <w:pPr>
              <w:spacing w:line="240" w:lineRule="auto"/>
              <w:jc w:val="center"/>
              <w:rPr>
                <w:rFonts w:eastAsia="Times New Roman" w:cs="Times New Roman"/>
                <w:color w:val="auto"/>
                <w:sz w:val="20"/>
                <w:szCs w:val="20"/>
                <w:lang w:eastAsia="pl-PL"/>
              </w:rPr>
            </w:pPr>
            <w:r w:rsidRPr="00660857">
              <w:rPr>
                <w:rFonts w:eastAsia="Times New Roman" w:cs="Times New Roman"/>
                <w:color w:val="auto"/>
                <w:sz w:val="20"/>
                <w:szCs w:val="20"/>
                <w:lang w:eastAsia="pl-PL"/>
              </w:rPr>
              <w:t>OGÓŁEM</w:t>
            </w:r>
          </w:p>
        </w:tc>
      </w:tr>
      <w:tr w:rsidR="00660857" w:rsidRPr="00660857" w14:paraId="2FD54C2A"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6"/>
            <w:vAlign w:val="center"/>
            <w:hideMark/>
          </w:tcPr>
          <w:p w14:paraId="45BAF1A6" w14:textId="77777777" w:rsidR="00660857" w:rsidRPr="00660857" w:rsidRDefault="00660857" w:rsidP="00E86941">
            <w:pPr>
              <w:spacing w:line="240" w:lineRule="auto"/>
              <w:jc w:val="center"/>
              <w:rPr>
                <w:rFonts w:eastAsia="Times New Roman" w:cs="Times New Roman"/>
                <w:color w:val="auto"/>
                <w:sz w:val="20"/>
                <w:szCs w:val="20"/>
                <w:lang w:eastAsia="pl-PL"/>
              </w:rPr>
            </w:pPr>
            <w:r w:rsidRPr="00660857">
              <w:rPr>
                <w:rFonts w:eastAsia="Times New Roman" w:cs="Times New Roman"/>
                <w:color w:val="auto"/>
                <w:sz w:val="20"/>
                <w:szCs w:val="20"/>
                <w:lang w:eastAsia="pl-PL"/>
              </w:rPr>
              <w:t>w złotych</w:t>
            </w:r>
          </w:p>
        </w:tc>
      </w:tr>
      <w:tr w:rsidR="00660857" w:rsidRPr="00660857" w14:paraId="3BFDB04A"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7" w:type="dxa"/>
            <w:hideMark/>
          </w:tcPr>
          <w:p w14:paraId="24D7BF73" w14:textId="77777777" w:rsidR="00660857" w:rsidRPr="00660857" w:rsidRDefault="00660857" w:rsidP="00E86941">
            <w:pPr>
              <w:spacing w:line="240" w:lineRule="auto"/>
              <w:rPr>
                <w:rFonts w:eastAsia="Times New Roman" w:cs="Times New Roman"/>
                <w:bCs w:val="0"/>
                <w:color w:val="auto"/>
                <w:sz w:val="20"/>
                <w:szCs w:val="20"/>
                <w:lang w:eastAsia="pl-PL"/>
              </w:rPr>
            </w:pPr>
            <w:r w:rsidRPr="00660857">
              <w:rPr>
                <w:rFonts w:eastAsia="Times New Roman" w:cs="Times New Roman"/>
                <w:bCs w:val="0"/>
                <w:color w:val="auto"/>
                <w:sz w:val="20"/>
                <w:szCs w:val="20"/>
                <w:lang w:eastAsia="pl-PL"/>
              </w:rPr>
              <w:t xml:space="preserve">Wydatki gospodarstwa domowego                                                                                                                                                                                                                                                                                                                                                                                                                              </w:t>
            </w:r>
          </w:p>
        </w:tc>
        <w:tc>
          <w:tcPr>
            <w:tcW w:w="1340" w:type="dxa"/>
            <w:vAlign w:val="center"/>
            <w:hideMark/>
          </w:tcPr>
          <w:p w14:paraId="03D8709A"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1 229,37</w:t>
            </w:r>
          </w:p>
        </w:tc>
        <w:tc>
          <w:tcPr>
            <w:tcW w:w="1372" w:type="dxa"/>
            <w:vAlign w:val="center"/>
            <w:hideMark/>
          </w:tcPr>
          <w:p w14:paraId="216484E9"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1 180,01</w:t>
            </w:r>
          </w:p>
        </w:tc>
        <w:tc>
          <w:tcPr>
            <w:tcW w:w="1308" w:type="dxa"/>
            <w:vAlign w:val="center"/>
            <w:hideMark/>
          </w:tcPr>
          <w:p w14:paraId="284BA4A1"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1 530,65</w:t>
            </w:r>
          </w:p>
        </w:tc>
        <w:tc>
          <w:tcPr>
            <w:tcW w:w="1340" w:type="dxa"/>
            <w:vAlign w:val="center"/>
            <w:hideMark/>
          </w:tcPr>
          <w:p w14:paraId="78F780FD"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1 704,91</w:t>
            </w:r>
          </w:p>
        </w:tc>
        <w:tc>
          <w:tcPr>
            <w:tcW w:w="876" w:type="dxa"/>
            <w:vAlign w:val="center"/>
            <w:hideMark/>
          </w:tcPr>
          <w:p w14:paraId="4A1C5535"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1 436,26</w:t>
            </w:r>
          </w:p>
        </w:tc>
      </w:tr>
      <w:tr w:rsidR="00660857" w:rsidRPr="00660857" w14:paraId="355D8D98"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0E60DF27" w14:textId="77777777" w:rsidR="00660857" w:rsidRPr="00660857" w:rsidRDefault="00660857" w:rsidP="00E86941">
            <w:pPr>
              <w:spacing w:line="240" w:lineRule="auto"/>
              <w:jc w:val="center"/>
              <w:rPr>
                <w:rFonts w:eastAsia="Times New Roman" w:cs="Times New Roman"/>
                <w:color w:val="auto"/>
                <w:sz w:val="20"/>
                <w:szCs w:val="20"/>
                <w:lang w:eastAsia="pl-PL"/>
              </w:rPr>
            </w:pPr>
            <w:r w:rsidRPr="00660857">
              <w:rPr>
                <w:rFonts w:eastAsia="Times New Roman" w:cs="Times New Roman"/>
                <w:color w:val="auto"/>
                <w:sz w:val="20"/>
                <w:szCs w:val="20"/>
                <w:lang w:eastAsia="pl-PL"/>
              </w:rPr>
              <w:t>w odsetkach</w:t>
            </w:r>
          </w:p>
        </w:tc>
      </w:tr>
      <w:tr w:rsidR="00660857" w:rsidRPr="00660857" w14:paraId="44DEF76C"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7" w:type="dxa"/>
            <w:hideMark/>
          </w:tcPr>
          <w:p w14:paraId="610DE36C"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 xml:space="preserve">Wydatki gospodarstwa domowego                                                                                                                                                                                                                                                                                                                                                                                                                                      </w:t>
            </w:r>
          </w:p>
        </w:tc>
        <w:tc>
          <w:tcPr>
            <w:tcW w:w="1340" w:type="dxa"/>
            <w:vAlign w:val="center"/>
            <w:hideMark/>
          </w:tcPr>
          <w:p w14:paraId="6CDA92F4"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60857">
              <w:rPr>
                <w:rFonts w:eastAsia="Times New Roman" w:cs="Times New Roman"/>
                <w:sz w:val="20"/>
                <w:szCs w:val="20"/>
                <w:lang w:eastAsia="pl-PL"/>
              </w:rPr>
              <w:t>100,0</w:t>
            </w:r>
          </w:p>
        </w:tc>
        <w:tc>
          <w:tcPr>
            <w:tcW w:w="1372" w:type="dxa"/>
            <w:vAlign w:val="center"/>
            <w:hideMark/>
          </w:tcPr>
          <w:p w14:paraId="184489FD"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60857">
              <w:rPr>
                <w:rFonts w:eastAsia="Times New Roman" w:cs="Times New Roman"/>
                <w:sz w:val="20"/>
                <w:szCs w:val="20"/>
                <w:lang w:eastAsia="pl-PL"/>
              </w:rPr>
              <w:t>100,0</w:t>
            </w:r>
          </w:p>
        </w:tc>
        <w:tc>
          <w:tcPr>
            <w:tcW w:w="1308" w:type="dxa"/>
            <w:vAlign w:val="center"/>
            <w:hideMark/>
          </w:tcPr>
          <w:p w14:paraId="186E5F64"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60857">
              <w:rPr>
                <w:rFonts w:eastAsia="Times New Roman" w:cs="Times New Roman"/>
                <w:sz w:val="20"/>
                <w:szCs w:val="20"/>
                <w:lang w:eastAsia="pl-PL"/>
              </w:rPr>
              <w:t>100,0</w:t>
            </w:r>
          </w:p>
        </w:tc>
        <w:tc>
          <w:tcPr>
            <w:tcW w:w="1340" w:type="dxa"/>
            <w:vAlign w:val="center"/>
            <w:hideMark/>
          </w:tcPr>
          <w:p w14:paraId="5D4E46CF"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60857">
              <w:rPr>
                <w:rFonts w:eastAsia="Times New Roman" w:cs="Times New Roman"/>
                <w:sz w:val="20"/>
                <w:szCs w:val="20"/>
                <w:lang w:eastAsia="pl-PL"/>
              </w:rPr>
              <w:t>100,0</w:t>
            </w:r>
          </w:p>
        </w:tc>
        <w:tc>
          <w:tcPr>
            <w:tcW w:w="876" w:type="dxa"/>
            <w:vAlign w:val="center"/>
            <w:hideMark/>
          </w:tcPr>
          <w:p w14:paraId="1EFF57FB"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60857">
              <w:rPr>
                <w:rFonts w:eastAsia="Times New Roman" w:cs="Times New Roman"/>
                <w:sz w:val="20"/>
                <w:szCs w:val="20"/>
                <w:lang w:eastAsia="pl-PL"/>
              </w:rPr>
              <w:t>100,0</w:t>
            </w:r>
          </w:p>
        </w:tc>
      </w:tr>
      <w:tr w:rsidR="00660857" w:rsidRPr="00660857" w14:paraId="390FB632"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7" w:type="dxa"/>
            <w:hideMark/>
          </w:tcPr>
          <w:p w14:paraId="38C6CFC3"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w tym:</w:t>
            </w:r>
          </w:p>
        </w:tc>
        <w:tc>
          <w:tcPr>
            <w:tcW w:w="1340" w:type="dxa"/>
            <w:vAlign w:val="center"/>
            <w:hideMark/>
          </w:tcPr>
          <w:p w14:paraId="3E1D4A66"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72" w:type="dxa"/>
            <w:vAlign w:val="center"/>
            <w:hideMark/>
          </w:tcPr>
          <w:p w14:paraId="04BC0DBD"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08" w:type="dxa"/>
            <w:vAlign w:val="center"/>
            <w:hideMark/>
          </w:tcPr>
          <w:p w14:paraId="3D67C79A"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40" w:type="dxa"/>
            <w:vAlign w:val="center"/>
            <w:hideMark/>
          </w:tcPr>
          <w:p w14:paraId="516144C6"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876" w:type="dxa"/>
            <w:vAlign w:val="center"/>
            <w:hideMark/>
          </w:tcPr>
          <w:p w14:paraId="1B983400"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r>
      <w:tr w:rsidR="00660857" w:rsidRPr="00660857" w14:paraId="44579CC7"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7" w:type="dxa"/>
            <w:hideMark/>
          </w:tcPr>
          <w:p w14:paraId="2ACD7FF8"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 xml:space="preserve">żywność i napoje bezalkoholowe                                                                                                                                                                                                                                                                                                                                                                                                                               </w:t>
            </w:r>
          </w:p>
        </w:tc>
        <w:tc>
          <w:tcPr>
            <w:tcW w:w="1340" w:type="dxa"/>
            <w:vAlign w:val="center"/>
            <w:hideMark/>
          </w:tcPr>
          <w:p w14:paraId="28B324D6"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26,2</w:t>
            </w:r>
          </w:p>
        </w:tc>
        <w:tc>
          <w:tcPr>
            <w:tcW w:w="1372" w:type="dxa"/>
            <w:vAlign w:val="center"/>
            <w:hideMark/>
          </w:tcPr>
          <w:p w14:paraId="7B98F41D"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30,1</w:t>
            </w:r>
          </w:p>
        </w:tc>
        <w:tc>
          <w:tcPr>
            <w:tcW w:w="1308" w:type="dxa"/>
            <w:vAlign w:val="center"/>
            <w:hideMark/>
          </w:tcPr>
          <w:p w14:paraId="35D9FC97"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29,3</w:t>
            </w:r>
          </w:p>
        </w:tc>
        <w:tc>
          <w:tcPr>
            <w:tcW w:w="1340" w:type="dxa"/>
            <w:vAlign w:val="center"/>
            <w:hideMark/>
          </w:tcPr>
          <w:p w14:paraId="06BBF0AB"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29,3</w:t>
            </w:r>
          </w:p>
        </w:tc>
        <w:tc>
          <w:tcPr>
            <w:tcW w:w="876" w:type="dxa"/>
            <w:vAlign w:val="center"/>
            <w:hideMark/>
          </w:tcPr>
          <w:p w14:paraId="730C925B"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29,3</w:t>
            </w:r>
          </w:p>
        </w:tc>
      </w:tr>
      <w:tr w:rsidR="00660857" w:rsidRPr="00660857" w14:paraId="66F6E4B6" w14:textId="77777777" w:rsidTr="00934271">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57" w:type="dxa"/>
            <w:hideMark/>
          </w:tcPr>
          <w:p w14:paraId="70265189"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 xml:space="preserve">użytkowanie mieszkania lub domu i nośniki energii </w:t>
            </w:r>
          </w:p>
        </w:tc>
        <w:tc>
          <w:tcPr>
            <w:tcW w:w="1340" w:type="dxa"/>
            <w:vAlign w:val="center"/>
            <w:hideMark/>
          </w:tcPr>
          <w:p w14:paraId="0912ED68"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17,6</w:t>
            </w:r>
          </w:p>
        </w:tc>
        <w:tc>
          <w:tcPr>
            <w:tcW w:w="1372" w:type="dxa"/>
            <w:vAlign w:val="center"/>
            <w:hideMark/>
          </w:tcPr>
          <w:p w14:paraId="362A7357"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20,7</w:t>
            </w:r>
          </w:p>
        </w:tc>
        <w:tc>
          <w:tcPr>
            <w:tcW w:w="1308" w:type="dxa"/>
            <w:vAlign w:val="center"/>
            <w:hideMark/>
          </w:tcPr>
          <w:p w14:paraId="1597B22A"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22,7</w:t>
            </w:r>
          </w:p>
        </w:tc>
        <w:tc>
          <w:tcPr>
            <w:tcW w:w="1340" w:type="dxa"/>
            <w:vAlign w:val="center"/>
            <w:hideMark/>
          </w:tcPr>
          <w:p w14:paraId="779ABBC3"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25,1</w:t>
            </w:r>
          </w:p>
        </w:tc>
        <w:tc>
          <w:tcPr>
            <w:tcW w:w="876" w:type="dxa"/>
            <w:vAlign w:val="center"/>
            <w:hideMark/>
          </w:tcPr>
          <w:p w14:paraId="06222520"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21,0</w:t>
            </w:r>
          </w:p>
        </w:tc>
      </w:tr>
      <w:tr w:rsidR="00660857" w:rsidRPr="00660857" w14:paraId="1441A31F"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7" w:type="dxa"/>
            <w:hideMark/>
          </w:tcPr>
          <w:p w14:paraId="28B0FAC7"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 xml:space="preserve"> zdrowie                                                                                                                                                                                                                                                                                                                                                                                                                                                   </w:t>
            </w:r>
          </w:p>
        </w:tc>
        <w:tc>
          <w:tcPr>
            <w:tcW w:w="1340" w:type="dxa"/>
            <w:vAlign w:val="center"/>
            <w:hideMark/>
          </w:tcPr>
          <w:p w14:paraId="289163E9"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4,0</w:t>
            </w:r>
          </w:p>
        </w:tc>
        <w:tc>
          <w:tcPr>
            <w:tcW w:w="1372" w:type="dxa"/>
            <w:vAlign w:val="center"/>
            <w:hideMark/>
          </w:tcPr>
          <w:p w14:paraId="6CB29D49"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7,3</w:t>
            </w:r>
          </w:p>
        </w:tc>
        <w:tc>
          <w:tcPr>
            <w:tcW w:w="1308" w:type="dxa"/>
            <w:vAlign w:val="center"/>
            <w:hideMark/>
          </w:tcPr>
          <w:p w14:paraId="1B48E9D7"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9,0</w:t>
            </w:r>
          </w:p>
        </w:tc>
        <w:tc>
          <w:tcPr>
            <w:tcW w:w="1340" w:type="dxa"/>
            <w:vAlign w:val="center"/>
            <w:hideMark/>
          </w:tcPr>
          <w:p w14:paraId="573F9B5F"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8,7</w:t>
            </w:r>
          </w:p>
        </w:tc>
        <w:tc>
          <w:tcPr>
            <w:tcW w:w="876" w:type="dxa"/>
            <w:vAlign w:val="center"/>
            <w:hideMark/>
          </w:tcPr>
          <w:p w14:paraId="3E38632E"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9,2</w:t>
            </w:r>
          </w:p>
        </w:tc>
      </w:tr>
      <w:tr w:rsidR="00660857" w:rsidRPr="00660857" w14:paraId="7DFE7079" w14:textId="77777777" w:rsidTr="0093427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493" w:type="dxa"/>
            <w:gridSpan w:val="6"/>
            <w:noWrap/>
            <w:hideMark/>
          </w:tcPr>
          <w:p w14:paraId="351B93B6" w14:textId="77777777" w:rsidR="00660857" w:rsidRPr="00660857" w:rsidRDefault="00660857" w:rsidP="00E86941">
            <w:pPr>
              <w:spacing w:line="240" w:lineRule="auto"/>
              <w:jc w:val="center"/>
              <w:rPr>
                <w:rFonts w:eastAsia="Times New Roman" w:cs="Times New Roman"/>
                <w:color w:val="auto"/>
                <w:sz w:val="20"/>
                <w:szCs w:val="20"/>
                <w:lang w:eastAsia="pl-PL"/>
              </w:rPr>
            </w:pPr>
            <w:r w:rsidRPr="00660857">
              <w:rPr>
                <w:rFonts w:eastAsia="Times New Roman" w:cs="Times New Roman"/>
                <w:color w:val="auto"/>
                <w:sz w:val="20"/>
                <w:szCs w:val="20"/>
                <w:lang w:eastAsia="pl-PL"/>
              </w:rPr>
              <w:t>MIASTA</w:t>
            </w:r>
          </w:p>
        </w:tc>
      </w:tr>
      <w:tr w:rsidR="00660857" w:rsidRPr="00660857" w14:paraId="6B964D30"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252DDD7A"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w złotych</w:t>
            </w:r>
          </w:p>
        </w:tc>
      </w:tr>
      <w:tr w:rsidR="00660857" w:rsidRPr="00660857" w14:paraId="7F631A45"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7" w:type="dxa"/>
            <w:hideMark/>
          </w:tcPr>
          <w:p w14:paraId="001C094D" w14:textId="77777777" w:rsidR="00660857" w:rsidRPr="00660857" w:rsidRDefault="00660857" w:rsidP="00E86941">
            <w:pPr>
              <w:spacing w:line="240" w:lineRule="auto"/>
              <w:rPr>
                <w:rFonts w:eastAsia="Times New Roman" w:cs="Times New Roman"/>
                <w:bCs w:val="0"/>
                <w:color w:val="auto"/>
                <w:sz w:val="20"/>
                <w:szCs w:val="20"/>
                <w:lang w:eastAsia="pl-PL"/>
              </w:rPr>
            </w:pPr>
            <w:r w:rsidRPr="00660857">
              <w:rPr>
                <w:rFonts w:eastAsia="Times New Roman" w:cs="Times New Roman"/>
                <w:bCs w:val="0"/>
                <w:color w:val="auto"/>
                <w:sz w:val="20"/>
                <w:szCs w:val="20"/>
                <w:lang w:eastAsia="pl-PL"/>
              </w:rPr>
              <w:t xml:space="preserve">Wydatki gospodarstwa domowego                                                                                                                                                                                                                                                                                                                                                                                                                                 </w:t>
            </w:r>
          </w:p>
        </w:tc>
        <w:tc>
          <w:tcPr>
            <w:tcW w:w="1340" w:type="dxa"/>
            <w:vAlign w:val="center"/>
            <w:hideMark/>
          </w:tcPr>
          <w:p w14:paraId="4E9D80F3"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660857">
              <w:rPr>
                <w:rFonts w:cs="Times New Roman"/>
                <w:b/>
                <w:sz w:val="20"/>
                <w:szCs w:val="20"/>
              </w:rPr>
              <w:t>1 340,20</w:t>
            </w:r>
          </w:p>
        </w:tc>
        <w:tc>
          <w:tcPr>
            <w:tcW w:w="1372" w:type="dxa"/>
            <w:vAlign w:val="center"/>
            <w:hideMark/>
          </w:tcPr>
          <w:p w14:paraId="0B68CA0A"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660857">
              <w:rPr>
                <w:rFonts w:cs="Times New Roman"/>
                <w:b/>
                <w:sz w:val="20"/>
                <w:szCs w:val="20"/>
              </w:rPr>
              <w:t>1 358,53</w:t>
            </w:r>
          </w:p>
        </w:tc>
        <w:tc>
          <w:tcPr>
            <w:tcW w:w="1308" w:type="dxa"/>
            <w:vAlign w:val="center"/>
            <w:hideMark/>
          </w:tcPr>
          <w:p w14:paraId="4E1BA8BD"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660857">
              <w:rPr>
                <w:rFonts w:cs="Times New Roman"/>
                <w:b/>
                <w:sz w:val="20"/>
                <w:szCs w:val="20"/>
              </w:rPr>
              <w:t>1 585,81</w:t>
            </w:r>
          </w:p>
        </w:tc>
        <w:tc>
          <w:tcPr>
            <w:tcW w:w="1340" w:type="dxa"/>
            <w:vAlign w:val="center"/>
            <w:hideMark/>
          </w:tcPr>
          <w:p w14:paraId="162542F7"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660857">
              <w:rPr>
                <w:rFonts w:cs="Times New Roman"/>
                <w:b/>
                <w:sz w:val="20"/>
                <w:szCs w:val="20"/>
              </w:rPr>
              <w:t>1 769,67</w:t>
            </w:r>
          </w:p>
        </w:tc>
        <w:tc>
          <w:tcPr>
            <w:tcW w:w="876" w:type="dxa"/>
            <w:vAlign w:val="center"/>
            <w:hideMark/>
          </w:tcPr>
          <w:p w14:paraId="2E86AB37"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660857">
              <w:rPr>
                <w:rFonts w:cs="Times New Roman"/>
                <w:b/>
                <w:sz w:val="20"/>
                <w:szCs w:val="20"/>
              </w:rPr>
              <w:t>1 487,06</w:t>
            </w:r>
          </w:p>
        </w:tc>
      </w:tr>
      <w:tr w:rsidR="00660857" w:rsidRPr="00660857" w14:paraId="7C16097C"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7F3B93D"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w odsetkach</w:t>
            </w:r>
          </w:p>
        </w:tc>
      </w:tr>
      <w:tr w:rsidR="00660857" w:rsidRPr="00660857" w14:paraId="7A5BE38B"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7" w:type="dxa"/>
            <w:hideMark/>
          </w:tcPr>
          <w:p w14:paraId="7476E051"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 xml:space="preserve">Wydatki gospodarstwa domowego                                                                                                                                                                                                                                                                                                                                                                                                                                      </w:t>
            </w:r>
          </w:p>
        </w:tc>
        <w:tc>
          <w:tcPr>
            <w:tcW w:w="1340" w:type="dxa"/>
            <w:vAlign w:val="center"/>
            <w:hideMark/>
          </w:tcPr>
          <w:p w14:paraId="0F887073"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60857">
              <w:rPr>
                <w:rFonts w:eastAsia="Times New Roman" w:cs="Times New Roman"/>
                <w:sz w:val="20"/>
                <w:szCs w:val="20"/>
                <w:lang w:eastAsia="pl-PL"/>
              </w:rPr>
              <w:t>100,0</w:t>
            </w:r>
          </w:p>
        </w:tc>
        <w:tc>
          <w:tcPr>
            <w:tcW w:w="1372" w:type="dxa"/>
            <w:vAlign w:val="center"/>
            <w:hideMark/>
          </w:tcPr>
          <w:p w14:paraId="004EAA59"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60857">
              <w:rPr>
                <w:rFonts w:eastAsia="Times New Roman" w:cs="Times New Roman"/>
                <w:sz w:val="20"/>
                <w:szCs w:val="20"/>
                <w:lang w:eastAsia="pl-PL"/>
              </w:rPr>
              <w:t>100,0</w:t>
            </w:r>
          </w:p>
        </w:tc>
        <w:tc>
          <w:tcPr>
            <w:tcW w:w="1308" w:type="dxa"/>
            <w:vAlign w:val="center"/>
            <w:hideMark/>
          </w:tcPr>
          <w:p w14:paraId="64E9BF25"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60857">
              <w:rPr>
                <w:rFonts w:eastAsia="Times New Roman" w:cs="Times New Roman"/>
                <w:sz w:val="20"/>
                <w:szCs w:val="20"/>
                <w:lang w:eastAsia="pl-PL"/>
              </w:rPr>
              <w:t>100,0</w:t>
            </w:r>
          </w:p>
        </w:tc>
        <w:tc>
          <w:tcPr>
            <w:tcW w:w="1340" w:type="dxa"/>
            <w:vAlign w:val="center"/>
            <w:hideMark/>
          </w:tcPr>
          <w:p w14:paraId="7656CBBA"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60857">
              <w:rPr>
                <w:rFonts w:eastAsia="Times New Roman" w:cs="Times New Roman"/>
                <w:sz w:val="20"/>
                <w:szCs w:val="20"/>
                <w:lang w:eastAsia="pl-PL"/>
              </w:rPr>
              <w:t>100,0</w:t>
            </w:r>
          </w:p>
        </w:tc>
        <w:tc>
          <w:tcPr>
            <w:tcW w:w="876" w:type="dxa"/>
            <w:vAlign w:val="center"/>
            <w:hideMark/>
          </w:tcPr>
          <w:p w14:paraId="7AD28C43"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60857">
              <w:rPr>
                <w:rFonts w:eastAsia="Times New Roman" w:cs="Times New Roman"/>
                <w:sz w:val="20"/>
                <w:szCs w:val="20"/>
                <w:lang w:eastAsia="pl-PL"/>
              </w:rPr>
              <w:t>100,0</w:t>
            </w:r>
          </w:p>
        </w:tc>
      </w:tr>
      <w:tr w:rsidR="00660857" w:rsidRPr="00660857" w14:paraId="3F6D63D6"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7" w:type="dxa"/>
            <w:hideMark/>
          </w:tcPr>
          <w:p w14:paraId="3235396B"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w tym:</w:t>
            </w:r>
          </w:p>
        </w:tc>
        <w:tc>
          <w:tcPr>
            <w:tcW w:w="1340" w:type="dxa"/>
            <w:vAlign w:val="center"/>
            <w:hideMark/>
          </w:tcPr>
          <w:p w14:paraId="3EE88354"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1372" w:type="dxa"/>
            <w:vAlign w:val="center"/>
            <w:hideMark/>
          </w:tcPr>
          <w:p w14:paraId="790315F6"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1308" w:type="dxa"/>
            <w:vAlign w:val="center"/>
            <w:hideMark/>
          </w:tcPr>
          <w:p w14:paraId="066E8684"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1340" w:type="dxa"/>
            <w:vAlign w:val="center"/>
            <w:hideMark/>
          </w:tcPr>
          <w:p w14:paraId="592B2B13"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876" w:type="dxa"/>
            <w:vAlign w:val="center"/>
            <w:hideMark/>
          </w:tcPr>
          <w:p w14:paraId="68206FC9"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r>
      <w:tr w:rsidR="00660857" w:rsidRPr="00660857" w14:paraId="342EDBBD"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7" w:type="dxa"/>
            <w:hideMark/>
          </w:tcPr>
          <w:p w14:paraId="629BDF35"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 xml:space="preserve">żywność i napoje bezalkoholowe                                                                                                                                                                                                                                                                                                                                                                                                                               </w:t>
            </w:r>
          </w:p>
        </w:tc>
        <w:tc>
          <w:tcPr>
            <w:tcW w:w="1340" w:type="dxa"/>
            <w:vAlign w:val="center"/>
            <w:hideMark/>
          </w:tcPr>
          <w:p w14:paraId="10CEE5A0"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24,5</w:t>
            </w:r>
          </w:p>
        </w:tc>
        <w:tc>
          <w:tcPr>
            <w:tcW w:w="1372" w:type="dxa"/>
            <w:vAlign w:val="center"/>
            <w:hideMark/>
          </w:tcPr>
          <w:p w14:paraId="6C4BD7C8"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28,5</w:t>
            </w:r>
          </w:p>
        </w:tc>
        <w:tc>
          <w:tcPr>
            <w:tcW w:w="1308" w:type="dxa"/>
            <w:vAlign w:val="center"/>
            <w:hideMark/>
          </w:tcPr>
          <w:p w14:paraId="34A1F763"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28,4</w:t>
            </w:r>
          </w:p>
        </w:tc>
        <w:tc>
          <w:tcPr>
            <w:tcW w:w="1340" w:type="dxa"/>
            <w:vAlign w:val="center"/>
            <w:hideMark/>
          </w:tcPr>
          <w:p w14:paraId="449C61D0"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28,1</w:t>
            </w:r>
          </w:p>
        </w:tc>
        <w:tc>
          <w:tcPr>
            <w:tcW w:w="876" w:type="dxa"/>
            <w:vAlign w:val="center"/>
            <w:hideMark/>
          </w:tcPr>
          <w:p w14:paraId="3E614207"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28,4</w:t>
            </w:r>
          </w:p>
        </w:tc>
      </w:tr>
      <w:tr w:rsidR="00660857" w:rsidRPr="00660857" w14:paraId="4E3AF249" w14:textId="77777777" w:rsidTr="00934271">
        <w:trPr>
          <w:trHeight w:val="480"/>
        </w:trPr>
        <w:tc>
          <w:tcPr>
            <w:cnfStyle w:val="001000000000" w:firstRow="0" w:lastRow="0" w:firstColumn="1" w:lastColumn="0" w:oddVBand="0" w:evenVBand="0" w:oddHBand="0" w:evenHBand="0" w:firstRowFirstColumn="0" w:firstRowLastColumn="0" w:lastRowFirstColumn="0" w:lastRowLastColumn="0"/>
            <w:tcW w:w="3257" w:type="dxa"/>
            <w:hideMark/>
          </w:tcPr>
          <w:p w14:paraId="04B0A94C"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 xml:space="preserve">użytkowanie mieszkania lub domu i nośniki energii </w:t>
            </w:r>
          </w:p>
        </w:tc>
        <w:tc>
          <w:tcPr>
            <w:tcW w:w="1340" w:type="dxa"/>
            <w:vAlign w:val="center"/>
            <w:hideMark/>
          </w:tcPr>
          <w:p w14:paraId="085B6E9A"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18,4</w:t>
            </w:r>
          </w:p>
        </w:tc>
        <w:tc>
          <w:tcPr>
            <w:tcW w:w="1372" w:type="dxa"/>
            <w:vAlign w:val="center"/>
            <w:hideMark/>
          </w:tcPr>
          <w:p w14:paraId="36AEC0F2"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21,8</w:t>
            </w:r>
          </w:p>
        </w:tc>
        <w:tc>
          <w:tcPr>
            <w:tcW w:w="1308" w:type="dxa"/>
            <w:vAlign w:val="center"/>
            <w:hideMark/>
          </w:tcPr>
          <w:p w14:paraId="692CC3D3"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23,0</w:t>
            </w:r>
          </w:p>
        </w:tc>
        <w:tc>
          <w:tcPr>
            <w:tcW w:w="1340" w:type="dxa"/>
            <w:vAlign w:val="center"/>
            <w:hideMark/>
          </w:tcPr>
          <w:p w14:paraId="75617387"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25,6</w:t>
            </w:r>
          </w:p>
        </w:tc>
        <w:tc>
          <w:tcPr>
            <w:tcW w:w="876" w:type="dxa"/>
            <w:vAlign w:val="center"/>
            <w:hideMark/>
          </w:tcPr>
          <w:p w14:paraId="369A083E"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21,2</w:t>
            </w:r>
          </w:p>
        </w:tc>
      </w:tr>
      <w:tr w:rsidR="00660857" w:rsidRPr="00660857" w14:paraId="07C9D2CC"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7" w:type="dxa"/>
            <w:hideMark/>
          </w:tcPr>
          <w:p w14:paraId="466DCA76"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 xml:space="preserve">zdrowie                                                                                                                                                                                                                                                                                                                                                                                                                                                   </w:t>
            </w:r>
          </w:p>
        </w:tc>
        <w:tc>
          <w:tcPr>
            <w:tcW w:w="1340" w:type="dxa"/>
            <w:vAlign w:val="center"/>
            <w:hideMark/>
          </w:tcPr>
          <w:p w14:paraId="7CFCF8F0"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4,2</w:t>
            </w:r>
          </w:p>
        </w:tc>
        <w:tc>
          <w:tcPr>
            <w:tcW w:w="1372" w:type="dxa"/>
            <w:vAlign w:val="center"/>
            <w:hideMark/>
          </w:tcPr>
          <w:p w14:paraId="0FE71ADB"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7,9</w:t>
            </w:r>
          </w:p>
        </w:tc>
        <w:tc>
          <w:tcPr>
            <w:tcW w:w="1308" w:type="dxa"/>
            <w:vAlign w:val="center"/>
            <w:hideMark/>
          </w:tcPr>
          <w:p w14:paraId="2FFE0D37"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9,2</w:t>
            </w:r>
          </w:p>
        </w:tc>
        <w:tc>
          <w:tcPr>
            <w:tcW w:w="1340" w:type="dxa"/>
            <w:vAlign w:val="center"/>
            <w:hideMark/>
          </w:tcPr>
          <w:p w14:paraId="404DBFA9"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8,8</w:t>
            </w:r>
          </w:p>
        </w:tc>
        <w:tc>
          <w:tcPr>
            <w:tcW w:w="876" w:type="dxa"/>
            <w:vAlign w:val="center"/>
            <w:hideMark/>
          </w:tcPr>
          <w:p w14:paraId="01BE9795"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9,5</w:t>
            </w:r>
          </w:p>
        </w:tc>
      </w:tr>
      <w:tr w:rsidR="00660857" w:rsidRPr="00660857" w14:paraId="343FB7A3" w14:textId="77777777" w:rsidTr="00934271">
        <w:trPr>
          <w:trHeight w:val="398"/>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64A8A145" w14:textId="77777777" w:rsidR="00660857" w:rsidRPr="00660857" w:rsidRDefault="00660857" w:rsidP="00E86941">
            <w:pPr>
              <w:spacing w:line="240" w:lineRule="auto"/>
              <w:jc w:val="center"/>
              <w:rPr>
                <w:rFonts w:eastAsia="Times New Roman" w:cs="Times New Roman"/>
                <w:color w:val="auto"/>
                <w:sz w:val="20"/>
                <w:szCs w:val="20"/>
                <w:lang w:eastAsia="pl-PL"/>
              </w:rPr>
            </w:pPr>
            <w:r w:rsidRPr="00660857">
              <w:rPr>
                <w:rFonts w:eastAsia="Times New Roman" w:cs="Times New Roman"/>
                <w:color w:val="auto"/>
                <w:sz w:val="20"/>
                <w:szCs w:val="20"/>
                <w:lang w:eastAsia="pl-PL"/>
              </w:rPr>
              <w:t>WIEŚ</w:t>
            </w:r>
          </w:p>
        </w:tc>
      </w:tr>
      <w:tr w:rsidR="00660857" w:rsidRPr="00660857" w14:paraId="194844A2"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0B74C222"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w złotych</w:t>
            </w:r>
          </w:p>
        </w:tc>
      </w:tr>
      <w:tr w:rsidR="00660857" w:rsidRPr="00660857" w14:paraId="677544C4"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7" w:type="dxa"/>
            <w:hideMark/>
          </w:tcPr>
          <w:p w14:paraId="047DA9C3" w14:textId="77777777" w:rsidR="00660857" w:rsidRPr="00660857" w:rsidRDefault="00660857" w:rsidP="00E86941">
            <w:pPr>
              <w:spacing w:line="240" w:lineRule="auto"/>
              <w:rPr>
                <w:rFonts w:eastAsia="Times New Roman" w:cs="Times New Roman"/>
                <w:bCs w:val="0"/>
                <w:color w:val="auto"/>
                <w:sz w:val="20"/>
                <w:szCs w:val="20"/>
                <w:lang w:eastAsia="pl-PL"/>
              </w:rPr>
            </w:pPr>
            <w:r w:rsidRPr="00660857">
              <w:rPr>
                <w:rFonts w:eastAsia="Times New Roman" w:cs="Times New Roman"/>
                <w:bCs w:val="0"/>
                <w:color w:val="auto"/>
                <w:sz w:val="20"/>
                <w:szCs w:val="20"/>
                <w:lang w:eastAsia="pl-PL"/>
              </w:rPr>
              <w:t xml:space="preserve">Wydatki gospodarstwa domowego                                                                                                                                                                                                                                                                                                                                                                                                                                 </w:t>
            </w:r>
          </w:p>
        </w:tc>
        <w:tc>
          <w:tcPr>
            <w:tcW w:w="1340" w:type="dxa"/>
            <w:vAlign w:val="center"/>
            <w:hideMark/>
          </w:tcPr>
          <w:p w14:paraId="63E64613"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660857">
              <w:rPr>
                <w:rFonts w:cs="Times New Roman"/>
                <w:b/>
                <w:sz w:val="20"/>
                <w:szCs w:val="20"/>
              </w:rPr>
              <w:t>1 024,74</w:t>
            </w:r>
          </w:p>
        </w:tc>
        <w:tc>
          <w:tcPr>
            <w:tcW w:w="1372" w:type="dxa"/>
            <w:vAlign w:val="center"/>
            <w:hideMark/>
          </w:tcPr>
          <w:p w14:paraId="141B3580"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660857">
              <w:rPr>
                <w:rFonts w:cs="Times New Roman"/>
                <w:b/>
                <w:sz w:val="20"/>
                <w:szCs w:val="20"/>
              </w:rPr>
              <w:t>960,06</w:t>
            </w:r>
          </w:p>
        </w:tc>
        <w:tc>
          <w:tcPr>
            <w:tcW w:w="1308" w:type="dxa"/>
            <w:vAlign w:val="center"/>
            <w:hideMark/>
          </w:tcPr>
          <w:p w14:paraId="72E026DF"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660857">
              <w:rPr>
                <w:rFonts w:cs="Times New Roman"/>
                <w:b/>
                <w:sz w:val="20"/>
                <w:szCs w:val="20"/>
              </w:rPr>
              <w:t>1 370,25</w:t>
            </w:r>
          </w:p>
        </w:tc>
        <w:tc>
          <w:tcPr>
            <w:tcW w:w="1340" w:type="dxa"/>
            <w:vAlign w:val="center"/>
            <w:hideMark/>
          </w:tcPr>
          <w:p w14:paraId="1C401BC5"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660857">
              <w:rPr>
                <w:rFonts w:cs="Times New Roman"/>
                <w:b/>
                <w:sz w:val="20"/>
                <w:szCs w:val="20"/>
              </w:rPr>
              <w:t>1 515,87</w:t>
            </w:r>
          </w:p>
        </w:tc>
        <w:tc>
          <w:tcPr>
            <w:tcW w:w="876" w:type="dxa"/>
            <w:vAlign w:val="center"/>
            <w:hideMark/>
          </w:tcPr>
          <w:p w14:paraId="627617A0"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660857">
              <w:rPr>
                <w:rFonts w:cs="Times New Roman"/>
                <w:b/>
                <w:sz w:val="20"/>
                <w:szCs w:val="20"/>
              </w:rPr>
              <w:t>1 284,54</w:t>
            </w:r>
          </w:p>
        </w:tc>
      </w:tr>
      <w:tr w:rsidR="00660857" w:rsidRPr="00660857" w14:paraId="4BD625FD"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8DC05C5"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w odsetkach</w:t>
            </w:r>
          </w:p>
        </w:tc>
      </w:tr>
      <w:tr w:rsidR="00660857" w:rsidRPr="00660857" w14:paraId="5331085D"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7" w:type="dxa"/>
            <w:hideMark/>
          </w:tcPr>
          <w:p w14:paraId="717C496D"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 xml:space="preserve">Wydatki gospodarstwa domowego                                                                                                                                                                                                                                                                                                                                                                                                                                      </w:t>
            </w:r>
          </w:p>
        </w:tc>
        <w:tc>
          <w:tcPr>
            <w:tcW w:w="1340" w:type="dxa"/>
            <w:hideMark/>
          </w:tcPr>
          <w:p w14:paraId="4819D7BA"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60857">
              <w:rPr>
                <w:rFonts w:eastAsia="Times New Roman" w:cs="Times New Roman"/>
                <w:sz w:val="20"/>
                <w:szCs w:val="20"/>
                <w:lang w:eastAsia="pl-PL"/>
              </w:rPr>
              <w:t>100,0</w:t>
            </w:r>
          </w:p>
        </w:tc>
        <w:tc>
          <w:tcPr>
            <w:tcW w:w="1372" w:type="dxa"/>
            <w:hideMark/>
          </w:tcPr>
          <w:p w14:paraId="2275E199"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60857">
              <w:rPr>
                <w:rFonts w:eastAsia="Times New Roman" w:cs="Times New Roman"/>
                <w:sz w:val="20"/>
                <w:szCs w:val="20"/>
                <w:lang w:eastAsia="pl-PL"/>
              </w:rPr>
              <w:t>100,0</w:t>
            </w:r>
          </w:p>
        </w:tc>
        <w:tc>
          <w:tcPr>
            <w:tcW w:w="1308" w:type="dxa"/>
            <w:hideMark/>
          </w:tcPr>
          <w:p w14:paraId="1F5C7B0F"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60857">
              <w:rPr>
                <w:rFonts w:eastAsia="Times New Roman" w:cs="Times New Roman"/>
                <w:sz w:val="20"/>
                <w:szCs w:val="20"/>
                <w:lang w:eastAsia="pl-PL"/>
              </w:rPr>
              <w:t>100,0</w:t>
            </w:r>
          </w:p>
        </w:tc>
        <w:tc>
          <w:tcPr>
            <w:tcW w:w="1340" w:type="dxa"/>
            <w:hideMark/>
          </w:tcPr>
          <w:p w14:paraId="39E9A513"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60857">
              <w:rPr>
                <w:rFonts w:eastAsia="Times New Roman" w:cs="Times New Roman"/>
                <w:sz w:val="20"/>
                <w:szCs w:val="20"/>
                <w:lang w:eastAsia="pl-PL"/>
              </w:rPr>
              <w:t>100,0</w:t>
            </w:r>
          </w:p>
        </w:tc>
        <w:tc>
          <w:tcPr>
            <w:tcW w:w="876" w:type="dxa"/>
            <w:hideMark/>
          </w:tcPr>
          <w:p w14:paraId="536E8D56" w14:textId="77777777" w:rsidR="00660857" w:rsidRPr="00660857" w:rsidRDefault="00660857"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60857">
              <w:rPr>
                <w:rFonts w:eastAsia="Times New Roman" w:cs="Times New Roman"/>
                <w:sz w:val="20"/>
                <w:szCs w:val="20"/>
                <w:lang w:eastAsia="pl-PL"/>
              </w:rPr>
              <w:t>100,0</w:t>
            </w:r>
          </w:p>
        </w:tc>
      </w:tr>
      <w:tr w:rsidR="00660857" w:rsidRPr="00660857" w14:paraId="3B55A971"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7" w:type="dxa"/>
            <w:hideMark/>
          </w:tcPr>
          <w:p w14:paraId="1B1AB5BF"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w tym:</w:t>
            </w:r>
          </w:p>
        </w:tc>
        <w:tc>
          <w:tcPr>
            <w:tcW w:w="1340" w:type="dxa"/>
            <w:hideMark/>
          </w:tcPr>
          <w:p w14:paraId="6ABB31AE"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72" w:type="dxa"/>
            <w:hideMark/>
          </w:tcPr>
          <w:p w14:paraId="2A6DE37D"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08" w:type="dxa"/>
            <w:hideMark/>
          </w:tcPr>
          <w:p w14:paraId="54BCEEE0"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40" w:type="dxa"/>
            <w:hideMark/>
          </w:tcPr>
          <w:p w14:paraId="6F24F79D"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876" w:type="dxa"/>
            <w:hideMark/>
          </w:tcPr>
          <w:p w14:paraId="783C45FB" w14:textId="77777777" w:rsidR="00660857" w:rsidRPr="00660857" w:rsidRDefault="00660857"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r>
      <w:tr w:rsidR="00660857" w:rsidRPr="00660857" w14:paraId="565233C1"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7" w:type="dxa"/>
            <w:hideMark/>
          </w:tcPr>
          <w:p w14:paraId="6052263F"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 xml:space="preserve">żywność i napoje bezalkoholowe                                                                                                                                                                                                                                                                                                                                                                                                                               </w:t>
            </w:r>
          </w:p>
        </w:tc>
        <w:tc>
          <w:tcPr>
            <w:tcW w:w="1340" w:type="dxa"/>
            <w:vAlign w:val="center"/>
            <w:hideMark/>
          </w:tcPr>
          <w:p w14:paraId="4A9222B1"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30,1</w:t>
            </w:r>
          </w:p>
        </w:tc>
        <w:tc>
          <w:tcPr>
            <w:tcW w:w="1372" w:type="dxa"/>
            <w:vAlign w:val="center"/>
            <w:hideMark/>
          </w:tcPr>
          <w:p w14:paraId="6349B80A"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32,7</w:t>
            </w:r>
          </w:p>
        </w:tc>
        <w:tc>
          <w:tcPr>
            <w:tcW w:w="1308" w:type="dxa"/>
            <w:vAlign w:val="center"/>
            <w:hideMark/>
          </w:tcPr>
          <w:p w14:paraId="1E264C60"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32,5</w:t>
            </w:r>
          </w:p>
        </w:tc>
        <w:tc>
          <w:tcPr>
            <w:tcW w:w="1340" w:type="dxa"/>
            <w:vAlign w:val="center"/>
            <w:hideMark/>
          </w:tcPr>
          <w:p w14:paraId="3E4CB234"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33,3</w:t>
            </w:r>
          </w:p>
        </w:tc>
        <w:tc>
          <w:tcPr>
            <w:tcW w:w="876" w:type="dxa"/>
            <w:vAlign w:val="center"/>
            <w:hideMark/>
          </w:tcPr>
          <w:p w14:paraId="1F5D38A1"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32,3</w:t>
            </w:r>
          </w:p>
        </w:tc>
      </w:tr>
      <w:tr w:rsidR="00660857" w:rsidRPr="00660857" w14:paraId="53230169" w14:textId="77777777" w:rsidTr="00934271">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257" w:type="dxa"/>
            <w:hideMark/>
          </w:tcPr>
          <w:p w14:paraId="2A9866F4"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 xml:space="preserve">użytkowanie mieszkania lub domu i nośniki energii </w:t>
            </w:r>
          </w:p>
        </w:tc>
        <w:tc>
          <w:tcPr>
            <w:tcW w:w="1340" w:type="dxa"/>
            <w:vAlign w:val="center"/>
            <w:hideMark/>
          </w:tcPr>
          <w:p w14:paraId="33B27170"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15,7</w:t>
            </w:r>
          </w:p>
        </w:tc>
        <w:tc>
          <w:tcPr>
            <w:tcW w:w="1372" w:type="dxa"/>
            <w:vAlign w:val="center"/>
            <w:hideMark/>
          </w:tcPr>
          <w:p w14:paraId="5FB6A483"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18,8</w:t>
            </w:r>
          </w:p>
        </w:tc>
        <w:tc>
          <w:tcPr>
            <w:tcW w:w="1308" w:type="dxa"/>
            <w:vAlign w:val="center"/>
            <w:hideMark/>
          </w:tcPr>
          <w:p w14:paraId="7CD212B9"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21,4</w:t>
            </w:r>
          </w:p>
        </w:tc>
        <w:tc>
          <w:tcPr>
            <w:tcW w:w="1340" w:type="dxa"/>
            <w:vAlign w:val="center"/>
            <w:hideMark/>
          </w:tcPr>
          <w:p w14:paraId="22253AF2"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23,5</w:t>
            </w:r>
          </w:p>
        </w:tc>
        <w:tc>
          <w:tcPr>
            <w:tcW w:w="876" w:type="dxa"/>
            <w:vAlign w:val="center"/>
            <w:hideMark/>
          </w:tcPr>
          <w:p w14:paraId="09531395" w14:textId="77777777" w:rsidR="00660857" w:rsidRPr="00660857" w:rsidRDefault="00660857"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660857">
              <w:rPr>
                <w:rFonts w:cs="Times New Roman"/>
                <w:sz w:val="20"/>
                <w:szCs w:val="20"/>
              </w:rPr>
              <w:t>20,1</w:t>
            </w:r>
          </w:p>
        </w:tc>
      </w:tr>
      <w:tr w:rsidR="00660857" w:rsidRPr="00660857" w14:paraId="2F6D0301"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3257" w:type="dxa"/>
            <w:hideMark/>
          </w:tcPr>
          <w:p w14:paraId="00FA0186" w14:textId="77777777" w:rsidR="00660857" w:rsidRPr="00660857" w:rsidRDefault="00660857" w:rsidP="00E86941">
            <w:pPr>
              <w:spacing w:line="240" w:lineRule="auto"/>
              <w:rPr>
                <w:rFonts w:eastAsia="Times New Roman" w:cs="Times New Roman"/>
                <w:color w:val="auto"/>
                <w:sz w:val="20"/>
                <w:szCs w:val="20"/>
                <w:lang w:eastAsia="pl-PL"/>
              </w:rPr>
            </w:pPr>
            <w:r w:rsidRPr="00660857">
              <w:rPr>
                <w:rFonts w:eastAsia="Times New Roman" w:cs="Times New Roman"/>
                <w:color w:val="auto"/>
                <w:sz w:val="20"/>
                <w:szCs w:val="20"/>
                <w:lang w:eastAsia="pl-PL"/>
              </w:rPr>
              <w:t xml:space="preserve">zdrowie                                                                                                                                                                                                                                                                                                                                                                                                                                                   </w:t>
            </w:r>
          </w:p>
        </w:tc>
        <w:tc>
          <w:tcPr>
            <w:tcW w:w="1340" w:type="dxa"/>
            <w:vAlign w:val="center"/>
            <w:hideMark/>
          </w:tcPr>
          <w:p w14:paraId="12192622"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3,7</w:t>
            </w:r>
          </w:p>
        </w:tc>
        <w:tc>
          <w:tcPr>
            <w:tcW w:w="1372" w:type="dxa"/>
            <w:vAlign w:val="center"/>
            <w:hideMark/>
          </w:tcPr>
          <w:p w14:paraId="69D89F85"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6,2</w:t>
            </w:r>
          </w:p>
        </w:tc>
        <w:tc>
          <w:tcPr>
            <w:tcW w:w="1308" w:type="dxa"/>
            <w:vAlign w:val="center"/>
            <w:hideMark/>
          </w:tcPr>
          <w:p w14:paraId="366CAD5C"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8,3</w:t>
            </w:r>
          </w:p>
        </w:tc>
        <w:tc>
          <w:tcPr>
            <w:tcW w:w="1340" w:type="dxa"/>
            <w:vAlign w:val="center"/>
            <w:hideMark/>
          </w:tcPr>
          <w:p w14:paraId="02438422"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8,4</w:t>
            </w:r>
          </w:p>
        </w:tc>
        <w:tc>
          <w:tcPr>
            <w:tcW w:w="876" w:type="dxa"/>
            <w:vAlign w:val="center"/>
            <w:hideMark/>
          </w:tcPr>
          <w:p w14:paraId="7330BA6E" w14:textId="77777777" w:rsidR="00660857" w:rsidRPr="00660857" w:rsidRDefault="00660857"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660857">
              <w:rPr>
                <w:rFonts w:cs="Times New Roman"/>
                <w:sz w:val="20"/>
                <w:szCs w:val="20"/>
              </w:rPr>
              <w:t>8,2</w:t>
            </w:r>
          </w:p>
        </w:tc>
      </w:tr>
    </w:tbl>
    <w:p w14:paraId="0418FD48" w14:textId="5E67F196" w:rsidR="00F812E9" w:rsidRPr="00392F2F" w:rsidRDefault="00660857" w:rsidP="00E86941">
      <w:pPr>
        <w:spacing w:after="120"/>
        <w:rPr>
          <w:rFonts w:cs="Times New Roman"/>
          <w:b/>
          <w:bCs/>
          <w:spacing w:val="-10"/>
          <w:kern w:val="20"/>
          <w:sz w:val="22"/>
        </w:rPr>
      </w:pPr>
      <w:r w:rsidRPr="00392F2F">
        <w:rPr>
          <w:rFonts w:cs="Times New Roman"/>
          <w:b/>
          <w:bCs/>
          <w:spacing w:val="-10"/>
          <w:kern w:val="20"/>
          <w:sz w:val="22"/>
        </w:rPr>
        <w:t>Źródło: Badanie budżetów gospodarstw domowych w 2020 r., GUS</w:t>
      </w:r>
      <w:r w:rsidR="00392F2F">
        <w:rPr>
          <w:rFonts w:cs="Times New Roman"/>
          <w:b/>
          <w:bCs/>
          <w:spacing w:val="-10"/>
          <w:kern w:val="20"/>
          <w:sz w:val="22"/>
        </w:rPr>
        <w:t>.</w:t>
      </w:r>
    </w:p>
    <w:p w14:paraId="4DB9644F" w14:textId="77777777" w:rsidR="00E86941" w:rsidRPr="006C2327" w:rsidRDefault="00E86941" w:rsidP="00E86941">
      <w:pPr>
        <w:rPr>
          <w:rFonts w:cs="Times New Roman"/>
          <w:spacing w:val="-2"/>
          <w:szCs w:val="24"/>
        </w:rPr>
      </w:pPr>
      <w:r w:rsidRPr="006C2327">
        <w:rPr>
          <w:rFonts w:cs="Times New Roman"/>
          <w:spacing w:val="-2"/>
          <w:szCs w:val="24"/>
        </w:rPr>
        <w:t xml:space="preserve">W 2020 r. większy odsetek badanych gospodarstw domowych ocenił swoją sytuacje materialną jako bardzo dobrą i raczej dobrą niż w 2019 r. Gospodarstwa domowe wyłącznie z osobami starszymi rzadziej oceniały swoją sytuację materialną jako bardzo dobrą lub dobrą w porównaniu z gospodarstwami bez osób starszych (39,9% wobec 59,5%), jednak nastąpił tu zauważalny wzrost w porównaniu z 2019 r. (wtedy </w:t>
      </w:r>
      <w:r w:rsidR="006C2327" w:rsidRPr="006C2327">
        <w:rPr>
          <w:rFonts w:cs="Times New Roman"/>
          <w:spacing w:val="-2"/>
          <w:szCs w:val="24"/>
        </w:rPr>
        <w:t>przedmiotowe wartości wyniosły 37,4% wobec 56,5%).</w:t>
      </w:r>
    </w:p>
    <w:p w14:paraId="5C4A0A88" w14:textId="77777777" w:rsidR="00E86941" w:rsidRPr="006C2327" w:rsidRDefault="00E86941" w:rsidP="006C2327">
      <w:pPr>
        <w:rPr>
          <w:rFonts w:cs="Times New Roman"/>
          <w:color w:val="FF0000"/>
          <w:spacing w:val="-2"/>
          <w:szCs w:val="24"/>
        </w:rPr>
      </w:pPr>
    </w:p>
    <w:p w14:paraId="1F82E976" w14:textId="76FEF1E7" w:rsidR="00E86941" w:rsidRPr="00E86941" w:rsidRDefault="00E86941" w:rsidP="00E86941">
      <w:pPr>
        <w:pStyle w:val="Legenda"/>
        <w:keepNext/>
        <w:rPr>
          <w:rFonts w:cs="Times New Roman"/>
          <w:b/>
          <w:i w:val="0"/>
          <w:color w:val="auto"/>
          <w:sz w:val="24"/>
        </w:rPr>
      </w:pPr>
      <w:bookmarkStart w:id="12" w:name="_Toc49171382"/>
      <w:r w:rsidRPr="00E86941">
        <w:rPr>
          <w:rFonts w:cs="Times New Roman"/>
          <w:b/>
          <w:i w:val="0"/>
          <w:color w:val="auto"/>
          <w:sz w:val="24"/>
        </w:rPr>
        <w:lastRenderedPageBreak/>
        <w:t>Tabela 7</w:t>
      </w:r>
      <w:r w:rsidR="00EE73AF">
        <w:rPr>
          <w:rFonts w:cs="Times New Roman"/>
          <w:b/>
          <w:i w:val="0"/>
          <w:color w:val="auto"/>
          <w:sz w:val="24"/>
        </w:rPr>
        <w:t>.</w:t>
      </w:r>
      <w:r w:rsidRPr="00E86941">
        <w:rPr>
          <w:rFonts w:cs="Times New Roman"/>
          <w:b/>
          <w:i w:val="0"/>
          <w:color w:val="auto"/>
          <w:sz w:val="24"/>
        </w:rPr>
        <w:t xml:space="preserve"> Subiektywna ocena sytuacji materialnej gospodarstwa domowego</w:t>
      </w:r>
      <w:bookmarkEnd w:id="12"/>
    </w:p>
    <w:tbl>
      <w:tblPr>
        <w:tblStyle w:val="Tabelasiatki5ciemnaakcent2"/>
        <w:tblW w:w="9493" w:type="dxa"/>
        <w:tblLook w:val="04A0" w:firstRow="1" w:lastRow="0" w:firstColumn="1" w:lastColumn="0" w:noHBand="0" w:noVBand="1"/>
      </w:tblPr>
      <w:tblGrid>
        <w:gridCol w:w="2967"/>
        <w:gridCol w:w="1334"/>
        <w:gridCol w:w="1372"/>
        <w:gridCol w:w="1334"/>
        <w:gridCol w:w="1336"/>
        <w:gridCol w:w="1150"/>
      </w:tblGrid>
      <w:tr w:rsidR="00E86941" w:rsidRPr="00E86941" w14:paraId="1918D6E2" w14:textId="77777777" w:rsidTr="00934271">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967" w:type="dxa"/>
            <w:vMerge w:val="restart"/>
            <w:vAlign w:val="center"/>
            <w:hideMark/>
          </w:tcPr>
          <w:p w14:paraId="7C43167A" w14:textId="77777777" w:rsidR="00E86941" w:rsidRPr="00E86941" w:rsidRDefault="00E86941" w:rsidP="00E86941">
            <w:pPr>
              <w:spacing w:line="240" w:lineRule="auto"/>
              <w:jc w:val="center"/>
              <w:rPr>
                <w:rFonts w:eastAsia="Times New Roman" w:cs="Times New Roman"/>
                <w:color w:val="auto"/>
                <w:sz w:val="20"/>
                <w:szCs w:val="20"/>
                <w:lang w:eastAsia="pl-PL"/>
              </w:rPr>
            </w:pPr>
            <w:r w:rsidRPr="00E86941">
              <w:rPr>
                <w:rFonts w:eastAsia="Times New Roman" w:cs="Times New Roman"/>
                <w:color w:val="auto"/>
                <w:sz w:val="20"/>
                <w:szCs w:val="20"/>
                <w:lang w:eastAsia="pl-PL"/>
              </w:rPr>
              <w:t>Wyszczególnienie</w:t>
            </w:r>
          </w:p>
        </w:tc>
        <w:tc>
          <w:tcPr>
            <w:tcW w:w="6526" w:type="dxa"/>
            <w:gridSpan w:val="5"/>
            <w:vAlign w:val="center"/>
            <w:hideMark/>
          </w:tcPr>
          <w:p w14:paraId="34C23285" w14:textId="77777777" w:rsidR="00E86941" w:rsidRPr="00E86941" w:rsidRDefault="00E86941" w:rsidP="00E8694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E86941">
              <w:rPr>
                <w:rFonts w:eastAsia="Times New Roman" w:cs="Times New Roman"/>
                <w:color w:val="auto"/>
                <w:sz w:val="20"/>
                <w:szCs w:val="20"/>
                <w:lang w:eastAsia="pl-PL"/>
              </w:rPr>
              <w:t>Gospodarstwa domowe</w:t>
            </w:r>
          </w:p>
        </w:tc>
      </w:tr>
      <w:tr w:rsidR="00E86941" w:rsidRPr="00E86941" w14:paraId="39126218" w14:textId="77777777" w:rsidTr="0093427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967" w:type="dxa"/>
            <w:vMerge/>
            <w:vAlign w:val="center"/>
            <w:hideMark/>
          </w:tcPr>
          <w:p w14:paraId="68F86947" w14:textId="77777777" w:rsidR="00E86941" w:rsidRPr="00E86941" w:rsidRDefault="00E86941" w:rsidP="00E86941">
            <w:pPr>
              <w:spacing w:line="240" w:lineRule="auto"/>
              <w:jc w:val="center"/>
              <w:rPr>
                <w:rFonts w:eastAsia="Times New Roman" w:cs="Times New Roman"/>
                <w:color w:val="auto"/>
                <w:sz w:val="20"/>
                <w:szCs w:val="20"/>
                <w:lang w:eastAsia="pl-PL"/>
              </w:rPr>
            </w:pPr>
          </w:p>
        </w:tc>
        <w:tc>
          <w:tcPr>
            <w:tcW w:w="1334" w:type="dxa"/>
            <w:vMerge w:val="restart"/>
            <w:vAlign w:val="center"/>
            <w:hideMark/>
          </w:tcPr>
          <w:p w14:paraId="1CEBA615" w14:textId="77777777" w:rsidR="00E86941" w:rsidRPr="00E86941" w:rsidRDefault="00E86941"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E86941">
              <w:rPr>
                <w:rFonts w:eastAsia="Times New Roman" w:cs="Times New Roman"/>
                <w:b/>
                <w:sz w:val="20"/>
                <w:szCs w:val="20"/>
                <w:lang w:eastAsia="pl-PL"/>
              </w:rPr>
              <w:t xml:space="preserve">bez osób </w:t>
            </w:r>
            <w:r w:rsidRPr="00E86941">
              <w:rPr>
                <w:rFonts w:eastAsia="Times New Roman" w:cs="Times New Roman"/>
                <w:b/>
                <w:sz w:val="20"/>
                <w:szCs w:val="20"/>
                <w:lang w:eastAsia="pl-PL"/>
              </w:rPr>
              <w:br/>
              <w:t xml:space="preserve">w wieku 60 lat </w:t>
            </w:r>
            <w:r w:rsidRPr="00E86941">
              <w:rPr>
                <w:rFonts w:eastAsia="Times New Roman" w:cs="Times New Roman"/>
                <w:b/>
                <w:sz w:val="20"/>
                <w:szCs w:val="20"/>
                <w:lang w:eastAsia="pl-PL"/>
              </w:rPr>
              <w:br/>
              <w:t>i więcej</w:t>
            </w:r>
          </w:p>
        </w:tc>
        <w:tc>
          <w:tcPr>
            <w:tcW w:w="1372" w:type="dxa"/>
            <w:vMerge w:val="restart"/>
            <w:vAlign w:val="center"/>
            <w:hideMark/>
          </w:tcPr>
          <w:p w14:paraId="174F2C94" w14:textId="77777777" w:rsidR="00E86941" w:rsidRPr="00E86941" w:rsidRDefault="00E86941"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E86941">
              <w:rPr>
                <w:rFonts w:eastAsia="Times New Roman" w:cs="Times New Roman"/>
                <w:b/>
                <w:sz w:val="20"/>
                <w:szCs w:val="20"/>
                <w:lang w:eastAsia="pl-PL"/>
              </w:rPr>
              <w:t xml:space="preserve">z przynajmniej </w:t>
            </w:r>
            <w:r w:rsidRPr="00E86941">
              <w:rPr>
                <w:rFonts w:eastAsia="Times New Roman" w:cs="Times New Roman"/>
                <w:b/>
                <w:sz w:val="20"/>
                <w:szCs w:val="20"/>
                <w:lang w:eastAsia="pl-PL"/>
              </w:rPr>
              <w:br/>
              <w:t>1 osobą w wieku 60 lat i więcej</w:t>
            </w:r>
          </w:p>
        </w:tc>
        <w:tc>
          <w:tcPr>
            <w:tcW w:w="3820" w:type="dxa"/>
            <w:gridSpan w:val="3"/>
            <w:vAlign w:val="center"/>
            <w:hideMark/>
          </w:tcPr>
          <w:p w14:paraId="536DDF0A" w14:textId="77777777" w:rsidR="00E86941" w:rsidRPr="00E86941" w:rsidRDefault="00E86941"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E86941">
              <w:rPr>
                <w:rFonts w:eastAsia="Times New Roman" w:cs="Times New Roman"/>
                <w:b/>
                <w:sz w:val="20"/>
                <w:szCs w:val="20"/>
                <w:lang w:eastAsia="pl-PL"/>
              </w:rPr>
              <w:t>wyłącznie z osobami w wieku 60 lat i więcej</w:t>
            </w:r>
          </w:p>
        </w:tc>
      </w:tr>
      <w:tr w:rsidR="00E86941" w:rsidRPr="00E86941" w14:paraId="2FB1ABA6" w14:textId="77777777" w:rsidTr="00934271">
        <w:trPr>
          <w:trHeight w:val="398"/>
        </w:trPr>
        <w:tc>
          <w:tcPr>
            <w:cnfStyle w:val="001000000000" w:firstRow="0" w:lastRow="0" w:firstColumn="1" w:lastColumn="0" w:oddVBand="0" w:evenVBand="0" w:oddHBand="0" w:evenHBand="0" w:firstRowFirstColumn="0" w:firstRowLastColumn="0" w:lastRowFirstColumn="0" w:lastRowLastColumn="0"/>
            <w:tcW w:w="2967" w:type="dxa"/>
            <w:vMerge/>
            <w:vAlign w:val="center"/>
            <w:hideMark/>
          </w:tcPr>
          <w:p w14:paraId="1149F5EF" w14:textId="77777777" w:rsidR="00E86941" w:rsidRPr="00E86941" w:rsidRDefault="00E86941" w:rsidP="00E86941">
            <w:pPr>
              <w:spacing w:line="240" w:lineRule="auto"/>
              <w:jc w:val="center"/>
              <w:rPr>
                <w:rFonts w:eastAsia="Times New Roman" w:cs="Times New Roman"/>
                <w:color w:val="auto"/>
                <w:sz w:val="20"/>
                <w:szCs w:val="20"/>
                <w:lang w:eastAsia="pl-PL"/>
              </w:rPr>
            </w:pPr>
          </w:p>
        </w:tc>
        <w:tc>
          <w:tcPr>
            <w:tcW w:w="1334" w:type="dxa"/>
            <w:vMerge/>
            <w:vAlign w:val="center"/>
            <w:hideMark/>
          </w:tcPr>
          <w:p w14:paraId="5D6C82AD" w14:textId="77777777" w:rsidR="00E86941" w:rsidRPr="00E86941" w:rsidRDefault="00E86941"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72" w:type="dxa"/>
            <w:vMerge/>
            <w:vAlign w:val="center"/>
            <w:hideMark/>
          </w:tcPr>
          <w:p w14:paraId="26DE112C" w14:textId="77777777" w:rsidR="00E86941" w:rsidRPr="00E86941" w:rsidRDefault="00E86941"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34" w:type="dxa"/>
            <w:vMerge w:val="restart"/>
            <w:vAlign w:val="center"/>
            <w:hideMark/>
          </w:tcPr>
          <w:p w14:paraId="30459529" w14:textId="77777777" w:rsidR="00E86941" w:rsidRPr="00E86941" w:rsidRDefault="00E86941"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E86941">
              <w:rPr>
                <w:rFonts w:eastAsia="Times New Roman" w:cs="Times New Roman"/>
                <w:b/>
                <w:sz w:val="20"/>
                <w:szCs w:val="20"/>
                <w:lang w:eastAsia="pl-PL"/>
              </w:rPr>
              <w:t>razem</w:t>
            </w:r>
          </w:p>
        </w:tc>
        <w:tc>
          <w:tcPr>
            <w:tcW w:w="2486" w:type="dxa"/>
            <w:gridSpan w:val="2"/>
            <w:vAlign w:val="center"/>
            <w:hideMark/>
          </w:tcPr>
          <w:p w14:paraId="78780701" w14:textId="77777777" w:rsidR="00E86941" w:rsidRPr="00E86941" w:rsidRDefault="00E86941"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E86941">
              <w:rPr>
                <w:rFonts w:eastAsia="Times New Roman" w:cs="Times New Roman"/>
                <w:b/>
                <w:sz w:val="20"/>
                <w:szCs w:val="20"/>
                <w:lang w:eastAsia="pl-PL"/>
              </w:rPr>
              <w:t>w tym</w:t>
            </w:r>
          </w:p>
        </w:tc>
      </w:tr>
      <w:tr w:rsidR="00E86941" w:rsidRPr="00E86941" w14:paraId="70F9205F" w14:textId="77777777" w:rsidTr="0093427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967" w:type="dxa"/>
            <w:vMerge/>
            <w:vAlign w:val="center"/>
            <w:hideMark/>
          </w:tcPr>
          <w:p w14:paraId="4E12C390" w14:textId="77777777" w:rsidR="00E86941" w:rsidRPr="00E86941" w:rsidRDefault="00E86941" w:rsidP="00E86941">
            <w:pPr>
              <w:spacing w:line="240" w:lineRule="auto"/>
              <w:jc w:val="center"/>
              <w:rPr>
                <w:rFonts w:eastAsia="Times New Roman" w:cs="Times New Roman"/>
                <w:color w:val="auto"/>
                <w:sz w:val="20"/>
                <w:szCs w:val="20"/>
                <w:lang w:eastAsia="pl-PL"/>
              </w:rPr>
            </w:pPr>
          </w:p>
        </w:tc>
        <w:tc>
          <w:tcPr>
            <w:tcW w:w="1334" w:type="dxa"/>
            <w:vMerge/>
            <w:vAlign w:val="center"/>
            <w:hideMark/>
          </w:tcPr>
          <w:p w14:paraId="40E5575C" w14:textId="77777777" w:rsidR="00E86941" w:rsidRPr="00E86941" w:rsidRDefault="00E86941"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72" w:type="dxa"/>
            <w:vMerge/>
            <w:vAlign w:val="center"/>
            <w:hideMark/>
          </w:tcPr>
          <w:p w14:paraId="39553B6A" w14:textId="77777777" w:rsidR="00E86941" w:rsidRPr="00E86941" w:rsidRDefault="00E86941"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34" w:type="dxa"/>
            <w:vMerge/>
            <w:vAlign w:val="center"/>
            <w:hideMark/>
          </w:tcPr>
          <w:p w14:paraId="15D526EE" w14:textId="77777777" w:rsidR="00E86941" w:rsidRPr="00E86941" w:rsidRDefault="00E86941"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36" w:type="dxa"/>
            <w:vMerge w:val="restart"/>
            <w:vAlign w:val="center"/>
            <w:hideMark/>
          </w:tcPr>
          <w:p w14:paraId="2D432EA3" w14:textId="77777777" w:rsidR="00E86941" w:rsidRPr="00E86941" w:rsidRDefault="00E86941"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E86941">
              <w:rPr>
                <w:rFonts w:eastAsia="Times New Roman" w:cs="Times New Roman"/>
                <w:b/>
                <w:sz w:val="20"/>
                <w:szCs w:val="20"/>
                <w:lang w:eastAsia="pl-PL"/>
              </w:rPr>
              <w:t>1-osobowe</w:t>
            </w:r>
          </w:p>
        </w:tc>
        <w:tc>
          <w:tcPr>
            <w:tcW w:w="1150" w:type="dxa"/>
            <w:vMerge w:val="restart"/>
            <w:vAlign w:val="center"/>
            <w:hideMark/>
          </w:tcPr>
          <w:p w14:paraId="0560E335" w14:textId="77777777" w:rsidR="00E86941" w:rsidRPr="00E86941" w:rsidRDefault="00E86941"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E86941">
              <w:rPr>
                <w:rFonts w:eastAsia="Times New Roman" w:cs="Times New Roman"/>
                <w:b/>
                <w:sz w:val="20"/>
                <w:szCs w:val="20"/>
                <w:lang w:eastAsia="pl-PL"/>
              </w:rPr>
              <w:t xml:space="preserve">2-osobowe (obydwie osoby </w:t>
            </w:r>
            <w:r w:rsidRPr="00E86941">
              <w:rPr>
                <w:rFonts w:eastAsia="Times New Roman" w:cs="Times New Roman"/>
                <w:b/>
                <w:sz w:val="20"/>
                <w:szCs w:val="20"/>
                <w:lang w:eastAsia="pl-PL"/>
              </w:rPr>
              <w:br/>
              <w:t xml:space="preserve">w wieku 60 lat </w:t>
            </w:r>
            <w:r w:rsidRPr="00E86941">
              <w:rPr>
                <w:rFonts w:eastAsia="Times New Roman" w:cs="Times New Roman"/>
                <w:b/>
                <w:sz w:val="20"/>
                <w:szCs w:val="20"/>
                <w:lang w:eastAsia="pl-PL"/>
              </w:rPr>
              <w:br/>
              <w:t>i więcej)</w:t>
            </w:r>
          </w:p>
        </w:tc>
      </w:tr>
      <w:tr w:rsidR="00E86941" w:rsidRPr="00E86941" w14:paraId="02D2AA63" w14:textId="77777777" w:rsidTr="00934271">
        <w:trPr>
          <w:trHeight w:val="458"/>
        </w:trPr>
        <w:tc>
          <w:tcPr>
            <w:cnfStyle w:val="001000000000" w:firstRow="0" w:lastRow="0" w:firstColumn="1" w:lastColumn="0" w:oddVBand="0" w:evenVBand="0" w:oddHBand="0" w:evenHBand="0" w:firstRowFirstColumn="0" w:firstRowLastColumn="0" w:lastRowFirstColumn="0" w:lastRowLastColumn="0"/>
            <w:tcW w:w="2967" w:type="dxa"/>
            <w:vMerge/>
            <w:hideMark/>
          </w:tcPr>
          <w:p w14:paraId="205BDE97" w14:textId="77777777" w:rsidR="00E86941" w:rsidRPr="00E86941" w:rsidRDefault="00E86941" w:rsidP="00E86941">
            <w:pPr>
              <w:spacing w:line="240" w:lineRule="auto"/>
              <w:rPr>
                <w:rFonts w:eastAsia="Times New Roman" w:cs="Times New Roman"/>
                <w:b w:val="0"/>
                <w:color w:val="auto"/>
                <w:sz w:val="20"/>
                <w:szCs w:val="20"/>
                <w:lang w:eastAsia="pl-PL"/>
              </w:rPr>
            </w:pPr>
          </w:p>
        </w:tc>
        <w:tc>
          <w:tcPr>
            <w:tcW w:w="1334" w:type="dxa"/>
            <w:vMerge/>
            <w:hideMark/>
          </w:tcPr>
          <w:p w14:paraId="7F7706EA" w14:textId="77777777" w:rsidR="00E86941" w:rsidRPr="00E86941" w:rsidRDefault="00E86941" w:rsidP="00E86941">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72" w:type="dxa"/>
            <w:vMerge/>
            <w:hideMark/>
          </w:tcPr>
          <w:p w14:paraId="14514AD4" w14:textId="77777777" w:rsidR="00E86941" w:rsidRPr="00E86941" w:rsidRDefault="00E86941" w:rsidP="00E86941">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34" w:type="dxa"/>
            <w:vMerge/>
            <w:hideMark/>
          </w:tcPr>
          <w:p w14:paraId="0DB05866" w14:textId="77777777" w:rsidR="00E86941" w:rsidRPr="00E86941" w:rsidRDefault="00E86941" w:rsidP="00E86941">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36" w:type="dxa"/>
            <w:vMerge/>
            <w:hideMark/>
          </w:tcPr>
          <w:p w14:paraId="413BE911" w14:textId="77777777" w:rsidR="00E86941" w:rsidRPr="00E86941" w:rsidRDefault="00E86941" w:rsidP="00E86941">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150" w:type="dxa"/>
            <w:vMerge/>
            <w:hideMark/>
          </w:tcPr>
          <w:p w14:paraId="32690ADE" w14:textId="77777777" w:rsidR="00E86941" w:rsidRPr="00E86941" w:rsidRDefault="00E86941" w:rsidP="00E86941">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r>
      <w:tr w:rsidR="00E86941" w:rsidRPr="00E86941" w14:paraId="55F28CA0" w14:textId="77777777" w:rsidTr="0093427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967" w:type="dxa"/>
            <w:vMerge/>
            <w:hideMark/>
          </w:tcPr>
          <w:p w14:paraId="66DF533B" w14:textId="77777777" w:rsidR="00E86941" w:rsidRPr="00E86941" w:rsidRDefault="00E86941" w:rsidP="00E86941">
            <w:pPr>
              <w:spacing w:line="240" w:lineRule="auto"/>
              <w:rPr>
                <w:rFonts w:eastAsia="Times New Roman" w:cs="Times New Roman"/>
                <w:b w:val="0"/>
                <w:color w:val="auto"/>
                <w:sz w:val="20"/>
                <w:szCs w:val="20"/>
                <w:lang w:eastAsia="pl-PL"/>
              </w:rPr>
            </w:pPr>
          </w:p>
        </w:tc>
        <w:tc>
          <w:tcPr>
            <w:tcW w:w="1334" w:type="dxa"/>
            <w:vMerge/>
            <w:hideMark/>
          </w:tcPr>
          <w:p w14:paraId="2088F247" w14:textId="77777777" w:rsidR="00E86941" w:rsidRPr="00E86941" w:rsidRDefault="00E86941" w:rsidP="00E86941">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72" w:type="dxa"/>
            <w:vMerge/>
            <w:hideMark/>
          </w:tcPr>
          <w:p w14:paraId="40C3513B" w14:textId="77777777" w:rsidR="00E86941" w:rsidRPr="00E86941" w:rsidRDefault="00E86941" w:rsidP="00E86941">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34" w:type="dxa"/>
            <w:vMerge/>
            <w:hideMark/>
          </w:tcPr>
          <w:p w14:paraId="20100A32" w14:textId="77777777" w:rsidR="00E86941" w:rsidRPr="00E86941" w:rsidRDefault="00E86941" w:rsidP="00E86941">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36" w:type="dxa"/>
            <w:vMerge/>
            <w:hideMark/>
          </w:tcPr>
          <w:p w14:paraId="2263D7C3" w14:textId="77777777" w:rsidR="00E86941" w:rsidRPr="00E86941" w:rsidRDefault="00E86941" w:rsidP="00E86941">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150" w:type="dxa"/>
            <w:vMerge/>
            <w:hideMark/>
          </w:tcPr>
          <w:p w14:paraId="6B592522" w14:textId="77777777" w:rsidR="00E86941" w:rsidRPr="00E86941" w:rsidRDefault="00E86941" w:rsidP="00E86941">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r>
      <w:tr w:rsidR="00E86941" w:rsidRPr="00E86941" w14:paraId="0EA3B3B1"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967" w:type="dxa"/>
            <w:vMerge/>
            <w:vAlign w:val="center"/>
            <w:hideMark/>
          </w:tcPr>
          <w:p w14:paraId="5509B8F4" w14:textId="77777777" w:rsidR="00E86941" w:rsidRPr="00E86941" w:rsidRDefault="00E86941" w:rsidP="00E86941">
            <w:pPr>
              <w:spacing w:line="240" w:lineRule="auto"/>
              <w:jc w:val="center"/>
              <w:rPr>
                <w:rFonts w:eastAsia="Times New Roman" w:cs="Times New Roman"/>
                <w:b w:val="0"/>
                <w:color w:val="auto"/>
                <w:sz w:val="20"/>
                <w:szCs w:val="20"/>
                <w:lang w:eastAsia="pl-PL"/>
              </w:rPr>
            </w:pPr>
          </w:p>
        </w:tc>
        <w:tc>
          <w:tcPr>
            <w:tcW w:w="6526" w:type="dxa"/>
            <w:gridSpan w:val="5"/>
            <w:vAlign w:val="center"/>
            <w:hideMark/>
          </w:tcPr>
          <w:p w14:paraId="710958E1" w14:textId="77777777" w:rsidR="00E86941" w:rsidRPr="00E86941" w:rsidRDefault="00E86941"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E86941">
              <w:rPr>
                <w:rFonts w:eastAsia="Times New Roman" w:cs="Times New Roman"/>
                <w:b/>
                <w:sz w:val="20"/>
                <w:szCs w:val="20"/>
                <w:lang w:eastAsia="pl-PL"/>
              </w:rPr>
              <w:t>w % danej grupy gospodarstw</w:t>
            </w:r>
          </w:p>
        </w:tc>
      </w:tr>
      <w:tr w:rsidR="00E86941" w:rsidRPr="00E86941" w14:paraId="30D12C80"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6"/>
            <w:vAlign w:val="center"/>
            <w:hideMark/>
          </w:tcPr>
          <w:p w14:paraId="39313BD5" w14:textId="77777777" w:rsidR="00E86941" w:rsidRPr="00E86941" w:rsidRDefault="00E86941" w:rsidP="00E86941">
            <w:pPr>
              <w:spacing w:line="240" w:lineRule="auto"/>
              <w:jc w:val="center"/>
              <w:rPr>
                <w:rFonts w:eastAsia="Times New Roman" w:cs="Times New Roman"/>
                <w:color w:val="auto"/>
                <w:sz w:val="20"/>
                <w:szCs w:val="20"/>
                <w:lang w:eastAsia="pl-PL"/>
              </w:rPr>
            </w:pPr>
            <w:r w:rsidRPr="00E86941">
              <w:rPr>
                <w:rFonts w:eastAsia="Times New Roman" w:cs="Times New Roman"/>
                <w:color w:val="auto"/>
                <w:sz w:val="20"/>
                <w:szCs w:val="20"/>
                <w:lang w:eastAsia="pl-PL"/>
              </w:rPr>
              <w:t>OGÓŁEM</w:t>
            </w:r>
          </w:p>
        </w:tc>
      </w:tr>
      <w:tr w:rsidR="00E86941" w:rsidRPr="00E86941" w14:paraId="4AE82AEB"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967" w:type="dxa"/>
            <w:hideMark/>
          </w:tcPr>
          <w:p w14:paraId="63A50756" w14:textId="77777777" w:rsidR="00E86941" w:rsidRPr="00E86941" w:rsidRDefault="00E86941" w:rsidP="00E86941">
            <w:pPr>
              <w:spacing w:line="240" w:lineRule="auto"/>
              <w:rPr>
                <w:rFonts w:eastAsia="Times New Roman" w:cs="Times New Roman"/>
                <w:bCs w:val="0"/>
                <w:color w:val="auto"/>
                <w:sz w:val="20"/>
                <w:szCs w:val="20"/>
                <w:lang w:eastAsia="pl-PL"/>
              </w:rPr>
            </w:pPr>
            <w:r w:rsidRPr="00E86941">
              <w:rPr>
                <w:rFonts w:eastAsia="Times New Roman" w:cs="Times New Roman"/>
                <w:bCs w:val="0"/>
                <w:color w:val="auto"/>
                <w:sz w:val="20"/>
                <w:szCs w:val="20"/>
                <w:lang w:eastAsia="pl-PL"/>
              </w:rPr>
              <w:t>Ocena sytuacji materialnej przez gospodarstwo domowe</w:t>
            </w:r>
          </w:p>
        </w:tc>
        <w:tc>
          <w:tcPr>
            <w:tcW w:w="1334" w:type="dxa"/>
            <w:hideMark/>
          </w:tcPr>
          <w:p w14:paraId="4D174A1B" w14:textId="77777777" w:rsidR="00E86941" w:rsidRPr="00E86941" w:rsidRDefault="00E86941"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E86941">
              <w:rPr>
                <w:rFonts w:eastAsia="Times New Roman" w:cs="Times New Roman"/>
                <w:b/>
                <w:bCs/>
                <w:sz w:val="20"/>
                <w:szCs w:val="20"/>
                <w:lang w:eastAsia="pl-PL"/>
              </w:rPr>
              <w:t>100,0</w:t>
            </w:r>
          </w:p>
        </w:tc>
        <w:tc>
          <w:tcPr>
            <w:tcW w:w="1372" w:type="dxa"/>
            <w:hideMark/>
          </w:tcPr>
          <w:p w14:paraId="1182BBD0" w14:textId="77777777" w:rsidR="00E86941" w:rsidRPr="00E86941" w:rsidRDefault="00E86941"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E86941">
              <w:rPr>
                <w:rFonts w:eastAsia="Times New Roman" w:cs="Times New Roman"/>
                <w:b/>
                <w:bCs/>
                <w:sz w:val="20"/>
                <w:szCs w:val="20"/>
                <w:lang w:eastAsia="pl-PL"/>
              </w:rPr>
              <w:t>100,0</w:t>
            </w:r>
          </w:p>
        </w:tc>
        <w:tc>
          <w:tcPr>
            <w:tcW w:w="1334" w:type="dxa"/>
            <w:hideMark/>
          </w:tcPr>
          <w:p w14:paraId="5F6BD169" w14:textId="77777777" w:rsidR="00E86941" w:rsidRPr="00E86941" w:rsidRDefault="00E86941"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E86941">
              <w:rPr>
                <w:rFonts w:eastAsia="Times New Roman" w:cs="Times New Roman"/>
                <w:b/>
                <w:bCs/>
                <w:sz w:val="20"/>
                <w:szCs w:val="20"/>
                <w:lang w:eastAsia="pl-PL"/>
              </w:rPr>
              <w:t>100,0</w:t>
            </w:r>
          </w:p>
        </w:tc>
        <w:tc>
          <w:tcPr>
            <w:tcW w:w="1336" w:type="dxa"/>
            <w:hideMark/>
          </w:tcPr>
          <w:p w14:paraId="464D817C" w14:textId="77777777" w:rsidR="00E86941" w:rsidRPr="00E86941" w:rsidRDefault="00E86941"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E86941">
              <w:rPr>
                <w:rFonts w:eastAsia="Times New Roman" w:cs="Times New Roman"/>
                <w:b/>
                <w:bCs/>
                <w:sz w:val="20"/>
                <w:szCs w:val="20"/>
                <w:lang w:eastAsia="pl-PL"/>
              </w:rPr>
              <w:t>100,0</w:t>
            </w:r>
          </w:p>
        </w:tc>
        <w:tc>
          <w:tcPr>
            <w:tcW w:w="1150" w:type="dxa"/>
            <w:hideMark/>
          </w:tcPr>
          <w:p w14:paraId="266D51CF" w14:textId="77777777" w:rsidR="00E86941" w:rsidRPr="00E86941" w:rsidRDefault="00E86941"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E86941">
              <w:rPr>
                <w:rFonts w:eastAsia="Times New Roman" w:cs="Times New Roman"/>
                <w:b/>
                <w:bCs/>
                <w:sz w:val="20"/>
                <w:szCs w:val="20"/>
                <w:lang w:eastAsia="pl-PL"/>
              </w:rPr>
              <w:t>100,0</w:t>
            </w:r>
          </w:p>
        </w:tc>
      </w:tr>
      <w:tr w:rsidR="00E86941" w:rsidRPr="00E86941" w14:paraId="3464F037"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7" w:type="dxa"/>
            <w:hideMark/>
          </w:tcPr>
          <w:p w14:paraId="47C36677" w14:textId="77777777" w:rsidR="00E86941" w:rsidRPr="00E86941" w:rsidRDefault="00E86941" w:rsidP="00E86941">
            <w:pPr>
              <w:spacing w:line="240" w:lineRule="auto"/>
              <w:rPr>
                <w:rFonts w:eastAsia="Times New Roman" w:cs="Times New Roman"/>
                <w:color w:val="auto"/>
                <w:sz w:val="20"/>
                <w:szCs w:val="20"/>
                <w:lang w:eastAsia="pl-PL"/>
              </w:rPr>
            </w:pPr>
            <w:r w:rsidRPr="00E86941">
              <w:rPr>
                <w:rFonts w:eastAsia="Times New Roman" w:cs="Times New Roman"/>
                <w:color w:val="auto"/>
                <w:sz w:val="20"/>
                <w:szCs w:val="20"/>
                <w:lang w:eastAsia="pl-PL"/>
              </w:rPr>
              <w:t>Bardzo dobra i raczej dobra</w:t>
            </w:r>
          </w:p>
        </w:tc>
        <w:tc>
          <w:tcPr>
            <w:tcW w:w="1334" w:type="dxa"/>
            <w:vAlign w:val="center"/>
            <w:hideMark/>
          </w:tcPr>
          <w:p w14:paraId="2E3ECF0E"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59,5</w:t>
            </w:r>
          </w:p>
        </w:tc>
        <w:tc>
          <w:tcPr>
            <w:tcW w:w="1372" w:type="dxa"/>
            <w:vAlign w:val="center"/>
            <w:hideMark/>
          </w:tcPr>
          <w:p w14:paraId="3A9A0E2C"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42,9</w:t>
            </w:r>
          </w:p>
        </w:tc>
        <w:tc>
          <w:tcPr>
            <w:tcW w:w="1334" w:type="dxa"/>
            <w:vAlign w:val="center"/>
            <w:hideMark/>
          </w:tcPr>
          <w:p w14:paraId="431E8FC4"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39,9</w:t>
            </w:r>
          </w:p>
        </w:tc>
        <w:tc>
          <w:tcPr>
            <w:tcW w:w="1336" w:type="dxa"/>
            <w:vAlign w:val="center"/>
            <w:hideMark/>
          </w:tcPr>
          <w:p w14:paraId="067E2D9F"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30,1</w:t>
            </w:r>
          </w:p>
        </w:tc>
        <w:tc>
          <w:tcPr>
            <w:tcW w:w="1150" w:type="dxa"/>
            <w:vAlign w:val="center"/>
            <w:hideMark/>
          </w:tcPr>
          <w:p w14:paraId="31A8D0F4"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51,6</w:t>
            </w:r>
          </w:p>
        </w:tc>
      </w:tr>
      <w:tr w:rsidR="00E86941" w:rsidRPr="00E86941" w14:paraId="14A12409"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967" w:type="dxa"/>
            <w:hideMark/>
          </w:tcPr>
          <w:p w14:paraId="1F604413" w14:textId="77777777" w:rsidR="00E86941" w:rsidRPr="00E86941" w:rsidRDefault="00E86941" w:rsidP="00E86941">
            <w:pPr>
              <w:spacing w:line="240" w:lineRule="auto"/>
              <w:rPr>
                <w:rFonts w:eastAsia="Times New Roman" w:cs="Times New Roman"/>
                <w:color w:val="auto"/>
                <w:sz w:val="20"/>
                <w:szCs w:val="20"/>
                <w:lang w:eastAsia="pl-PL"/>
              </w:rPr>
            </w:pPr>
            <w:r w:rsidRPr="00E86941">
              <w:rPr>
                <w:rFonts w:eastAsia="Times New Roman" w:cs="Times New Roman"/>
                <w:color w:val="auto"/>
                <w:sz w:val="20"/>
                <w:szCs w:val="20"/>
                <w:lang w:eastAsia="pl-PL"/>
              </w:rPr>
              <w:t>Przeciętna</w:t>
            </w:r>
          </w:p>
        </w:tc>
        <w:tc>
          <w:tcPr>
            <w:tcW w:w="1334" w:type="dxa"/>
            <w:vAlign w:val="center"/>
            <w:hideMark/>
          </w:tcPr>
          <w:p w14:paraId="4B205B6D"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36,0</w:t>
            </w:r>
          </w:p>
        </w:tc>
        <w:tc>
          <w:tcPr>
            <w:tcW w:w="1372" w:type="dxa"/>
            <w:vAlign w:val="center"/>
            <w:hideMark/>
          </w:tcPr>
          <w:p w14:paraId="33604C39"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49,8</w:t>
            </w:r>
          </w:p>
        </w:tc>
        <w:tc>
          <w:tcPr>
            <w:tcW w:w="1334" w:type="dxa"/>
            <w:vAlign w:val="center"/>
            <w:hideMark/>
          </w:tcPr>
          <w:p w14:paraId="10590891"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51,6</w:t>
            </w:r>
          </w:p>
        </w:tc>
        <w:tc>
          <w:tcPr>
            <w:tcW w:w="1336" w:type="dxa"/>
            <w:vAlign w:val="center"/>
            <w:hideMark/>
          </w:tcPr>
          <w:p w14:paraId="42AA5EB2"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57,2</w:t>
            </w:r>
          </w:p>
        </w:tc>
        <w:tc>
          <w:tcPr>
            <w:tcW w:w="1150" w:type="dxa"/>
            <w:vAlign w:val="center"/>
            <w:hideMark/>
          </w:tcPr>
          <w:p w14:paraId="1CFF9919"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45,0</w:t>
            </w:r>
          </w:p>
        </w:tc>
      </w:tr>
      <w:tr w:rsidR="00E86941" w:rsidRPr="00E86941" w14:paraId="563F9BEA"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7" w:type="dxa"/>
            <w:hideMark/>
          </w:tcPr>
          <w:p w14:paraId="04F0197B" w14:textId="77777777" w:rsidR="00E86941" w:rsidRPr="00E86941" w:rsidRDefault="00E86941" w:rsidP="00E86941">
            <w:pPr>
              <w:spacing w:line="240" w:lineRule="auto"/>
              <w:rPr>
                <w:rFonts w:eastAsia="Times New Roman" w:cs="Times New Roman"/>
                <w:color w:val="auto"/>
                <w:sz w:val="20"/>
                <w:szCs w:val="20"/>
                <w:lang w:eastAsia="pl-PL"/>
              </w:rPr>
            </w:pPr>
            <w:r w:rsidRPr="00E86941">
              <w:rPr>
                <w:rFonts w:eastAsia="Times New Roman" w:cs="Times New Roman"/>
                <w:color w:val="auto"/>
                <w:sz w:val="20"/>
                <w:szCs w:val="20"/>
                <w:lang w:eastAsia="pl-PL"/>
              </w:rPr>
              <w:t>Raczej zła i zła</w:t>
            </w:r>
          </w:p>
        </w:tc>
        <w:tc>
          <w:tcPr>
            <w:tcW w:w="1334" w:type="dxa"/>
            <w:vAlign w:val="center"/>
            <w:hideMark/>
          </w:tcPr>
          <w:p w14:paraId="0A0E3D9B"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4,5</w:t>
            </w:r>
          </w:p>
        </w:tc>
        <w:tc>
          <w:tcPr>
            <w:tcW w:w="1372" w:type="dxa"/>
            <w:vAlign w:val="center"/>
            <w:hideMark/>
          </w:tcPr>
          <w:p w14:paraId="5F5E2671"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7,3</w:t>
            </w:r>
          </w:p>
        </w:tc>
        <w:tc>
          <w:tcPr>
            <w:tcW w:w="1334" w:type="dxa"/>
            <w:vAlign w:val="center"/>
            <w:hideMark/>
          </w:tcPr>
          <w:p w14:paraId="39F5B3AA"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8,5</w:t>
            </w:r>
          </w:p>
        </w:tc>
        <w:tc>
          <w:tcPr>
            <w:tcW w:w="1336" w:type="dxa"/>
            <w:vAlign w:val="center"/>
            <w:hideMark/>
          </w:tcPr>
          <w:p w14:paraId="21FA48D7"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12,7</w:t>
            </w:r>
          </w:p>
        </w:tc>
        <w:tc>
          <w:tcPr>
            <w:tcW w:w="1150" w:type="dxa"/>
            <w:vAlign w:val="center"/>
            <w:hideMark/>
          </w:tcPr>
          <w:p w14:paraId="19C92FE8"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3,4</w:t>
            </w:r>
          </w:p>
        </w:tc>
      </w:tr>
      <w:tr w:rsidR="00E86941" w:rsidRPr="00E86941" w14:paraId="6CE47227"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614D4888" w14:textId="77777777" w:rsidR="00E86941" w:rsidRPr="00E86941" w:rsidRDefault="00E86941" w:rsidP="00E86941">
            <w:pPr>
              <w:spacing w:line="240" w:lineRule="auto"/>
              <w:jc w:val="center"/>
              <w:rPr>
                <w:rFonts w:eastAsia="Times New Roman" w:cs="Times New Roman"/>
                <w:color w:val="auto"/>
                <w:sz w:val="20"/>
                <w:szCs w:val="20"/>
                <w:lang w:eastAsia="pl-PL"/>
              </w:rPr>
            </w:pPr>
            <w:r w:rsidRPr="00E86941">
              <w:rPr>
                <w:rFonts w:eastAsia="Times New Roman" w:cs="Times New Roman"/>
                <w:color w:val="auto"/>
                <w:sz w:val="20"/>
                <w:szCs w:val="20"/>
                <w:lang w:eastAsia="pl-PL"/>
              </w:rPr>
              <w:t>MIASTA</w:t>
            </w:r>
          </w:p>
        </w:tc>
      </w:tr>
      <w:tr w:rsidR="00E86941" w:rsidRPr="00E86941" w14:paraId="1B6830EC"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7" w:type="dxa"/>
            <w:hideMark/>
          </w:tcPr>
          <w:p w14:paraId="12FC3FD3" w14:textId="77777777" w:rsidR="00E86941" w:rsidRPr="00E86941" w:rsidRDefault="00E86941" w:rsidP="00E86941">
            <w:pPr>
              <w:spacing w:line="240" w:lineRule="auto"/>
              <w:rPr>
                <w:rFonts w:eastAsia="Times New Roman" w:cs="Times New Roman"/>
                <w:bCs w:val="0"/>
                <w:color w:val="auto"/>
                <w:sz w:val="20"/>
                <w:szCs w:val="20"/>
                <w:lang w:eastAsia="pl-PL"/>
              </w:rPr>
            </w:pPr>
            <w:r w:rsidRPr="00E86941">
              <w:rPr>
                <w:rFonts w:eastAsia="Times New Roman" w:cs="Times New Roman"/>
                <w:bCs w:val="0"/>
                <w:color w:val="auto"/>
                <w:sz w:val="20"/>
                <w:szCs w:val="20"/>
                <w:lang w:eastAsia="pl-PL"/>
              </w:rPr>
              <w:t>Ocena sytuacji materialnej przez gospodarstwo domowe</w:t>
            </w:r>
          </w:p>
        </w:tc>
        <w:tc>
          <w:tcPr>
            <w:tcW w:w="1334" w:type="dxa"/>
            <w:hideMark/>
          </w:tcPr>
          <w:p w14:paraId="72294CA7" w14:textId="77777777" w:rsidR="00E86941" w:rsidRPr="00E86941" w:rsidRDefault="00E86941"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E86941">
              <w:rPr>
                <w:rFonts w:eastAsia="Times New Roman" w:cs="Times New Roman"/>
                <w:b/>
                <w:bCs/>
                <w:sz w:val="20"/>
                <w:szCs w:val="20"/>
                <w:lang w:eastAsia="pl-PL"/>
              </w:rPr>
              <w:t>100,0</w:t>
            </w:r>
          </w:p>
        </w:tc>
        <w:tc>
          <w:tcPr>
            <w:tcW w:w="1372" w:type="dxa"/>
            <w:hideMark/>
          </w:tcPr>
          <w:p w14:paraId="356E9C0E" w14:textId="77777777" w:rsidR="00E86941" w:rsidRPr="00E86941" w:rsidRDefault="00E86941"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E86941">
              <w:rPr>
                <w:rFonts w:eastAsia="Times New Roman" w:cs="Times New Roman"/>
                <w:b/>
                <w:bCs/>
                <w:sz w:val="20"/>
                <w:szCs w:val="20"/>
                <w:lang w:eastAsia="pl-PL"/>
              </w:rPr>
              <w:t>100,0</w:t>
            </w:r>
          </w:p>
        </w:tc>
        <w:tc>
          <w:tcPr>
            <w:tcW w:w="1334" w:type="dxa"/>
            <w:hideMark/>
          </w:tcPr>
          <w:p w14:paraId="6F658273" w14:textId="77777777" w:rsidR="00E86941" w:rsidRPr="00E86941" w:rsidRDefault="00E86941"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E86941">
              <w:rPr>
                <w:rFonts w:eastAsia="Times New Roman" w:cs="Times New Roman"/>
                <w:b/>
                <w:bCs/>
                <w:sz w:val="20"/>
                <w:szCs w:val="20"/>
                <w:lang w:eastAsia="pl-PL"/>
              </w:rPr>
              <w:t>100,0</w:t>
            </w:r>
          </w:p>
        </w:tc>
        <w:tc>
          <w:tcPr>
            <w:tcW w:w="1336" w:type="dxa"/>
            <w:hideMark/>
          </w:tcPr>
          <w:p w14:paraId="244A6CEA" w14:textId="77777777" w:rsidR="00E86941" w:rsidRPr="00E86941" w:rsidRDefault="00E86941"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E86941">
              <w:rPr>
                <w:rFonts w:eastAsia="Times New Roman" w:cs="Times New Roman"/>
                <w:b/>
                <w:bCs/>
                <w:sz w:val="20"/>
                <w:szCs w:val="20"/>
                <w:lang w:eastAsia="pl-PL"/>
              </w:rPr>
              <w:t>100,0</w:t>
            </w:r>
          </w:p>
        </w:tc>
        <w:tc>
          <w:tcPr>
            <w:tcW w:w="1150" w:type="dxa"/>
            <w:hideMark/>
          </w:tcPr>
          <w:p w14:paraId="56411FA7" w14:textId="77777777" w:rsidR="00E86941" w:rsidRPr="00E86941" w:rsidRDefault="00E86941" w:rsidP="00E8694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E86941">
              <w:rPr>
                <w:rFonts w:eastAsia="Times New Roman" w:cs="Times New Roman"/>
                <w:b/>
                <w:bCs/>
                <w:sz w:val="20"/>
                <w:szCs w:val="20"/>
                <w:lang w:eastAsia="pl-PL"/>
              </w:rPr>
              <w:t>100,0</w:t>
            </w:r>
          </w:p>
        </w:tc>
      </w:tr>
      <w:tr w:rsidR="00E86941" w:rsidRPr="00E86941" w14:paraId="4B661E4E"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967" w:type="dxa"/>
            <w:hideMark/>
          </w:tcPr>
          <w:p w14:paraId="07298CC1" w14:textId="77777777" w:rsidR="00E86941" w:rsidRPr="00E86941" w:rsidRDefault="00E86941" w:rsidP="00E86941">
            <w:pPr>
              <w:spacing w:line="240" w:lineRule="auto"/>
              <w:rPr>
                <w:rFonts w:eastAsia="Times New Roman" w:cs="Times New Roman"/>
                <w:color w:val="auto"/>
                <w:sz w:val="20"/>
                <w:szCs w:val="20"/>
                <w:lang w:eastAsia="pl-PL"/>
              </w:rPr>
            </w:pPr>
            <w:r w:rsidRPr="00E86941">
              <w:rPr>
                <w:rFonts w:eastAsia="Times New Roman" w:cs="Times New Roman"/>
                <w:color w:val="auto"/>
                <w:sz w:val="20"/>
                <w:szCs w:val="20"/>
                <w:lang w:eastAsia="pl-PL"/>
              </w:rPr>
              <w:t>Bardzo dobra i raczej dobra</w:t>
            </w:r>
          </w:p>
        </w:tc>
        <w:tc>
          <w:tcPr>
            <w:tcW w:w="1334" w:type="dxa"/>
            <w:vAlign w:val="center"/>
            <w:hideMark/>
          </w:tcPr>
          <w:p w14:paraId="6009725F"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61,8</w:t>
            </w:r>
          </w:p>
        </w:tc>
        <w:tc>
          <w:tcPr>
            <w:tcW w:w="1372" w:type="dxa"/>
            <w:vAlign w:val="center"/>
            <w:hideMark/>
          </w:tcPr>
          <w:p w14:paraId="6575916F"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44,3</w:t>
            </w:r>
          </w:p>
        </w:tc>
        <w:tc>
          <w:tcPr>
            <w:tcW w:w="1334" w:type="dxa"/>
            <w:vAlign w:val="center"/>
            <w:hideMark/>
          </w:tcPr>
          <w:p w14:paraId="6A5930E1"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42,5</w:t>
            </w:r>
          </w:p>
        </w:tc>
        <w:tc>
          <w:tcPr>
            <w:tcW w:w="1336" w:type="dxa"/>
            <w:vAlign w:val="center"/>
            <w:hideMark/>
          </w:tcPr>
          <w:p w14:paraId="7AB5149B"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32,4</w:t>
            </w:r>
          </w:p>
        </w:tc>
        <w:tc>
          <w:tcPr>
            <w:tcW w:w="1150" w:type="dxa"/>
            <w:vAlign w:val="center"/>
            <w:hideMark/>
          </w:tcPr>
          <w:p w14:paraId="0FE47B98"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54,6</w:t>
            </w:r>
          </w:p>
        </w:tc>
      </w:tr>
      <w:tr w:rsidR="00E86941" w:rsidRPr="00E86941" w14:paraId="59E0DAB2" w14:textId="77777777" w:rsidTr="0093427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967" w:type="dxa"/>
            <w:hideMark/>
          </w:tcPr>
          <w:p w14:paraId="27A576FF" w14:textId="77777777" w:rsidR="00E86941" w:rsidRPr="00E86941" w:rsidRDefault="00E86941" w:rsidP="00E86941">
            <w:pPr>
              <w:spacing w:line="240" w:lineRule="auto"/>
              <w:rPr>
                <w:rFonts w:eastAsia="Times New Roman" w:cs="Times New Roman"/>
                <w:color w:val="auto"/>
                <w:sz w:val="20"/>
                <w:szCs w:val="20"/>
                <w:lang w:eastAsia="pl-PL"/>
              </w:rPr>
            </w:pPr>
            <w:r w:rsidRPr="00E86941">
              <w:rPr>
                <w:rFonts w:eastAsia="Times New Roman" w:cs="Times New Roman"/>
                <w:color w:val="auto"/>
                <w:sz w:val="20"/>
                <w:szCs w:val="20"/>
                <w:lang w:eastAsia="pl-PL"/>
              </w:rPr>
              <w:t>Przeciętna</w:t>
            </w:r>
          </w:p>
        </w:tc>
        <w:tc>
          <w:tcPr>
            <w:tcW w:w="1334" w:type="dxa"/>
            <w:vAlign w:val="center"/>
            <w:hideMark/>
          </w:tcPr>
          <w:p w14:paraId="11D2D441"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33,7</w:t>
            </w:r>
          </w:p>
        </w:tc>
        <w:tc>
          <w:tcPr>
            <w:tcW w:w="1372" w:type="dxa"/>
            <w:vAlign w:val="center"/>
            <w:hideMark/>
          </w:tcPr>
          <w:p w14:paraId="60257D41"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48,3</w:t>
            </w:r>
          </w:p>
        </w:tc>
        <w:tc>
          <w:tcPr>
            <w:tcW w:w="1334" w:type="dxa"/>
            <w:vAlign w:val="center"/>
            <w:hideMark/>
          </w:tcPr>
          <w:p w14:paraId="194316EF"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49,5</w:t>
            </w:r>
          </w:p>
        </w:tc>
        <w:tc>
          <w:tcPr>
            <w:tcW w:w="1336" w:type="dxa"/>
            <w:vAlign w:val="center"/>
            <w:hideMark/>
          </w:tcPr>
          <w:p w14:paraId="3DD38D04"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55,6</w:t>
            </w:r>
          </w:p>
        </w:tc>
        <w:tc>
          <w:tcPr>
            <w:tcW w:w="1150" w:type="dxa"/>
            <w:vAlign w:val="center"/>
            <w:hideMark/>
          </w:tcPr>
          <w:p w14:paraId="77D5A326"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42,1</w:t>
            </w:r>
          </w:p>
        </w:tc>
      </w:tr>
      <w:tr w:rsidR="00E86941" w:rsidRPr="00E86941" w14:paraId="7398E441"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967" w:type="dxa"/>
            <w:hideMark/>
          </w:tcPr>
          <w:p w14:paraId="2232BC1A" w14:textId="77777777" w:rsidR="00E86941" w:rsidRPr="00E86941" w:rsidRDefault="00E86941" w:rsidP="00E86941">
            <w:pPr>
              <w:spacing w:line="240" w:lineRule="auto"/>
              <w:rPr>
                <w:rFonts w:eastAsia="Times New Roman" w:cs="Times New Roman"/>
                <w:color w:val="auto"/>
                <w:sz w:val="20"/>
                <w:szCs w:val="20"/>
                <w:lang w:eastAsia="pl-PL"/>
              </w:rPr>
            </w:pPr>
            <w:r w:rsidRPr="00E86941">
              <w:rPr>
                <w:rFonts w:eastAsia="Times New Roman" w:cs="Times New Roman"/>
                <w:color w:val="auto"/>
                <w:sz w:val="20"/>
                <w:szCs w:val="20"/>
                <w:lang w:eastAsia="pl-PL"/>
              </w:rPr>
              <w:t>Raczej zła i zła</w:t>
            </w:r>
          </w:p>
        </w:tc>
        <w:tc>
          <w:tcPr>
            <w:tcW w:w="1334" w:type="dxa"/>
            <w:vAlign w:val="center"/>
            <w:hideMark/>
          </w:tcPr>
          <w:p w14:paraId="0F66F855"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4,5</w:t>
            </w:r>
          </w:p>
        </w:tc>
        <w:tc>
          <w:tcPr>
            <w:tcW w:w="1372" w:type="dxa"/>
            <w:vAlign w:val="center"/>
            <w:hideMark/>
          </w:tcPr>
          <w:p w14:paraId="7C5181E8"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7,4</w:t>
            </w:r>
          </w:p>
        </w:tc>
        <w:tc>
          <w:tcPr>
            <w:tcW w:w="1334" w:type="dxa"/>
            <w:vAlign w:val="center"/>
            <w:hideMark/>
          </w:tcPr>
          <w:p w14:paraId="5DF1A7DA"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8,0</w:t>
            </w:r>
          </w:p>
        </w:tc>
        <w:tc>
          <w:tcPr>
            <w:tcW w:w="1336" w:type="dxa"/>
            <w:vAlign w:val="center"/>
            <w:hideMark/>
          </w:tcPr>
          <w:p w14:paraId="1AC138BB"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12,0</w:t>
            </w:r>
          </w:p>
        </w:tc>
        <w:tc>
          <w:tcPr>
            <w:tcW w:w="1150" w:type="dxa"/>
            <w:vAlign w:val="center"/>
            <w:hideMark/>
          </w:tcPr>
          <w:p w14:paraId="01AA0BF2"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3,3</w:t>
            </w:r>
          </w:p>
        </w:tc>
      </w:tr>
      <w:tr w:rsidR="00E86941" w:rsidRPr="00E86941" w14:paraId="10E1C764"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B798B4C" w14:textId="77777777" w:rsidR="00E86941" w:rsidRPr="00E86941" w:rsidRDefault="00E86941" w:rsidP="00E86941">
            <w:pPr>
              <w:spacing w:line="240" w:lineRule="auto"/>
              <w:jc w:val="center"/>
              <w:rPr>
                <w:rFonts w:eastAsia="Times New Roman" w:cs="Times New Roman"/>
                <w:color w:val="auto"/>
                <w:sz w:val="20"/>
                <w:szCs w:val="20"/>
                <w:lang w:eastAsia="pl-PL"/>
              </w:rPr>
            </w:pPr>
            <w:r w:rsidRPr="00E86941">
              <w:rPr>
                <w:rFonts w:eastAsia="Times New Roman" w:cs="Times New Roman"/>
                <w:color w:val="auto"/>
                <w:sz w:val="20"/>
                <w:szCs w:val="20"/>
                <w:lang w:eastAsia="pl-PL"/>
              </w:rPr>
              <w:t>WIEŚ</w:t>
            </w:r>
          </w:p>
        </w:tc>
      </w:tr>
      <w:tr w:rsidR="00E86941" w:rsidRPr="00E86941" w14:paraId="5FA55F04"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967" w:type="dxa"/>
            <w:hideMark/>
          </w:tcPr>
          <w:p w14:paraId="40AB0691" w14:textId="77777777" w:rsidR="00E86941" w:rsidRPr="00E86941" w:rsidRDefault="00E86941" w:rsidP="00E86941">
            <w:pPr>
              <w:spacing w:line="240" w:lineRule="auto"/>
              <w:rPr>
                <w:rFonts w:eastAsia="Times New Roman" w:cs="Times New Roman"/>
                <w:bCs w:val="0"/>
                <w:color w:val="auto"/>
                <w:sz w:val="20"/>
                <w:szCs w:val="20"/>
                <w:lang w:eastAsia="pl-PL"/>
              </w:rPr>
            </w:pPr>
            <w:r w:rsidRPr="00E86941">
              <w:rPr>
                <w:rFonts w:eastAsia="Times New Roman" w:cs="Times New Roman"/>
                <w:bCs w:val="0"/>
                <w:color w:val="auto"/>
                <w:sz w:val="20"/>
                <w:szCs w:val="20"/>
                <w:lang w:eastAsia="pl-PL"/>
              </w:rPr>
              <w:t>Ocena sytuacji materialnej przez gospodarstwo domowe</w:t>
            </w:r>
          </w:p>
        </w:tc>
        <w:tc>
          <w:tcPr>
            <w:tcW w:w="1334" w:type="dxa"/>
            <w:hideMark/>
          </w:tcPr>
          <w:p w14:paraId="7C27CE33" w14:textId="77777777" w:rsidR="00E86941" w:rsidRPr="00E86941" w:rsidRDefault="00E86941"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E86941">
              <w:rPr>
                <w:rFonts w:eastAsia="Times New Roman" w:cs="Times New Roman"/>
                <w:b/>
                <w:bCs/>
                <w:sz w:val="20"/>
                <w:szCs w:val="20"/>
                <w:lang w:eastAsia="pl-PL"/>
              </w:rPr>
              <w:t>100,0</w:t>
            </w:r>
          </w:p>
        </w:tc>
        <w:tc>
          <w:tcPr>
            <w:tcW w:w="1372" w:type="dxa"/>
            <w:hideMark/>
          </w:tcPr>
          <w:p w14:paraId="1E1E7F74" w14:textId="77777777" w:rsidR="00E86941" w:rsidRPr="00E86941" w:rsidRDefault="00E86941"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E86941">
              <w:rPr>
                <w:rFonts w:eastAsia="Times New Roman" w:cs="Times New Roman"/>
                <w:b/>
                <w:bCs/>
                <w:sz w:val="20"/>
                <w:szCs w:val="20"/>
                <w:lang w:eastAsia="pl-PL"/>
              </w:rPr>
              <w:t>100,0</w:t>
            </w:r>
          </w:p>
        </w:tc>
        <w:tc>
          <w:tcPr>
            <w:tcW w:w="1334" w:type="dxa"/>
            <w:hideMark/>
          </w:tcPr>
          <w:p w14:paraId="130C419C" w14:textId="77777777" w:rsidR="00E86941" w:rsidRPr="00E86941" w:rsidRDefault="00E86941"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E86941">
              <w:rPr>
                <w:rFonts w:eastAsia="Times New Roman" w:cs="Times New Roman"/>
                <w:b/>
                <w:bCs/>
                <w:sz w:val="20"/>
                <w:szCs w:val="20"/>
                <w:lang w:eastAsia="pl-PL"/>
              </w:rPr>
              <w:t>100,0</w:t>
            </w:r>
          </w:p>
        </w:tc>
        <w:tc>
          <w:tcPr>
            <w:tcW w:w="1336" w:type="dxa"/>
            <w:hideMark/>
          </w:tcPr>
          <w:p w14:paraId="583DC78D" w14:textId="77777777" w:rsidR="00E86941" w:rsidRPr="00E86941" w:rsidRDefault="00E86941"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E86941">
              <w:rPr>
                <w:rFonts w:eastAsia="Times New Roman" w:cs="Times New Roman"/>
                <w:b/>
                <w:bCs/>
                <w:sz w:val="20"/>
                <w:szCs w:val="20"/>
                <w:lang w:eastAsia="pl-PL"/>
              </w:rPr>
              <w:t>100,0</w:t>
            </w:r>
          </w:p>
        </w:tc>
        <w:tc>
          <w:tcPr>
            <w:tcW w:w="1150" w:type="dxa"/>
            <w:hideMark/>
          </w:tcPr>
          <w:p w14:paraId="551D49CF" w14:textId="77777777" w:rsidR="00E86941" w:rsidRPr="00E86941" w:rsidRDefault="00E86941" w:rsidP="00E8694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E86941">
              <w:rPr>
                <w:rFonts w:eastAsia="Times New Roman" w:cs="Times New Roman"/>
                <w:b/>
                <w:bCs/>
                <w:sz w:val="20"/>
                <w:szCs w:val="20"/>
                <w:lang w:eastAsia="pl-PL"/>
              </w:rPr>
              <w:t>100,0</w:t>
            </w:r>
          </w:p>
        </w:tc>
      </w:tr>
      <w:tr w:rsidR="00E86941" w:rsidRPr="00E86941" w14:paraId="63007CA5"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7" w:type="dxa"/>
            <w:hideMark/>
          </w:tcPr>
          <w:p w14:paraId="663B0DF8" w14:textId="77777777" w:rsidR="00E86941" w:rsidRPr="00E86941" w:rsidRDefault="00E86941" w:rsidP="00E86941">
            <w:pPr>
              <w:spacing w:line="240" w:lineRule="auto"/>
              <w:rPr>
                <w:rFonts w:eastAsia="Times New Roman" w:cs="Times New Roman"/>
                <w:color w:val="auto"/>
                <w:sz w:val="20"/>
                <w:szCs w:val="20"/>
                <w:lang w:eastAsia="pl-PL"/>
              </w:rPr>
            </w:pPr>
            <w:r w:rsidRPr="00E86941">
              <w:rPr>
                <w:rFonts w:eastAsia="Times New Roman" w:cs="Times New Roman"/>
                <w:color w:val="auto"/>
                <w:sz w:val="20"/>
                <w:szCs w:val="20"/>
                <w:lang w:eastAsia="pl-PL"/>
              </w:rPr>
              <w:t>Bardzo dobra i raczej dobra</w:t>
            </w:r>
          </w:p>
        </w:tc>
        <w:tc>
          <w:tcPr>
            <w:tcW w:w="1334" w:type="dxa"/>
            <w:vAlign w:val="center"/>
            <w:hideMark/>
          </w:tcPr>
          <w:p w14:paraId="0293C40E"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54,4</w:t>
            </w:r>
          </w:p>
        </w:tc>
        <w:tc>
          <w:tcPr>
            <w:tcW w:w="1372" w:type="dxa"/>
            <w:vAlign w:val="center"/>
            <w:hideMark/>
          </w:tcPr>
          <w:p w14:paraId="79D50235"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40,3</w:t>
            </w:r>
          </w:p>
        </w:tc>
        <w:tc>
          <w:tcPr>
            <w:tcW w:w="1334" w:type="dxa"/>
            <w:vAlign w:val="center"/>
            <w:hideMark/>
          </w:tcPr>
          <w:p w14:paraId="7BC2A323"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32,3</w:t>
            </w:r>
          </w:p>
        </w:tc>
        <w:tc>
          <w:tcPr>
            <w:tcW w:w="1336" w:type="dxa"/>
            <w:vAlign w:val="center"/>
            <w:hideMark/>
          </w:tcPr>
          <w:p w14:paraId="74F97E9B"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23,4</w:t>
            </w:r>
          </w:p>
        </w:tc>
        <w:tc>
          <w:tcPr>
            <w:tcW w:w="1150" w:type="dxa"/>
            <w:vAlign w:val="center"/>
            <w:hideMark/>
          </w:tcPr>
          <w:p w14:paraId="227AFB1E"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42,8</w:t>
            </w:r>
          </w:p>
        </w:tc>
      </w:tr>
      <w:tr w:rsidR="00E86941" w:rsidRPr="00E86941" w14:paraId="614EAA4A"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967" w:type="dxa"/>
            <w:hideMark/>
          </w:tcPr>
          <w:p w14:paraId="24BAC279" w14:textId="77777777" w:rsidR="00E86941" w:rsidRPr="00E86941" w:rsidRDefault="00E86941" w:rsidP="00E86941">
            <w:pPr>
              <w:spacing w:line="240" w:lineRule="auto"/>
              <w:rPr>
                <w:rFonts w:eastAsia="Times New Roman" w:cs="Times New Roman"/>
                <w:color w:val="auto"/>
                <w:sz w:val="20"/>
                <w:szCs w:val="20"/>
                <w:lang w:eastAsia="pl-PL"/>
              </w:rPr>
            </w:pPr>
            <w:r w:rsidRPr="00E86941">
              <w:rPr>
                <w:rFonts w:eastAsia="Times New Roman" w:cs="Times New Roman"/>
                <w:color w:val="auto"/>
                <w:sz w:val="20"/>
                <w:szCs w:val="20"/>
                <w:lang w:eastAsia="pl-PL"/>
              </w:rPr>
              <w:t>Przeciętna</w:t>
            </w:r>
          </w:p>
        </w:tc>
        <w:tc>
          <w:tcPr>
            <w:tcW w:w="1334" w:type="dxa"/>
            <w:vAlign w:val="center"/>
            <w:hideMark/>
          </w:tcPr>
          <w:p w14:paraId="2BC37174"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41,1</w:t>
            </w:r>
          </w:p>
        </w:tc>
        <w:tc>
          <w:tcPr>
            <w:tcW w:w="1372" w:type="dxa"/>
            <w:vAlign w:val="center"/>
            <w:hideMark/>
          </w:tcPr>
          <w:p w14:paraId="03E42C49"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52,7</w:t>
            </w:r>
          </w:p>
        </w:tc>
        <w:tc>
          <w:tcPr>
            <w:tcW w:w="1334" w:type="dxa"/>
            <w:vAlign w:val="center"/>
            <w:hideMark/>
          </w:tcPr>
          <w:p w14:paraId="6383A863"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58,0</w:t>
            </w:r>
          </w:p>
        </w:tc>
        <w:tc>
          <w:tcPr>
            <w:tcW w:w="1336" w:type="dxa"/>
            <w:vAlign w:val="center"/>
            <w:hideMark/>
          </w:tcPr>
          <w:p w14:paraId="4CDFBCD3"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61,9</w:t>
            </w:r>
          </w:p>
        </w:tc>
        <w:tc>
          <w:tcPr>
            <w:tcW w:w="1150" w:type="dxa"/>
            <w:vAlign w:val="center"/>
            <w:hideMark/>
          </w:tcPr>
          <w:p w14:paraId="3E5BC2D8" w14:textId="77777777" w:rsidR="00E86941" w:rsidRPr="00E86941" w:rsidRDefault="00E86941" w:rsidP="00E86941">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E86941">
              <w:rPr>
                <w:rFonts w:cs="Times New Roman"/>
                <w:sz w:val="20"/>
                <w:szCs w:val="20"/>
              </w:rPr>
              <w:t>53,6</w:t>
            </w:r>
          </w:p>
        </w:tc>
      </w:tr>
      <w:tr w:rsidR="00E86941" w:rsidRPr="00E86941" w14:paraId="10D0606A"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7" w:type="dxa"/>
            <w:hideMark/>
          </w:tcPr>
          <w:p w14:paraId="21E7C036" w14:textId="77777777" w:rsidR="00E86941" w:rsidRPr="00E86941" w:rsidRDefault="00E86941" w:rsidP="00E86941">
            <w:pPr>
              <w:spacing w:line="240" w:lineRule="auto"/>
              <w:rPr>
                <w:rFonts w:eastAsia="Times New Roman" w:cs="Times New Roman"/>
                <w:color w:val="auto"/>
                <w:sz w:val="20"/>
                <w:szCs w:val="20"/>
                <w:lang w:eastAsia="pl-PL"/>
              </w:rPr>
            </w:pPr>
            <w:r w:rsidRPr="00E86941">
              <w:rPr>
                <w:rFonts w:eastAsia="Times New Roman" w:cs="Times New Roman"/>
                <w:color w:val="auto"/>
                <w:sz w:val="20"/>
                <w:szCs w:val="20"/>
                <w:lang w:eastAsia="pl-PL"/>
              </w:rPr>
              <w:t>Raczej zła i zła</w:t>
            </w:r>
          </w:p>
        </w:tc>
        <w:tc>
          <w:tcPr>
            <w:tcW w:w="1334" w:type="dxa"/>
            <w:vAlign w:val="center"/>
            <w:hideMark/>
          </w:tcPr>
          <w:p w14:paraId="52C59D99"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4,5</w:t>
            </w:r>
          </w:p>
        </w:tc>
        <w:tc>
          <w:tcPr>
            <w:tcW w:w="1372" w:type="dxa"/>
            <w:vAlign w:val="center"/>
            <w:hideMark/>
          </w:tcPr>
          <w:p w14:paraId="023BE974"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7,0</w:t>
            </w:r>
          </w:p>
        </w:tc>
        <w:tc>
          <w:tcPr>
            <w:tcW w:w="1334" w:type="dxa"/>
            <w:vAlign w:val="center"/>
            <w:hideMark/>
          </w:tcPr>
          <w:p w14:paraId="4F77A5B6"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9,7</w:t>
            </w:r>
          </w:p>
        </w:tc>
        <w:tc>
          <w:tcPr>
            <w:tcW w:w="1336" w:type="dxa"/>
            <w:vAlign w:val="center"/>
            <w:hideMark/>
          </w:tcPr>
          <w:p w14:paraId="3C1D1528"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14,7</w:t>
            </w:r>
          </w:p>
        </w:tc>
        <w:tc>
          <w:tcPr>
            <w:tcW w:w="1150" w:type="dxa"/>
            <w:vAlign w:val="center"/>
            <w:hideMark/>
          </w:tcPr>
          <w:p w14:paraId="42C16870" w14:textId="77777777" w:rsidR="00E86941" w:rsidRPr="00E86941" w:rsidRDefault="00E86941" w:rsidP="00E86941">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E86941">
              <w:rPr>
                <w:rFonts w:cs="Times New Roman"/>
                <w:sz w:val="20"/>
                <w:szCs w:val="20"/>
              </w:rPr>
              <w:t>3,6</w:t>
            </w:r>
          </w:p>
        </w:tc>
      </w:tr>
    </w:tbl>
    <w:p w14:paraId="250F802D" w14:textId="54ABFB1B" w:rsidR="000675A2" w:rsidRPr="00392F2F" w:rsidRDefault="00E86941" w:rsidP="002B41FD">
      <w:pPr>
        <w:spacing w:after="120"/>
        <w:rPr>
          <w:rFonts w:cs="Times New Roman"/>
          <w:b/>
          <w:bCs/>
          <w:spacing w:val="-10"/>
          <w:kern w:val="20"/>
          <w:sz w:val="22"/>
        </w:rPr>
      </w:pPr>
      <w:r w:rsidRPr="00392F2F">
        <w:rPr>
          <w:rFonts w:cs="Times New Roman"/>
          <w:b/>
          <w:bCs/>
          <w:spacing w:val="-10"/>
          <w:kern w:val="20"/>
          <w:sz w:val="22"/>
        </w:rPr>
        <w:t>Źródło: Badanie budżetów gosp</w:t>
      </w:r>
      <w:r w:rsidR="002B41FD" w:rsidRPr="00392F2F">
        <w:rPr>
          <w:rFonts w:cs="Times New Roman"/>
          <w:b/>
          <w:bCs/>
          <w:spacing w:val="-10"/>
          <w:kern w:val="20"/>
          <w:sz w:val="22"/>
        </w:rPr>
        <w:t>odarstw domowych w 2020 r., GUS</w:t>
      </w:r>
      <w:r w:rsidR="00392F2F">
        <w:rPr>
          <w:rFonts w:cs="Times New Roman"/>
          <w:b/>
          <w:bCs/>
          <w:spacing w:val="-10"/>
          <w:kern w:val="20"/>
          <w:sz w:val="22"/>
        </w:rPr>
        <w:t>.</w:t>
      </w:r>
    </w:p>
    <w:p w14:paraId="5EB504A1" w14:textId="02D13C18" w:rsidR="00320925" w:rsidRPr="00320925" w:rsidRDefault="00320925" w:rsidP="00015F73">
      <w:pPr>
        <w:rPr>
          <w:rFonts w:cs="Times New Roman"/>
          <w:szCs w:val="24"/>
        </w:rPr>
      </w:pPr>
      <w:r w:rsidRPr="00320925">
        <w:t xml:space="preserve">W 2020 </w:t>
      </w:r>
      <w:r w:rsidR="00B16D30">
        <w:t>r.</w:t>
      </w:r>
      <w:r w:rsidRPr="00320925">
        <w:t xml:space="preserve"> </w:t>
      </w:r>
      <w:r w:rsidRPr="00320925">
        <w:rPr>
          <w:rFonts w:cs="Times New Roman"/>
          <w:szCs w:val="24"/>
        </w:rPr>
        <w:t>gospodarstwa domowe składające się wyłącznie z osób starszych mieszkały w przeważającej części w budynkach wielorodzinnych – 62,1%.</w:t>
      </w:r>
      <w:r w:rsidR="005E53F4">
        <w:rPr>
          <w:rFonts w:cs="Times New Roman"/>
          <w:szCs w:val="24"/>
        </w:rPr>
        <w:t xml:space="preserve"> Przedmiotowy odsetek uległ nieznacznej zmianie w porównaniu z 2019 r. – nastąpił wzrost o 1,2 p. proc.</w:t>
      </w:r>
    </w:p>
    <w:p w14:paraId="617F7CDD" w14:textId="77777777" w:rsidR="00320925" w:rsidRPr="0092226B" w:rsidRDefault="00320925" w:rsidP="00015F73">
      <w:pPr>
        <w:rPr>
          <w:rFonts w:cs="Times New Roman"/>
          <w:color w:val="FF0000"/>
          <w:szCs w:val="24"/>
        </w:rPr>
      </w:pPr>
    </w:p>
    <w:p w14:paraId="72E60518" w14:textId="77777777" w:rsidR="00320925" w:rsidRPr="005E53F4" w:rsidRDefault="00320925" w:rsidP="00015F73">
      <w:pPr>
        <w:rPr>
          <w:rFonts w:cs="Times New Roman"/>
          <w:szCs w:val="24"/>
        </w:rPr>
      </w:pPr>
      <w:r w:rsidRPr="005E53F4">
        <w:rPr>
          <w:rFonts w:cs="Times New Roman"/>
          <w:szCs w:val="24"/>
        </w:rPr>
        <w:t>Przeciętna powierzchnia użytkowa mieszkania na 1 gospodarstwo d</w:t>
      </w:r>
      <w:r w:rsidR="005E53F4" w:rsidRPr="005E53F4">
        <w:rPr>
          <w:rFonts w:cs="Times New Roman"/>
          <w:szCs w:val="24"/>
        </w:rPr>
        <w:t>omowe osób starszych wynosiła 69,06</w:t>
      </w:r>
      <w:r w:rsidRPr="005E53F4">
        <w:rPr>
          <w:rFonts w:cs="Times New Roman"/>
          <w:szCs w:val="24"/>
        </w:rPr>
        <w:t xml:space="preserve"> m</w:t>
      </w:r>
      <w:r w:rsidRPr="005E53F4">
        <w:rPr>
          <w:rFonts w:cs="Times New Roman"/>
          <w:szCs w:val="24"/>
          <w:vertAlign w:val="superscript"/>
        </w:rPr>
        <w:t>2</w:t>
      </w:r>
      <w:r w:rsidRPr="005E53F4">
        <w:rPr>
          <w:rFonts w:cs="Times New Roman"/>
          <w:szCs w:val="24"/>
        </w:rPr>
        <w:t>, przy czym w miastach ponad 24 m</w:t>
      </w:r>
      <w:r w:rsidRPr="005E53F4">
        <w:rPr>
          <w:rFonts w:cs="Times New Roman"/>
          <w:szCs w:val="24"/>
          <w:vertAlign w:val="superscript"/>
        </w:rPr>
        <w:t>2</w:t>
      </w:r>
      <w:r w:rsidR="005E53F4" w:rsidRPr="005E53F4">
        <w:rPr>
          <w:rFonts w:cs="Times New Roman"/>
          <w:szCs w:val="24"/>
        </w:rPr>
        <w:t xml:space="preserve"> mniej niż na wsi (62,71</w:t>
      </w:r>
      <w:r w:rsidRPr="005E53F4">
        <w:rPr>
          <w:rFonts w:cs="Times New Roman"/>
          <w:szCs w:val="24"/>
        </w:rPr>
        <w:t xml:space="preserve"> m</w:t>
      </w:r>
      <w:r w:rsidRPr="005E53F4">
        <w:rPr>
          <w:rFonts w:cs="Times New Roman"/>
          <w:szCs w:val="24"/>
          <w:vertAlign w:val="superscript"/>
        </w:rPr>
        <w:t>2</w:t>
      </w:r>
      <w:r w:rsidR="005E53F4" w:rsidRPr="005E53F4">
        <w:rPr>
          <w:rFonts w:cs="Times New Roman"/>
          <w:szCs w:val="24"/>
        </w:rPr>
        <w:t xml:space="preserve"> wobec </w:t>
      </w:r>
      <w:r w:rsidR="005E53F4" w:rsidRPr="005E53F4">
        <w:rPr>
          <w:rFonts w:cs="Times New Roman"/>
          <w:szCs w:val="24"/>
        </w:rPr>
        <w:br/>
        <w:t>87,62</w:t>
      </w:r>
      <w:r w:rsidRPr="005E53F4">
        <w:rPr>
          <w:rFonts w:cs="Times New Roman"/>
          <w:szCs w:val="24"/>
        </w:rPr>
        <w:t xml:space="preserve"> m</w:t>
      </w:r>
      <w:r w:rsidRPr="005E53F4">
        <w:rPr>
          <w:rFonts w:cs="Times New Roman"/>
          <w:szCs w:val="24"/>
          <w:vertAlign w:val="superscript"/>
        </w:rPr>
        <w:t>2</w:t>
      </w:r>
      <w:r w:rsidRPr="005E53F4">
        <w:rPr>
          <w:rFonts w:cs="Times New Roman"/>
          <w:szCs w:val="24"/>
        </w:rPr>
        <w:t>). Ogółem w gospodarstwach osób starszych były to mieszkania o </w:t>
      </w:r>
      <w:r w:rsidR="005E53F4" w:rsidRPr="005E53F4">
        <w:rPr>
          <w:rFonts w:cs="Times New Roman"/>
          <w:szCs w:val="24"/>
        </w:rPr>
        <w:t xml:space="preserve">12,94 </w:t>
      </w:r>
      <w:r w:rsidRPr="005E53F4">
        <w:rPr>
          <w:rFonts w:cs="Times New Roman"/>
          <w:szCs w:val="24"/>
        </w:rPr>
        <w:t xml:space="preserve"> m</w:t>
      </w:r>
      <w:r w:rsidRPr="005E53F4">
        <w:rPr>
          <w:rFonts w:cs="Times New Roman"/>
          <w:szCs w:val="24"/>
          <w:vertAlign w:val="superscript"/>
        </w:rPr>
        <w:t>2</w:t>
      </w:r>
      <w:r w:rsidRPr="005E53F4">
        <w:rPr>
          <w:rFonts w:cs="Times New Roman"/>
          <w:szCs w:val="24"/>
        </w:rPr>
        <w:t xml:space="preserve"> mniejsze </w:t>
      </w:r>
      <w:r w:rsidRPr="005E53F4">
        <w:rPr>
          <w:rFonts w:cs="Times New Roman"/>
          <w:szCs w:val="24"/>
        </w:rPr>
        <w:br/>
        <w:t xml:space="preserve">od zamieszkiwanych przez członków gospodarstw bez </w:t>
      </w:r>
      <w:r w:rsidR="005E53F4" w:rsidRPr="005E53F4">
        <w:rPr>
          <w:rFonts w:cs="Times New Roman"/>
          <w:szCs w:val="24"/>
        </w:rPr>
        <w:t>osób w wieku 60 lat lub więcej.</w:t>
      </w:r>
    </w:p>
    <w:p w14:paraId="7D5E6F9D" w14:textId="77777777" w:rsidR="00320925" w:rsidRPr="0092226B" w:rsidRDefault="00320925" w:rsidP="00015F73">
      <w:pPr>
        <w:spacing w:after="120"/>
        <w:rPr>
          <w:rFonts w:cs="Times New Roman"/>
          <w:b/>
          <w:bCs/>
          <w:color w:val="FF0000"/>
          <w:spacing w:val="-10"/>
          <w:kern w:val="20"/>
          <w:szCs w:val="24"/>
        </w:rPr>
      </w:pPr>
    </w:p>
    <w:p w14:paraId="2AECCAA7" w14:textId="77777777" w:rsidR="00320925" w:rsidRDefault="00320925" w:rsidP="00015F73">
      <w:pPr>
        <w:rPr>
          <w:rFonts w:cs="Times New Roman"/>
          <w:spacing w:val="-2"/>
          <w:szCs w:val="24"/>
        </w:rPr>
      </w:pPr>
      <w:r w:rsidRPr="00015F73">
        <w:rPr>
          <w:rFonts w:cs="Times New Roman"/>
          <w:spacing w:val="-2"/>
          <w:szCs w:val="24"/>
        </w:rPr>
        <w:t>Mieszkania wy</w:t>
      </w:r>
      <w:r w:rsidR="00015F73" w:rsidRPr="00015F73">
        <w:rPr>
          <w:rFonts w:cs="Times New Roman"/>
          <w:spacing w:val="-2"/>
          <w:szCs w:val="24"/>
        </w:rPr>
        <w:t>posażone w wodociąg miało w 2020 r. 99,8</w:t>
      </w:r>
      <w:r w:rsidRPr="00015F73">
        <w:rPr>
          <w:rFonts w:cs="Times New Roman"/>
          <w:spacing w:val="-2"/>
          <w:szCs w:val="24"/>
        </w:rPr>
        <w:t xml:space="preserve">% gospodarstw osób starszych. Mieszkania mające łazienkę, ciepłą wodę, ustęp spłukiwany użytkowało </w:t>
      </w:r>
      <w:r w:rsidR="00015F73" w:rsidRPr="00015F73">
        <w:rPr>
          <w:rFonts w:cs="Times New Roman"/>
          <w:spacing w:val="-2"/>
          <w:szCs w:val="24"/>
        </w:rPr>
        <w:t xml:space="preserve">prawie </w:t>
      </w:r>
      <w:r w:rsidRPr="00015F73">
        <w:rPr>
          <w:rFonts w:cs="Times New Roman"/>
          <w:spacing w:val="-2"/>
          <w:szCs w:val="24"/>
        </w:rPr>
        <w:t>98% gospodarstw osób starszych. Gaz z sieci mia</w:t>
      </w:r>
      <w:r w:rsidR="00015F73" w:rsidRPr="00015F73">
        <w:rPr>
          <w:rFonts w:cs="Times New Roman"/>
          <w:spacing w:val="-2"/>
          <w:szCs w:val="24"/>
        </w:rPr>
        <w:t>ło doprowadzone do mieszkań 63,1</w:t>
      </w:r>
      <w:r w:rsidRPr="00015F73">
        <w:rPr>
          <w:rFonts w:cs="Times New Roman"/>
          <w:spacing w:val="-2"/>
          <w:szCs w:val="24"/>
        </w:rPr>
        <w:t>% gospodarstw</w:t>
      </w:r>
      <w:r w:rsidR="00015F73">
        <w:rPr>
          <w:rFonts w:cs="Times New Roman"/>
          <w:spacing w:val="-2"/>
          <w:szCs w:val="24"/>
        </w:rPr>
        <w:t xml:space="preserve"> osób starszych,</w:t>
      </w:r>
      <w:r w:rsidR="00015F73" w:rsidRPr="00015F73">
        <w:rPr>
          <w:rFonts w:cs="Times New Roman"/>
          <w:spacing w:val="-2"/>
          <w:szCs w:val="24"/>
        </w:rPr>
        <w:br/>
        <w:t>a kolejne 29,2</w:t>
      </w:r>
      <w:r w:rsidRPr="00015F73">
        <w:rPr>
          <w:rFonts w:cs="Times New Roman"/>
          <w:spacing w:val="-2"/>
          <w:szCs w:val="24"/>
        </w:rPr>
        <w:t>% korzystało z gazu z butli. Z ogrzewania centralnego (z elektrociepłowni, kotłowni osiedlowe</w:t>
      </w:r>
      <w:r w:rsidR="00015F73" w:rsidRPr="00015F73">
        <w:rPr>
          <w:rFonts w:cs="Times New Roman"/>
          <w:spacing w:val="-2"/>
          <w:szCs w:val="24"/>
        </w:rPr>
        <w:t>j lub lokalnego) korzystało 86,6</w:t>
      </w:r>
      <w:r w:rsidRPr="00015F73">
        <w:rPr>
          <w:rFonts w:cs="Times New Roman"/>
          <w:spacing w:val="-2"/>
          <w:szCs w:val="24"/>
        </w:rPr>
        <w:t xml:space="preserve">% gospodarstw osób starszych. </w:t>
      </w:r>
    </w:p>
    <w:p w14:paraId="592742CE" w14:textId="77777777" w:rsidR="001C050A" w:rsidRDefault="001C050A" w:rsidP="00015F73">
      <w:pPr>
        <w:rPr>
          <w:rFonts w:cs="Times New Roman"/>
          <w:spacing w:val="-2"/>
          <w:szCs w:val="24"/>
        </w:rPr>
      </w:pPr>
    </w:p>
    <w:p w14:paraId="523AC661" w14:textId="77777777" w:rsidR="001C050A" w:rsidRPr="00015F73" w:rsidRDefault="001C050A" w:rsidP="00015F73">
      <w:pPr>
        <w:rPr>
          <w:rFonts w:cs="Times New Roman"/>
          <w:spacing w:val="-2"/>
          <w:szCs w:val="24"/>
        </w:rPr>
      </w:pPr>
      <w:r>
        <w:rPr>
          <w:rFonts w:cs="Times New Roman"/>
          <w:spacing w:val="-2"/>
          <w:szCs w:val="24"/>
        </w:rPr>
        <w:t>Gospodarstwa osób starszych zwykle nie są wyposażone w klimatyzację. W miastach zaledwie 1,8% gospodarstw domowych posiadało to udogodnienie, natomiast na wsi odsetek ten wyniósł 1,5%.</w:t>
      </w:r>
    </w:p>
    <w:p w14:paraId="33D96682" w14:textId="77777777" w:rsidR="00015F73" w:rsidRPr="0092226B" w:rsidRDefault="00015F73" w:rsidP="00320925">
      <w:pPr>
        <w:rPr>
          <w:rFonts w:cs="Times New Roman"/>
          <w:color w:val="FF0000"/>
          <w:szCs w:val="24"/>
        </w:rPr>
      </w:pPr>
    </w:p>
    <w:p w14:paraId="363E58F4" w14:textId="3B8E2688" w:rsidR="00320925" w:rsidRPr="00320925" w:rsidRDefault="00320925" w:rsidP="00320925">
      <w:pPr>
        <w:pStyle w:val="Legenda"/>
        <w:keepNext/>
        <w:rPr>
          <w:rFonts w:cs="Times New Roman"/>
          <w:b/>
          <w:i w:val="0"/>
          <w:color w:val="auto"/>
          <w:sz w:val="24"/>
        </w:rPr>
      </w:pPr>
      <w:bookmarkStart w:id="13" w:name="_Toc49171383"/>
      <w:r w:rsidRPr="00320925">
        <w:rPr>
          <w:rFonts w:cs="Times New Roman"/>
          <w:b/>
          <w:i w:val="0"/>
          <w:color w:val="auto"/>
          <w:sz w:val="24"/>
        </w:rPr>
        <w:t>Tabela 8</w:t>
      </w:r>
      <w:r w:rsidR="00EE73AF">
        <w:rPr>
          <w:rFonts w:cs="Times New Roman"/>
          <w:b/>
          <w:i w:val="0"/>
          <w:color w:val="auto"/>
          <w:sz w:val="24"/>
        </w:rPr>
        <w:t>.</w:t>
      </w:r>
      <w:r w:rsidRPr="00320925">
        <w:rPr>
          <w:rFonts w:cs="Times New Roman"/>
          <w:b/>
          <w:i w:val="0"/>
          <w:color w:val="auto"/>
          <w:sz w:val="24"/>
        </w:rPr>
        <w:t xml:space="preserve"> Sytuacja mieszkaniowa gospodarstw domowych według liczby osób</w:t>
      </w:r>
      <w:bookmarkEnd w:id="13"/>
    </w:p>
    <w:tbl>
      <w:tblPr>
        <w:tblStyle w:val="Tabelasiatki5ciemnaakcent2"/>
        <w:tblW w:w="9351" w:type="dxa"/>
        <w:tblLook w:val="04A0" w:firstRow="1" w:lastRow="0" w:firstColumn="1" w:lastColumn="0" w:noHBand="0" w:noVBand="1"/>
      </w:tblPr>
      <w:tblGrid>
        <w:gridCol w:w="2489"/>
        <w:gridCol w:w="1318"/>
        <w:gridCol w:w="1411"/>
        <w:gridCol w:w="1318"/>
        <w:gridCol w:w="1325"/>
        <w:gridCol w:w="1490"/>
      </w:tblGrid>
      <w:tr w:rsidR="00320925" w:rsidRPr="00320925" w14:paraId="588F278F" w14:textId="77777777" w:rsidTr="00934271">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489" w:type="dxa"/>
            <w:vMerge w:val="restart"/>
            <w:vAlign w:val="center"/>
            <w:hideMark/>
          </w:tcPr>
          <w:p w14:paraId="10E7464F" w14:textId="77777777" w:rsidR="00320925" w:rsidRPr="00320925" w:rsidRDefault="00320925" w:rsidP="00320925">
            <w:pPr>
              <w:spacing w:line="240" w:lineRule="auto"/>
              <w:jc w:val="center"/>
              <w:rPr>
                <w:rFonts w:eastAsia="Times New Roman" w:cs="Times New Roman"/>
                <w:color w:val="auto"/>
                <w:sz w:val="20"/>
                <w:szCs w:val="20"/>
                <w:lang w:eastAsia="pl-PL"/>
              </w:rPr>
            </w:pPr>
            <w:r w:rsidRPr="00320925">
              <w:rPr>
                <w:rFonts w:eastAsia="Times New Roman" w:cs="Times New Roman"/>
                <w:color w:val="auto"/>
                <w:sz w:val="20"/>
                <w:szCs w:val="20"/>
                <w:lang w:eastAsia="pl-PL"/>
              </w:rPr>
              <w:t>Wyszczególnienie</w:t>
            </w:r>
          </w:p>
        </w:tc>
        <w:tc>
          <w:tcPr>
            <w:tcW w:w="6862" w:type="dxa"/>
            <w:gridSpan w:val="5"/>
            <w:vAlign w:val="center"/>
            <w:hideMark/>
          </w:tcPr>
          <w:p w14:paraId="13810AFC" w14:textId="77777777" w:rsidR="00320925" w:rsidRPr="00320925" w:rsidRDefault="00320925" w:rsidP="00320925">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320925">
              <w:rPr>
                <w:rFonts w:eastAsia="Times New Roman" w:cs="Times New Roman"/>
                <w:color w:val="auto"/>
                <w:sz w:val="20"/>
                <w:szCs w:val="20"/>
                <w:lang w:eastAsia="pl-PL"/>
              </w:rPr>
              <w:t>Gospodarstwa domowe</w:t>
            </w:r>
          </w:p>
        </w:tc>
      </w:tr>
      <w:tr w:rsidR="00320925" w:rsidRPr="00320925" w14:paraId="55C93B68" w14:textId="77777777" w:rsidTr="0093427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489" w:type="dxa"/>
            <w:vMerge/>
            <w:vAlign w:val="center"/>
            <w:hideMark/>
          </w:tcPr>
          <w:p w14:paraId="06ED73C4" w14:textId="77777777" w:rsidR="00320925" w:rsidRPr="00320925" w:rsidRDefault="00320925" w:rsidP="00320925">
            <w:pPr>
              <w:spacing w:line="240" w:lineRule="auto"/>
              <w:jc w:val="center"/>
              <w:rPr>
                <w:rFonts w:eastAsia="Times New Roman" w:cs="Times New Roman"/>
                <w:b w:val="0"/>
                <w:color w:val="auto"/>
                <w:sz w:val="20"/>
                <w:szCs w:val="20"/>
                <w:lang w:eastAsia="pl-PL"/>
              </w:rPr>
            </w:pPr>
          </w:p>
        </w:tc>
        <w:tc>
          <w:tcPr>
            <w:tcW w:w="1318" w:type="dxa"/>
            <w:vMerge w:val="restart"/>
            <w:vAlign w:val="center"/>
            <w:hideMark/>
          </w:tcPr>
          <w:p w14:paraId="5E7EDF5F"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320925">
              <w:rPr>
                <w:rFonts w:eastAsia="Times New Roman" w:cs="Times New Roman"/>
                <w:b/>
                <w:sz w:val="20"/>
                <w:szCs w:val="20"/>
                <w:lang w:eastAsia="pl-PL"/>
              </w:rPr>
              <w:t xml:space="preserve">bez osób </w:t>
            </w:r>
            <w:r w:rsidRPr="00320925">
              <w:rPr>
                <w:rFonts w:eastAsia="Times New Roman" w:cs="Times New Roman"/>
                <w:b/>
                <w:sz w:val="20"/>
                <w:szCs w:val="20"/>
                <w:lang w:eastAsia="pl-PL"/>
              </w:rPr>
              <w:br/>
              <w:t>w wieku 60 lat i więcej</w:t>
            </w:r>
          </w:p>
        </w:tc>
        <w:tc>
          <w:tcPr>
            <w:tcW w:w="1411" w:type="dxa"/>
            <w:vMerge w:val="restart"/>
            <w:vAlign w:val="center"/>
            <w:hideMark/>
          </w:tcPr>
          <w:p w14:paraId="444C300E"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320925">
              <w:rPr>
                <w:rFonts w:eastAsia="Times New Roman" w:cs="Times New Roman"/>
                <w:b/>
                <w:sz w:val="20"/>
                <w:szCs w:val="20"/>
                <w:lang w:eastAsia="pl-PL"/>
              </w:rPr>
              <w:t xml:space="preserve">z przynajmniej 1 osobą </w:t>
            </w:r>
            <w:r w:rsidRPr="00320925">
              <w:rPr>
                <w:rFonts w:eastAsia="Times New Roman" w:cs="Times New Roman"/>
                <w:b/>
                <w:sz w:val="20"/>
                <w:szCs w:val="20"/>
                <w:lang w:eastAsia="pl-PL"/>
              </w:rPr>
              <w:br/>
              <w:t>w wieku 60 lat i więcej</w:t>
            </w:r>
          </w:p>
        </w:tc>
        <w:tc>
          <w:tcPr>
            <w:tcW w:w="4133" w:type="dxa"/>
            <w:gridSpan w:val="3"/>
            <w:vAlign w:val="center"/>
            <w:hideMark/>
          </w:tcPr>
          <w:p w14:paraId="39DC5C2F"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320925">
              <w:rPr>
                <w:rFonts w:eastAsia="Times New Roman" w:cs="Times New Roman"/>
                <w:b/>
                <w:sz w:val="20"/>
                <w:szCs w:val="20"/>
                <w:lang w:eastAsia="pl-PL"/>
              </w:rPr>
              <w:t>wyłącznie z osobami w wieku 60 lat i więcej</w:t>
            </w:r>
          </w:p>
        </w:tc>
      </w:tr>
      <w:tr w:rsidR="00320925" w:rsidRPr="00320925" w14:paraId="2388A2C5" w14:textId="77777777" w:rsidTr="00934271">
        <w:trPr>
          <w:trHeight w:val="398"/>
        </w:trPr>
        <w:tc>
          <w:tcPr>
            <w:cnfStyle w:val="001000000000" w:firstRow="0" w:lastRow="0" w:firstColumn="1" w:lastColumn="0" w:oddVBand="0" w:evenVBand="0" w:oddHBand="0" w:evenHBand="0" w:firstRowFirstColumn="0" w:firstRowLastColumn="0" w:lastRowFirstColumn="0" w:lastRowLastColumn="0"/>
            <w:tcW w:w="2489" w:type="dxa"/>
            <w:vMerge/>
            <w:vAlign w:val="center"/>
            <w:hideMark/>
          </w:tcPr>
          <w:p w14:paraId="23F8F7CC" w14:textId="77777777" w:rsidR="00320925" w:rsidRPr="00320925" w:rsidRDefault="00320925" w:rsidP="00320925">
            <w:pPr>
              <w:spacing w:line="240" w:lineRule="auto"/>
              <w:jc w:val="center"/>
              <w:rPr>
                <w:rFonts w:eastAsia="Times New Roman" w:cs="Times New Roman"/>
                <w:b w:val="0"/>
                <w:color w:val="auto"/>
                <w:sz w:val="20"/>
                <w:szCs w:val="20"/>
                <w:lang w:eastAsia="pl-PL"/>
              </w:rPr>
            </w:pPr>
          </w:p>
        </w:tc>
        <w:tc>
          <w:tcPr>
            <w:tcW w:w="1318" w:type="dxa"/>
            <w:vMerge/>
            <w:vAlign w:val="center"/>
            <w:hideMark/>
          </w:tcPr>
          <w:p w14:paraId="21471FFB"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411" w:type="dxa"/>
            <w:vMerge/>
            <w:vAlign w:val="center"/>
            <w:hideMark/>
          </w:tcPr>
          <w:p w14:paraId="40A2B5FA"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18" w:type="dxa"/>
            <w:vMerge w:val="restart"/>
            <w:vAlign w:val="center"/>
            <w:hideMark/>
          </w:tcPr>
          <w:p w14:paraId="3D2C10D6"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320925">
              <w:rPr>
                <w:rFonts w:eastAsia="Times New Roman" w:cs="Times New Roman"/>
                <w:b/>
                <w:sz w:val="20"/>
                <w:szCs w:val="20"/>
                <w:lang w:eastAsia="pl-PL"/>
              </w:rPr>
              <w:t>razem</w:t>
            </w:r>
          </w:p>
        </w:tc>
        <w:tc>
          <w:tcPr>
            <w:tcW w:w="2815" w:type="dxa"/>
            <w:gridSpan w:val="2"/>
            <w:vAlign w:val="center"/>
            <w:hideMark/>
          </w:tcPr>
          <w:p w14:paraId="5E8EB37D"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320925">
              <w:rPr>
                <w:rFonts w:eastAsia="Times New Roman" w:cs="Times New Roman"/>
                <w:b/>
                <w:sz w:val="20"/>
                <w:szCs w:val="20"/>
                <w:lang w:eastAsia="pl-PL"/>
              </w:rPr>
              <w:t>w tym</w:t>
            </w:r>
          </w:p>
        </w:tc>
      </w:tr>
      <w:tr w:rsidR="00320925" w:rsidRPr="00320925" w14:paraId="4EB099F8" w14:textId="77777777" w:rsidTr="0093427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89" w:type="dxa"/>
            <w:vMerge/>
            <w:vAlign w:val="center"/>
            <w:hideMark/>
          </w:tcPr>
          <w:p w14:paraId="4BD929AC" w14:textId="77777777" w:rsidR="00320925" w:rsidRPr="00320925" w:rsidRDefault="00320925" w:rsidP="00320925">
            <w:pPr>
              <w:spacing w:line="240" w:lineRule="auto"/>
              <w:jc w:val="center"/>
              <w:rPr>
                <w:rFonts w:eastAsia="Times New Roman" w:cs="Times New Roman"/>
                <w:b w:val="0"/>
                <w:color w:val="auto"/>
                <w:sz w:val="20"/>
                <w:szCs w:val="20"/>
                <w:lang w:eastAsia="pl-PL"/>
              </w:rPr>
            </w:pPr>
          </w:p>
        </w:tc>
        <w:tc>
          <w:tcPr>
            <w:tcW w:w="1318" w:type="dxa"/>
            <w:vMerge/>
            <w:vAlign w:val="center"/>
            <w:hideMark/>
          </w:tcPr>
          <w:p w14:paraId="6520779C"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411" w:type="dxa"/>
            <w:vMerge/>
            <w:vAlign w:val="center"/>
            <w:hideMark/>
          </w:tcPr>
          <w:p w14:paraId="29998A7E"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18" w:type="dxa"/>
            <w:vMerge/>
            <w:vAlign w:val="center"/>
            <w:hideMark/>
          </w:tcPr>
          <w:p w14:paraId="0262D00E"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25" w:type="dxa"/>
            <w:vMerge w:val="restart"/>
            <w:vAlign w:val="center"/>
            <w:hideMark/>
          </w:tcPr>
          <w:p w14:paraId="23D4591E"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320925">
              <w:rPr>
                <w:rFonts w:eastAsia="Times New Roman" w:cs="Times New Roman"/>
                <w:b/>
                <w:sz w:val="20"/>
                <w:szCs w:val="20"/>
                <w:lang w:eastAsia="pl-PL"/>
              </w:rPr>
              <w:t>1-osobowe</w:t>
            </w:r>
          </w:p>
        </w:tc>
        <w:tc>
          <w:tcPr>
            <w:tcW w:w="1490" w:type="dxa"/>
            <w:vMerge w:val="restart"/>
            <w:vAlign w:val="center"/>
            <w:hideMark/>
          </w:tcPr>
          <w:p w14:paraId="246B97F0"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320925">
              <w:rPr>
                <w:rFonts w:eastAsia="Times New Roman" w:cs="Times New Roman"/>
                <w:b/>
                <w:sz w:val="20"/>
                <w:szCs w:val="20"/>
                <w:lang w:eastAsia="pl-PL"/>
              </w:rPr>
              <w:t>2-osobowe (obydwie osoby</w:t>
            </w:r>
            <w:r w:rsidRPr="00320925">
              <w:rPr>
                <w:rFonts w:eastAsia="Times New Roman" w:cs="Times New Roman"/>
                <w:b/>
                <w:sz w:val="20"/>
                <w:szCs w:val="20"/>
                <w:lang w:eastAsia="pl-PL"/>
              </w:rPr>
              <w:br/>
              <w:t xml:space="preserve">w wieku 60 lat </w:t>
            </w:r>
            <w:r w:rsidRPr="00320925">
              <w:rPr>
                <w:rFonts w:eastAsia="Times New Roman" w:cs="Times New Roman"/>
                <w:b/>
                <w:sz w:val="20"/>
                <w:szCs w:val="20"/>
                <w:lang w:eastAsia="pl-PL"/>
              </w:rPr>
              <w:br/>
              <w:t>i więcej)</w:t>
            </w:r>
          </w:p>
        </w:tc>
      </w:tr>
      <w:tr w:rsidR="00320925" w:rsidRPr="00320925" w14:paraId="4C42A883" w14:textId="77777777" w:rsidTr="00934271">
        <w:trPr>
          <w:trHeight w:val="458"/>
        </w:trPr>
        <w:tc>
          <w:tcPr>
            <w:cnfStyle w:val="001000000000" w:firstRow="0" w:lastRow="0" w:firstColumn="1" w:lastColumn="0" w:oddVBand="0" w:evenVBand="0" w:oddHBand="0" w:evenHBand="0" w:firstRowFirstColumn="0" w:firstRowLastColumn="0" w:lastRowFirstColumn="0" w:lastRowLastColumn="0"/>
            <w:tcW w:w="2489" w:type="dxa"/>
            <w:vMerge/>
            <w:vAlign w:val="center"/>
            <w:hideMark/>
          </w:tcPr>
          <w:p w14:paraId="680F9961" w14:textId="77777777" w:rsidR="00320925" w:rsidRPr="00320925" w:rsidRDefault="00320925" w:rsidP="00320925">
            <w:pPr>
              <w:spacing w:line="240" w:lineRule="auto"/>
              <w:jc w:val="center"/>
              <w:rPr>
                <w:rFonts w:eastAsia="Times New Roman" w:cs="Times New Roman"/>
                <w:b w:val="0"/>
                <w:color w:val="auto"/>
                <w:sz w:val="20"/>
                <w:szCs w:val="20"/>
                <w:lang w:eastAsia="pl-PL"/>
              </w:rPr>
            </w:pPr>
          </w:p>
        </w:tc>
        <w:tc>
          <w:tcPr>
            <w:tcW w:w="1318" w:type="dxa"/>
            <w:vMerge/>
            <w:vAlign w:val="center"/>
            <w:hideMark/>
          </w:tcPr>
          <w:p w14:paraId="397C19B9"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411" w:type="dxa"/>
            <w:vMerge/>
            <w:vAlign w:val="center"/>
            <w:hideMark/>
          </w:tcPr>
          <w:p w14:paraId="68F38EDE"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18" w:type="dxa"/>
            <w:vMerge/>
            <w:vAlign w:val="center"/>
            <w:hideMark/>
          </w:tcPr>
          <w:p w14:paraId="62BCD17C"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25" w:type="dxa"/>
            <w:vMerge/>
            <w:vAlign w:val="center"/>
            <w:hideMark/>
          </w:tcPr>
          <w:p w14:paraId="00BD5F09"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490" w:type="dxa"/>
            <w:vMerge/>
            <w:vAlign w:val="center"/>
            <w:hideMark/>
          </w:tcPr>
          <w:p w14:paraId="7BF39FB4"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r>
      <w:tr w:rsidR="00320925" w:rsidRPr="00320925" w14:paraId="48C3DE6C" w14:textId="77777777" w:rsidTr="0093427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89" w:type="dxa"/>
            <w:vMerge/>
            <w:vAlign w:val="center"/>
            <w:hideMark/>
          </w:tcPr>
          <w:p w14:paraId="3447932A" w14:textId="77777777" w:rsidR="00320925" w:rsidRPr="00320925" w:rsidRDefault="00320925" w:rsidP="00320925">
            <w:pPr>
              <w:spacing w:line="240" w:lineRule="auto"/>
              <w:jc w:val="center"/>
              <w:rPr>
                <w:rFonts w:eastAsia="Times New Roman" w:cs="Times New Roman"/>
                <w:b w:val="0"/>
                <w:color w:val="auto"/>
                <w:sz w:val="20"/>
                <w:szCs w:val="20"/>
                <w:lang w:eastAsia="pl-PL"/>
              </w:rPr>
            </w:pPr>
          </w:p>
        </w:tc>
        <w:tc>
          <w:tcPr>
            <w:tcW w:w="1318" w:type="dxa"/>
            <w:vMerge/>
            <w:vAlign w:val="center"/>
            <w:hideMark/>
          </w:tcPr>
          <w:p w14:paraId="38E5897A"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411" w:type="dxa"/>
            <w:vMerge/>
            <w:vAlign w:val="center"/>
            <w:hideMark/>
          </w:tcPr>
          <w:p w14:paraId="58D7D147"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18" w:type="dxa"/>
            <w:vMerge/>
            <w:vAlign w:val="center"/>
            <w:hideMark/>
          </w:tcPr>
          <w:p w14:paraId="6A848754"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25" w:type="dxa"/>
            <w:vMerge/>
            <w:vAlign w:val="center"/>
            <w:hideMark/>
          </w:tcPr>
          <w:p w14:paraId="794888FD"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490" w:type="dxa"/>
            <w:vMerge/>
            <w:vAlign w:val="center"/>
            <w:hideMark/>
          </w:tcPr>
          <w:p w14:paraId="6EBC4C31"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r>
      <w:tr w:rsidR="00320925" w:rsidRPr="00320925" w14:paraId="39E0F71D"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vMerge/>
            <w:vAlign w:val="center"/>
            <w:hideMark/>
          </w:tcPr>
          <w:p w14:paraId="1D38C15C" w14:textId="77777777" w:rsidR="00320925" w:rsidRPr="00320925" w:rsidRDefault="00320925" w:rsidP="00320925">
            <w:pPr>
              <w:spacing w:line="240" w:lineRule="auto"/>
              <w:jc w:val="center"/>
              <w:rPr>
                <w:rFonts w:eastAsia="Times New Roman" w:cs="Times New Roman"/>
                <w:b w:val="0"/>
                <w:color w:val="auto"/>
                <w:sz w:val="20"/>
                <w:szCs w:val="20"/>
                <w:lang w:eastAsia="pl-PL"/>
              </w:rPr>
            </w:pPr>
          </w:p>
        </w:tc>
        <w:tc>
          <w:tcPr>
            <w:tcW w:w="6862" w:type="dxa"/>
            <w:gridSpan w:val="5"/>
            <w:vAlign w:val="center"/>
            <w:hideMark/>
          </w:tcPr>
          <w:p w14:paraId="255E9E05"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320925">
              <w:rPr>
                <w:rFonts w:eastAsia="Times New Roman" w:cs="Times New Roman"/>
                <w:b/>
                <w:sz w:val="20"/>
                <w:szCs w:val="20"/>
                <w:lang w:eastAsia="pl-PL"/>
              </w:rPr>
              <w:t>w % danej grupy gospodarstw</w:t>
            </w:r>
          </w:p>
        </w:tc>
      </w:tr>
      <w:tr w:rsidR="00320925" w:rsidRPr="00320925" w14:paraId="4F39283E" w14:textId="77777777" w:rsidTr="0093427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351" w:type="dxa"/>
            <w:gridSpan w:val="6"/>
            <w:hideMark/>
          </w:tcPr>
          <w:p w14:paraId="0674F073" w14:textId="77777777" w:rsidR="00320925" w:rsidRPr="00320925" w:rsidRDefault="00320925" w:rsidP="00320925">
            <w:pPr>
              <w:spacing w:line="240" w:lineRule="auto"/>
              <w:jc w:val="center"/>
              <w:rPr>
                <w:rFonts w:eastAsia="Times New Roman" w:cs="Times New Roman"/>
                <w:color w:val="auto"/>
                <w:sz w:val="20"/>
                <w:szCs w:val="20"/>
                <w:lang w:eastAsia="pl-PL"/>
              </w:rPr>
            </w:pPr>
            <w:r w:rsidRPr="00320925">
              <w:rPr>
                <w:rFonts w:eastAsia="Times New Roman" w:cs="Times New Roman"/>
                <w:color w:val="auto"/>
                <w:sz w:val="20"/>
                <w:szCs w:val="20"/>
                <w:lang w:eastAsia="pl-PL"/>
              </w:rPr>
              <w:t>OGÓŁEM</w:t>
            </w:r>
          </w:p>
        </w:tc>
      </w:tr>
      <w:tr w:rsidR="00320925" w:rsidRPr="00320925" w14:paraId="331DDB83"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noWrap/>
            <w:hideMark/>
          </w:tcPr>
          <w:p w14:paraId="5EC9C2C4" w14:textId="77777777" w:rsidR="00320925" w:rsidRPr="00320925" w:rsidRDefault="00320925" w:rsidP="00320925">
            <w:pPr>
              <w:spacing w:line="240" w:lineRule="auto"/>
              <w:rPr>
                <w:rFonts w:eastAsia="Times New Roman" w:cs="Times New Roman"/>
                <w:bCs w:val="0"/>
                <w:color w:val="auto"/>
                <w:sz w:val="20"/>
                <w:szCs w:val="20"/>
                <w:lang w:eastAsia="pl-PL"/>
              </w:rPr>
            </w:pPr>
            <w:r w:rsidRPr="00320925">
              <w:rPr>
                <w:rFonts w:eastAsia="Times New Roman" w:cs="Times New Roman"/>
                <w:bCs w:val="0"/>
                <w:color w:val="auto"/>
                <w:sz w:val="20"/>
                <w:szCs w:val="20"/>
                <w:lang w:eastAsia="pl-PL"/>
              </w:rPr>
              <w:t xml:space="preserve">Ogółem </w:t>
            </w:r>
          </w:p>
        </w:tc>
        <w:tc>
          <w:tcPr>
            <w:tcW w:w="1318" w:type="dxa"/>
            <w:hideMark/>
          </w:tcPr>
          <w:p w14:paraId="7D41B6C9"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20925">
              <w:rPr>
                <w:rFonts w:eastAsia="Times New Roman" w:cs="Times New Roman"/>
                <w:b/>
                <w:bCs/>
                <w:sz w:val="20"/>
                <w:szCs w:val="20"/>
                <w:lang w:eastAsia="pl-PL"/>
              </w:rPr>
              <w:t>100,0</w:t>
            </w:r>
          </w:p>
        </w:tc>
        <w:tc>
          <w:tcPr>
            <w:tcW w:w="1411" w:type="dxa"/>
            <w:hideMark/>
          </w:tcPr>
          <w:p w14:paraId="5D0E3833"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20925">
              <w:rPr>
                <w:rFonts w:eastAsia="Times New Roman" w:cs="Times New Roman"/>
                <w:b/>
                <w:bCs/>
                <w:sz w:val="20"/>
                <w:szCs w:val="20"/>
                <w:lang w:eastAsia="pl-PL"/>
              </w:rPr>
              <w:t>100,0</w:t>
            </w:r>
          </w:p>
        </w:tc>
        <w:tc>
          <w:tcPr>
            <w:tcW w:w="1318" w:type="dxa"/>
            <w:hideMark/>
          </w:tcPr>
          <w:p w14:paraId="058EEE0C"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20925">
              <w:rPr>
                <w:rFonts w:eastAsia="Times New Roman" w:cs="Times New Roman"/>
                <w:b/>
                <w:bCs/>
                <w:sz w:val="20"/>
                <w:szCs w:val="20"/>
                <w:lang w:eastAsia="pl-PL"/>
              </w:rPr>
              <w:t>100,0</w:t>
            </w:r>
          </w:p>
        </w:tc>
        <w:tc>
          <w:tcPr>
            <w:tcW w:w="1325" w:type="dxa"/>
            <w:hideMark/>
          </w:tcPr>
          <w:p w14:paraId="574EFCF4"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20925">
              <w:rPr>
                <w:rFonts w:eastAsia="Times New Roman" w:cs="Times New Roman"/>
                <w:b/>
                <w:bCs/>
                <w:sz w:val="20"/>
                <w:szCs w:val="20"/>
                <w:lang w:eastAsia="pl-PL"/>
              </w:rPr>
              <w:t>100,0</w:t>
            </w:r>
          </w:p>
        </w:tc>
        <w:tc>
          <w:tcPr>
            <w:tcW w:w="1490" w:type="dxa"/>
            <w:hideMark/>
          </w:tcPr>
          <w:p w14:paraId="0C4AF822"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20925">
              <w:rPr>
                <w:rFonts w:eastAsia="Times New Roman" w:cs="Times New Roman"/>
                <w:b/>
                <w:bCs/>
                <w:sz w:val="20"/>
                <w:szCs w:val="20"/>
                <w:lang w:eastAsia="pl-PL"/>
              </w:rPr>
              <w:t>100,0</w:t>
            </w:r>
          </w:p>
        </w:tc>
      </w:tr>
      <w:tr w:rsidR="00320925" w:rsidRPr="00320925" w14:paraId="16E64F7C"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1B7AFC0C"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 xml:space="preserve">Rodzaj budynku:                   </w:t>
            </w:r>
          </w:p>
        </w:tc>
        <w:tc>
          <w:tcPr>
            <w:tcW w:w="1318" w:type="dxa"/>
            <w:hideMark/>
          </w:tcPr>
          <w:p w14:paraId="58240876"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411" w:type="dxa"/>
            <w:hideMark/>
          </w:tcPr>
          <w:p w14:paraId="7965883B"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18" w:type="dxa"/>
            <w:hideMark/>
          </w:tcPr>
          <w:p w14:paraId="472838D1"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25" w:type="dxa"/>
            <w:hideMark/>
          </w:tcPr>
          <w:p w14:paraId="6D188DA7"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490" w:type="dxa"/>
            <w:hideMark/>
          </w:tcPr>
          <w:p w14:paraId="61FF36CD"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r>
      <w:tr w:rsidR="00320925" w:rsidRPr="00320925" w14:paraId="3533D3FB"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1C8408F0"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budynek wielorodzinny</w:t>
            </w:r>
          </w:p>
        </w:tc>
        <w:tc>
          <w:tcPr>
            <w:tcW w:w="1318" w:type="dxa"/>
            <w:vAlign w:val="center"/>
            <w:hideMark/>
          </w:tcPr>
          <w:p w14:paraId="10579E35"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57,2</w:t>
            </w:r>
          </w:p>
        </w:tc>
        <w:tc>
          <w:tcPr>
            <w:tcW w:w="1411" w:type="dxa"/>
            <w:vAlign w:val="center"/>
            <w:hideMark/>
          </w:tcPr>
          <w:p w14:paraId="0C5D0184"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51,5</w:t>
            </w:r>
          </w:p>
        </w:tc>
        <w:tc>
          <w:tcPr>
            <w:tcW w:w="1318" w:type="dxa"/>
            <w:vAlign w:val="center"/>
            <w:hideMark/>
          </w:tcPr>
          <w:p w14:paraId="670FE983"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62,1</w:t>
            </w:r>
          </w:p>
        </w:tc>
        <w:tc>
          <w:tcPr>
            <w:tcW w:w="1325" w:type="dxa"/>
            <w:vAlign w:val="center"/>
            <w:hideMark/>
          </w:tcPr>
          <w:p w14:paraId="687E2825"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67,7</w:t>
            </w:r>
          </w:p>
        </w:tc>
        <w:tc>
          <w:tcPr>
            <w:tcW w:w="1490" w:type="dxa"/>
            <w:vAlign w:val="center"/>
            <w:hideMark/>
          </w:tcPr>
          <w:p w14:paraId="4AD70050"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55,9</w:t>
            </w:r>
          </w:p>
        </w:tc>
      </w:tr>
      <w:tr w:rsidR="00320925" w:rsidRPr="00320925" w14:paraId="3CEB0F8F"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205812A3"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dom 1-rodzinny</w:t>
            </w:r>
          </w:p>
        </w:tc>
        <w:tc>
          <w:tcPr>
            <w:tcW w:w="1318" w:type="dxa"/>
            <w:vAlign w:val="center"/>
            <w:hideMark/>
          </w:tcPr>
          <w:p w14:paraId="6DCFB182"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42,7</w:t>
            </w:r>
          </w:p>
        </w:tc>
        <w:tc>
          <w:tcPr>
            <w:tcW w:w="1411" w:type="dxa"/>
            <w:vAlign w:val="center"/>
            <w:hideMark/>
          </w:tcPr>
          <w:p w14:paraId="53D9AE34"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48,4</w:t>
            </w:r>
          </w:p>
        </w:tc>
        <w:tc>
          <w:tcPr>
            <w:tcW w:w="1318" w:type="dxa"/>
            <w:vAlign w:val="center"/>
            <w:hideMark/>
          </w:tcPr>
          <w:p w14:paraId="60FCE2F8"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37,8</w:t>
            </w:r>
          </w:p>
        </w:tc>
        <w:tc>
          <w:tcPr>
            <w:tcW w:w="1325" w:type="dxa"/>
            <w:vAlign w:val="center"/>
            <w:hideMark/>
          </w:tcPr>
          <w:p w14:paraId="609C3B61"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32,2</w:t>
            </w:r>
          </w:p>
        </w:tc>
        <w:tc>
          <w:tcPr>
            <w:tcW w:w="1490" w:type="dxa"/>
            <w:vAlign w:val="center"/>
            <w:hideMark/>
          </w:tcPr>
          <w:p w14:paraId="649ED8AB"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44,1</w:t>
            </w:r>
          </w:p>
        </w:tc>
      </w:tr>
      <w:tr w:rsidR="00320925" w:rsidRPr="00320925" w14:paraId="0C10C137"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20C0A8F5"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inny</w:t>
            </w:r>
          </w:p>
        </w:tc>
        <w:tc>
          <w:tcPr>
            <w:tcW w:w="1318" w:type="dxa"/>
            <w:vAlign w:val="center"/>
            <w:hideMark/>
          </w:tcPr>
          <w:p w14:paraId="1A1E87D6"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0,1</w:t>
            </w:r>
          </w:p>
        </w:tc>
        <w:tc>
          <w:tcPr>
            <w:tcW w:w="1411" w:type="dxa"/>
            <w:vAlign w:val="center"/>
            <w:hideMark/>
          </w:tcPr>
          <w:p w14:paraId="204DE580"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0,1</w:t>
            </w:r>
          </w:p>
        </w:tc>
        <w:tc>
          <w:tcPr>
            <w:tcW w:w="1318" w:type="dxa"/>
            <w:vAlign w:val="center"/>
            <w:hideMark/>
          </w:tcPr>
          <w:p w14:paraId="676A2149"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0,1</w:t>
            </w:r>
          </w:p>
        </w:tc>
        <w:tc>
          <w:tcPr>
            <w:tcW w:w="1325" w:type="dxa"/>
            <w:vAlign w:val="center"/>
            <w:hideMark/>
          </w:tcPr>
          <w:p w14:paraId="6D8BD9CA"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0,1</w:t>
            </w:r>
          </w:p>
        </w:tc>
        <w:tc>
          <w:tcPr>
            <w:tcW w:w="1490" w:type="dxa"/>
            <w:vAlign w:val="center"/>
            <w:hideMark/>
          </w:tcPr>
          <w:p w14:paraId="292F0648"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0,0</w:t>
            </w:r>
          </w:p>
        </w:tc>
      </w:tr>
      <w:tr w:rsidR="00320925" w:rsidRPr="00320925" w14:paraId="3788A111"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79D11246"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 xml:space="preserve">Gospodarstwa domowe wyposażone w: </w:t>
            </w:r>
          </w:p>
        </w:tc>
        <w:tc>
          <w:tcPr>
            <w:tcW w:w="1318" w:type="dxa"/>
            <w:vAlign w:val="center"/>
            <w:hideMark/>
          </w:tcPr>
          <w:p w14:paraId="64B70994"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411" w:type="dxa"/>
            <w:vAlign w:val="center"/>
            <w:hideMark/>
          </w:tcPr>
          <w:p w14:paraId="5CF7603C"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318" w:type="dxa"/>
            <w:vAlign w:val="center"/>
            <w:hideMark/>
          </w:tcPr>
          <w:p w14:paraId="1933C61A"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325" w:type="dxa"/>
            <w:vAlign w:val="center"/>
            <w:hideMark/>
          </w:tcPr>
          <w:p w14:paraId="724380ED"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490" w:type="dxa"/>
            <w:vAlign w:val="center"/>
            <w:hideMark/>
          </w:tcPr>
          <w:p w14:paraId="22B5E7C1"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320925" w:rsidRPr="00320925" w14:paraId="7BCC8989"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0F97EDBC"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wodociąg</w:t>
            </w:r>
          </w:p>
        </w:tc>
        <w:tc>
          <w:tcPr>
            <w:tcW w:w="1318" w:type="dxa"/>
            <w:vAlign w:val="center"/>
            <w:hideMark/>
          </w:tcPr>
          <w:p w14:paraId="5287EFA1"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100,0</w:t>
            </w:r>
          </w:p>
        </w:tc>
        <w:tc>
          <w:tcPr>
            <w:tcW w:w="1411" w:type="dxa"/>
            <w:vAlign w:val="center"/>
            <w:hideMark/>
          </w:tcPr>
          <w:p w14:paraId="4400E561"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99,8</w:t>
            </w:r>
          </w:p>
        </w:tc>
        <w:tc>
          <w:tcPr>
            <w:tcW w:w="1318" w:type="dxa"/>
            <w:vAlign w:val="center"/>
            <w:hideMark/>
          </w:tcPr>
          <w:p w14:paraId="716C97AC"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99,8</w:t>
            </w:r>
          </w:p>
        </w:tc>
        <w:tc>
          <w:tcPr>
            <w:tcW w:w="1325" w:type="dxa"/>
            <w:vAlign w:val="center"/>
            <w:hideMark/>
          </w:tcPr>
          <w:p w14:paraId="6E038EBA"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99,7</w:t>
            </w:r>
          </w:p>
        </w:tc>
        <w:tc>
          <w:tcPr>
            <w:tcW w:w="1490" w:type="dxa"/>
            <w:vAlign w:val="center"/>
            <w:hideMark/>
          </w:tcPr>
          <w:p w14:paraId="19876F7B"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99,9</w:t>
            </w:r>
          </w:p>
        </w:tc>
      </w:tr>
      <w:tr w:rsidR="00320925" w:rsidRPr="00320925" w14:paraId="74023CAF"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70C55463"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ustęp spłukiwany</w:t>
            </w:r>
          </w:p>
        </w:tc>
        <w:tc>
          <w:tcPr>
            <w:tcW w:w="1318" w:type="dxa"/>
            <w:vAlign w:val="center"/>
            <w:hideMark/>
          </w:tcPr>
          <w:p w14:paraId="5D435179"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99,3</w:t>
            </w:r>
          </w:p>
        </w:tc>
        <w:tc>
          <w:tcPr>
            <w:tcW w:w="1411" w:type="dxa"/>
            <w:vAlign w:val="center"/>
            <w:hideMark/>
          </w:tcPr>
          <w:p w14:paraId="7A99845E"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98,5</w:t>
            </w:r>
          </w:p>
        </w:tc>
        <w:tc>
          <w:tcPr>
            <w:tcW w:w="1318" w:type="dxa"/>
            <w:vAlign w:val="center"/>
            <w:hideMark/>
          </w:tcPr>
          <w:p w14:paraId="6E77FC30"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98,2</w:t>
            </w:r>
          </w:p>
        </w:tc>
        <w:tc>
          <w:tcPr>
            <w:tcW w:w="1325" w:type="dxa"/>
            <w:vAlign w:val="center"/>
            <w:hideMark/>
          </w:tcPr>
          <w:p w14:paraId="0C12A8F7"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97,2</w:t>
            </w:r>
          </w:p>
        </w:tc>
        <w:tc>
          <w:tcPr>
            <w:tcW w:w="1490" w:type="dxa"/>
            <w:vAlign w:val="center"/>
            <w:hideMark/>
          </w:tcPr>
          <w:p w14:paraId="42E8B205"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99,4</w:t>
            </w:r>
          </w:p>
        </w:tc>
      </w:tr>
      <w:tr w:rsidR="00320925" w:rsidRPr="00320925" w14:paraId="50B5033F"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14DF01BC"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łazienkę</w:t>
            </w:r>
          </w:p>
        </w:tc>
        <w:tc>
          <w:tcPr>
            <w:tcW w:w="1318" w:type="dxa"/>
            <w:vAlign w:val="center"/>
            <w:hideMark/>
          </w:tcPr>
          <w:p w14:paraId="4A523C06"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99,1</w:t>
            </w:r>
          </w:p>
        </w:tc>
        <w:tc>
          <w:tcPr>
            <w:tcW w:w="1411" w:type="dxa"/>
            <w:vAlign w:val="center"/>
            <w:hideMark/>
          </w:tcPr>
          <w:p w14:paraId="4FD58AE5"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98,2</w:t>
            </w:r>
          </w:p>
        </w:tc>
        <w:tc>
          <w:tcPr>
            <w:tcW w:w="1318" w:type="dxa"/>
            <w:vAlign w:val="center"/>
            <w:hideMark/>
          </w:tcPr>
          <w:p w14:paraId="4E3E4F6D"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97,9</w:t>
            </w:r>
          </w:p>
        </w:tc>
        <w:tc>
          <w:tcPr>
            <w:tcW w:w="1325" w:type="dxa"/>
            <w:vAlign w:val="center"/>
            <w:hideMark/>
          </w:tcPr>
          <w:p w14:paraId="4779F971"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96,8</w:t>
            </w:r>
          </w:p>
        </w:tc>
        <w:tc>
          <w:tcPr>
            <w:tcW w:w="1490" w:type="dxa"/>
            <w:vAlign w:val="center"/>
            <w:hideMark/>
          </w:tcPr>
          <w:p w14:paraId="2D632CA8"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99,3</w:t>
            </w:r>
          </w:p>
        </w:tc>
      </w:tr>
      <w:tr w:rsidR="00320925" w:rsidRPr="00320925" w14:paraId="75C6EB97"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4B4A5609"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ciepłą wodę bieżącą</w:t>
            </w:r>
          </w:p>
        </w:tc>
        <w:tc>
          <w:tcPr>
            <w:tcW w:w="1318" w:type="dxa"/>
            <w:vAlign w:val="center"/>
            <w:hideMark/>
          </w:tcPr>
          <w:p w14:paraId="7DD3826A"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99,4</w:t>
            </w:r>
          </w:p>
        </w:tc>
        <w:tc>
          <w:tcPr>
            <w:tcW w:w="1411" w:type="dxa"/>
            <w:vAlign w:val="center"/>
            <w:hideMark/>
          </w:tcPr>
          <w:p w14:paraId="363F12F8"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98,9</w:t>
            </w:r>
          </w:p>
        </w:tc>
        <w:tc>
          <w:tcPr>
            <w:tcW w:w="1318" w:type="dxa"/>
            <w:vAlign w:val="center"/>
            <w:hideMark/>
          </w:tcPr>
          <w:p w14:paraId="2CC794AE"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98,7</w:t>
            </w:r>
          </w:p>
        </w:tc>
        <w:tc>
          <w:tcPr>
            <w:tcW w:w="1325" w:type="dxa"/>
            <w:vAlign w:val="center"/>
            <w:hideMark/>
          </w:tcPr>
          <w:p w14:paraId="7F9F8FDA"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98,0</w:t>
            </w:r>
          </w:p>
        </w:tc>
        <w:tc>
          <w:tcPr>
            <w:tcW w:w="1490" w:type="dxa"/>
            <w:vAlign w:val="center"/>
            <w:hideMark/>
          </w:tcPr>
          <w:p w14:paraId="275EAAB0"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99,6</w:t>
            </w:r>
          </w:p>
        </w:tc>
      </w:tr>
      <w:tr w:rsidR="00320925" w:rsidRPr="00320925" w14:paraId="6FA8B385"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6B48EEE6"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gaz</w:t>
            </w:r>
          </w:p>
        </w:tc>
        <w:tc>
          <w:tcPr>
            <w:tcW w:w="1318" w:type="dxa"/>
            <w:vAlign w:val="center"/>
            <w:hideMark/>
          </w:tcPr>
          <w:p w14:paraId="6801CEE2"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82,8</w:t>
            </w:r>
          </w:p>
        </w:tc>
        <w:tc>
          <w:tcPr>
            <w:tcW w:w="1411" w:type="dxa"/>
            <w:vAlign w:val="center"/>
            <w:hideMark/>
          </w:tcPr>
          <w:p w14:paraId="286AB282"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92,8</w:t>
            </w:r>
          </w:p>
        </w:tc>
        <w:tc>
          <w:tcPr>
            <w:tcW w:w="1318" w:type="dxa"/>
            <w:vAlign w:val="center"/>
            <w:hideMark/>
          </w:tcPr>
          <w:p w14:paraId="204EE91D"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92,3</w:t>
            </w:r>
          </w:p>
        </w:tc>
        <w:tc>
          <w:tcPr>
            <w:tcW w:w="1325" w:type="dxa"/>
            <w:vAlign w:val="center"/>
            <w:hideMark/>
          </w:tcPr>
          <w:p w14:paraId="0E51C6BE"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91,8</w:t>
            </w:r>
          </w:p>
        </w:tc>
        <w:tc>
          <w:tcPr>
            <w:tcW w:w="1490" w:type="dxa"/>
            <w:vAlign w:val="center"/>
            <w:hideMark/>
          </w:tcPr>
          <w:p w14:paraId="72422C41"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92,8</w:t>
            </w:r>
          </w:p>
        </w:tc>
      </w:tr>
      <w:tr w:rsidR="00320925" w:rsidRPr="00320925" w14:paraId="17F53013"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35FBE389"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gaz z sieci</w:t>
            </w:r>
          </w:p>
        </w:tc>
        <w:tc>
          <w:tcPr>
            <w:tcW w:w="1318" w:type="dxa"/>
            <w:vAlign w:val="center"/>
            <w:hideMark/>
          </w:tcPr>
          <w:p w14:paraId="1B54E01B"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52,1</w:t>
            </w:r>
          </w:p>
        </w:tc>
        <w:tc>
          <w:tcPr>
            <w:tcW w:w="1411" w:type="dxa"/>
            <w:vAlign w:val="center"/>
            <w:hideMark/>
          </w:tcPr>
          <w:p w14:paraId="22261D6A"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56,7</w:t>
            </w:r>
          </w:p>
        </w:tc>
        <w:tc>
          <w:tcPr>
            <w:tcW w:w="1318" w:type="dxa"/>
            <w:vAlign w:val="center"/>
            <w:hideMark/>
          </w:tcPr>
          <w:p w14:paraId="2B43286D"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63,1</w:t>
            </w:r>
          </w:p>
        </w:tc>
        <w:tc>
          <w:tcPr>
            <w:tcW w:w="1325" w:type="dxa"/>
            <w:vAlign w:val="center"/>
            <w:hideMark/>
          </w:tcPr>
          <w:p w14:paraId="4A72AAEC"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62,1</w:t>
            </w:r>
          </w:p>
        </w:tc>
        <w:tc>
          <w:tcPr>
            <w:tcW w:w="1490" w:type="dxa"/>
            <w:vAlign w:val="center"/>
            <w:hideMark/>
          </w:tcPr>
          <w:p w14:paraId="2C140AF5"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64,5</w:t>
            </w:r>
          </w:p>
        </w:tc>
      </w:tr>
      <w:tr w:rsidR="00320925" w:rsidRPr="00320925" w14:paraId="0306D6C1"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3441FEED"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gaz z butli</w:t>
            </w:r>
          </w:p>
        </w:tc>
        <w:tc>
          <w:tcPr>
            <w:tcW w:w="1318" w:type="dxa"/>
            <w:vAlign w:val="center"/>
            <w:hideMark/>
          </w:tcPr>
          <w:p w14:paraId="62DDA283"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30,7</w:t>
            </w:r>
          </w:p>
        </w:tc>
        <w:tc>
          <w:tcPr>
            <w:tcW w:w="1411" w:type="dxa"/>
            <w:vAlign w:val="center"/>
            <w:hideMark/>
          </w:tcPr>
          <w:p w14:paraId="6BB06250"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36,2</w:t>
            </w:r>
          </w:p>
        </w:tc>
        <w:tc>
          <w:tcPr>
            <w:tcW w:w="1318" w:type="dxa"/>
            <w:vAlign w:val="center"/>
            <w:hideMark/>
          </w:tcPr>
          <w:p w14:paraId="68B89863"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29,2</w:t>
            </w:r>
          </w:p>
        </w:tc>
        <w:tc>
          <w:tcPr>
            <w:tcW w:w="1325" w:type="dxa"/>
            <w:vAlign w:val="center"/>
            <w:hideMark/>
          </w:tcPr>
          <w:p w14:paraId="0CBAFB97"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29,7</w:t>
            </w:r>
          </w:p>
        </w:tc>
        <w:tc>
          <w:tcPr>
            <w:tcW w:w="1490" w:type="dxa"/>
            <w:vAlign w:val="center"/>
            <w:hideMark/>
          </w:tcPr>
          <w:p w14:paraId="7C52795D"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28,3</w:t>
            </w:r>
          </w:p>
        </w:tc>
      </w:tr>
      <w:tr w:rsidR="00320925" w:rsidRPr="00320925" w14:paraId="75FFB834"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3869683B"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klimatyzację</w:t>
            </w:r>
          </w:p>
        </w:tc>
        <w:tc>
          <w:tcPr>
            <w:tcW w:w="1318" w:type="dxa"/>
            <w:vAlign w:val="center"/>
            <w:hideMark/>
          </w:tcPr>
          <w:p w14:paraId="3ED0692A"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3,2</w:t>
            </w:r>
          </w:p>
        </w:tc>
        <w:tc>
          <w:tcPr>
            <w:tcW w:w="1411" w:type="dxa"/>
            <w:vAlign w:val="center"/>
            <w:hideMark/>
          </w:tcPr>
          <w:p w14:paraId="5C5F56E8"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1,8</w:t>
            </w:r>
          </w:p>
        </w:tc>
        <w:tc>
          <w:tcPr>
            <w:tcW w:w="1318" w:type="dxa"/>
            <w:vAlign w:val="center"/>
            <w:hideMark/>
          </w:tcPr>
          <w:p w14:paraId="5095FCA3"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1,8</w:t>
            </w:r>
          </w:p>
        </w:tc>
        <w:tc>
          <w:tcPr>
            <w:tcW w:w="1325" w:type="dxa"/>
            <w:vAlign w:val="center"/>
            <w:hideMark/>
          </w:tcPr>
          <w:p w14:paraId="2509EACF"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1,4</w:t>
            </w:r>
          </w:p>
        </w:tc>
        <w:tc>
          <w:tcPr>
            <w:tcW w:w="1490" w:type="dxa"/>
            <w:vAlign w:val="center"/>
            <w:hideMark/>
          </w:tcPr>
          <w:p w14:paraId="0881C8C4"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2,1</w:t>
            </w:r>
          </w:p>
        </w:tc>
      </w:tr>
      <w:tr w:rsidR="00320925" w:rsidRPr="00320925" w14:paraId="4987FF7E"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6E4A9B26"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ogrzewanie centralne</w:t>
            </w:r>
          </w:p>
        </w:tc>
        <w:tc>
          <w:tcPr>
            <w:tcW w:w="1318" w:type="dxa"/>
            <w:vAlign w:val="center"/>
            <w:hideMark/>
          </w:tcPr>
          <w:p w14:paraId="3F2EEF2D"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87,3</w:t>
            </w:r>
          </w:p>
        </w:tc>
        <w:tc>
          <w:tcPr>
            <w:tcW w:w="1411" w:type="dxa"/>
            <w:vAlign w:val="center"/>
            <w:hideMark/>
          </w:tcPr>
          <w:p w14:paraId="069A5A42"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87,0</w:t>
            </w:r>
          </w:p>
        </w:tc>
        <w:tc>
          <w:tcPr>
            <w:tcW w:w="1318" w:type="dxa"/>
            <w:vAlign w:val="center"/>
            <w:hideMark/>
          </w:tcPr>
          <w:p w14:paraId="6A853F56"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86,6</w:t>
            </w:r>
          </w:p>
        </w:tc>
        <w:tc>
          <w:tcPr>
            <w:tcW w:w="1325" w:type="dxa"/>
            <w:vAlign w:val="center"/>
            <w:hideMark/>
          </w:tcPr>
          <w:p w14:paraId="14DBAA46"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84,9</w:t>
            </w:r>
          </w:p>
        </w:tc>
        <w:tc>
          <w:tcPr>
            <w:tcW w:w="1490" w:type="dxa"/>
            <w:vAlign w:val="center"/>
            <w:hideMark/>
          </w:tcPr>
          <w:p w14:paraId="4A2005B6"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88,7</w:t>
            </w:r>
          </w:p>
        </w:tc>
      </w:tr>
      <w:tr w:rsidR="00320925" w:rsidRPr="00320925" w14:paraId="29171EA6"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01615F97"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 xml:space="preserve">piece </w:t>
            </w:r>
          </w:p>
        </w:tc>
        <w:tc>
          <w:tcPr>
            <w:tcW w:w="1318" w:type="dxa"/>
            <w:vAlign w:val="center"/>
            <w:hideMark/>
          </w:tcPr>
          <w:p w14:paraId="0F9CDD07"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12,5</w:t>
            </w:r>
          </w:p>
        </w:tc>
        <w:tc>
          <w:tcPr>
            <w:tcW w:w="1411" w:type="dxa"/>
            <w:vAlign w:val="center"/>
            <w:hideMark/>
          </w:tcPr>
          <w:p w14:paraId="0FD81FBA"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12,9</w:t>
            </w:r>
          </w:p>
        </w:tc>
        <w:tc>
          <w:tcPr>
            <w:tcW w:w="1318" w:type="dxa"/>
            <w:vAlign w:val="center"/>
            <w:hideMark/>
          </w:tcPr>
          <w:p w14:paraId="7145DACD"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13,3</w:t>
            </w:r>
          </w:p>
        </w:tc>
        <w:tc>
          <w:tcPr>
            <w:tcW w:w="1325" w:type="dxa"/>
            <w:vAlign w:val="center"/>
            <w:hideMark/>
          </w:tcPr>
          <w:p w14:paraId="1FE7E3D2"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15,0</w:t>
            </w:r>
          </w:p>
        </w:tc>
        <w:tc>
          <w:tcPr>
            <w:tcW w:w="1490" w:type="dxa"/>
            <w:vAlign w:val="center"/>
            <w:hideMark/>
          </w:tcPr>
          <w:p w14:paraId="1E1BBC65"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11,3</w:t>
            </w:r>
          </w:p>
        </w:tc>
      </w:tr>
      <w:tr w:rsidR="00320925" w:rsidRPr="00320925" w14:paraId="1A422F4A" w14:textId="77777777" w:rsidTr="00934271">
        <w:trPr>
          <w:trHeight w:val="990"/>
        </w:trPr>
        <w:tc>
          <w:tcPr>
            <w:cnfStyle w:val="001000000000" w:firstRow="0" w:lastRow="0" w:firstColumn="1" w:lastColumn="0" w:oddVBand="0" w:evenVBand="0" w:oddHBand="0" w:evenHBand="0" w:firstRowFirstColumn="0" w:firstRowLastColumn="0" w:lastRowFirstColumn="0" w:lastRowLastColumn="0"/>
            <w:tcW w:w="2489" w:type="dxa"/>
            <w:hideMark/>
          </w:tcPr>
          <w:p w14:paraId="76FF835E"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Przeciętna powierzchnia użytkowa mieszkania zajmowana przez gosp. domowe w m</w:t>
            </w:r>
            <w:r w:rsidRPr="00320925">
              <w:rPr>
                <w:rFonts w:eastAsia="Times New Roman" w:cs="Times New Roman"/>
                <w:color w:val="auto"/>
                <w:sz w:val="20"/>
                <w:szCs w:val="20"/>
                <w:vertAlign w:val="superscript"/>
                <w:lang w:eastAsia="pl-PL"/>
              </w:rPr>
              <w:t>2</w:t>
            </w:r>
            <w:r w:rsidRPr="00320925">
              <w:rPr>
                <w:rFonts w:eastAsia="Times New Roman" w:cs="Times New Roman"/>
                <w:color w:val="auto"/>
                <w:sz w:val="20"/>
                <w:szCs w:val="20"/>
                <w:lang w:eastAsia="pl-PL"/>
              </w:rPr>
              <w:t xml:space="preserve"> na 1 gospodarstwo domowe</w:t>
            </w:r>
          </w:p>
        </w:tc>
        <w:tc>
          <w:tcPr>
            <w:tcW w:w="1318" w:type="dxa"/>
            <w:vAlign w:val="center"/>
            <w:hideMark/>
          </w:tcPr>
          <w:p w14:paraId="435FAEC6"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82,00</w:t>
            </w:r>
          </w:p>
        </w:tc>
        <w:tc>
          <w:tcPr>
            <w:tcW w:w="1411" w:type="dxa"/>
            <w:vAlign w:val="center"/>
            <w:hideMark/>
          </w:tcPr>
          <w:p w14:paraId="48C0C50F"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81,79</w:t>
            </w:r>
          </w:p>
        </w:tc>
        <w:tc>
          <w:tcPr>
            <w:tcW w:w="1318" w:type="dxa"/>
            <w:vAlign w:val="center"/>
            <w:hideMark/>
          </w:tcPr>
          <w:p w14:paraId="2654B634"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69,06</w:t>
            </w:r>
          </w:p>
        </w:tc>
        <w:tc>
          <w:tcPr>
            <w:tcW w:w="1325" w:type="dxa"/>
            <w:vAlign w:val="center"/>
            <w:hideMark/>
          </w:tcPr>
          <w:p w14:paraId="1ADEB5FF"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60,62</w:t>
            </w:r>
          </w:p>
        </w:tc>
        <w:tc>
          <w:tcPr>
            <w:tcW w:w="1490" w:type="dxa"/>
            <w:vAlign w:val="center"/>
            <w:hideMark/>
          </w:tcPr>
          <w:p w14:paraId="6CF8A797"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78,57</w:t>
            </w:r>
          </w:p>
        </w:tc>
      </w:tr>
      <w:tr w:rsidR="00320925" w:rsidRPr="00320925" w14:paraId="069E6183" w14:textId="77777777" w:rsidTr="0093427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351" w:type="dxa"/>
            <w:gridSpan w:val="6"/>
            <w:hideMark/>
          </w:tcPr>
          <w:p w14:paraId="781CDEDB" w14:textId="77777777" w:rsidR="00320925" w:rsidRPr="00320925" w:rsidRDefault="00320925" w:rsidP="00320925">
            <w:pPr>
              <w:spacing w:line="240" w:lineRule="auto"/>
              <w:jc w:val="center"/>
              <w:rPr>
                <w:rFonts w:eastAsia="Times New Roman" w:cs="Times New Roman"/>
                <w:color w:val="auto"/>
                <w:sz w:val="20"/>
                <w:szCs w:val="20"/>
                <w:lang w:eastAsia="pl-PL"/>
              </w:rPr>
            </w:pPr>
            <w:r w:rsidRPr="00320925">
              <w:rPr>
                <w:rFonts w:eastAsia="Times New Roman" w:cs="Times New Roman"/>
                <w:color w:val="auto"/>
                <w:sz w:val="20"/>
                <w:szCs w:val="20"/>
                <w:lang w:eastAsia="pl-PL"/>
              </w:rPr>
              <w:t>MIASTA</w:t>
            </w:r>
          </w:p>
        </w:tc>
      </w:tr>
      <w:tr w:rsidR="00320925" w:rsidRPr="00320925" w14:paraId="495F0F8D"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noWrap/>
            <w:hideMark/>
          </w:tcPr>
          <w:p w14:paraId="050F8C13" w14:textId="77777777" w:rsidR="00320925" w:rsidRPr="00320925" w:rsidRDefault="00320925" w:rsidP="00320925">
            <w:pPr>
              <w:spacing w:line="240" w:lineRule="auto"/>
              <w:rPr>
                <w:rFonts w:eastAsia="Times New Roman" w:cs="Times New Roman"/>
                <w:bCs w:val="0"/>
                <w:color w:val="auto"/>
                <w:sz w:val="20"/>
                <w:szCs w:val="20"/>
                <w:lang w:eastAsia="pl-PL"/>
              </w:rPr>
            </w:pPr>
            <w:r w:rsidRPr="00320925">
              <w:rPr>
                <w:rFonts w:eastAsia="Times New Roman" w:cs="Times New Roman"/>
                <w:bCs w:val="0"/>
                <w:color w:val="auto"/>
                <w:sz w:val="20"/>
                <w:szCs w:val="20"/>
                <w:lang w:eastAsia="pl-PL"/>
              </w:rPr>
              <w:t xml:space="preserve">Ogółem </w:t>
            </w:r>
          </w:p>
        </w:tc>
        <w:tc>
          <w:tcPr>
            <w:tcW w:w="1318" w:type="dxa"/>
            <w:hideMark/>
          </w:tcPr>
          <w:p w14:paraId="407D7232"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20925">
              <w:rPr>
                <w:rFonts w:eastAsia="Times New Roman" w:cs="Times New Roman"/>
                <w:b/>
                <w:bCs/>
                <w:sz w:val="20"/>
                <w:szCs w:val="20"/>
                <w:lang w:eastAsia="pl-PL"/>
              </w:rPr>
              <w:t>100,0</w:t>
            </w:r>
          </w:p>
        </w:tc>
        <w:tc>
          <w:tcPr>
            <w:tcW w:w="1411" w:type="dxa"/>
            <w:hideMark/>
          </w:tcPr>
          <w:p w14:paraId="2792B1F8"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20925">
              <w:rPr>
                <w:rFonts w:eastAsia="Times New Roman" w:cs="Times New Roman"/>
                <w:b/>
                <w:bCs/>
                <w:sz w:val="20"/>
                <w:szCs w:val="20"/>
                <w:lang w:eastAsia="pl-PL"/>
              </w:rPr>
              <w:t>100,0</w:t>
            </w:r>
          </w:p>
        </w:tc>
        <w:tc>
          <w:tcPr>
            <w:tcW w:w="1318" w:type="dxa"/>
            <w:hideMark/>
          </w:tcPr>
          <w:p w14:paraId="41C24DB6"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20925">
              <w:rPr>
                <w:rFonts w:eastAsia="Times New Roman" w:cs="Times New Roman"/>
                <w:b/>
                <w:bCs/>
                <w:sz w:val="20"/>
                <w:szCs w:val="20"/>
                <w:lang w:eastAsia="pl-PL"/>
              </w:rPr>
              <w:t>100,0</w:t>
            </w:r>
          </w:p>
        </w:tc>
        <w:tc>
          <w:tcPr>
            <w:tcW w:w="1325" w:type="dxa"/>
            <w:hideMark/>
          </w:tcPr>
          <w:p w14:paraId="562C180E"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20925">
              <w:rPr>
                <w:rFonts w:eastAsia="Times New Roman" w:cs="Times New Roman"/>
                <w:b/>
                <w:bCs/>
                <w:sz w:val="20"/>
                <w:szCs w:val="20"/>
                <w:lang w:eastAsia="pl-PL"/>
              </w:rPr>
              <w:t>100,0</w:t>
            </w:r>
          </w:p>
        </w:tc>
        <w:tc>
          <w:tcPr>
            <w:tcW w:w="1490" w:type="dxa"/>
            <w:hideMark/>
          </w:tcPr>
          <w:p w14:paraId="74A3C23A"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20925">
              <w:rPr>
                <w:rFonts w:eastAsia="Times New Roman" w:cs="Times New Roman"/>
                <w:b/>
                <w:bCs/>
                <w:sz w:val="20"/>
                <w:szCs w:val="20"/>
                <w:lang w:eastAsia="pl-PL"/>
              </w:rPr>
              <w:t>100,0</w:t>
            </w:r>
          </w:p>
        </w:tc>
      </w:tr>
      <w:tr w:rsidR="00320925" w:rsidRPr="00320925" w14:paraId="17D276F6"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5EE45E07"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 xml:space="preserve">Rodzaj budynku:                   </w:t>
            </w:r>
          </w:p>
        </w:tc>
        <w:tc>
          <w:tcPr>
            <w:tcW w:w="1318" w:type="dxa"/>
            <w:hideMark/>
          </w:tcPr>
          <w:p w14:paraId="79F80928"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411" w:type="dxa"/>
            <w:hideMark/>
          </w:tcPr>
          <w:p w14:paraId="3B8442D6"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18" w:type="dxa"/>
            <w:hideMark/>
          </w:tcPr>
          <w:p w14:paraId="5C04D698"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25" w:type="dxa"/>
            <w:hideMark/>
          </w:tcPr>
          <w:p w14:paraId="40A970AB"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490" w:type="dxa"/>
            <w:hideMark/>
          </w:tcPr>
          <w:p w14:paraId="3F5415BB"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r>
      <w:tr w:rsidR="00320925" w:rsidRPr="00320925" w14:paraId="5EBE1B9D"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002A6E8C"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budynek wielorodzinny</w:t>
            </w:r>
          </w:p>
        </w:tc>
        <w:tc>
          <w:tcPr>
            <w:tcW w:w="1318" w:type="dxa"/>
            <w:vAlign w:val="center"/>
            <w:hideMark/>
          </w:tcPr>
          <w:p w14:paraId="76DFA6A8"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77,4</w:t>
            </w:r>
          </w:p>
        </w:tc>
        <w:tc>
          <w:tcPr>
            <w:tcW w:w="1411" w:type="dxa"/>
            <w:vAlign w:val="center"/>
            <w:hideMark/>
          </w:tcPr>
          <w:p w14:paraId="7D0964E7"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73,4</w:t>
            </w:r>
          </w:p>
        </w:tc>
        <w:tc>
          <w:tcPr>
            <w:tcW w:w="1318" w:type="dxa"/>
            <w:vAlign w:val="center"/>
            <w:hideMark/>
          </w:tcPr>
          <w:p w14:paraId="6C70F377"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78,0</w:t>
            </w:r>
          </w:p>
        </w:tc>
        <w:tc>
          <w:tcPr>
            <w:tcW w:w="1325" w:type="dxa"/>
            <w:vAlign w:val="center"/>
            <w:hideMark/>
          </w:tcPr>
          <w:p w14:paraId="44391EAE"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84,6</w:t>
            </w:r>
          </w:p>
        </w:tc>
        <w:tc>
          <w:tcPr>
            <w:tcW w:w="1490" w:type="dxa"/>
            <w:vAlign w:val="center"/>
            <w:hideMark/>
          </w:tcPr>
          <w:p w14:paraId="5E5ADC31"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70,5</w:t>
            </w:r>
          </w:p>
        </w:tc>
      </w:tr>
      <w:tr w:rsidR="00320925" w:rsidRPr="00320925" w14:paraId="7606FAEF"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3E3651BE"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dom 1-rodzinny</w:t>
            </w:r>
          </w:p>
        </w:tc>
        <w:tc>
          <w:tcPr>
            <w:tcW w:w="1318" w:type="dxa"/>
            <w:vAlign w:val="center"/>
            <w:hideMark/>
          </w:tcPr>
          <w:p w14:paraId="44EABB97"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22,5</w:t>
            </w:r>
          </w:p>
        </w:tc>
        <w:tc>
          <w:tcPr>
            <w:tcW w:w="1411" w:type="dxa"/>
            <w:vAlign w:val="center"/>
            <w:hideMark/>
          </w:tcPr>
          <w:p w14:paraId="7C2B7A53"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26,6</w:t>
            </w:r>
          </w:p>
        </w:tc>
        <w:tc>
          <w:tcPr>
            <w:tcW w:w="1318" w:type="dxa"/>
            <w:vAlign w:val="center"/>
            <w:hideMark/>
          </w:tcPr>
          <w:p w14:paraId="2B00C6A1"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22,0</w:t>
            </w:r>
          </w:p>
        </w:tc>
        <w:tc>
          <w:tcPr>
            <w:tcW w:w="1325" w:type="dxa"/>
            <w:vAlign w:val="center"/>
            <w:hideMark/>
          </w:tcPr>
          <w:p w14:paraId="57D0C75C"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15,3</w:t>
            </w:r>
          </w:p>
        </w:tc>
        <w:tc>
          <w:tcPr>
            <w:tcW w:w="1490" w:type="dxa"/>
            <w:vAlign w:val="center"/>
            <w:hideMark/>
          </w:tcPr>
          <w:p w14:paraId="7F7CE916"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29,5</w:t>
            </w:r>
          </w:p>
        </w:tc>
      </w:tr>
      <w:tr w:rsidR="00320925" w:rsidRPr="00320925" w14:paraId="29613793"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04D58C1A"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inny</w:t>
            </w:r>
          </w:p>
        </w:tc>
        <w:tc>
          <w:tcPr>
            <w:tcW w:w="1318" w:type="dxa"/>
            <w:vAlign w:val="center"/>
            <w:hideMark/>
          </w:tcPr>
          <w:p w14:paraId="0F6C7CDE"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0,1</w:t>
            </w:r>
          </w:p>
        </w:tc>
        <w:tc>
          <w:tcPr>
            <w:tcW w:w="1411" w:type="dxa"/>
            <w:vAlign w:val="center"/>
            <w:hideMark/>
          </w:tcPr>
          <w:p w14:paraId="4FFF05B2"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0,0</w:t>
            </w:r>
          </w:p>
        </w:tc>
        <w:tc>
          <w:tcPr>
            <w:tcW w:w="1318" w:type="dxa"/>
            <w:vAlign w:val="center"/>
            <w:hideMark/>
          </w:tcPr>
          <w:p w14:paraId="058A6E96"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0,0</w:t>
            </w:r>
          </w:p>
        </w:tc>
        <w:tc>
          <w:tcPr>
            <w:tcW w:w="1325" w:type="dxa"/>
            <w:vAlign w:val="center"/>
            <w:hideMark/>
          </w:tcPr>
          <w:p w14:paraId="2AC119B4"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0,1</w:t>
            </w:r>
          </w:p>
        </w:tc>
        <w:tc>
          <w:tcPr>
            <w:tcW w:w="1490" w:type="dxa"/>
            <w:vAlign w:val="center"/>
            <w:hideMark/>
          </w:tcPr>
          <w:p w14:paraId="4D03E47C"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0,0</w:t>
            </w:r>
          </w:p>
        </w:tc>
      </w:tr>
      <w:tr w:rsidR="00320925" w:rsidRPr="00320925" w14:paraId="3A6271BB"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119DC3AB"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 xml:space="preserve">Gospodarstwa domowe wyposażone w: </w:t>
            </w:r>
          </w:p>
        </w:tc>
        <w:tc>
          <w:tcPr>
            <w:tcW w:w="1318" w:type="dxa"/>
            <w:vAlign w:val="center"/>
            <w:hideMark/>
          </w:tcPr>
          <w:p w14:paraId="6C68329D"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411" w:type="dxa"/>
            <w:vAlign w:val="center"/>
            <w:hideMark/>
          </w:tcPr>
          <w:p w14:paraId="746A936A"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318" w:type="dxa"/>
            <w:vAlign w:val="center"/>
            <w:hideMark/>
          </w:tcPr>
          <w:p w14:paraId="37A63661"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325" w:type="dxa"/>
            <w:vAlign w:val="center"/>
            <w:hideMark/>
          </w:tcPr>
          <w:p w14:paraId="7E80FE3A"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490" w:type="dxa"/>
            <w:vAlign w:val="center"/>
            <w:hideMark/>
          </w:tcPr>
          <w:p w14:paraId="35A5F2DA"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320925" w:rsidRPr="00320925" w14:paraId="0E9C38C0"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6DB1F948"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wodociąg</w:t>
            </w:r>
          </w:p>
        </w:tc>
        <w:tc>
          <w:tcPr>
            <w:tcW w:w="1318" w:type="dxa"/>
            <w:vAlign w:val="center"/>
            <w:hideMark/>
          </w:tcPr>
          <w:p w14:paraId="5FB54401"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100,0</w:t>
            </w:r>
          </w:p>
        </w:tc>
        <w:tc>
          <w:tcPr>
            <w:tcW w:w="1411" w:type="dxa"/>
            <w:vAlign w:val="center"/>
            <w:hideMark/>
          </w:tcPr>
          <w:p w14:paraId="47FEB626"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99,9</w:t>
            </w:r>
          </w:p>
        </w:tc>
        <w:tc>
          <w:tcPr>
            <w:tcW w:w="1318" w:type="dxa"/>
            <w:vAlign w:val="center"/>
            <w:hideMark/>
          </w:tcPr>
          <w:p w14:paraId="119EBD34"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99,9</w:t>
            </w:r>
          </w:p>
        </w:tc>
        <w:tc>
          <w:tcPr>
            <w:tcW w:w="1325" w:type="dxa"/>
            <w:vAlign w:val="center"/>
            <w:hideMark/>
          </w:tcPr>
          <w:p w14:paraId="11CD2EDD"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99,9</w:t>
            </w:r>
          </w:p>
        </w:tc>
        <w:tc>
          <w:tcPr>
            <w:tcW w:w="1490" w:type="dxa"/>
            <w:vAlign w:val="center"/>
            <w:hideMark/>
          </w:tcPr>
          <w:p w14:paraId="078B85E4"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100,0</w:t>
            </w:r>
          </w:p>
        </w:tc>
      </w:tr>
      <w:tr w:rsidR="00320925" w:rsidRPr="00320925" w14:paraId="56103D1D"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1A39C4B7"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ustęp spłukiwany</w:t>
            </w:r>
          </w:p>
        </w:tc>
        <w:tc>
          <w:tcPr>
            <w:tcW w:w="1318" w:type="dxa"/>
            <w:vAlign w:val="center"/>
            <w:hideMark/>
          </w:tcPr>
          <w:p w14:paraId="353C6557"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99,6</w:t>
            </w:r>
          </w:p>
        </w:tc>
        <w:tc>
          <w:tcPr>
            <w:tcW w:w="1411" w:type="dxa"/>
            <w:vAlign w:val="center"/>
            <w:hideMark/>
          </w:tcPr>
          <w:p w14:paraId="690891AC"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99,3</w:t>
            </w:r>
          </w:p>
        </w:tc>
        <w:tc>
          <w:tcPr>
            <w:tcW w:w="1318" w:type="dxa"/>
            <w:vAlign w:val="center"/>
            <w:hideMark/>
          </w:tcPr>
          <w:p w14:paraId="08C94FE0"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99,3</w:t>
            </w:r>
          </w:p>
        </w:tc>
        <w:tc>
          <w:tcPr>
            <w:tcW w:w="1325" w:type="dxa"/>
            <w:vAlign w:val="center"/>
            <w:hideMark/>
          </w:tcPr>
          <w:p w14:paraId="2E09F66E"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99,0</w:t>
            </w:r>
          </w:p>
        </w:tc>
        <w:tc>
          <w:tcPr>
            <w:tcW w:w="1490" w:type="dxa"/>
            <w:vAlign w:val="center"/>
            <w:hideMark/>
          </w:tcPr>
          <w:p w14:paraId="4F3F9A53"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99,7</w:t>
            </w:r>
          </w:p>
        </w:tc>
      </w:tr>
      <w:tr w:rsidR="00320925" w:rsidRPr="00320925" w14:paraId="7EB39D16"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48056F01"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łazienkę</w:t>
            </w:r>
          </w:p>
        </w:tc>
        <w:tc>
          <w:tcPr>
            <w:tcW w:w="1318" w:type="dxa"/>
            <w:vAlign w:val="center"/>
            <w:hideMark/>
          </w:tcPr>
          <w:p w14:paraId="138061AB"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99,4</w:t>
            </w:r>
          </w:p>
        </w:tc>
        <w:tc>
          <w:tcPr>
            <w:tcW w:w="1411" w:type="dxa"/>
            <w:vAlign w:val="center"/>
            <w:hideMark/>
          </w:tcPr>
          <w:p w14:paraId="3F2F8A9A"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99,0</w:t>
            </w:r>
          </w:p>
        </w:tc>
        <w:tc>
          <w:tcPr>
            <w:tcW w:w="1318" w:type="dxa"/>
            <w:vAlign w:val="center"/>
            <w:hideMark/>
          </w:tcPr>
          <w:p w14:paraId="1DE5199A"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99,0</w:t>
            </w:r>
          </w:p>
        </w:tc>
        <w:tc>
          <w:tcPr>
            <w:tcW w:w="1325" w:type="dxa"/>
            <w:vAlign w:val="center"/>
            <w:hideMark/>
          </w:tcPr>
          <w:p w14:paraId="7913F2BF"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98,5</w:t>
            </w:r>
          </w:p>
        </w:tc>
        <w:tc>
          <w:tcPr>
            <w:tcW w:w="1490" w:type="dxa"/>
            <w:vAlign w:val="center"/>
            <w:hideMark/>
          </w:tcPr>
          <w:p w14:paraId="0D54865F"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99,6</w:t>
            </w:r>
          </w:p>
        </w:tc>
      </w:tr>
      <w:tr w:rsidR="00320925" w:rsidRPr="00320925" w14:paraId="3BFDA0E5"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4B9E4622"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ciepłą wodę bieżącą</w:t>
            </w:r>
          </w:p>
        </w:tc>
        <w:tc>
          <w:tcPr>
            <w:tcW w:w="1318" w:type="dxa"/>
            <w:vAlign w:val="center"/>
            <w:hideMark/>
          </w:tcPr>
          <w:p w14:paraId="11F56AFC"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99,7</w:t>
            </w:r>
          </w:p>
        </w:tc>
        <w:tc>
          <w:tcPr>
            <w:tcW w:w="1411" w:type="dxa"/>
            <w:vAlign w:val="center"/>
            <w:hideMark/>
          </w:tcPr>
          <w:p w14:paraId="0F15F6DA"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99,4</w:t>
            </w:r>
          </w:p>
        </w:tc>
        <w:tc>
          <w:tcPr>
            <w:tcW w:w="1318" w:type="dxa"/>
            <w:vAlign w:val="center"/>
            <w:hideMark/>
          </w:tcPr>
          <w:p w14:paraId="58ABD09A"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99,4</w:t>
            </w:r>
          </w:p>
        </w:tc>
        <w:tc>
          <w:tcPr>
            <w:tcW w:w="1325" w:type="dxa"/>
            <w:vAlign w:val="center"/>
            <w:hideMark/>
          </w:tcPr>
          <w:p w14:paraId="526E81C1"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99,1</w:t>
            </w:r>
          </w:p>
        </w:tc>
        <w:tc>
          <w:tcPr>
            <w:tcW w:w="1490" w:type="dxa"/>
            <w:vAlign w:val="center"/>
            <w:hideMark/>
          </w:tcPr>
          <w:p w14:paraId="7474B2D6"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99,8</w:t>
            </w:r>
          </w:p>
        </w:tc>
      </w:tr>
      <w:tr w:rsidR="00320925" w:rsidRPr="00320925" w14:paraId="6ACEED53"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0C12536D"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gaz</w:t>
            </w:r>
          </w:p>
        </w:tc>
        <w:tc>
          <w:tcPr>
            <w:tcW w:w="1318" w:type="dxa"/>
            <w:vAlign w:val="center"/>
            <w:hideMark/>
          </w:tcPr>
          <w:p w14:paraId="36173518"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80,0</w:t>
            </w:r>
          </w:p>
        </w:tc>
        <w:tc>
          <w:tcPr>
            <w:tcW w:w="1411" w:type="dxa"/>
            <w:vAlign w:val="center"/>
            <w:hideMark/>
          </w:tcPr>
          <w:p w14:paraId="335CB1E9"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92,2</w:t>
            </w:r>
          </w:p>
        </w:tc>
        <w:tc>
          <w:tcPr>
            <w:tcW w:w="1318" w:type="dxa"/>
            <w:vAlign w:val="center"/>
            <w:hideMark/>
          </w:tcPr>
          <w:p w14:paraId="06220978"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92,0</w:t>
            </w:r>
          </w:p>
        </w:tc>
        <w:tc>
          <w:tcPr>
            <w:tcW w:w="1325" w:type="dxa"/>
            <w:vAlign w:val="center"/>
            <w:hideMark/>
          </w:tcPr>
          <w:p w14:paraId="62D2018E"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91,6</w:t>
            </w:r>
          </w:p>
        </w:tc>
        <w:tc>
          <w:tcPr>
            <w:tcW w:w="1490" w:type="dxa"/>
            <w:vAlign w:val="center"/>
            <w:hideMark/>
          </w:tcPr>
          <w:p w14:paraId="2D9290EF"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92,6</w:t>
            </w:r>
          </w:p>
        </w:tc>
      </w:tr>
      <w:tr w:rsidR="00320925" w:rsidRPr="00320925" w14:paraId="5A5EF71D"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1F737474"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gaz z sieci</w:t>
            </w:r>
          </w:p>
        </w:tc>
        <w:tc>
          <w:tcPr>
            <w:tcW w:w="1318" w:type="dxa"/>
            <w:vAlign w:val="center"/>
            <w:hideMark/>
          </w:tcPr>
          <w:p w14:paraId="2B473DD0"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64,5</w:t>
            </w:r>
          </w:p>
        </w:tc>
        <w:tc>
          <w:tcPr>
            <w:tcW w:w="1411" w:type="dxa"/>
            <w:vAlign w:val="center"/>
            <w:hideMark/>
          </w:tcPr>
          <w:p w14:paraId="671B2CD3"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75,0</w:t>
            </w:r>
          </w:p>
        </w:tc>
        <w:tc>
          <w:tcPr>
            <w:tcW w:w="1318" w:type="dxa"/>
            <w:vAlign w:val="center"/>
            <w:hideMark/>
          </w:tcPr>
          <w:p w14:paraId="189399CF"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76,8</w:t>
            </w:r>
          </w:p>
        </w:tc>
        <w:tc>
          <w:tcPr>
            <w:tcW w:w="1325" w:type="dxa"/>
            <w:vAlign w:val="center"/>
            <w:hideMark/>
          </w:tcPr>
          <w:p w14:paraId="7180570A"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76,3</w:t>
            </w:r>
          </w:p>
        </w:tc>
        <w:tc>
          <w:tcPr>
            <w:tcW w:w="1490" w:type="dxa"/>
            <w:vAlign w:val="center"/>
            <w:hideMark/>
          </w:tcPr>
          <w:p w14:paraId="6398075A"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77,3</w:t>
            </w:r>
          </w:p>
        </w:tc>
      </w:tr>
      <w:tr w:rsidR="00320925" w:rsidRPr="00320925" w14:paraId="32747E80"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083AF133"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lastRenderedPageBreak/>
              <w:t>gaz z butli</w:t>
            </w:r>
          </w:p>
        </w:tc>
        <w:tc>
          <w:tcPr>
            <w:tcW w:w="1318" w:type="dxa"/>
            <w:vAlign w:val="center"/>
            <w:hideMark/>
          </w:tcPr>
          <w:p w14:paraId="5843E6F3"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15,5</w:t>
            </w:r>
          </w:p>
        </w:tc>
        <w:tc>
          <w:tcPr>
            <w:tcW w:w="1411" w:type="dxa"/>
            <w:vAlign w:val="center"/>
            <w:hideMark/>
          </w:tcPr>
          <w:p w14:paraId="3FFFE5AC"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17,1</w:t>
            </w:r>
          </w:p>
        </w:tc>
        <w:tc>
          <w:tcPr>
            <w:tcW w:w="1318" w:type="dxa"/>
            <w:vAlign w:val="center"/>
            <w:hideMark/>
          </w:tcPr>
          <w:p w14:paraId="571AD8D1"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15,2</w:t>
            </w:r>
          </w:p>
        </w:tc>
        <w:tc>
          <w:tcPr>
            <w:tcW w:w="1325" w:type="dxa"/>
            <w:vAlign w:val="center"/>
            <w:hideMark/>
          </w:tcPr>
          <w:p w14:paraId="3BFCA1E4"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15,2</w:t>
            </w:r>
          </w:p>
        </w:tc>
        <w:tc>
          <w:tcPr>
            <w:tcW w:w="1490" w:type="dxa"/>
            <w:vAlign w:val="center"/>
            <w:hideMark/>
          </w:tcPr>
          <w:p w14:paraId="65DB8B1B"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15,3</w:t>
            </w:r>
          </w:p>
        </w:tc>
      </w:tr>
      <w:tr w:rsidR="00320925" w:rsidRPr="00320925" w14:paraId="79ABB37E"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3A25B95C"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klimatyzację</w:t>
            </w:r>
          </w:p>
        </w:tc>
        <w:tc>
          <w:tcPr>
            <w:tcW w:w="1318" w:type="dxa"/>
            <w:vAlign w:val="center"/>
            <w:hideMark/>
          </w:tcPr>
          <w:p w14:paraId="5444D57D"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3,4</w:t>
            </w:r>
          </w:p>
        </w:tc>
        <w:tc>
          <w:tcPr>
            <w:tcW w:w="1411" w:type="dxa"/>
            <w:vAlign w:val="center"/>
            <w:hideMark/>
          </w:tcPr>
          <w:p w14:paraId="6FBEF8CB"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2,0</w:t>
            </w:r>
          </w:p>
        </w:tc>
        <w:tc>
          <w:tcPr>
            <w:tcW w:w="1318" w:type="dxa"/>
            <w:vAlign w:val="center"/>
            <w:hideMark/>
          </w:tcPr>
          <w:p w14:paraId="0C5B8287"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1,9</w:t>
            </w:r>
          </w:p>
        </w:tc>
        <w:tc>
          <w:tcPr>
            <w:tcW w:w="1325" w:type="dxa"/>
            <w:vAlign w:val="center"/>
            <w:hideMark/>
          </w:tcPr>
          <w:p w14:paraId="2DAB3568"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1,5</w:t>
            </w:r>
          </w:p>
        </w:tc>
        <w:tc>
          <w:tcPr>
            <w:tcW w:w="1490" w:type="dxa"/>
            <w:vAlign w:val="center"/>
            <w:hideMark/>
          </w:tcPr>
          <w:p w14:paraId="1C2CB1BF"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2,2</w:t>
            </w:r>
          </w:p>
        </w:tc>
      </w:tr>
      <w:tr w:rsidR="00320925" w:rsidRPr="00320925" w14:paraId="70E47763"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4B11D113"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ogrzewanie centralne</w:t>
            </w:r>
          </w:p>
        </w:tc>
        <w:tc>
          <w:tcPr>
            <w:tcW w:w="1318" w:type="dxa"/>
            <w:vAlign w:val="center"/>
            <w:hideMark/>
          </w:tcPr>
          <w:p w14:paraId="058E99C0"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87,1</w:t>
            </w:r>
          </w:p>
        </w:tc>
        <w:tc>
          <w:tcPr>
            <w:tcW w:w="1411" w:type="dxa"/>
            <w:vAlign w:val="center"/>
            <w:hideMark/>
          </w:tcPr>
          <w:p w14:paraId="4AAD180B"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87,9</w:t>
            </w:r>
          </w:p>
        </w:tc>
        <w:tc>
          <w:tcPr>
            <w:tcW w:w="1318" w:type="dxa"/>
            <w:vAlign w:val="center"/>
            <w:hideMark/>
          </w:tcPr>
          <w:p w14:paraId="6D8027CC"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88,5</w:t>
            </w:r>
          </w:p>
        </w:tc>
        <w:tc>
          <w:tcPr>
            <w:tcW w:w="1325" w:type="dxa"/>
            <w:vAlign w:val="center"/>
            <w:hideMark/>
          </w:tcPr>
          <w:p w14:paraId="6883BA16"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87,8</w:t>
            </w:r>
          </w:p>
        </w:tc>
        <w:tc>
          <w:tcPr>
            <w:tcW w:w="1490" w:type="dxa"/>
            <w:vAlign w:val="center"/>
            <w:hideMark/>
          </w:tcPr>
          <w:p w14:paraId="2086DD4C"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89,5</w:t>
            </w:r>
          </w:p>
        </w:tc>
      </w:tr>
      <w:tr w:rsidR="00320925" w:rsidRPr="00320925" w14:paraId="1FC42F48"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07C4F573"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 xml:space="preserve">piece </w:t>
            </w:r>
          </w:p>
        </w:tc>
        <w:tc>
          <w:tcPr>
            <w:tcW w:w="1318" w:type="dxa"/>
            <w:vAlign w:val="center"/>
            <w:hideMark/>
          </w:tcPr>
          <w:p w14:paraId="2A08E038"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12,7</w:t>
            </w:r>
          </w:p>
        </w:tc>
        <w:tc>
          <w:tcPr>
            <w:tcW w:w="1411" w:type="dxa"/>
            <w:vAlign w:val="center"/>
            <w:hideMark/>
          </w:tcPr>
          <w:p w14:paraId="318E9AF6"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12,0</w:t>
            </w:r>
          </w:p>
        </w:tc>
        <w:tc>
          <w:tcPr>
            <w:tcW w:w="1318" w:type="dxa"/>
            <w:vAlign w:val="center"/>
            <w:hideMark/>
          </w:tcPr>
          <w:p w14:paraId="46DBA84F"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11,4</w:t>
            </w:r>
          </w:p>
        </w:tc>
        <w:tc>
          <w:tcPr>
            <w:tcW w:w="1325" w:type="dxa"/>
            <w:vAlign w:val="center"/>
            <w:hideMark/>
          </w:tcPr>
          <w:p w14:paraId="73D4A97A"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12,0</w:t>
            </w:r>
          </w:p>
        </w:tc>
        <w:tc>
          <w:tcPr>
            <w:tcW w:w="1490" w:type="dxa"/>
            <w:vAlign w:val="center"/>
            <w:hideMark/>
          </w:tcPr>
          <w:p w14:paraId="407691CD"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0925">
              <w:rPr>
                <w:rFonts w:cs="Times New Roman"/>
                <w:sz w:val="20"/>
                <w:szCs w:val="20"/>
              </w:rPr>
              <w:t>10,5</w:t>
            </w:r>
          </w:p>
        </w:tc>
      </w:tr>
      <w:tr w:rsidR="00320925" w:rsidRPr="00320925" w14:paraId="2BBEEB51" w14:textId="77777777" w:rsidTr="00934271">
        <w:trPr>
          <w:trHeight w:val="990"/>
        </w:trPr>
        <w:tc>
          <w:tcPr>
            <w:cnfStyle w:val="001000000000" w:firstRow="0" w:lastRow="0" w:firstColumn="1" w:lastColumn="0" w:oddVBand="0" w:evenVBand="0" w:oddHBand="0" w:evenHBand="0" w:firstRowFirstColumn="0" w:firstRowLastColumn="0" w:lastRowFirstColumn="0" w:lastRowLastColumn="0"/>
            <w:tcW w:w="2489" w:type="dxa"/>
            <w:hideMark/>
          </w:tcPr>
          <w:p w14:paraId="44568D69"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Przeciętna powierzchnia użytkowa mieszkania zajmowana przez gosp. domowe w m</w:t>
            </w:r>
            <w:r w:rsidRPr="00320925">
              <w:rPr>
                <w:rFonts w:eastAsia="Times New Roman" w:cs="Times New Roman"/>
                <w:color w:val="auto"/>
                <w:sz w:val="20"/>
                <w:szCs w:val="20"/>
                <w:vertAlign w:val="superscript"/>
                <w:lang w:eastAsia="pl-PL"/>
              </w:rPr>
              <w:t>2</w:t>
            </w:r>
            <w:r w:rsidRPr="00320925">
              <w:rPr>
                <w:rFonts w:eastAsia="Times New Roman" w:cs="Times New Roman"/>
                <w:color w:val="auto"/>
                <w:sz w:val="20"/>
                <w:szCs w:val="20"/>
                <w:lang w:eastAsia="pl-PL"/>
              </w:rPr>
              <w:t xml:space="preserve"> na 1 gospodarstwo domowe</w:t>
            </w:r>
          </w:p>
        </w:tc>
        <w:tc>
          <w:tcPr>
            <w:tcW w:w="1318" w:type="dxa"/>
            <w:vAlign w:val="center"/>
            <w:hideMark/>
          </w:tcPr>
          <w:p w14:paraId="477BCE16"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69,05</w:t>
            </w:r>
          </w:p>
        </w:tc>
        <w:tc>
          <w:tcPr>
            <w:tcW w:w="1411" w:type="dxa"/>
            <w:vAlign w:val="center"/>
            <w:hideMark/>
          </w:tcPr>
          <w:p w14:paraId="739DECC5"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68,54</w:t>
            </w:r>
          </w:p>
        </w:tc>
        <w:tc>
          <w:tcPr>
            <w:tcW w:w="1318" w:type="dxa"/>
            <w:vAlign w:val="center"/>
            <w:hideMark/>
          </w:tcPr>
          <w:p w14:paraId="0C91260C"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62,71</w:t>
            </w:r>
          </w:p>
        </w:tc>
        <w:tc>
          <w:tcPr>
            <w:tcW w:w="1325" w:type="dxa"/>
            <w:vAlign w:val="center"/>
            <w:hideMark/>
          </w:tcPr>
          <w:p w14:paraId="376D642A"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54,60</w:t>
            </w:r>
          </w:p>
        </w:tc>
        <w:tc>
          <w:tcPr>
            <w:tcW w:w="1490" w:type="dxa"/>
            <w:vAlign w:val="center"/>
            <w:hideMark/>
          </w:tcPr>
          <w:p w14:paraId="7AA875DF"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0925">
              <w:rPr>
                <w:rFonts w:cs="Times New Roman"/>
                <w:sz w:val="20"/>
                <w:szCs w:val="20"/>
              </w:rPr>
              <w:t>71,93</w:t>
            </w:r>
          </w:p>
        </w:tc>
      </w:tr>
      <w:tr w:rsidR="00320925" w:rsidRPr="00320925" w14:paraId="47DF883D" w14:textId="77777777" w:rsidTr="0093427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351" w:type="dxa"/>
            <w:gridSpan w:val="6"/>
            <w:hideMark/>
          </w:tcPr>
          <w:p w14:paraId="56564D47" w14:textId="77777777" w:rsidR="00320925" w:rsidRPr="00320925" w:rsidRDefault="00320925" w:rsidP="00320925">
            <w:pPr>
              <w:spacing w:line="240" w:lineRule="auto"/>
              <w:jc w:val="center"/>
              <w:rPr>
                <w:rFonts w:eastAsia="Times New Roman" w:cs="Times New Roman"/>
                <w:color w:val="auto"/>
                <w:sz w:val="20"/>
                <w:szCs w:val="20"/>
                <w:lang w:eastAsia="pl-PL"/>
              </w:rPr>
            </w:pPr>
            <w:r w:rsidRPr="00320925">
              <w:rPr>
                <w:rFonts w:eastAsia="Times New Roman" w:cs="Times New Roman"/>
                <w:color w:val="auto"/>
                <w:sz w:val="20"/>
                <w:szCs w:val="20"/>
                <w:lang w:eastAsia="pl-PL"/>
              </w:rPr>
              <w:t>WIEŚ</w:t>
            </w:r>
          </w:p>
        </w:tc>
      </w:tr>
      <w:tr w:rsidR="00320925" w:rsidRPr="00320925" w14:paraId="5F44A39F"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noWrap/>
            <w:hideMark/>
          </w:tcPr>
          <w:p w14:paraId="657A7821" w14:textId="77777777" w:rsidR="00320925" w:rsidRPr="00320925" w:rsidRDefault="00320925" w:rsidP="00320925">
            <w:pPr>
              <w:spacing w:line="240" w:lineRule="auto"/>
              <w:rPr>
                <w:rFonts w:eastAsia="Times New Roman" w:cs="Times New Roman"/>
                <w:bCs w:val="0"/>
                <w:color w:val="auto"/>
                <w:sz w:val="20"/>
                <w:szCs w:val="20"/>
                <w:lang w:eastAsia="pl-PL"/>
              </w:rPr>
            </w:pPr>
            <w:r w:rsidRPr="00320925">
              <w:rPr>
                <w:rFonts w:eastAsia="Times New Roman" w:cs="Times New Roman"/>
                <w:bCs w:val="0"/>
                <w:color w:val="auto"/>
                <w:sz w:val="20"/>
                <w:szCs w:val="20"/>
                <w:lang w:eastAsia="pl-PL"/>
              </w:rPr>
              <w:t xml:space="preserve">Ogółem </w:t>
            </w:r>
          </w:p>
        </w:tc>
        <w:tc>
          <w:tcPr>
            <w:tcW w:w="1318" w:type="dxa"/>
            <w:hideMark/>
          </w:tcPr>
          <w:p w14:paraId="265F8060"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20925">
              <w:rPr>
                <w:rFonts w:eastAsia="Times New Roman" w:cs="Times New Roman"/>
                <w:b/>
                <w:bCs/>
                <w:sz w:val="20"/>
                <w:szCs w:val="20"/>
                <w:lang w:eastAsia="pl-PL"/>
              </w:rPr>
              <w:t>100,0</w:t>
            </w:r>
          </w:p>
        </w:tc>
        <w:tc>
          <w:tcPr>
            <w:tcW w:w="1411" w:type="dxa"/>
            <w:hideMark/>
          </w:tcPr>
          <w:p w14:paraId="38CCBC6A"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20925">
              <w:rPr>
                <w:rFonts w:eastAsia="Times New Roman" w:cs="Times New Roman"/>
                <w:b/>
                <w:bCs/>
                <w:sz w:val="20"/>
                <w:szCs w:val="20"/>
                <w:lang w:eastAsia="pl-PL"/>
              </w:rPr>
              <w:t>100,0</w:t>
            </w:r>
          </w:p>
        </w:tc>
        <w:tc>
          <w:tcPr>
            <w:tcW w:w="1318" w:type="dxa"/>
            <w:hideMark/>
          </w:tcPr>
          <w:p w14:paraId="21650AAC"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20925">
              <w:rPr>
                <w:rFonts w:eastAsia="Times New Roman" w:cs="Times New Roman"/>
                <w:b/>
                <w:bCs/>
                <w:sz w:val="20"/>
                <w:szCs w:val="20"/>
                <w:lang w:eastAsia="pl-PL"/>
              </w:rPr>
              <w:t>100,0</w:t>
            </w:r>
          </w:p>
        </w:tc>
        <w:tc>
          <w:tcPr>
            <w:tcW w:w="1325" w:type="dxa"/>
            <w:hideMark/>
          </w:tcPr>
          <w:p w14:paraId="3C572BFF"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20925">
              <w:rPr>
                <w:rFonts w:eastAsia="Times New Roman" w:cs="Times New Roman"/>
                <w:b/>
                <w:bCs/>
                <w:sz w:val="20"/>
                <w:szCs w:val="20"/>
                <w:lang w:eastAsia="pl-PL"/>
              </w:rPr>
              <w:t>100,0</w:t>
            </w:r>
          </w:p>
        </w:tc>
        <w:tc>
          <w:tcPr>
            <w:tcW w:w="1490" w:type="dxa"/>
            <w:hideMark/>
          </w:tcPr>
          <w:p w14:paraId="773FA25C" w14:textId="77777777" w:rsidR="00320925" w:rsidRPr="00320925" w:rsidRDefault="00320925" w:rsidP="0032092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20925">
              <w:rPr>
                <w:rFonts w:eastAsia="Times New Roman" w:cs="Times New Roman"/>
                <w:b/>
                <w:bCs/>
                <w:sz w:val="20"/>
                <w:szCs w:val="20"/>
                <w:lang w:eastAsia="pl-PL"/>
              </w:rPr>
              <w:t>100,0</w:t>
            </w:r>
          </w:p>
        </w:tc>
      </w:tr>
      <w:tr w:rsidR="00320925" w:rsidRPr="00320925" w14:paraId="4424B9AF"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674602DF"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 xml:space="preserve">Rodzaj budynku:                   </w:t>
            </w:r>
          </w:p>
        </w:tc>
        <w:tc>
          <w:tcPr>
            <w:tcW w:w="1318" w:type="dxa"/>
            <w:hideMark/>
          </w:tcPr>
          <w:p w14:paraId="03E90560"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411" w:type="dxa"/>
            <w:hideMark/>
          </w:tcPr>
          <w:p w14:paraId="1D7FD79E"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18" w:type="dxa"/>
            <w:hideMark/>
          </w:tcPr>
          <w:p w14:paraId="4C7F9486"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325" w:type="dxa"/>
            <w:hideMark/>
          </w:tcPr>
          <w:p w14:paraId="5571C77F"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c>
          <w:tcPr>
            <w:tcW w:w="1490" w:type="dxa"/>
            <w:hideMark/>
          </w:tcPr>
          <w:p w14:paraId="08FF45C8" w14:textId="77777777" w:rsidR="00320925" w:rsidRPr="00320925" w:rsidRDefault="00320925" w:rsidP="0032092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p>
        </w:tc>
      </w:tr>
      <w:tr w:rsidR="00320925" w:rsidRPr="00320925" w14:paraId="5418BD23"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4FF458F9"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budynek wielorodzinny</w:t>
            </w:r>
          </w:p>
        </w:tc>
        <w:tc>
          <w:tcPr>
            <w:tcW w:w="1318" w:type="dxa"/>
            <w:vAlign w:val="center"/>
            <w:hideMark/>
          </w:tcPr>
          <w:p w14:paraId="6C061F99"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11,5</w:t>
            </w:r>
          </w:p>
        </w:tc>
        <w:tc>
          <w:tcPr>
            <w:tcW w:w="1411" w:type="dxa"/>
            <w:vAlign w:val="center"/>
            <w:hideMark/>
          </w:tcPr>
          <w:p w14:paraId="41F713F0"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10,5</w:t>
            </w:r>
          </w:p>
        </w:tc>
        <w:tc>
          <w:tcPr>
            <w:tcW w:w="1318" w:type="dxa"/>
            <w:vAlign w:val="center"/>
            <w:hideMark/>
          </w:tcPr>
          <w:p w14:paraId="3EC4B2A2"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15,5</w:t>
            </w:r>
          </w:p>
        </w:tc>
        <w:tc>
          <w:tcPr>
            <w:tcW w:w="1325" w:type="dxa"/>
            <w:vAlign w:val="center"/>
            <w:hideMark/>
          </w:tcPr>
          <w:p w14:paraId="1B05BF87"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18,2</w:t>
            </w:r>
          </w:p>
        </w:tc>
        <w:tc>
          <w:tcPr>
            <w:tcW w:w="1490" w:type="dxa"/>
            <w:vAlign w:val="center"/>
            <w:hideMark/>
          </w:tcPr>
          <w:p w14:paraId="46916D3E"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12,3</w:t>
            </w:r>
          </w:p>
        </w:tc>
      </w:tr>
      <w:tr w:rsidR="00320925" w:rsidRPr="00320925" w14:paraId="1804B279"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541CCAD8"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dom 1-rodzinny</w:t>
            </w:r>
          </w:p>
        </w:tc>
        <w:tc>
          <w:tcPr>
            <w:tcW w:w="1318" w:type="dxa"/>
            <w:vAlign w:val="center"/>
            <w:hideMark/>
          </w:tcPr>
          <w:p w14:paraId="6F9EA638"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88,4</w:t>
            </w:r>
          </w:p>
        </w:tc>
        <w:tc>
          <w:tcPr>
            <w:tcW w:w="1411" w:type="dxa"/>
            <w:vAlign w:val="center"/>
            <w:hideMark/>
          </w:tcPr>
          <w:p w14:paraId="345BA5CF"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89,3</w:t>
            </w:r>
          </w:p>
        </w:tc>
        <w:tc>
          <w:tcPr>
            <w:tcW w:w="1318" w:type="dxa"/>
            <w:vAlign w:val="center"/>
            <w:hideMark/>
          </w:tcPr>
          <w:p w14:paraId="3AF4CC98"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84,2</w:t>
            </w:r>
          </w:p>
        </w:tc>
        <w:tc>
          <w:tcPr>
            <w:tcW w:w="1325" w:type="dxa"/>
            <w:vAlign w:val="center"/>
            <w:hideMark/>
          </w:tcPr>
          <w:p w14:paraId="5C59A741"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81,4</w:t>
            </w:r>
          </w:p>
        </w:tc>
        <w:tc>
          <w:tcPr>
            <w:tcW w:w="1490" w:type="dxa"/>
            <w:vAlign w:val="center"/>
            <w:hideMark/>
          </w:tcPr>
          <w:p w14:paraId="76723FC0"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87,5</w:t>
            </w:r>
          </w:p>
        </w:tc>
      </w:tr>
      <w:tr w:rsidR="00320925" w:rsidRPr="00320925" w14:paraId="03659EF8"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073F7A0B"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inny</w:t>
            </w:r>
          </w:p>
        </w:tc>
        <w:tc>
          <w:tcPr>
            <w:tcW w:w="1318" w:type="dxa"/>
            <w:vAlign w:val="center"/>
            <w:hideMark/>
          </w:tcPr>
          <w:p w14:paraId="2939A04F"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0,1</w:t>
            </w:r>
          </w:p>
        </w:tc>
        <w:tc>
          <w:tcPr>
            <w:tcW w:w="1411" w:type="dxa"/>
            <w:vAlign w:val="center"/>
            <w:hideMark/>
          </w:tcPr>
          <w:p w14:paraId="22C7C5E7"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0,2</w:t>
            </w:r>
          </w:p>
        </w:tc>
        <w:tc>
          <w:tcPr>
            <w:tcW w:w="1318" w:type="dxa"/>
            <w:vAlign w:val="center"/>
            <w:hideMark/>
          </w:tcPr>
          <w:p w14:paraId="64FFE22B"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0,3</w:t>
            </w:r>
          </w:p>
        </w:tc>
        <w:tc>
          <w:tcPr>
            <w:tcW w:w="1325" w:type="dxa"/>
            <w:vAlign w:val="center"/>
            <w:hideMark/>
          </w:tcPr>
          <w:p w14:paraId="47946EC0"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0,4</w:t>
            </w:r>
          </w:p>
        </w:tc>
        <w:tc>
          <w:tcPr>
            <w:tcW w:w="1490" w:type="dxa"/>
            <w:vAlign w:val="center"/>
            <w:hideMark/>
          </w:tcPr>
          <w:p w14:paraId="2469A181"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0,2</w:t>
            </w:r>
          </w:p>
        </w:tc>
      </w:tr>
      <w:tr w:rsidR="00320925" w:rsidRPr="00320925" w14:paraId="60C821E4"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6C90400C"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 xml:space="preserve">Gospodarstwa domowe wyposażone w: </w:t>
            </w:r>
          </w:p>
        </w:tc>
        <w:tc>
          <w:tcPr>
            <w:tcW w:w="1318" w:type="dxa"/>
            <w:vAlign w:val="center"/>
            <w:hideMark/>
          </w:tcPr>
          <w:p w14:paraId="74F5EFC9"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11" w:type="dxa"/>
            <w:vAlign w:val="center"/>
            <w:hideMark/>
          </w:tcPr>
          <w:p w14:paraId="19FCF3B9"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18" w:type="dxa"/>
            <w:vAlign w:val="center"/>
            <w:hideMark/>
          </w:tcPr>
          <w:p w14:paraId="181EC3DF"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25" w:type="dxa"/>
            <w:vAlign w:val="center"/>
            <w:hideMark/>
          </w:tcPr>
          <w:p w14:paraId="6F4CF64F"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90" w:type="dxa"/>
            <w:vAlign w:val="center"/>
            <w:hideMark/>
          </w:tcPr>
          <w:p w14:paraId="76922CA8"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320925" w:rsidRPr="00320925" w14:paraId="0829A106"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78C90137"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wodociąg</w:t>
            </w:r>
          </w:p>
        </w:tc>
        <w:tc>
          <w:tcPr>
            <w:tcW w:w="1318" w:type="dxa"/>
            <w:vAlign w:val="center"/>
            <w:hideMark/>
          </w:tcPr>
          <w:p w14:paraId="52408F91"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99,9</w:t>
            </w:r>
          </w:p>
        </w:tc>
        <w:tc>
          <w:tcPr>
            <w:tcW w:w="1411" w:type="dxa"/>
            <w:vAlign w:val="center"/>
            <w:hideMark/>
          </w:tcPr>
          <w:p w14:paraId="11D09FCB"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99,6</w:t>
            </w:r>
          </w:p>
        </w:tc>
        <w:tc>
          <w:tcPr>
            <w:tcW w:w="1318" w:type="dxa"/>
            <w:vAlign w:val="center"/>
            <w:hideMark/>
          </w:tcPr>
          <w:p w14:paraId="0B8EFABA"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99,3</w:t>
            </w:r>
          </w:p>
        </w:tc>
        <w:tc>
          <w:tcPr>
            <w:tcW w:w="1325" w:type="dxa"/>
            <w:vAlign w:val="center"/>
            <w:hideMark/>
          </w:tcPr>
          <w:p w14:paraId="07356C18"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98,9</w:t>
            </w:r>
          </w:p>
        </w:tc>
        <w:tc>
          <w:tcPr>
            <w:tcW w:w="1490" w:type="dxa"/>
            <w:vAlign w:val="center"/>
            <w:hideMark/>
          </w:tcPr>
          <w:p w14:paraId="278082E0"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99,9</w:t>
            </w:r>
          </w:p>
        </w:tc>
      </w:tr>
      <w:tr w:rsidR="00320925" w:rsidRPr="00320925" w14:paraId="5E68F73A"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401307E5"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ustęp spłukiwany</w:t>
            </w:r>
          </w:p>
        </w:tc>
        <w:tc>
          <w:tcPr>
            <w:tcW w:w="1318" w:type="dxa"/>
            <w:vAlign w:val="center"/>
            <w:hideMark/>
          </w:tcPr>
          <w:p w14:paraId="3522B62E"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98,6</w:t>
            </w:r>
          </w:p>
        </w:tc>
        <w:tc>
          <w:tcPr>
            <w:tcW w:w="1411" w:type="dxa"/>
            <w:vAlign w:val="center"/>
            <w:hideMark/>
          </w:tcPr>
          <w:p w14:paraId="0FB3E253"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96,9</w:t>
            </w:r>
          </w:p>
        </w:tc>
        <w:tc>
          <w:tcPr>
            <w:tcW w:w="1318" w:type="dxa"/>
            <w:vAlign w:val="center"/>
            <w:hideMark/>
          </w:tcPr>
          <w:p w14:paraId="02FE34F1"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95,1</w:t>
            </w:r>
          </w:p>
        </w:tc>
        <w:tc>
          <w:tcPr>
            <w:tcW w:w="1325" w:type="dxa"/>
            <w:vAlign w:val="center"/>
            <w:hideMark/>
          </w:tcPr>
          <w:p w14:paraId="6D41AA29"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92,2</w:t>
            </w:r>
          </w:p>
        </w:tc>
        <w:tc>
          <w:tcPr>
            <w:tcW w:w="1490" w:type="dxa"/>
            <w:vAlign w:val="center"/>
            <w:hideMark/>
          </w:tcPr>
          <w:p w14:paraId="0B29D1F9"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98,6</w:t>
            </w:r>
          </w:p>
        </w:tc>
      </w:tr>
      <w:tr w:rsidR="00320925" w:rsidRPr="00320925" w14:paraId="612B4712"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7BE147A1"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łazienkę</w:t>
            </w:r>
          </w:p>
        </w:tc>
        <w:tc>
          <w:tcPr>
            <w:tcW w:w="1318" w:type="dxa"/>
            <w:vAlign w:val="center"/>
            <w:hideMark/>
          </w:tcPr>
          <w:p w14:paraId="0C85EA58"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98,4</w:t>
            </w:r>
          </w:p>
        </w:tc>
        <w:tc>
          <w:tcPr>
            <w:tcW w:w="1411" w:type="dxa"/>
            <w:vAlign w:val="center"/>
            <w:hideMark/>
          </w:tcPr>
          <w:p w14:paraId="087BF961"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96,8</w:t>
            </w:r>
          </w:p>
        </w:tc>
        <w:tc>
          <w:tcPr>
            <w:tcW w:w="1318" w:type="dxa"/>
            <w:vAlign w:val="center"/>
            <w:hideMark/>
          </w:tcPr>
          <w:p w14:paraId="171AB5B0"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94,9</w:t>
            </w:r>
          </w:p>
        </w:tc>
        <w:tc>
          <w:tcPr>
            <w:tcW w:w="1325" w:type="dxa"/>
            <w:vAlign w:val="center"/>
            <w:hideMark/>
          </w:tcPr>
          <w:p w14:paraId="76B8E44C"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91,9</w:t>
            </w:r>
          </w:p>
        </w:tc>
        <w:tc>
          <w:tcPr>
            <w:tcW w:w="1490" w:type="dxa"/>
            <w:vAlign w:val="center"/>
            <w:hideMark/>
          </w:tcPr>
          <w:p w14:paraId="2E1B1CC4"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98,6</w:t>
            </w:r>
          </w:p>
        </w:tc>
      </w:tr>
      <w:tr w:rsidR="00320925" w:rsidRPr="00320925" w14:paraId="36AFAB11"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54525C66"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ciepłą wodę bieżącą</w:t>
            </w:r>
          </w:p>
        </w:tc>
        <w:tc>
          <w:tcPr>
            <w:tcW w:w="1318" w:type="dxa"/>
            <w:vAlign w:val="center"/>
            <w:hideMark/>
          </w:tcPr>
          <w:p w14:paraId="76AF8D3E"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98,8</w:t>
            </w:r>
          </w:p>
        </w:tc>
        <w:tc>
          <w:tcPr>
            <w:tcW w:w="1411" w:type="dxa"/>
            <w:vAlign w:val="center"/>
            <w:hideMark/>
          </w:tcPr>
          <w:p w14:paraId="47CA7BB5"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97,9</w:t>
            </w:r>
          </w:p>
        </w:tc>
        <w:tc>
          <w:tcPr>
            <w:tcW w:w="1318" w:type="dxa"/>
            <w:vAlign w:val="center"/>
            <w:hideMark/>
          </w:tcPr>
          <w:p w14:paraId="3DF8B615"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96,7</w:t>
            </w:r>
          </w:p>
        </w:tc>
        <w:tc>
          <w:tcPr>
            <w:tcW w:w="1325" w:type="dxa"/>
            <w:vAlign w:val="center"/>
            <w:hideMark/>
          </w:tcPr>
          <w:p w14:paraId="096E099E"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94,8</w:t>
            </w:r>
          </w:p>
        </w:tc>
        <w:tc>
          <w:tcPr>
            <w:tcW w:w="1490" w:type="dxa"/>
            <w:vAlign w:val="center"/>
            <w:hideMark/>
          </w:tcPr>
          <w:p w14:paraId="5D739889"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98,9</w:t>
            </w:r>
          </w:p>
        </w:tc>
      </w:tr>
      <w:tr w:rsidR="00320925" w:rsidRPr="00320925" w14:paraId="254F9E7E"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0C428937"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gaz</w:t>
            </w:r>
          </w:p>
        </w:tc>
        <w:tc>
          <w:tcPr>
            <w:tcW w:w="1318" w:type="dxa"/>
            <w:vAlign w:val="center"/>
            <w:hideMark/>
          </w:tcPr>
          <w:p w14:paraId="6F96B4E1"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89,1</w:t>
            </w:r>
          </w:p>
        </w:tc>
        <w:tc>
          <w:tcPr>
            <w:tcW w:w="1411" w:type="dxa"/>
            <w:vAlign w:val="center"/>
            <w:hideMark/>
          </w:tcPr>
          <w:p w14:paraId="03A61AE5"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94,1</w:t>
            </w:r>
          </w:p>
        </w:tc>
        <w:tc>
          <w:tcPr>
            <w:tcW w:w="1318" w:type="dxa"/>
            <w:vAlign w:val="center"/>
            <w:hideMark/>
          </w:tcPr>
          <w:p w14:paraId="1662801C"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93,0</w:t>
            </w:r>
          </w:p>
        </w:tc>
        <w:tc>
          <w:tcPr>
            <w:tcW w:w="1325" w:type="dxa"/>
            <w:vAlign w:val="center"/>
            <w:hideMark/>
          </w:tcPr>
          <w:p w14:paraId="5BD97F7F"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92,5</w:t>
            </w:r>
          </w:p>
        </w:tc>
        <w:tc>
          <w:tcPr>
            <w:tcW w:w="1490" w:type="dxa"/>
            <w:vAlign w:val="center"/>
            <w:hideMark/>
          </w:tcPr>
          <w:p w14:paraId="41FD165C"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93,5</w:t>
            </w:r>
          </w:p>
        </w:tc>
      </w:tr>
      <w:tr w:rsidR="00320925" w:rsidRPr="00320925" w14:paraId="7F7816BE"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7A7FFDCB"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gaz z sieci</w:t>
            </w:r>
          </w:p>
        </w:tc>
        <w:tc>
          <w:tcPr>
            <w:tcW w:w="1318" w:type="dxa"/>
            <w:vAlign w:val="center"/>
            <w:hideMark/>
          </w:tcPr>
          <w:p w14:paraId="1B385387"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24,0</w:t>
            </w:r>
          </w:p>
        </w:tc>
        <w:tc>
          <w:tcPr>
            <w:tcW w:w="1411" w:type="dxa"/>
            <w:vAlign w:val="center"/>
            <w:hideMark/>
          </w:tcPr>
          <w:p w14:paraId="5AE92268"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22,2</w:t>
            </w:r>
          </w:p>
        </w:tc>
        <w:tc>
          <w:tcPr>
            <w:tcW w:w="1318" w:type="dxa"/>
            <w:vAlign w:val="center"/>
            <w:hideMark/>
          </w:tcPr>
          <w:p w14:paraId="3CD9CABF"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23,1</w:t>
            </w:r>
          </w:p>
        </w:tc>
        <w:tc>
          <w:tcPr>
            <w:tcW w:w="1325" w:type="dxa"/>
            <w:vAlign w:val="center"/>
            <w:hideMark/>
          </w:tcPr>
          <w:p w14:paraId="0A43C87F"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20,6</w:t>
            </w:r>
          </w:p>
        </w:tc>
        <w:tc>
          <w:tcPr>
            <w:tcW w:w="1490" w:type="dxa"/>
            <w:vAlign w:val="center"/>
            <w:hideMark/>
          </w:tcPr>
          <w:p w14:paraId="656F7212"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26,3</w:t>
            </w:r>
          </w:p>
        </w:tc>
      </w:tr>
      <w:tr w:rsidR="00320925" w:rsidRPr="00320925" w14:paraId="488FA6F5"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3D0D810B"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gaz z butli</w:t>
            </w:r>
          </w:p>
        </w:tc>
        <w:tc>
          <w:tcPr>
            <w:tcW w:w="1318" w:type="dxa"/>
            <w:vAlign w:val="center"/>
            <w:hideMark/>
          </w:tcPr>
          <w:p w14:paraId="4A1C4CF3"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65,1</w:t>
            </w:r>
          </w:p>
        </w:tc>
        <w:tc>
          <w:tcPr>
            <w:tcW w:w="1411" w:type="dxa"/>
            <w:vAlign w:val="center"/>
            <w:hideMark/>
          </w:tcPr>
          <w:p w14:paraId="3AC0EAD5"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71,9</w:t>
            </w:r>
          </w:p>
        </w:tc>
        <w:tc>
          <w:tcPr>
            <w:tcW w:w="1318" w:type="dxa"/>
            <w:vAlign w:val="center"/>
            <w:hideMark/>
          </w:tcPr>
          <w:p w14:paraId="15FDBE14"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69,9</w:t>
            </w:r>
          </w:p>
        </w:tc>
        <w:tc>
          <w:tcPr>
            <w:tcW w:w="1325" w:type="dxa"/>
            <w:vAlign w:val="center"/>
            <w:hideMark/>
          </w:tcPr>
          <w:p w14:paraId="4271D0CB"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71,9</w:t>
            </w:r>
          </w:p>
        </w:tc>
        <w:tc>
          <w:tcPr>
            <w:tcW w:w="1490" w:type="dxa"/>
            <w:vAlign w:val="center"/>
            <w:hideMark/>
          </w:tcPr>
          <w:p w14:paraId="2363D92F"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67,2</w:t>
            </w:r>
          </w:p>
        </w:tc>
      </w:tr>
      <w:tr w:rsidR="00320925" w:rsidRPr="00320925" w14:paraId="452891D6"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4A04D866"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klimatyzację</w:t>
            </w:r>
          </w:p>
        </w:tc>
        <w:tc>
          <w:tcPr>
            <w:tcW w:w="1318" w:type="dxa"/>
            <w:vAlign w:val="center"/>
            <w:hideMark/>
          </w:tcPr>
          <w:p w14:paraId="36EEA143"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2,5</w:t>
            </w:r>
          </w:p>
        </w:tc>
        <w:tc>
          <w:tcPr>
            <w:tcW w:w="1411" w:type="dxa"/>
            <w:vAlign w:val="center"/>
            <w:hideMark/>
          </w:tcPr>
          <w:p w14:paraId="7BAD69DE"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1,4</w:t>
            </w:r>
          </w:p>
        </w:tc>
        <w:tc>
          <w:tcPr>
            <w:tcW w:w="1318" w:type="dxa"/>
            <w:vAlign w:val="center"/>
            <w:hideMark/>
          </w:tcPr>
          <w:p w14:paraId="46C36462"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1,5</w:t>
            </w:r>
          </w:p>
        </w:tc>
        <w:tc>
          <w:tcPr>
            <w:tcW w:w="1325" w:type="dxa"/>
            <w:vAlign w:val="center"/>
            <w:hideMark/>
          </w:tcPr>
          <w:p w14:paraId="50EECB75"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1,1</w:t>
            </w:r>
          </w:p>
        </w:tc>
        <w:tc>
          <w:tcPr>
            <w:tcW w:w="1490" w:type="dxa"/>
            <w:vAlign w:val="center"/>
            <w:hideMark/>
          </w:tcPr>
          <w:p w14:paraId="740028C2"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1,9</w:t>
            </w:r>
          </w:p>
        </w:tc>
      </w:tr>
      <w:tr w:rsidR="00320925" w:rsidRPr="00320925" w14:paraId="01686EB1" w14:textId="77777777" w:rsidTr="00934271">
        <w:trPr>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406FA638"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ogrzewanie centralne</w:t>
            </w:r>
          </w:p>
        </w:tc>
        <w:tc>
          <w:tcPr>
            <w:tcW w:w="1318" w:type="dxa"/>
            <w:vAlign w:val="center"/>
            <w:hideMark/>
          </w:tcPr>
          <w:p w14:paraId="16488644"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87,8</w:t>
            </w:r>
          </w:p>
        </w:tc>
        <w:tc>
          <w:tcPr>
            <w:tcW w:w="1411" w:type="dxa"/>
            <w:vAlign w:val="center"/>
            <w:hideMark/>
          </w:tcPr>
          <w:p w14:paraId="7753A2F6"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85,4</w:t>
            </w:r>
          </w:p>
        </w:tc>
        <w:tc>
          <w:tcPr>
            <w:tcW w:w="1318" w:type="dxa"/>
            <w:vAlign w:val="center"/>
            <w:hideMark/>
          </w:tcPr>
          <w:p w14:paraId="5E9FA36A"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80,9</w:t>
            </w:r>
          </w:p>
        </w:tc>
        <w:tc>
          <w:tcPr>
            <w:tcW w:w="1325" w:type="dxa"/>
            <w:vAlign w:val="center"/>
            <w:hideMark/>
          </w:tcPr>
          <w:p w14:paraId="2D4CF0A7"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76,3</w:t>
            </w:r>
          </w:p>
        </w:tc>
        <w:tc>
          <w:tcPr>
            <w:tcW w:w="1490" w:type="dxa"/>
            <w:vAlign w:val="center"/>
            <w:hideMark/>
          </w:tcPr>
          <w:p w14:paraId="7BB8F3A8"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86,3</w:t>
            </w:r>
          </w:p>
        </w:tc>
      </w:tr>
      <w:tr w:rsidR="00320925" w:rsidRPr="00320925" w14:paraId="2F5E2147" w14:textId="77777777" w:rsidTr="009342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9" w:type="dxa"/>
            <w:hideMark/>
          </w:tcPr>
          <w:p w14:paraId="1E6B3D1E"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 xml:space="preserve">piece </w:t>
            </w:r>
          </w:p>
        </w:tc>
        <w:tc>
          <w:tcPr>
            <w:tcW w:w="1318" w:type="dxa"/>
            <w:vAlign w:val="center"/>
            <w:hideMark/>
          </w:tcPr>
          <w:p w14:paraId="13145FF3"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12,1</w:t>
            </w:r>
          </w:p>
        </w:tc>
        <w:tc>
          <w:tcPr>
            <w:tcW w:w="1411" w:type="dxa"/>
            <w:vAlign w:val="center"/>
            <w:hideMark/>
          </w:tcPr>
          <w:p w14:paraId="0FB1A72A"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14,5</w:t>
            </w:r>
          </w:p>
        </w:tc>
        <w:tc>
          <w:tcPr>
            <w:tcW w:w="1318" w:type="dxa"/>
            <w:vAlign w:val="center"/>
            <w:hideMark/>
          </w:tcPr>
          <w:p w14:paraId="2D66A2BB"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18,9</w:t>
            </w:r>
          </w:p>
        </w:tc>
        <w:tc>
          <w:tcPr>
            <w:tcW w:w="1325" w:type="dxa"/>
            <w:vAlign w:val="center"/>
            <w:hideMark/>
          </w:tcPr>
          <w:p w14:paraId="557D9F0F"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23,6</w:t>
            </w:r>
          </w:p>
        </w:tc>
        <w:tc>
          <w:tcPr>
            <w:tcW w:w="1490" w:type="dxa"/>
            <w:vAlign w:val="center"/>
            <w:hideMark/>
          </w:tcPr>
          <w:p w14:paraId="4F4BF0B5" w14:textId="77777777" w:rsidR="00320925" w:rsidRPr="00320925" w:rsidRDefault="00320925" w:rsidP="003209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320925">
              <w:rPr>
                <w:sz w:val="20"/>
                <w:szCs w:val="20"/>
              </w:rPr>
              <w:t>13,7</w:t>
            </w:r>
          </w:p>
        </w:tc>
      </w:tr>
      <w:tr w:rsidR="00320925" w:rsidRPr="00320925" w14:paraId="63B38469" w14:textId="77777777" w:rsidTr="00934271">
        <w:trPr>
          <w:trHeight w:val="990"/>
        </w:trPr>
        <w:tc>
          <w:tcPr>
            <w:cnfStyle w:val="001000000000" w:firstRow="0" w:lastRow="0" w:firstColumn="1" w:lastColumn="0" w:oddVBand="0" w:evenVBand="0" w:oddHBand="0" w:evenHBand="0" w:firstRowFirstColumn="0" w:firstRowLastColumn="0" w:lastRowFirstColumn="0" w:lastRowLastColumn="0"/>
            <w:tcW w:w="2489" w:type="dxa"/>
            <w:hideMark/>
          </w:tcPr>
          <w:p w14:paraId="492F6C3F" w14:textId="77777777" w:rsidR="00320925" w:rsidRPr="00320925" w:rsidRDefault="00320925" w:rsidP="00320925">
            <w:pPr>
              <w:spacing w:line="240" w:lineRule="auto"/>
              <w:rPr>
                <w:rFonts w:eastAsia="Times New Roman" w:cs="Times New Roman"/>
                <w:color w:val="auto"/>
                <w:sz w:val="20"/>
                <w:szCs w:val="20"/>
                <w:lang w:eastAsia="pl-PL"/>
              </w:rPr>
            </w:pPr>
            <w:r w:rsidRPr="00320925">
              <w:rPr>
                <w:rFonts w:eastAsia="Times New Roman" w:cs="Times New Roman"/>
                <w:color w:val="auto"/>
                <w:sz w:val="20"/>
                <w:szCs w:val="20"/>
                <w:lang w:eastAsia="pl-PL"/>
              </w:rPr>
              <w:t>Przeciętna powierzchnia użytkowa mieszkania zajmowana przez gosp. domowe w m</w:t>
            </w:r>
            <w:r w:rsidRPr="00320925">
              <w:rPr>
                <w:rFonts w:eastAsia="Times New Roman" w:cs="Times New Roman"/>
                <w:color w:val="auto"/>
                <w:sz w:val="20"/>
                <w:szCs w:val="20"/>
                <w:vertAlign w:val="superscript"/>
                <w:lang w:eastAsia="pl-PL"/>
              </w:rPr>
              <w:t>2</w:t>
            </w:r>
            <w:r w:rsidRPr="00320925">
              <w:rPr>
                <w:rFonts w:eastAsia="Times New Roman" w:cs="Times New Roman"/>
                <w:color w:val="auto"/>
                <w:sz w:val="20"/>
                <w:szCs w:val="20"/>
                <w:lang w:eastAsia="pl-PL"/>
              </w:rPr>
              <w:t xml:space="preserve"> na 1 gospodarstwo domowe</w:t>
            </w:r>
          </w:p>
        </w:tc>
        <w:tc>
          <w:tcPr>
            <w:tcW w:w="1318" w:type="dxa"/>
            <w:vAlign w:val="center"/>
            <w:hideMark/>
          </w:tcPr>
          <w:p w14:paraId="3B58835B"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111,4</w:t>
            </w:r>
          </w:p>
        </w:tc>
        <w:tc>
          <w:tcPr>
            <w:tcW w:w="1411" w:type="dxa"/>
            <w:vAlign w:val="center"/>
            <w:hideMark/>
          </w:tcPr>
          <w:p w14:paraId="4DB40510"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106,6</w:t>
            </w:r>
          </w:p>
        </w:tc>
        <w:tc>
          <w:tcPr>
            <w:tcW w:w="1318" w:type="dxa"/>
            <w:vAlign w:val="center"/>
            <w:hideMark/>
          </w:tcPr>
          <w:p w14:paraId="0E3309D6"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87,62</w:t>
            </w:r>
          </w:p>
        </w:tc>
        <w:tc>
          <w:tcPr>
            <w:tcW w:w="1325" w:type="dxa"/>
            <w:vAlign w:val="center"/>
            <w:hideMark/>
          </w:tcPr>
          <w:p w14:paraId="570D141B"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78,19</w:t>
            </w:r>
          </w:p>
        </w:tc>
        <w:tc>
          <w:tcPr>
            <w:tcW w:w="1490" w:type="dxa"/>
            <w:vAlign w:val="center"/>
            <w:hideMark/>
          </w:tcPr>
          <w:p w14:paraId="2BC946F2" w14:textId="77777777" w:rsidR="00320925" w:rsidRPr="00320925" w:rsidRDefault="00320925" w:rsidP="003209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320925">
              <w:rPr>
                <w:sz w:val="20"/>
                <w:szCs w:val="20"/>
              </w:rPr>
              <w:t>98,42</w:t>
            </w:r>
          </w:p>
        </w:tc>
      </w:tr>
    </w:tbl>
    <w:p w14:paraId="78EB8975" w14:textId="64CD1F10" w:rsidR="00320925" w:rsidRPr="00392F2F" w:rsidRDefault="00320925" w:rsidP="00320925">
      <w:pPr>
        <w:spacing w:after="120"/>
        <w:rPr>
          <w:rFonts w:cs="Times New Roman"/>
          <w:b/>
          <w:bCs/>
          <w:spacing w:val="-10"/>
          <w:kern w:val="20"/>
          <w:sz w:val="22"/>
        </w:rPr>
      </w:pPr>
      <w:r w:rsidRPr="00392F2F">
        <w:rPr>
          <w:rFonts w:cs="Times New Roman"/>
          <w:b/>
          <w:bCs/>
          <w:spacing w:val="-10"/>
          <w:kern w:val="20"/>
          <w:sz w:val="22"/>
        </w:rPr>
        <w:t>Źródło: Badanie budżetów gospodarstw domowych w 2020 r., GUS</w:t>
      </w:r>
      <w:r w:rsidR="00392F2F">
        <w:rPr>
          <w:rFonts w:cs="Times New Roman"/>
          <w:b/>
          <w:bCs/>
          <w:spacing w:val="-10"/>
          <w:kern w:val="20"/>
          <w:sz w:val="22"/>
        </w:rPr>
        <w:t>.</w:t>
      </w:r>
    </w:p>
    <w:p w14:paraId="7F053B1F" w14:textId="77777777" w:rsidR="00294690" w:rsidRDefault="00322B02" w:rsidP="00322B02">
      <w:pPr>
        <w:rPr>
          <w:rFonts w:cs="Times New Roman"/>
          <w:spacing w:val="-2"/>
          <w:szCs w:val="24"/>
        </w:rPr>
      </w:pPr>
      <w:r>
        <w:rPr>
          <w:rFonts w:cs="Times New Roman"/>
          <w:spacing w:val="-2"/>
          <w:szCs w:val="24"/>
        </w:rPr>
        <w:t xml:space="preserve">Zdecydowana większość (96,4%) miejskich gospodarstw domowych składających się wyłącznie z osób starszych pozytywnie oceniło warunki techniczno-sanitarne swoich mieszkań. Jednocześnie 12,5% uznało, że ich mieszkanie jest położone  </w:t>
      </w:r>
      <w:r w:rsidR="00294690">
        <w:rPr>
          <w:rFonts w:cs="Times New Roman"/>
          <w:spacing w:val="-2"/>
          <w:szCs w:val="24"/>
        </w:rPr>
        <w:t>w hałaśliwym i zanieczyszczonym otoczeniu. Należy również podkreślić, że blisko 1/3 mieszkań (32,4%) znajdowała się w budynkach posiadających bariery architektoniczne utrudniające dostęp do mieszkania.</w:t>
      </w:r>
    </w:p>
    <w:p w14:paraId="06BA0A94" w14:textId="77777777" w:rsidR="00294690" w:rsidRDefault="00294690" w:rsidP="00322B02">
      <w:pPr>
        <w:rPr>
          <w:rFonts w:cs="Times New Roman"/>
          <w:spacing w:val="-2"/>
          <w:szCs w:val="24"/>
        </w:rPr>
      </w:pPr>
    </w:p>
    <w:p w14:paraId="2A347C0D" w14:textId="77777777" w:rsidR="00294690" w:rsidRDefault="00294690" w:rsidP="00322B02">
      <w:pPr>
        <w:rPr>
          <w:rFonts w:cs="Times New Roman"/>
          <w:spacing w:val="-2"/>
          <w:szCs w:val="24"/>
        </w:rPr>
      </w:pPr>
      <w:r>
        <w:rPr>
          <w:rFonts w:cs="Times New Roman"/>
          <w:spacing w:val="-2"/>
          <w:szCs w:val="24"/>
        </w:rPr>
        <w:t xml:space="preserve">W przypadku wiejskich gospodarstw domowych składających się wyłącznie z osób starszych 89,9% badanych pozytywnie oceniło warunki techniczno-sanitarne swoich mieszkań. Jedynie 19,4% z nich znajdowało się w budynkach </w:t>
      </w:r>
      <w:r w:rsidRPr="00294690">
        <w:rPr>
          <w:rFonts w:cs="Times New Roman"/>
          <w:spacing w:val="-2"/>
          <w:szCs w:val="24"/>
        </w:rPr>
        <w:t>posiadających bariery architektoniczne ut</w:t>
      </w:r>
      <w:r>
        <w:rPr>
          <w:rFonts w:cs="Times New Roman"/>
          <w:spacing w:val="-2"/>
          <w:szCs w:val="24"/>
        </w:rPr>
        <w:t>rudniające dostęp do mieszkania, natomiast w 11,5% mieszkań było położonych w rejonach o złej infrastrukturze co stanowiło jeden z największych problemów mieszkańców wsi.</w:t>
      </w:r>
    </w:p>
    <w:p w14:paraId="3A87BF9C" w14:textId="77777777" w:rsidR="00294690" w:rsidRDefault="00294690" w:rsidP="00322B02">
      <w:pPr>
        <w:rPr>
          <w:rFonts w:cs="Times New Roman"/>
          <w:spacing w:val="-2"/>
          <w:szCs w:val="24"/>
        </w:rPr>
      </w:pPr>
    </w:p>
    <w:p w14:paraId="04CEA90E" w14:textId="77777777" w:rsidR="00320925" w:rsidRPr="00294690" w:rsidRDefault="00294690" w:rsidP="00294690">
      <w:pPr>
        <w:rPr>
          <w:rFonts w:cs="Times New Roman"/>
          <w:spacing w:val="-2"/>
          <w:szCs w:val="24"/>
        </w:rPr>
      </w:pPr>
      <w:r>
        <w:rPr>
          <w:rFonts w:cs="Times New Roman"/>
          <w:spacing w:val="-2"/>
          <w:szCs w:val="24"/>
        </w:rPr>
        <w:t>Warto również zwrócić uwagę na fakt, że najbardziej z posiadanych warunków mieszkaniowych były zadowolone gospodarstwa domowe składające się z dwóch osób mających 60 lat i więcej, podczas gdy najwięcej zastrzeżeń do swojego miejsca zamieszkania zgłaszały jednoosobowe gospodarstwa domowe prowadzone przez osoby</w:t>
      </w:r>
      <w:r w:rsidRPr="00294690">
        <w:rPr>
          <w:rFonts w:cs="Times New Roman"/>
          <w:spacing w:val="-2"/>
          <w:szCs w:val="24"/>
        </w:rPr>
        <w:t xml:space="preserve"> w wieku 60 lat i więcej</w:t>
      </w:r>
      <w:r>
        <w:rPr>
          <w:rFonts w:cs="Times New Roman"/>
          <w:spacing w:val="-2"/>
          <w:szCs w:val="24"/>
        </w:rPr>
        <w:t>.</w:t>
      </w:r>
    </w:p>
    <w:p w14:paraId="07382859" w14:textId="4347C0BA" w:rsidR="00322B02" w:rsidRPr="0021759D" w:rsidRDefault="00322B02" w:rsidP="00322B02">
      <w:pPr>
        <w:pStyle w:val="Legenda"/>
        <w:keepNext/>
        <w:rPr>
          <w:rFonts w:cs="Times New Roman"/>
          <w:b/>
          <w:i w:val="0"/>
          <w:color w:val="auto"/>
          <w:sz w:val="24"/>
        </w:rPr>
      </w:pPr>
      <w:bookmarkStart w:id="14" w:name="_Toc49171384"/>
      <w:r w:rsidRPr="0021759D">
        <w:rPr>
          <w:rFonts w:cs="Times New Roman"/>
          <w:b/>
          <w:i w:val="0"/>
          <w:color w:val="auto"/>
          <w:sz w:val="24"/>
        </w:rPr>
        <w:lastRenderedPageBreak/>
        <w:t xml:space="preserve">Tabela </w:t>
      </w:r>
      <w:r>
        <w:rPr>
          <w:rFonts w:cs="Times New Roman"/>
          <w:b/>
          <w:i w:val="0"/>
          <w:color w:val="auto"/>
          <w:sz w:val="24"/>
        </w:rPr>
        <w:t>9</w:t>
      </w:r>
      <w:r w:rsidR="00EE73AF">
        <w:rPr>
          <w:rFonts w:cs="Times New Roman"/>
          <w:b/>
          <w:i w:val="0"/>
          <w:color w:val="auto"/>
          <w:sz w:val="24"/>
        </w:rPr>
        <w:t>.</w:t>
      </w:r>
      <w:r w:rsidRPr="0021759D">
        <w:rPr>
          <w:rFonts w:cs="Times New Roman"/>
          <w:b/>
          <w:i w:val="0"/>
          <w:color w:val="auto"/>
          <w:sz w:val="24"/>
        </w:rPr>
        <w:t xml:space="preserve"> Subiektywna opinia na temat użytkowanego przez gospodarstwo domowe mieszkania</w:t>
      </w:r>
      <w:bookmarkEnd w:id="14"/>
    </w:p>
    <w:tbl>
      <w:tblPr>
        <w:tblStyle w:val="Tabelasiatki5ciemnaakcent2"/>
        <w:tblW w:w="9233" w:type="dxa"/>
        <w:tblLook w:val="04A0" w:firstRow="1" w:lastRow="0" w:firstColumn="1" w:lastColumn="0" w:noHBand="0" w:noVBand="1"/>
      </w:tblPr>
      <w:tblGrid>
        <w:gridCol w:w="2497"/>
        <w:gridCol w:w="1329"/>
        <w:gridCol w:w="1411"/>
        <w:gridCol w:w="1329"/>
        <w:gridCol w:w="1333"/>
        <w:gridCol w:w="1334"/>
      </w:tblGrid>
      <w:tr w:rsidR="00322B02" w:rsidRPr="0021759D" w14:paraId="65042A78" w14:textId="77777777" w:rsidTr="00BA4636">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497" w:type="dxa"/>
            <w:vMerge w:val="restart"/>
            <w:hideMark/>
          </w:tcPr>
          <w:p w14:paraId="1070A2E5" w14:textId="77777777" w:rsidR="00322B02" w:rsidRPr="0021759D" w:rsidRDefault="00322B02" w:rsidP="00BA4636">
            <w:pPr>
              <w:spacing w:line="240" w:lineRule="auto"/>
              <w:rPr>
                <w:rFonts w:eastAsia="Times New Roman" w:cs="Times New Roman"/>
                <w:color w:val="auto"/>
                <w:sz w:val="20"/>
                <w:szCs w:val="20"/>
                <w:lang w:eastAsia="pl-PL"/>
              </w:rPr>
            </w:pPr>
            <w:r w:rsidRPr="0021759D">
              <w:rPr>
                <w:rFonts w:eastAsia="Times New Roman" w:cs="Times New Roman"/>
                <w:color w:val="auto"/>
                <w:sz w:val="20"/>
                <w:szCs w:val="20"/>
                <w:lang w:eastAsia="pl-PL"/>
              </w:rPr>
              <w:t>Wyszczególnienie</w:t>
            </w:r>
          </w:p>
        </w:tc>
        <w:tc>
          <w:tcPr>
            <w:tcW w:w="6736" w:type="dxa"/>
            <w:gridSpan w:val="5"/>
            <w:hideMark/>
          </w:tcPr>
          <w:p w14:paraId="4C25E662" w14:textId="77777777" w:rsidR="00322B02" w:rsidRPr="0021759D" w:rsidRDefault="00322B02" w:rsidP="00BA4636">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Gospodarstwa domowe  </w:t>
            </w:r>
          </w:p>
        </w:tc>
      </w:tr>
      <w:tr w:rsidR="00322B02" w:rsidRPr="0021759D" w14:paraId="46E770BF" w14:textId="77777777" w:rsidTr="00294690">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497" w:type="dxa"/>
            <w:vMerge/>
            <w:hideMark/>
          </w:tcPr>
          <w:p w14:paraId="6BDE3ADF" w14:textId="77777777" w:rsidR="00322B02" w:rsidRPr="0021759D" w:rsidRDefault="00322B02" w:rsidP="00BA4636">
            <w:pPr>
              <w:spacing w:line="240" w:lineRule="auto"/>
              <w:rPr>
                <w:rFonts w:eastAsia="Times New Roman" w:cs="Times New Roman"/>
                <w:color w:val="auto"/>
                <w:sz w:val="20"/>
                <w:szCs w:val="20"/>
                <w:lang w:eastAsia="pl-PL"/>
              </w:rPr>
            </w:pPr>
          </w:p>
        </w:tc>
        <w:tc>
          <w:tcPr>
            <w:tcW w:w="1329" w:type="dxa"/>
            <w:vMerge w:val="restart"/>
            <w:hideMark/>
          </w:tcPr>
          <w:p w14:paraId="478571D3" w14:textId="77777777" w:rsidR="00322B02" w:rsidRPr="0021759D" w:rsidRDefault="00322B02" w:rsidP="00BA463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21759D">
              <w:rPr>
                <w:rFonts w:eastAsia="Times New Roman" w:cs="Times New Roman"/>
                <w:b/>
                <w:sz w:val="20"/>
                <w:szCs w:val="20"/>
                <w:lang w:eastAsia="pl-PL"/>
              </w:rPr>
              <w:t xml:space="preserve">bez osób </w:t>
            </w:r>
            <w:r w:rsidRPr="0021759D">
              <w:rPr>
                <w:rFonts w:eastAsia="Times New Roman" w:cs="Times New Roman"/>
                <w:b/>
                <w:sz w:val="20"/>
                <w:szCs w:val="20"/>
                <w:lang w:eastAsia="pl-PL"/>
              </w:rPr>
              <w:br/>
              <w:t>w wieku 60 lat i więcej</w:t>
            </w:r>
          </w:p>
        </w:tc>
        <w:tc>
          <w:tcPr>
            <w:tcW w:w="1411" w:type="dxa"/>
            <w:vMerge w:val="restart"/>
            <w:hideMark/>
          </w:tcPr>
          <w:p w14:paraId="656C8C62" w14:textId="77777777" w:rsidR="00322B02" w:rsidRPr="0021759D" w:rsidRDefault="00294690" w:rsidP="00294690">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Pr>
                <w:rFonts w:eastAsia="Times New Roman" w:cs="Times New Roman"/>
                <w:b/>
                <w:sz w:val="20"/>
                <w:szCs w:val="20"/>
                <w:lang w:eastAsia="pl-PL"/>
              </w:rPr>
              <w:t xml:space="preserve">z przynajmniej 1 </w:t>
            </w:r>
            <w:r w:rsidR="00322B02" w:rsidRPr="0021759D">
              <w:rPr>
                <w:rFonts w:eastAsia="Times New Roman" w:cs="Times New Roman"/>
                <w:b/>
                <w:sz w:val="20"/>
                <w:szCs w:val="20"/>
                <w:lang w:eastAsia="pl-PL"/>
              </w:rPr>
              <w:t xml:space="preserve">osobą </w:t>
            </w:r>
            <w:r w:rsidR="00322B02" w:rsidRPr="0021759D">
              <w:rPr>
                <w:rFonts w:eastAsia="Times New Roman" w:cs="Times New Roman"/>
                <w:b/>
                <w:sz w:val="20"/>
                <w:szCs w:val="20"/>
                <w:lang w:eastAsia="pl-PL"/>
              </w:rPr>
              <w:br/>
              <w:t>w wieku 60 lat i więcej</w:t>
            </w:r>
          </w:p>
        </w:tc>
        <w:tc>
          <w:tcPr>
            <w:tcW w:w="3996" w:type="dxa"/>
            <w:gridSpan w:val="3"/>
          </w:tcPr>
          <w:p w14:paraId="1052788D" w14:textId="77777777" w:rsidR="00322B02" w:rsidRPr="0021759D" w:rsidRDefault="00322B02" w:rsidP="00BA463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r>
      <w:tr w:rsidR="00322B02" w:rsidRPr="0021759D" w14:paraId="341D9E11" w14:textId="77777777" w:rsidTr="00BA4636">
        <w:trPr>
          <w:trHeight w:val="398"/>
        </w:trPr>
        <w:tc>
          <w:tcPr>
            <w:cnfStyle w:val="001000000000" w:firstRow="0" w:lastRow="0" w:firstColumn="1" w:lastColumn="0" w:oddVBand="0" w:evenVBand="0" w:oddHBand="0" w:evenHBand="0" w:firstRowFirstColumn="0" w:firstRowLastColumn="0" w:lastRowFirstColumn="0" w:lastRowLastColumn="0"/>
            <w:tcW w:w="2497" w:type="dxa"/>
            <w:vMerge/>
            <w:hideMark/>
          </w:tcPr>
          <w:p w14:paraId="37DD19B7" w14:textId="77777777" w:rsidR="00322B02" w:rsidRPr="0021759D" w:rsidRDefault="00322B02" w:rsidP="00BA4636">
            <w:pPr>
              <w:spacing w:line="240" w:lineRule="auto"/>
              <w:rPr>
                <w:rFonts w:eastAsia="Times New Roman" w:cs="Times New Roman"/>
                <w:color w:val="auto"/>
                <w:sz w:val="20"/>
                <w:szCs w:val="20"/>
                <w:lang w:eastAsia="pl-PL"/>
              </w:rPr>
            </w:pPr>
          </w:p>
        </w:tc>
        <w:tc>
          <w:tcPr>
            <w:tcW w:w="1329" w:type="dxa"/>
            <w:vMerge/>
            <w:hideMark/>
          </w:tcPr>
          <w:p w14:paraId="38306283" w14:textId="77777777" w:rsidR="00322B02" w:rsidRPr="0021759D" w:rsidRDefault="00322B02" w:rsidP="00BA463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411" w:type="dxa"/>
            <w:vMerge/>
            <w:hideMark/>
          </w:tcPr>
          <w:p w14:paraId="33401E0C" w14:textId="77777777" w:rsidR="00322B02" w:rsidRPr="0021759D" w:rsidRDefault="00322B02" w:rsidP="00BA463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29" w:type="dxa"/>
            <w:vMerge w:val="restart"/>
            <w:hideMark/>
          </w:tcPr>
          <w:p w14:paraId="3DCD7FC3" w14:textId="77777777" w:rsidR="00322B02" w:rsidRPr="0021759D" w:rsidRDefault="00322B02" w:rsidP="00BA463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21759D">
              <w:rPr>
                <w:rFonts w:eastAsia="Times New Roman" w:cs="Times New Roman"/>
                <w:b/>
                <w:sz w:val="20"/>
                <w:szCs w:val="20"/>
                <w:lang w:eastAsia="pl-PL"/>
              </w:rPr>
              <w:t>razem</w:t>
            </w:r>
          </w:p>
        </w:tc>
        <w:tc>
          <w:tcPr>
            <w:tcW w:w="2667" w:type="dxa"/>
            <w:gridSpan w:val="2"/>
            <w:hideMark/>
          </w:tcPr>
          <w:p w14:paraId="0FAB27AC" w14:textId="77777777" w:rsidR="00322B02" w:rsidRPr="0021759D" w:rsidRDefault="00322B02" w:rsidP="00BA463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21759D">
              <w:rPr>
                <w:rFonts w:eastAsia="Times New Roman" w:cs="Times New Roman"/>
                <w:b/>
                <w:sz w:val="20"/>
                <w:szCs w:val="20"/>
                <w:lang w:eastAsia="pl-PL"/>
              </w:rPr>
              <w:t>w tym</w:t>
            </w:r>
          </w:p>
        </w:tc>
      </w:tr>
      <w:tr w:rsidR="00322B02" w:rsidRPr="0021759D" w14:paraId="34455208" w14:textId="77777777" w:rsidTr="00BA463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97" w:type="dxa"/>
            <w:vMerge/>
            <w:hideMark/>
          </w:tcPr>
          <w:p w14:paraId="6F45CEEF" w14:textId="77777777" w:rsidR="00322B02" w:rsidRPr="0021759D" w:rsidRDefault="00322B02" w:rsidP="00BA4636">
            <w:pPr>
              <w:spacing w:line="240" w:lineRule="auto"/>
              <w:rPr>
                <w:rFonts w:eastAsia="Times New Roman" w:cs="Times New Roman"/>
                <w:color w:val="auto"/>
                <w:sz w:val="20"/>
                <w:szCs w:val="20"/>
                <w:lang w:eastAsia="pl-PL"/>
              </w:rPr>
            </w:pPr>
          </w:p>
        </w:tc>
        <w:tc>
          <w:tcPr>
            <w:tcW w:w="1329" w:type="dxa"/>
            <w:vMerge/>
            <w:hideMark/>
          </w:tcPr>
          <w:p w14:paraId="6420A214" w14:textId="77777777" w:rsidR="00322B02" w:rsidRPr="0021759D" w:rsidRDefault="00322B02" w:rsidP="00BA463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411" w:type="dxa"/>
            <w:vMerge/>
            <w:hideMark/>
          </w:tcPr>
          <w:p w14:paraId="52F6D1D3" w14:textId="77777777" w:rsidR="00322B02" w:rsidRPr="0021759D" w:rsidRDefault="00322B02" w:rsidP="00BA463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29" w:type="dxa"/>
            <w:vMerge/>
            <w:hideMark/>
          </w:tcPr>
          <w:p w14:paraId="61DC6F75" w14:textId="77777777" w:rsidR="00322B02" w:rsidRPr="0021759D" w:rsidRDefault="00322B02" w:rsidP="00BA463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33" w:type="dxa"/>
            <w:vMerge w:val="restart"/>
            <w:hideMark/>
          </w:tcPr>
          <w:p w14:paraId="60ACB33E" w14:textId="77777777" w:rsidR="00322B02" w:rsidRPr="0021759D" w:rsidRDefault="00322B02" w:rsidP="00BA463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21759D">
              <w:rPr>
                <w:rFonts w:eastAsia="Times New Roman" w:cs="Times New Roman"/>
                <w:b/>
                <w:sz w:val="20"/>
                <w:szCs w:val="20"/>
                <w:lang w:eastAsia="pl-PL"/>
              </w:rPr>
              <w:t>1-osobowe</w:t>
            </w:r>
          </w:p>
        </w:tc>
        <w:tc>
          <w:tcPr>
            <w:tcW w:w="1334" w:type="dxa"/>
            <w:vMerge w:val="restart"/>
            <w:hideMark/>
          </w:tcPr>
          <w:p w14:paraId="5C654643" w14:textId="77777777" w:rsidR="00322B02" w:rsidRPr="0021759D" w:rsidRDefault="00322B02" w:rsidP="00BA463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21759D">
              <w:rPr>
                <w:rFonts w:eastAsia="Times New Roman" w:cs="Times New Roman"/>
                <w:b/>
                <w:sz w:val="20"/>
                <w:szCs w:val="20"/>
                <w:lang w:eastAsia="pl-PL"/>
              </w:rPr>
              <w:t>2-osobowe (obydwie osoby</w:t>
            </w:r>
            <w:r w:rsidRPr="0021759D">
              <w:rPr>
                <w:rFonts w:eastAsia="Times New Roman" w:cs="Times New Roman"/>
                <w:b/>
                <w:sz w:val="20"/>
                <w:szCs w:val="20"/>
                <w:lang w:eastAsia="pl-PL"/>
              </w:rPr>
              <w:br/>
              <w:t xml:space="preserve">w wieku 60 lat </w:t>
            </w:r>
            <w:r w:rsidRPr="0021759D">
              <w:rPr>
                <w:rFonts w:eastAsia="Times New Roman" w:cs="Times New Roman"/>
                <w:b/>
                <w:sz w:val="20"/>
                <w:szCs w:val="20"/>
                <w:lang w:eastAsia="pl-PL"/>
              </w:rPr>
              <w:br/>
              <w:t>i więcej)</w:t>
            </w:r>
          </w:p>
        </w:tc>
      </w:tr>
      <w:tr w:rsidR="00322B02" w:rsidRPr="0021759D" w14:paraId="66DCC355" w14:textId="77777777" w:rsidTr="00BA4636">
        <w:trPr>
          <w:trHeight w:val="458"/>
        </w:trPr>
        <w:tc>
          <w:tcPr>
            <w:cnfStyle w:val="001000000000" w:firstRow="0" w:lastRow="0" w:firstColumn="1" w:lastColumn="0" w:oddVBand="0" w:evenVBand="0" w:oddHBand="0" w:evenHBand="0" w:firstRowFirstColumn="0" w:firstRowLastColumn="0" w:lastRowFirstColumn="0" w:lastRowLastColumn="0"/>
            <w:tcW w:w="2497" w:type="dxa"/>
            <w:vMerge/>
            <w:hideMark/>
          </w:tcPr>
          <w:p w14:paraId="6268C0A4" w14:textId="77777777" w:rsidR="00322B02" w:rsidRPr="0021759D" w:rsidRDefault="00322B02" w:rsidP="00BA4636">
            <w:pPr>
              <w:spacing w:line="240" w:lineRule="auto"/>
              <w:rPr>
                <w:rFonts w:eastAsia="Times New Roman" w:cs="Times New Roman"/>
                <w:color w:val="auto"/>
                <w:sz w:val="20"/>
                <w:szCs w:val="20"/>
                <w:lang w:eastAsia="pl-PL"/>
              </w:rPr>
            </w:pPr>
          </w:p>
        </w:tc>
        <w:tc>
          <w:tcPr>
            <w:tcW w:w="1329" w:type="dxa"/>
            <w:vMerge/>
            <w:hideMark/>
          </w:tcPr>
          <w:p w14:paraId="67B33535" w14:textId="77777777" w:rsidR="00322B02" w:rsidRPr="0021759D" w:rsidRDefault="00322B02" w:rsidP="00BA463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411" w:type="dxa"/>
            <w:vMerge/>
            <w:hideMark/>
          </w:tcPr>
          <w:p w14:paraId="610D2617" w14:textId="77777777" w:rsidR="00322B02" w:rsidRPr="0021759D" w:rsidRDefault="00322B02" w:rsidP="00BA463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29" w:type="dxa"/>
            <w:vMerge/>
            <w:hideMark/>
          </w:tcPr>
          <w:p w14:paraId="507B3984" w14:textId="77777777" w:rsidR="00322B02" w:rsidRPr="0021759D" w:rsidRDefault="00322B02" w:rsidP="00BA463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33" w:type="dxa"/>
            <w:vMerge/>
            <w:hideMark/>
          </w:tcPr>
          <w:p w14:paraId="225A4BC8" w14:textId="77777777" w:rsidR="00322B02" w:rsidRPr="0021759D" w:rsidRDefault="00322B02" w:rsidP="00BA463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1334" w:type="dxa"/>
            <w:vMerge/>
            <w:hideMark/>
          </w:tcPr>
          <w:p w14:paraId="7D19EE6D" w14:textId="77777777" w:rsidR="00322B02" w:rsidRPr="0021759D" w:rsidRDefault="00322B02" w:rsidP="00BA463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r>
      <w:tr w:rsidR="00322B02" w:rsidRPr="0021759D" w14:paraId="7FFBA46B" w14:textId="77777777" w:rsidTr="00BA463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497" w:type="dxa"/>
            <w:vMerge/>
            <w:hideMark/>
          </w:tcPr>
          <w:p w14:paraId="3E3E77E9" w14:textId="77777777" w:rsidR="00322B02" w:rsidRPr="0021759D" w:rsidRDefault="00322B02" w:rsidP="00BA4636">
            <w:pPr>
              <w:spacing w:line="240" w:lineRule="auto"/>
              <w:rPr>
                <w:rFonts w:eastAsia="Times New Roman" w:cs="Times New Roman"/>
                <w:color w:val="auto"/>
                <w:sz w:val="20"/>
                <w:szCs w:val="20"/>
                <w:lang w:eastAsia="pl-PL"/>
              </w:rPr>
            </w:pPr>
          </w:p>
        </w:tc>
        <w:tc>
          <w:tcPr>
            <w:tcW w:w="1329" w:type="dxa"/>
            <w:vMerge/>
            <w:hideMark/>
          </w:tcPr>
          <w:p w14:paraId="7D8AEBED" w14:textId="77777777" w:rsidR="00322B02" w:rsidRPr="0021759D" w:rsidRDefault="00322B02" w:rsidP="00BA463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411" w:type="dxa"/>
            <w:vMerge/>
            <w:hideMark/>
          </w:tcPr>
          <w:p w14:paraId="5589CB79" w14:textId="77777777" w:rsidR="00322B02" w:rsidRPr="0021759D" w:rsidRDefault="00322B02" w:rsidP="00BA463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29" w:type="dxa"/>
            <w:vMerge/>
            <w:hideMark/>
          </w:tcPr>
          <w:p w14:paraId="224FBBD9" w14:textId="77777777" w:rsidR="00322B02" w:rsidRPr="0021759D" w:rsidRDefault="00322B02" w:rsidP="00BA463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33" w:type="dxa"/>
            <w:vMerge/>
            <w:hideMark/>
          </w:tcPr>
          <w:p w14:paraId="67E633F8" w14:textId="77777777" w:rsidR="00322B02" w:rsidRPr="0021759D" w:rsidRDefault="00322B02" w:rsidP="00BA463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34" w:type="dxa"/>
            <w:vMerge/>
            <w:hideMark/>
          </w:tcPr>
          <w:p w14:paraId="05649D85" w14:textId="77777777" w:rsidR="00322B02" w:rsidRPr="0021759D" w:rsidRDefault="00322B02" w:rsidP="00BA463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r>
      <w:tr w:rsidR="00322B02" w:rsidRPr="0021759D" w14:paraId="24836847" w14:textId="77777777" w:rsidTr="00BA4636">
        <w:trPr>
          <w:trHeight w:val="338"/>
        </w:trPr>
        <w:tc>
          <w:tcPr>
            <w:cnfStyle w:val="001000000000" w:firstRow="0" w:lastRow="0" w:firstColumn="1" w:lastColumn="0" w:oddVBand="0" w:evenVBand="0" w:oddHBand="0" w:evenHBand="0" w:firstRowFirstColumn="0" w:firstRowLastColumn="0" w:lastRowFirstColumn="0" w:lastRowLastColumn="0"/>
            <w:tcW w:w="2497" w:type="dxa"/>
            <w:vMerge/>
            <w:hideMark/>
          </w:tcPr>
          <w:p w14:paraId="73DFAA68" w14:textId="77777777" w:rsidR="00322B02" w:rsidRPr="0021759D" w:rsidRDefault="00322B02" w:rsidP="00BA4636">
            <w:pPr>
              <w:spacing w:line="240" w:lineRule="auto"/>
              <w:rPr>
                <w:rFonts w:eastAsia="Times New Roman" w:cs="Times New Roman"/>
                <w:color w:val="auto"/>
                <w:sz w:val="20"/>
                <w:szCs w:val="20"/>
                <w:lang w:eastAsia="pl-PL"/>
              </w:rPr>
            </w:pPr>
          </w:p>
        </w:tc>
        <w:tc>
          <w:tcPr>
            <w:tcW w:w="6736" w:type="dxa"/>
            <w:gridSpan w:val="5"/>
            <w:hideMark/>
          </w:tcPr>
          <w:p w14:paraId="66995CA1" w14:textId="77777777" w:rsidR="00322B02" w:rsidRPr="0021759D" w:rsidRDefault="00322B02" w:rsidP="00BA463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21759D">
              <w:rPr>
                <w:rFonts w:eastAsia="Times New Roman" w:cs="Times New Roman"/>
                <w:b/>
                <w:sz w:val="20"/>
                <w:szCs w:val="20"/>
                <w:lang w:eastAsia="pl-PL"/>
              </w:rPr>
              <w:t>w % danej grupy gospodarstw</w:t>
            </w:r>
          </w:p>
        </w:tc>
      </w:tr>
      <w:tr w:rsidR="00322B02" w:rsidRPr="0021759D" w14:paraId="335EA9FC" w14:textId="77777777" w:rsidTr="00BA463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233" w:type="dxa"/>
            <w:gridSpan w:val="6"/>
            <w:hideMark/>
          </w:tcPr>
          <w:p w14:paraId="604432D3" w14:textId="77777777" w:rsidR="00322B02" w:rsidRPr="0021759D" w:rsidRDefault="00322B02" w:rsidP="00BA4636">
            <w:pPr>
              <w:spacing w:line="240" w:lineRule="auto"/>
              <w:jc w:val="center"/>
              <w:rPr>
                <w:rFonts w:eastAsia="Times New Roman" w:cs="Times New Roman"/>
                <w:color w:val="auto"/>
                <w:sz w:val="20"/>
                <w:szCs w:val="20"/>
                <w:lang w:eastAsia="pl-PL"/>
              </w:rPr>
            </w:pPr>
            <w:r w:rsidRPr="0021759D">
              <w:rPr>
                <w:rFonts w:eastAsia="Times New Roman" w:cs="Times New Roman"/>
                <w:color w:val="auto"/>
                <w:sz w:val="20"/>
                <w:szCs w:val="20"/>
                <w:lang w:eastAsia="pl-PL"/>
              </w:rPr>
              <w:t>OGÓŁEM</w:t>
            </w:r>
          </w:p>
        </w:tc>
      </w:tr>
      <w:tr w:rsidR="00322B02" w:rsidRPr="0021759D" w14:paraId="03F7F00E" w14:textId="77777777" w:rsidTr="00BA4636">
        <w:trPr>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51AC0083" w14:textId="77777777" w:rsidR="00322B02" w:rsidRPr="0021759D" w:rsidRDefault="00322B02" w:rsidP="00BA4636">
            <w:pPr>
              <w:spacing w:line="240" w:lineRule="auto"/>
              <w:jc w:val="left"/>
              <w:rPr>
                <w:rFonts w:eastAsia="Times New Roman" w:cs="Times New Roman"/>
                <w:color w:val="auto"/>
                <w:sz w:val="20"/>
                <w:szCs w:val="20"/>
                <w:lang w:eastAsia="pl-PL"/>
              </w:rPr>
            </w:pPr>
            <w:r>
              <w:rPr>
                <w:rFonts w:eastAsia="Times New Roman" w:cs="Times New Roman"/>
                <w:color w:val="auto"/>
                <w:sz w:val="20"/>
                <w:szCs w:val="20"/>
                <w:lang w:eastAsia="pl-PL"/>
              </w:rPr>
              <w:t xml:space="preserve">Posiada odpowiednie warunki </w:t>
            </w:r>
            <w:r w:rsidRPr="0021759D">
              <w:rPr>
                <w:rFonts w:eastAsia="Times New Roman" w:cs="Times New Roman"/>
                <w:color w:val="auto"/>
                <w:sz w:val="20"/>
                <w:szCs w:val="20"/>
                <w:lang w:eastAsia="pl-PL"/>
              </w:rPr>
              <w:t xml:space="preserve">techniczno-sanitarne                                                      </w:t>
            </w:r>
          </w:p>
        </w:tc>
        <w:tc>
          <w:tcPr>
            <w:tcW w:w="1329" w:type="dxa"/>
            <w:vAlign w:val="center"/>
            <w:hideMark/>
          </w:tcPr>
          <w:p w14:paraId="4E9C84DF"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95,6</w:t>
            </w:r>
          </w:p>
        </w:tc>
        <w:tc>
          <w:tcPr>
            <w:tcW w:w="1411" w:type="dxa"/>
            <w:vAlign w:val="center"/>
            <w:hideMark/>
          </w:tcPr>
          <w:p w14:paraId="65A22C56"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94,8</w:t>
            </w:r>
          </w:p>
        </w:tc>
        <w:tc>
          <w:tcPr>
            <w:tcW w:w="1329" w:type="dxa"/>
            <w:vAlign w:val="center"/>
            <w:hideMark/>
          </w:tcPr>
          <w:p w14:paraId="198BCA78"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94,8</w:t>
            </w:r>
          </w:p>
        </w:tc>
        <w:tc>
          <w:tcPr>
            <w:tcW w:w="1333" w:type="dxa"/>
            <w:vAlign w:val="center"/>
            <w:hideMark/>
          </w:tcPr>
          <w:p w14:paraId="22E30E4D"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92,9</w:t>
            </w:r>
          </w:p>
        </w:tc>
        <w:tc>
          <w:tcPr>
            <w:tcW w:w="1334" w:type="dxa"/>
            <w:vAlign w:val="center"/>
            <w:hideMark/>
          </w:tcPr>
          <w:p w14:paraId="7BA855FE"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97,1</w:t>
            </w:r>
          </w:p>
        </w:tc>
      </w:tr>
      <w:tr w:rsidR="00322B02" w:rsidRPr="0021759D" w14:paraId="65A4ACBE" w14:textId="77777777" w:rsidTr="00BA4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59C10973"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Jest położone w hałaśliwym lub zanieczyszczonym otoczeniu                                             </w:t>
            </w:r>
          </w:p>
        </w:tc>
        <w:tc>
          <w:tcPr>
            <w:tcW w:w="1329" w:type="dxa"/>
            <w:vAlign w:val="center"/>
            <w:hideMark/>
          </w:tcPr>
          <w:p w14:paraId="5D945BBD"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11,3</w:t>
            </w:r>
          </w:p>
        </w:tc>
        <w:tc>
          <w:tcPr>
            <w:tcW w:w="1411" w:type="dxa"/>
            <w:vAlign w:val="center"/>
            <w:hideMark/>
          </w:tcPr>
          <w:p w14:paraId="1F904F22"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11,3</w:t>
            </w:r>
          </w:p>
        </w:tc>
        <w:tc>
          <w:tcPr>
            <w:tcW w:w="1329" w:type="dxa"/>
            <w:vAlign w:val="center"/>
            <w:hideMark/>
          </w:tcPr>
          <w:p w14:paraId="7E388D49"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11,1</w:t>
            </w:r>
          </w:p>
        </w:tc>
        <w:tc>
          <w:tcPr>
            <w:tcW w:w="1333" w:type="dxa"/>
            <w:vAlign w:val="center"/>
            <w:hideMark/>
          </w:tcPr>
          <w:p w14:paraId="5A9123BA"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11,5</w:t>
            </w:r>
          </w:p>
        </w:tc>
        <w:tc>
          <w:tcPr>
            <w:tcW w:w="1334" w:type="dxa"/>
            <w:vAlign w:val="center"/>
            <w:hideMark/>
          </w:tcPr>
          <w:p w14:paraId="0D147A4E"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10,8</w:t>
            </w:r>
          </w:p>
        </w:tc>
      </w:tr>
      <w:tr w:rsidR="00322B02" w:rsidRPr="0021759D" w14:paraId="42258BC6" w14:textId="77777777" w:rsidTr="00BA4636">
        <w:trPr>
          <w:trHeight w:val="503"/>
        </w:trPr>
        <w:tc>
          <w:tcPr>
            <w:cnfStyle w:val="001000000000" w:firstRow="0" w:lastRow="0" w:firstColumn="1" w:lastColumn="0" w:oddVBand="0" w:evenVBand="0" w:oddHBand="0" w:evenHBand="0" w:firstRowFirstColumn="0" w:firstRowLastColumn="0" w:lastRowFirstColumn="0" w:lastRowLastColumn="0"/>
            <w:tcW w:w="2497" w:type="dxa"/>
            <w:hideMark/>
          </w:tcPr>
          <w:p w14:paraId="7983EDE1"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Jest położone w rejonie szczególnie zagrożonym </w:t>
            </w:r>
            <w:r w:rsidRPr="0021759D">
              <w:rPr>
                <w:rFonts w:eastAsia="Times New Roman" w:cs="Times New Roman"/>
                <w:color w:val="auto"/>
                <w:sz w:val="20"/>
                <w:szCs w:val="20"/>
                <w:lang w:eastAsia="pl-PL"/>
              </w:rPr>
              <w:br/>
              <w:t>przestępczością, przemocą, wandalizmem, w pobliżu melin</w:t>
            </w:r>
          </w:p>
        </w:tc>
        <w:tc>
          <w:tcPr>
            <w:tcW w:w="1329" w:type="dxa"/>
            <w:vAlign w:val="center"/>
            <w:hideMark/>
          </w:tcPr>
          <w:p w14:paraId="5549D06A"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2,5</w:t>
            </w:r>
          </w:p>
        </w:tc>
        <w:tc>
          <w:tcPr>
            <w:tcW w:w="1411" w:type="dxa"/>
            <w:vAlign w:val="center"/>
            <w:hideMark/>
          </w:tcPr>
          <w:p w14:paraId="0BCD6022"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2,0</w:t>
            </w:r>
          </w:p>
        </w:tc>
        <w:tc>
          <w:tcPr>
            <w:tcW w:w="1329" w:type="dxa"/>
            <w:vAlign w:val="center"/>
            <w:hideMark/>
          </w:tcPr>
          <w:p w14:paraId="60EDA1DC"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2,0</w:t>
            </w:r>
          </w:p>
        </w:tc>
        <w:tc>
          <w:tcPr>
            <w:tcW w:w="1333" w:type="dxa"/>
            <w:vAlign w:val="center"/>
            <w:hideMark/>
          </w:tcPr>
          <w:p w14:paraId="176766E4"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2,6</w:t>
            </w:r>
          </w:p>
        </w:tc>
        <w:tc>
          <w:tcPr>
            <w:tcW w:w="1334" w:type="dxa"/>
            <w:vAlign w:val="center"/>
            <w:hideMark/>
          </w:tcPr>
          <w:p w14:paraId="74E2F6DE"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1,2</w:t>
            </w:r>
          </w:p>
        </w:tc>
      </w:tr>
      <w:tr w:rsidR="00322B02" w:rsidRPr="0021759D" w14:paraId="67808320" w14:textId="77777777" w:rsidTr="00BA4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356FFEC7"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Jest położone w rejonie </w:t>
            </w:r>
            <w:r>
              <w:rPr>
                <w:rFonts w:eastAsia="Times New Roman" w:cs="Times New Roman"/>
                <w:color w:val="auto"/>
                <w:sz w:val="20"/>
                <w:szCs w:val="20"/>
                <w:lang w:eastAsia="pl-PL"/>
              </w:rPr>
              <w:t xml:space="preserve">          </w:t>
            </w:r>
            <w:r w:rsidRPr="0021759D">
              <w:rPr>
                <w:rFonts w:eastAsia="Times New Roman" w:cs="Times New Roman"/>
                <w:color w:val="auto"/>
                <w:sz w:val="20"/>
                <w:szCs w:val="20"/>
                <w:lang w:eastAsia="pl-PL"/>
              </w:rPr>
              <w:t xml:space="preserve">o złej infrastrukturze                                                        </w:t>
            </w:r>
          </w:p>
        </w:tc>
        <w:tc>
          <w:tcPr>
            <w:tcW w:w="1329" w:type="dxa"/>
            <w:vAlign w:val="center"/>
            <w:hideMark/>
          </w:tcPr>
          <w:p w14:paraId="248DD596"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4,8</w:t>
            </w:r>
          </w:p>
        </w:tc>
        <w:tc>
          <w:tcPr>
            <w:tcW w:w="1411" w:type="dxa"/>
            <w:vAlign w:val="center"/>
            <w:hideMark/>
          </w:tcPr>
          <w:p w14:paraId="7047A54B"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5,1</w:t>
            </w:r>
          </w:p>
        </w:tc>
        <w:tc>
          <w:tcPr>
            <w:tcW w:w="1329" w:type="dxa"/>
            <w:vAlign w:val="center"/>
            <w:hideMark/>
          </w:tcPr>
          <w:p w14:paraId="079D2B3B"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4,0</w:t>
            </w:r>
          </w:p>
        </w:tc>
        <w:tc>
          <w:tcPr>
            <w:tcW w:w="1333" w:type="dxa"/>
            <w:vAlign w:val="center"/>
            <w:hideMark/>
          </w:tcPr>
          <w:p w14:paraId="33902903"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4,1</w:t>
            </w:r>
          </w:p>
        </w:tc>
        <w:tc>
          <w:tcPr>
            <w:tcW w:w="1334" w:type="dxa"/>
            <w:vAlign w:val="center"/>
            <w:hideMark/>
          </w:tcPr>
          <w:p w14:paraId="3C8222DE"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3,9</w:t>
            </w:r>
          </w:p>
        </w:tc>
      </w:tr>
      <w:tr w:rsidR="00322B02" w:rsidRPr="0021759D" w14:paraId="69732E25" w14:textId="77777777" w:rsidTr="00BA4636">
        <w:trPr>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483352B8"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Jest położone w rejonie </w:t>
            </w:r>
            <w:r>
              <w:rPr>
                <w:rFonts w:eastAsia="Times New Roman" w:cs="Times New Roman"/>
                <w:color w:val="auto"/>
                <w:sz w:val="20"/>
                <w:szCs w:val="20"/>
                <w:lang w:eastAsia="pl-PL"/>
              </w:rPr>
              <w:t xml:space="preserve">           </w:t>
            </w:r>
            <w:r w:rsidRPr="0021759D">
              <w:rPr>
                <w:rFonts w:eastAsia="Times New Roman" w:cs="Times New Roman"/>
                <w:color w:val="auto"/>
                <w:sz w:val="20"/>
                <w:szCs w:val="20"/>
                <w:lang w:eastAsia="pl-PL"/>
              </w:rPr>
              <w:t xml:space="preserve">o szczególnych zaletach                                                       </w:t>
            </w:r>
          </w:p>
        </w:tc>
        <w:tc>
          <w:tcPr>
            <w:tcW w:w="1329" w:type="dxa"/>
            <w:vAlign w:val="center"/>
            <w:hideMark/>
          </w:tcPr>
          <w:p w14:paraId="73F92C7D"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9,5</w:t>
            </w:r>
          </w:p>
        </w:tc>
        <w:tc>
          <w:tcPr>
            <w:tcW w:w="1411" w:type="dxa"/>
            <w:vAlign w:val="center"/>
            <w:hideMark/>
          </w:tcPr>
          <w:p w14:paraId="392CBAD6"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8,3</w:t>
            </w:r>
          </w:p>
        </w:tc>
        <w:tc>
          <w:tcPr>
            <w:tcW w:w="1329" w:type="dxa"/>
            <w:vAlign w:val="center"/>
            <w:hideMark/>
          </w:tcPr>
          <w:p w14:paraId="04086E4D"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9,5</w:t>
            </w:r>
          </w:p>
        </w:tc>
        <w:tc>
          <w:tcPr>
            <w:tcW w:w="1333" w:type="dxa"/>
            <w:vAlign w:val="center"/>
            <w:hideMark/>
          </w:tcPr>
          <w:p w14:paraId="527C292F"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9,2</w:t>
            </w:r>
          </w:p>
        </w:tc>
        <w:tc>
          <w:tcPr>
            <w:tcW w:w="1334" w:type="dxa"/>
            <w:vAlign w:val="center"/>
            <w:hideMark/>
          </w:tcPr>
          <w:p w14:paraId="0044C62C"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9,8</w:t>
            </w:r>
          </w:p>
        </w:tc>
      </w:tr>
      <w:tr w:rsidR="00322B02" w:rsidRPr="0021759D" w14:paraId="2B16AAFC" w14:textId="77777777" w:rsidTr="00BA4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02BE2913"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Posiada balkon (taras), ogródek                                                                       </w:t>
            </w:r>
          </w:p>
        </w:tc>
        <w:tc>
          <w:tcPr>
            <w:tcW w:w="1329" w:type="dxa"/>
            <w:vAlign w:val="center"/>
            <w:hideMark/>
          </w:tcPr>
          <w:p w14:paraId="543A616B"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81,7</w:t>
            </w:r>
          </w:p>
        </w:tc>
        <w:tc>
          <w:tcPr>
            <w:tcW w:w="1411" w:type="dxa"/>
            <w:vAlign w:val="center"/>
            <w:hideMark/>
          </w:tcPr>
          <w:p w14:paraId="5EB82375"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83,1</w:t>
            </w:r>
          </w:p>
        </w:tc>
        <w:tc>
          <w:tcPr>
            <w:tcW w:w="1329" w:type="dxa"/>
            <w:vAlign w:val="center"/>
            <w:hideMark/>
          </w:tcPr>
          <w:p w14:paraId="59352B53"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80,1</w:t>
            </w:r>
          </w:p>
        </w:tc>
        <w:tc>
          <w:tcPr>
            <w:tcW w:w="1333" w:type="dxa"/>
            <w:vAlign w:val="center"/>
            <w:hideMark/>
          </w:tcPr>
          <w:p w14:paraId="67CBF79A"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75,7</w:t>
            </w:r>
          </w:p>
        </w:tc>
        <w:tc>
          <w:tcPr>
            <w:tcW w:w="1334" w:type="dxa"/>
            <w:vAlign w:val="center"/>
            <w:hideMark/>
          </w:tcPr>
          <w:p w14:paraId="16E6B0BB"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85,4</w:t>
            </w:r>
          </w:p>
        </w:tc>
      </w:tr>
      <w:tr w:rsidR="00322B02" w:rsidRPr="0021759D" w14:paraId="0EDCA968" w14:textId="77777777" w:rsidTr="00BA4636">
        <w:trPr>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1FAA501A"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Jest wystarczająco ciepłe w zimie</w:t>
            </w:r>
          </w:p>
        </w:tc>
        <w:tc>
          <w:tcPr>
            <w:tcW w:w="1329" w:type="dxa"/>
            <w:vAlign w:val="center"/>
            <w:hideMark/>
          </w:tcPr>
          <w:p w14:paraId="63CFC504"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96,4</w:t>
            </w:r>
          </w:p>
        </w:tc>
        <w:tc>
          <w:tcPr>
            <w:tcW w:w="1411" w:type="dxa"/>
            <w:vAlign w:val="center"/>
            <w:hideMark/>
          </w:tcPr>
          <w:p w14:paraId="34C626E9"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95,8</w:t>
            </w:r>
          </w:p>
        </w:tc>
        <w:tc>
          <w:tcPr>
            <w:tcW w:w="1329" w:type="dxa"/>
            <w:vAlign w:val="center"/>
            <w:hideMark/>
          </w:tcPr>
          <w:p w14:paraId="30CF872C"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95,6</w:t>
            </w:r>
          </w:p>
        </w:tc>
        <w:tc>
          <w:tcPr>
            <w:tcW w:w="1333" w:type="dxa"/>
            <w:vAlign w:val="center"/>
            <w:hideMark/>
          </w:tcPr>
          <w:p w14:paraId="24816440"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94,2</w:t>
            </w:r>
          </w:p>
        </w:tc>
        <w:tc>
          <w:tcPr>
            <w:tcW w:w="1334" w:type="dxa"/>
            <w:vAlign w:val="center"/>
            <w:hideMark/>
          </w:tcPr>
          <w:p w14:paraId="12EFA6BF"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97,3</w:t>
            </w:r>
          </w:p>
        </w:tc>
      </w:tr>
      <w:tr w:rsidR="00322B02" w:rsidRPr="0021759D" w14:paraId="682893C4" w14:textId="77777777" w:rsidTr="00BA4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7" w:type="dxa"/>
          </w:tcPr>
          <w:p w14:paraId="425BC137"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Jest wystarczająco chłodne w lecie</w:t>
            </w:r>
          </w:p>
        </w:tc>
        <w:tc>
          <w:tcPr>
            <w:tcW w:w="1329" w:type="dxa"/>
            <w:vAlign w:val="center"/>
          </w:tcPr>
          <w:p w14:paraId="55102AEE"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95,0</w:t>
            </w:r>
          </w:p>
        </w:tc>
        <w:tc>
          <w:tcPr>
            <w:tcW w:w="1411" w:type="dxa"/>
            <w:vAlign w:val="center"/>
          </w:tcPr>
          <w:p w14:paraId="684BBF08"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95,2</w:t>
            </w:r>
          </w:p>
        </w:tc>
        <w:tc>
          <w:tcPr>
            <w:tcW w:w="1329" w:type="dxa"/>
            <w:vAlign w:val="center"/>
          </w:tcPr>
          <w:p w14:paraId="3CEC7631"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95,0</w:t>
            </w:r>
          </w:p>
        </w:tc>
        <w:tc>
          <w:tcPr>
            <w:tcW w:w="1333" w:type="dxa"/>
            <w:vAlign w:val="center"/>
          </w:tcPr>
          <w:p w14:paraId="567EF8EF"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94,0</w:t>
            </w:r>
          </w:p>
        </w:tc>
        <w:tc>
          <w:tcPr>
            <w:tcW w:w="1334" w:type="dxa"/>
            <w:vAlign w:val="center"/>
          </w:tcPr>
          <w:p w14:paraId="6020DF6F"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96,0</w:t>
            </w:r>
          </w:p>
        </w:tc>
      </w:tr>
      <w:tr w:rsidR="00322B02" w:rsidRPr="0021759D" w14:paraId="555A3393" w14:textId="77777777" w:rsidTr="00BA4636">
        <w:trPr>
          <w:trHeight w:val="480"/>
        </w:trPr>
        <w:tc>
          <w:tcPr>
            <w:cnfStyle w:val="001000000000" w:firstRow="0" w:lastRow="0" w:firstColumn="1" w:lastColumn="0" w:oddVBand="0" w:evenVBand="0" w:oddHBand="0" w:evenHBand="0" w:firstRowFirstColumn="0" w:firstRowLastColumn="0" w:lastRowFirstColumn="0" w:lastRowLastColumn="0"/>
            <w:tcW w:w="2497" w:type="dxa"/>
            <w:hideMark/>
          </w:tcPr>
          <w:p w14:paraId="77B9BC5D"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Znajduje się w budynku posiadającym bariery architektoniczne utrudniające dostęp do mieszkania        </w:t>
            </w:r>
          </w:p>
        </w:tc>
        <w:tc>
          <w:tcPr>
            <w:tcW w:w="1329" w:type="dxa"/>
            <w:vAlign w:val="center"/>
            <w:hideMark/>
          </w:tcPr>
          <w:p w14:paraId="2B7C26C9"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25,8</w:t>
            </w:r>
          </w:p>
        </w:tc>
        <w:tc>
          <w:tcPr>
            <w:tcW w:w="1411" w:type="dxa"/>
            <w:vAlign w:val="center"/>
            <w:hideMark/>
          </w:tcPr>
          <w:p w14:paraId="54E8AF2E"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27,2</w:t>
            </w:r>
          </w:p>
        </w:tc>
        <w:tc>
          <w:tcPr>
            <w:tcW w:w="1329" w:type="dxa"/>
            <w:vAlign w:val="center"/>
            <w:hideMark/>
          </w:tcPr>
          <w:p w14:paraId="7D956075"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29,1</w:t>
            </w:r>
          </w:p>
        </w:tc>
        <w:tc>
          <w:tcPr>
            <w:tcW w:w="1333" w:type="dxa"/>
            <w:vAlign w:val="center"/>
            <w:hideMark/>
          </w:tcPr>
          <w:p w14:paraId="66A26628"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30,7</w:t>
            </w:r>
          </w:p>
        </w:tc>
        <w:tc>
          <w:tcPr>
            <w:tcW w:w="1334" w:type="dxa"/>
            <w:vAlign w:val="center"/>
            <w:hideMark/>
          </w:tcPr>
          <w:p w14:paraId="7F35FDE5"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26,9</w:t>
            </w:r>
          </w:p>
        </w:tc>
      </w:tr>
      <w:tr w:rsidR="00322B02" w:rsidRPr="0021759D" w14:paraId="4E1C5320" w14:textId="77777777" w:rsidTr="00BA463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33" w:type="dxa"/>
            <w:gridSpan w:val="6"/>
            <w:hideMark/>
          </w:tcPr>
          <w:p w14:paraId="00797223" w14:textId="77777777" w:rsidR="00322B02" w:rsidRPr="0021759D" w:rsidRDefault="00322B02" w:rsidP="00BA4636">
            <w:pPr>
              <w:spacing w:line="240" w:lineRule="auto"/>
              <w:jc w:val="center"/>
              <w:rPr>
                <w:rFonts w:eastAsia="Times New Roman" w:cs="Times New Roman"/>
                <w:color w:val="auto"/>
                <w:sz w:val="20"/>
                <w:szCs w:val="20"/>
                <w:lang w:eastAsia="pl-PL"/>
              </w:rPr>
            </w:pPr>
            <w:r w:rsidRPr="0021759D">
              <w:rPr>
                <w:rFonts w:eastAsia="Times New Roman" w:cs="Times New Roman"/>
                <w:color w:val="auto"/>
                <w:sz w:val="20"/>
                <w:szCs w:val="20"/>
                <w:lang w:eastAsia="pl-PL"/>
              </w:rPr>
              <w:t>MIASTA</w:t>
            </w:r>
          </w:p>
        </w:tc>
      </w:tr>
      <w:tr w:rsidR="00322B02" w:rsidRPr="0021759D" w14:paraId="3EEC1D6A" w14:textId="77777777" w:rsidTr="00BA4636">
        <w:trPr>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2FADC520"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Posiada odpowiednie warunki techniczno-sanitarne                                                      </w:t>
            </w:r>
          </w:p>
        </w:tc>
        <w:tc>
          <w:tcPr>
            <w:tcW w:w="1329" w:type="dxa"/>
            <w:vAlign w:val="center"/>
            <w:hideMark/>
          </w:tcPr>
          <w:p w14:paraId="38701B0B"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95,7</w:t>
            </w:r>
          </w:p>
        </w:tc>
        <w:tc>
          <w:tcPr>
            <w:tcW w:w="1411" w:type="dxa"/>
            <w:vAlign w:val="center"/>
            <w:hideMark/>
          </w:tcPr>
          <w:p w14:paraId="3FCA343C"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96,0</w:t>
            </w:r>
          </w:p>
        </w:tc>
        <w:tc>
          <w:tcPr>
            <w:tcW w:w="1329" w:type="dxa"/>
            <w:vAlign w:val="center"/>
            <w:hideMark/>
          </w:tcPr>
          <w:p w14:paraId="4B42C753"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96,4</w:t>
            </w:r>
          </w:p>
        </w:tc>
        <w:tc>
          <w:tcPr>
            <w:tcW w:w="1333" w:type="dxa"/>
            <w:vAlign w:val="center"/>
            <w:hideMark/>
          </w:tcPr>
          <w:p w14:paraId="5BE599B6"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95,4</w:t>
            </w:r>
          </w:p>
        </w:tc>
        <w:tc>
          <w:tcPr>
            <w:tcW w:w="1334" w:type="dxa"/>
            <w:vAlign w:val="center"/>
            <w:hideMark/>
          </w:tcPr>
          <w:p w14:paraId="1246BDCD"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97,8</w:t>
            </w:r>
          </w:p>
        </w:tc>
      </w:tr>
      <w:tr w:rsidR="00322B02" w:rsidRPr="0021759D" w14:paraId="58B464E6" w14:textId="77777777" w:rsidTr="00BA4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03315157"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Jest położone </w:t>
            </w:r>
            <w:r>
              <w:rPr>
                <w:rFonts w:eastAsia="Times New Roman" w:cs="Times New Roman"/>
                <w:color w:val="auto"/>
                <w:sz w:val="20"/>
                <w:szCs w:val="20"/>
                <w:lang w:eastAsia="pl-PL"/>
              </w:rPr>
              <w:t xml:space="preserve">                          </w:t>
            </w:r>
            <w:r w:rsidRPr="0021759D">
              <w:rPr>
                <w:rFonts w:eastAsia="Times New Roman" w:cs="Times New Roman"/>
                <w:color w:val="auto"/>
                <w:sz w:val="20"/>
                <w:szCs w:val="20"/>
                <w:lang w:eastAsia="pl-PL"/>
              </w:rPr>
              <w:t xml:space="preserve">w hałaśliwym lub zanieczyszczonym otoczeniu                                             </w:t>
            </w:r>
          </w:p>
        </w:tc>
        <w:tc>
          <w:tcPr>
            <w:tcW w:w="1329" w:type="dxa"/>
            <w:vAlign w:val="center"/>
            <w:hideMark/>
          </w:tcPr>
          <w:p w14:paraId="160A2451"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13,0</w:t>
            </w:r>
          </w:p>
        </w:tc>
        <w:tc>
          <w:tcPr>
            <w:tcW w:w="1411" w:type="dxa"/>
            <w:vAlign w:val="center"/>
            <w:hideMark/>
          </w:tcPr>
          <w:p w14:paraId="1E1FE343"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13,2</w:t>
            </w:r>
          </w:p>
        </w:tc>
        <w:tc>
          <w:tcPr>
            <w:tcW w:w="1329" w:type="dxa"/>
            <w:vAlign w:val="center"/>
            <w:hideMark/>
          </w:tcPr>
          <w:p w14:paraId="485E55C9"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12,5</w:t>
            </w:r>
          </w:p>
        </w:tc>
        <w:tc>
          <w:tcPr>
            <w:tcW w:w="1333" w:type="dxa"/>
            <w:vAlign w:val="center"/>
            <w:hideMark/>
          </w:tcPr>
          <w:p w14:paraId="660DCEB1"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12,8</w:t>
            </w:r>
          </w:p>
        </w:tc>
        <w:tc>
          <w:tcPr>
            <w:tcW w:w="1334" w:type="dxa"/>
            <w:vAlign w:val="center"/>
            <w:hideMark/>
          </w:tcPr>
          <w:p w14:paraId="3ABF51DD"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12,2</w:t>
            </w:r>
          </w:p>
        </w:tc>
      </w:tr>
      <w:tr w:rsidR="00322B02" w:rsidRPr="0021759D" w14:paraId="1E0EA28B" w14:textId="77777777" w:rsidTr="00BA4636">
        <w:trPr>
          <w:trHeight w:val="720"/>
        </w:trPr>
        <w:tc>
          <w:tcPr>
            <w:cnfStyle w:val="001000000000" w:firstRow="0" w:lastRow="0" w:firstColumn="1" w:lastColumn="0" w:oddVBand="0" w:evenVBand="0" w:oddHBand="0" w:evenHBand="0" w:firstRowFirstColumn="0" w:firstRowLastColumn="0" w:lastRowFirstColumn="0" w:lastRowLastColumn="0"/>
            <w:tcW w:w="2497" w:type="dxa"/>
            <w:hideMark/>
          </w:tcPr>
          <w:p w14:paraId="1B8FAEB0"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Jest położone w rejonie szczególnie za</w:t>
            </w:r>
            <w:r>
              <w:rPr>
                <w:rFonts w:eastAsia="Times New Roman" w:cs="Times New Roman"/>
                <w:color w:val="auto"/>
                <w:sz w:val="20"/>
                <w:szCs w:val="20"/>
                <w:lang w:eastAsia="pl-PL"/>
              </w:rPr>
              <w:t xml:space="preserve">grożonym </w:t>
            </w:r>
            <w:r w:rsidRPr="0021759D">
              <w:rPr>
                <w:rFonts w:eastAsia="Times New Roman" w:cs="Times New Roman"/>
                <w:color w:val="auto"/>
                <w:sz w:val="20"/>
                <w:szCs w:val="20"/>
                <w:lang w:eastAsia="pl-PL"/>
              </w:rPr>
              <w:t>przestępczością, przemocą, wandalizmem, w pobliżu melin</w:t>
            </w:r>
          </w:p>
        </w:tc>
        <w:tc>
          <w:tcPr>
            <w:tcW w:w="1329" w:type="dxa"/>
            <w:vAlign w:val="center"/>
            <w:hideMark/>
          </w:tcPr>
          <w:p w14:paraId="722D5553"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3,3</w:t>
            </w:r>
          </w:p>
        </w:tc>
        <w:tc>
          <w:tcPr>
            <w:tcW w:w="1411" w:type="dxa"/>
            <w:vAlign w:val="center"/>
            <w:hideMark/>
          </w:tcPr>
          <w:p w14:paraId="502F449E"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2,8</w:t>
            </w:r>
          </w:p>
        </w:tc>
        <w:tc>
          <w:tcPr>
            <w:tcW w:w="1329" w:type="dxa"/>
            <w:vAlign w:val="center"/>
            <w:hideMark/>
          </w:tcPr>
          <w:p w14:paraId="406837CB"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2,4</w:t>
            </w:r>
          </w:p>
        </w:tc>
        <w:tc>
          <w:tcPr>
            <w:tcW w:w="1333" w:type="dxa"/>
            <w:vAlign w:val="center"/>
            <w:hideMark/>
          </w:tcPr>
          <w:p w14:paraId="79312AC7"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3,2</w:t>
            </w:r>
          </w:p>
        </w:tc>
        <w:tc>
          <w:tcPr>
            <w:tcW w:w="1334" w:type="dxa"/>
            <w:vAlign w:val="center"/>
            <w:hideMark/>
          </w:tcPr>
          <w:p w14:paraId="6E4311CC"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1,5</w:t>
            </w:r>
          </w:p>
        </w:tc>
      </w:tr>
      <w:tr w:rsidR="00322B02" w:rsidRPr="0021759D" w14:paraId="39C0ECA7" w14:textId="77777777" w:rsidTr="00BA4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327E6379"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Jest położone w rejonie </w:t>
            </w:r>
            <w:r>
              <w:rPr>
                <w:rFonts w:eastAsia="Times New Roman" w:cs="Times New Roman"/>
                <w:color w:val="auto"/>
                <w:sz w:val="20"/>
                <w:szCs w:val="20"/>
                <w:lang w:eastAsia="pl-PL"/>
              </w:rPr>
              <w:t xml:space="preserve">           </w:t>
            </w:r>
            <w:r w:rsidRPr="0021759D">
              <w:rPr>
                <w:rFonts w:eastAsia="Times New Roman" w:cs="Times New Roman"/>
                <w:color w:val="auto"/>
                <w:sz w:val="20"/>
                <w:szCs w:val="20"/>
                <w:lang w:eastAsia="pl-PL"/>
              </w:rPr>
              <w:t xml:space="preserve">o złej infrastrukturze                                                        </w:t>
            </w:r>
          </w:p>
        </w:tc>
        <w:tc>
          <w:tcPr>
            <w:tcW w:w="1329" w:type="dxa"/>
            <w:vAlign w:val="center"/>
            <w:hideMark/>
          </w:tcPr>
          <w:p w14:paraId="35BADC8B"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2,2</w:t>
            </w:r>
          </w:p>
        </w:tc>
        <w:tc>
          <w:tcPr>
            <w:tcW w:w="1411" w:type="dxa"/>
            <w:vAlign w:val="center"/>
            <w:hideMark/>
          </w:tcPr>
          <w:p w14:paraId="5CAB9431"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1,6</w:t>
            </w:r>
          </w:p>
        </w:tc>
        <w:tc>
          <w:tcPr>
            <w:tcW w:w="1329" w:type="dxa"/>
            <w:vAlign w:val="center"/>
            <w:hideMark/>
          </w:tcPr>
          <w:p w14:paraId="3D60F185"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1,4</w:t>
            </w:r>
          </w:p>
        </w:tc>
        <w:tc>
          <w:tcPr>
            <w:tcW w:w="1333" w:type="dxa"/>
            <w:vAlign w:val="center"/>
            <w:hideMark/>
          </w:tcPr>
          <w:p w14:paraId="4B1E4D5D"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1,2</w:t>
            </w:r>
          </w:p>
        </w:tc>
        <w:tc>
          <w:tcPr>
            <w:tcW w:w="1334" w:type="dxa"/>
            <w:vAlign w:val="center"/>
            <w:hideMark/>
          </w:tcPr>
          <w:p w14:paraId="648ABEA7"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1,7</w:t>
            </w:r>
          </w:p>
        </w:tc>
      </w:tr>
      <w:tr w:rsidR="00322B02" w:rsidRPr="0021759D" w14:paraId="3F0EB658" w14:textId="77777777" w:rsidTr="00BA4636">
        <w:trPr>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3943904B" w14:textId="77777777" w:rsidR="00322B02"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Jest położone w rejonie </w:t>
            </w:r>
            <w:r>
              <w:rPr>
                <w:rFonts w:eastAsia="Times New Roman" w:cs="Times New Roman"/>
                <w:color w:val="auto"/>
                <w:sz w:val="20"/>
                <w:szCs w:val="20"/>
                <w:lang w:eastAsia="pl-PL"/>
              </w:rPr>
              <w:t xml:space="preserve">          </w:t>
            </w:r>
            <w:r w:rsidRPr="0021759D">
              <w:rPr>
                <w:rFonts w:eastAsia="Times New Roman" w:cs="Times New Roman"/>
                <w:color w:val="auto"/>
                <w:sz w:val="20"/>
                <w:szCs w:val="20"/>
                <w:lang w:eastAsia="pl-PL"/>
              </w:rPr>
              <w:t xml:space="preserve">o szczególnych zaletach    </w:t>
            </w:r>
          </w:p>
          <w:p w14:paraId="70036DFA"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                                                   </w:t>
            </w:r>
          </w:p>
        </w:tc>
        <w:tc>
          <w:tcPr>
            <w:tcW w:w="1329" w:type="dxa"/>
            <w:vAlign w:val="center"/>
            <w:hideMark/>
          </w:tcPr>
          <w:p w14:paraId="4E9EFCC4"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11,3</w:t>
            </w:r>
          </w:p>
        </w:tc>
        <w:tc>
          <w:tcPr>
            <w:tcW w:w="1411" w:type="dxa"/>
            <w:vAlign w:val="center"/>
            <w:hideMark/>
          </w:tcPr>
          <w:p w14:paraId="4453C93D"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10,1</w:t>
            </w:r>
          </w:p>
        </w:tc>
        <w:tc>
          <w:tcPr>
            <w:tcW w:w="1329" w:type="dxa"/>
            <w:vAlign w:val="center"/>
            <w:hideMark/>
          </w:tcPr>
          <w:p w14:paraId="5D5C016D"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10,8</w:t>
            </w:r>
          </w:p>
        </w:tc>
        <w:tc>
          <w:tcPr>
            <w:tcW w:w="1333" w:type="dxa"/>
            <w:vAlign w:val="center"/>
            <w:hideMark/>
          </w:tcPr>
          <w:p w14:paraId="2DAF8B64"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10,4</w:t>
            </w:r>
          </w:p>
        </w:tc>
        <w:tc>
          <w:tcPr>
            <w:tcW w:w="1334" w:type="dxa"/>
            <w:vAlign w:val="center"/>
            <w:hideMark/>
          </w:tcPr>
          <w:p w14:paraId="4283382C"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11,1</w:t>
            </w:r>
          </w:p>
        </w:tc>
      </w:tr>
      <w:tr w:rsidR="00322B02" w:rsidRPr="0021759D" w14:paraId="1275B102" w14:textId="77777777" w:rsidTr="00BA4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327616F3"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lastRenderedPageBreak/>
              <w:t xml:space="preserve">Posiada balkon (taras), ogródek                                                                       </w:t>
            </w:r>
          </w:p>
        </w:tc>
        <w:tc>
          <w:tcPr>
            <w:tcW w:w="1329" w:type="dxa"/>
            <w:vAlign w:val="center"/>
            <w:hideMark/>
          </w:tcPr>
          <w:p w14:paraId="775B3EF7"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76,6</w:t>
            </w:r>
          </w:p>
        </w:tc>
        <w:tc>
          <w:tcPr>
            <w:tcW w:w="1411" w:type="dxa"/>
            <w:vAlign w:val="center"/>
            <w:hideMark/>
          </w:tcPr>
          <w:p w14:paraId="028B9002"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77,8</w:t>
            </w:r>
          </w:p>
        </w:tc>
        <w:tc>
          <w:tcPr>
            <w:tcW w:w="1329" w:type="dxa"/>
            <w:vAlign w:val="center"/>
            <w:hideMark/>
          </w:tcPr>
          <w:p w14:paraId="3F203D05"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76,9</w:t>
            </w:r>
          </w:p>
        </w:tc>
        <w:tc>
          <w:tcPr>
            <w:tcW w:w="1333" w:type="dxa"/>
            <w:vAlign w:val="center"/>
            <w:hideMark/>
          </w:tcPr>
          <w:p w14:paraId="52D1CDAC"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71,9</w:t>
            </w:r>
          </w:p>
        </w:tc>
        <w:tc>
          <w:tcPr>
            <w:tcW w:w="1334" w:type="dxa"/>
            <w:vAlign w:val="center"/>
            <w:hideMark/>
          </w:tcPr>
          <w:p w14:paraId="55CC1CB2"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82,7</w:t>
            </w:r>
          </w:p>
        </w:tc>
      </w:tr>
      <w:tr w:rsidR="00322B02" w:rsidRPr="0021759D" w14:paraId="3BF41E87" w14:textId="77777777" w:rsidTr="00BA4636">
        <w:trPr>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4814531F" w14:textId="77777777" w:rsidR="00322B02" w:rsidRPr="0021759D" w:rsidRDefault="00322B02" w:rsidP="00BA4636">
            <w:pPr>
              <w:jc w:val="left"/>
              <w:rPr>
                <w:rFonts w:cs="Times New Roman"/>
                <w:color w:val="auto"/>
                <w:sz w:val="20"/>
                <w:szCs w:val="20"/>
              </w:rPr>
            </w:pPr>
            <w:r w:rsidRPr="0021759D">
              <w:rPr>
                <w:rFonts w:cs="Times New Roman"/>
                <w:color w:val="auto"/>
                <w:sz w:val="20"/>
                <w:szCs w:val="20"/>
              </w:rPr>
              <w:t>Jest wystarczająco ciepłe w zimie</w:t>
            </w:r>
          </w:p>
        </w:tc>
        <w:tc>
          <w:tcPr>
            <w:tcW w:w="1329" w:type="dxa"/>
            <w:vAlign w:val="center"/>
            <w:hideMark/>
          </w:tcPr>
          <w:p w14:paraId="4EC5AB58"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96,3</w:t>
            </w:r>
          </w:p>
        </w:tc>
        <w:tc>
          <w:tcPr>
            <w:tcW w:w="1411" w:type="dxa"/>
            <w:vAlign w:val="center"/>
            <w:hideMark/>
          </w:tcPr>
          <w:p w14:paraId="104B3C11"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96,2</w:t>
            </w:r>
          </w:p>
        </w:tc>
        <w:tc>
          <w:tcPr>
            <w:tcW w:w="1329" w:type="dxa"/>
            <w:vAlign w:val="center"/>
            <w:hideMark/>
          </w:tcPr>
          <w:p w14:paraId="314C1DA3"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96,4</w:t>
            </w:r>
          </w:p>
        </w:tc>
        <w:tc>
          <w:tcPr>
            <w:tcW w:w="1333" w:type="dxa"/>
            <w:vAlign w:val="center"/>
            <w:hideMark/>
          </w:tcPr>
          <w:p w14:paraId="5019B84D"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95,4</w:t>
            </w:r>
          </w:p>
        </w:tc>
        <w:tc>
          <w:tcPr>
            <w:tcW w:w="1334" w:type="dxa"/>
            <w:vAlign w:val="center"/>
            <w:hideMark/>
          </w:tcPr>
          <w:p w14:paraId="05C043C2"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97,6</w:t>
            </w:r>
          </w:p>
        </w:tc>
      </w:tr>
      <w:tr w:rsidR="00322B02" w:rsidRPr="0021759D" w14:paraId="502F08CE" w14:textId="77777777" w:rsidTr="00BA4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7" w:type="dxa"/>
          </w:tcPr>
          <w:p w14:paraId="1F43EB99" w14:textId="77777777" w:rsidR="00322B02" w:rsidRPr="0021759D" w:rsidRDefault="00322B02" w:rsidP="00BA4636">
            <w:pPr>
              <w:jc w:val="left"/>
              <w:rPr>
                <w:rFonts w:cs="Times New Roman"/>
                <w:color w:val="auto"/>
                <w:sz w:val="20"/>
                <w:szCs w:val="20"/>
              </w:rPr>
            </w:pPr>
            <w:r w:rsidRPr="0021759D">
              <w:rPr>
                <w:rFonts w:cs="Times New Roman"/>
                <w:color w:val="auto"/>
                <w:sz w:val="20"/>
                <w:szCs w:val="20"/>
              </w:rPr>
              <w:t>Jest wystarczająco chłodne w lecie</w:t>
            </w:r>
          </w:p>
        </w:tc>
        <w:tc>
          <w:tcPr>
            <w:tcW w:w="1329" w:type="dxa"/>
            <w:vAlign w:val="center"/>
          </w:tcPr>
          <w:p w14:paraId="0BB21C29"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94,3</w:t>
            </w:r>
          </w:p>
        </w:tc>
        <w:tc>
          <w:tcPr>
            <w:tcW w:w="1411" w:type="dxa"/>
            <w:vAlign w:val="center"/>
          </w:tcPr>
          <w:p w14:paraId="4AEF00A0"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94,8</w:t>
            </w:r>
          </w:p>
        </w:tc>
        <w:tc>
          <w:tcPr>
            <w:tcW w:w="1329" w:type="dxa"/>
            <w:vAlign w:val="center"/>
          </w:tcPr>
          <w:p w14:paraId="4DF7C8A6"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94,9</w:t>
            </w:r>
          </w:p>
        </w:tc>
        <w:tc>
          <w:tcPr>
            <w:tcW w:w="1333" w:type="dxa"/>
            <w:vAlign w:val="center"/>
          </w:tcPr>
          <w:p w14:paraId="35D96FEE"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94,0</w:t>
            </w:r>
          </w:p>
        </w:tc>
        <w:tc>
          <w:tcPr>
            <w:tcW w:w="1334" w:type="dxa"/>
            <w:vAlign w:val="center"/>
          </w:tcPr>
          <w:p w14:paraId="71A7DF51"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96,0</w:t>
            </w:r>
          </w:p>
        </w:tc>
      </w:tr>
      <w:tr w:rsidR="00322B02" w:rsidRPr="0021759D" w14:paraId="397CCF9E" w14:textId="77777777" w:rsidTr="00BA4636">
        <w:trPr>
          <w:trHeight w:val="720"/>
        </w:trPr>
        <w:tc>
          <w:tcPr>
            <w:cnfStyle w:val="001000000000" w:firstRow="0" w:lastRow="0" w:firstColumn="1" w:lastColumn="0" w:oddVBand="0" w:evenVBand="0" w:oddHBand="0" w:evenHBand="0" w:firstRowFirstColumn="0" w:firstRowLastColumn="0" w:lastRowFirstColumn="0" w:lastRowLastColumn="0"/>
            <w:tcW w:w="2497" w:type="dxa"/>
            <w:hideMark/>
          </w:tcPr>
          <w:p w14:paraId="3771B3B5"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Znajduje się w budynku posiadając</w:t>
            </w:r>
            <w:r>
              <w:rPr>
                <w:rFonts w:eastAsia="Times New Roman" w:cs="Times New Roman"/>
                <w:color w:val="auto"/>
                <w:sz w:val="20"/>
                <w:szCs w:val="20"/>
                <w:lang w:eastAsia="pl-PL"/>
              </w:rPr>
              <w:t xml:space="preserve">ym bariery architektoniczne </w:t>
            </w:r>
            <w:r w:rsidRPr="0021759D">
              <w:rPr>
                <w:rFonts w:eastAsia="Times New Roman" w:cs="Times New Roman"/>
                <w:color w:val="auto"/>
                <w:sz w:val="20"/>
                <w:szCs w:val="20"/>
                <w:lang w:eastAsia="pl-PL"/>
              </w:rPr>
              <w:t xml:space="preserve">utrudniające dostęp </w:t>
            </w:r>
            <w:r>
              <w:rPr>
                <w:rFonts w:eastAsia="Times New Roman" w:cs="Times New Roman"/>
                <w:color w:val="auto"/>
                <w:sz w:val="20"/>
                <w:szCs w:val="20"/>
                <w:lang w:eastAsia="pl-PL"/>
              </w:rPr>
              <w:t xml:space="preserve">                  </w:t>
            </w:r>
            <w:r w:rsidRPr="0021759D">
              <w:rPr>
                <w:rFonts w:eastAsia="Times New Roman" w:cs="Times New Roman"/>
                <w:color w:val="auto"/>
                <w:sz w:val="20"/>
                <w:szCs w:val="20"/>
                <w:lang w:eastAsia="pl-PL"/>
              </w:rPr>
              <w:t xml:space="preserve">do mieszkania        </w:t>
            </w:r>
          </w:p>
        </w:tc>
        <w:tc>
          <w:tcPr>
            <w:tcW w:w="1329" w:type="dxa"/>
            <w:vAlign w:val="center"/>
            <w:hideMark/>
          </w:tcPr>
          <w:p w14:paraId="2007FDAC"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29,8</w:t>
            </w:r>
          </w:p>
        </w:tc>
        <w:tc>
          <w:tcPr>
            <w:tcW w:w="1411" w:type="dxa"/>
            <w:vAlign w:val="center"/>
            <w:hideMark/>
          </w:tcPr>
          <w:p w14:paraId="6D9B7DEF"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32,1</w:t>
            </w:r>
          </w:p>
        </w:tc>
        <w:tc>
          <w:tcPr>
            <w:tcW w:w="1329" w:type="dxa"/>
            <w:vAlign w:val="center"/>
            <w:hideMark/>
          </w:tcPr>
          <w:p w14:paraId="013B1A7C"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32,4</w:t>
            </w:r>
          </w:p>
        </w:tc>
        <w:tc>
          <w:tcPr>
            <w:tcW w:w="1333" w:type="dxa"/>
            <w:vAlign w:val="center"/>
            <w:hideMark/>
          </w:tcPr>
          <w:p w14:paraId="5373C6CF"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34,2</w:t>
            </w:r>
          </w:p>
        </w:tc>
        <w:tc>
          <w:tcPr>
            <w:tcW w:w="1334" w:type="dxa"/>
            <w:vAlign w:val="center"/>
            <w:hideMark/>
          </w:tcPr>
          <w:p w14:paraId="1B9EE325"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30,0</w:t>
            </w:r>
          </w:p>
        </w:tc>
      </w:tr>
      <w:tr w:rsidR="00322B02" w:rsidRPr="0021759D" w14:paraId="1CBAC1E3" w14:textId="77777777" w:rsidTr="00BA463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233" w:type="dxa"/>
            <w:gridSpan w:val="6"/>
            <w:hideMark/>
          </w:tcPr>
          <w:p w14:paraId="0435BDB0" w14:textId="77777777" w:rsidR="00322B02" w:rsidRPr="0021759D" w:rsidRDefault="00322B02" w:rsidP="00BA4636">
            <w:pPr>
              <w:spacing w:line="240" w:lineRule="auto"/>
              <w:jc w:val="center"/>
              <w:rPr>
                <w:rFonts w:eastAsia="Times New Roman" w:cs="Times New Roman"/>
                <w:color w:val="auto"/>
                <w:sz w:val="20"/>
                <w:szCs w:val="20"/>
                <w:lang w:eastAsia="pl-PL"/>
              </w:rPr>
            </w:pPr>
            <w:r w:rsidRPr="0021759D">
              <w:rPr>
                <w:rFonts w:eastAsia="Times New Roman" w:cs="Times New Roman"/>
                <w:color w:val="auto"/>
                <w:sz w:val="20"/>
                <w:szCs w:val="20"/>
                <w:lang w:eastAsia="pl-PL"/>
              </w:rPr>
              <w:t>WIEŚ</w:t>
            </w:r>
          </w:p>
        </w:tc>
      </w:tr>
      <w:tr w:rsidR="00322B02" w:rsidRPr="0021759D" w14:paraId="6BDEA77C" w14:textId="77777777" w:rsidTr="00BA4636">
        <w:trPr>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43ACD6BD"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Posiada odpowiednie warunki techniczno-sanitarne                                                      </w:t>
            </w:r>
          </w:p>
        </w:tc>
        <w:tc>
          <w:tcPr>
            <w:tcW w:w="1329" w:type="dxa"/>
            <w:vAlign w:val="center"/>
            <w:hideMark/>
          </w:tcPr>
          <w:p w14:paraId="58B6F01E"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95,3</w:t>
            </w:r>
          </w:p>
        </w:tc>
        <w:tc>
          <w:tcPr>
            <w:tcW w:w="1411" w:type="dxa"/>
            <w:vAlign w:val="center"/>
            <w:hideMark/>
          </w:tcPr>
          <w:p w14:paraId="7D269878"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92,4</w:t>
            </w:r>
          </w:p>
        </w:tc>
        <w:tc>
          <w:tcPr>
            <w:tcW w:w="1329" w:type="dxa"/>
            <w:vAlign w:val="center"/>
            <w:hideMark/>
          </w:tcPr>
          <w:p w14:paraId="4CB4312C"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89,9</w:t>
            </w:r>
          </w:p>
        </w:tc>
        <w:tc>
          <w:tcPr>
            <w:tcW w:w="1333" w:type="dxa"/>
            <w:vAlign w:val="center"/>
            <w:hideMark/>
          </w:tcPr>
          <w:p w14:paraId="37CF4F4F"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85,8</w:t>
            </w:r>
          </w:p>
        </w:tc>
        <w:tc>
          <w:tcPr>
            <w:tcW w:w="1334" w:type="dxa"/>
            <w:vAlign w:val="center"/>
            <w:hideMark/>
          </w:tcPr>
          <w:p w14:paraId="272259E0"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94,9</w:t>
            </w:r>
          </w:p>
        </w:tc>
      </w:tr>
      <w:tr w:rsidR="00322B02" w:rsidRPr="0021759D" w14:paraId="18D2024C" w14:textId="77777777" w:rsidTr="00BA4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57CC3A54"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Jest położone w hałaśliwym lub zanieczyszczonym otoczeniu                                             </w:t>
            </w:r>
          </w:p>
        </w:tc>
        <w:tc>
          <w:tcPr>
            <w:tcW w:w="1329" w:type="dxa"/>
            <w:vAlign w:val="center"/>
            <w:hideMark/>
          </w:tcPr>
          <w:p w14:paraId="50E69323"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7,6</w:t>
            </w:r>
          </w:p>
        </w:tc>
        <w:tc>
          <w:tcPr>
            <w:tcW w:w="1411" w:type="dxa"/>
            <w:vAlign w:val="center"/>
            <w:hideMark/>
          </w:tcPr>
          <w:p w14:paraId="38A791C3"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7,7</w:t>
            </w:r>
          </w:p>
        </w:tc>
        <w:tc>
          <w:tcPr>
            <w:tcW w:w="1329" w:type="dxa"/>
            <w:vAlign w:val="center"/>
            <w:hideMark/>
          </w:tcPr>
          <w:p w14:paraId="0F8FBCD6"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7,1</w:t>
            </w:r>
          </w:p>
        </w:tc>
        <w:tc>
          <w:tcPr>
            <w:tcW w:w="1333" w:type="dxa"/>
            <w:vAlign w:val="center"/>
            <w:hideMark/>
          </w:tcPr>
          <w:p w14:paraId="184C0CCD"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7,6</w:t>
            </w:r>
          </w:p>
        </w:tc>
        <w:tc>
          <w:tcPr>
            <w:tcW w:w="1334" w:type="dxa"/>
            <w:vAlign w:val="center"/>
            <w:hideMark/>
          </w:tcPr>
          <w:p w14:paraId="3893CAA6"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6,3</w:t>
            </w:r>
          </w:p>
        </w:tc>
      </w:tr>
      <w:tr w:rsidR="00322B02" w:rsidRPr="0021759D" w14:paraId="6DC8B0C0" w14:textId="77777777" w:rsidTr="00BA4636">
        <w:trPr>
          <w:trHeight w:val="720"/>
        </w:trPr>
        <w:tc>
          <w:tcPr>
            <w:cnfStyle w:val="001000000000" w:firstRow="0" w:lastRow="0" w:firstColumn="1" w:lastColumn="0" w:oddVBand="0" w:evenVBand="0" w:oddHBand="0" w:evenHBand="0" w:firstRowFirstColumn="0" w:firstRowLastColumn="0" w:lastRowFirstColumn="0" w:lastRowLastColumn="0"/>
            <w:tcW w:w="2497" w:type="dxa"/>
            <w:hideMark/>
          </w:tcPr>
          <w:p w14:paraId="4BAED5BB"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Jest położone w rejonie s</w:t>
            </w:r>
            <w:r>
              <w:rPr>
                <w:rFonts w:eastAsia="Times New Roman" w:cs="Times New Roman"/>
                <w:color w:val="auto"/>
                <w:sz w:val="20"/>
                <w:szCs w:val="20"/>
                <w:lang w:eastAsia="pl-PL"/>
              </w:rPr>
              <w:t xml:space="preserve">zczególnie zagrożonym </w:t>
            </w:r>
            <w:r w:rsidRPr="0021759D">
              <w:rPr>
                <w:rFonts w:eastAsia="Times New Roman" w:cs="Times New Roman"/>
                <w:color w:val="auto"/>
                <w:sz w:val="20"/>
                <w:szCs w:val="20"/>
                <w:lang w:eastAsia="pl-PL"/>
              </w:rPr>
              <w:t>przestępczością, przemocą, wandalizmem, w pobliżu melin</w:t>
            </w:r>
          </w:p>
        </w:tc>
        <w:tc>
          <w:tcPr>
            <w:tcW w:w="1329" w:type="dxa"/>
            <w:vAlign w:val="center"/>
            <w:hideMark/>
          </w:tcPr>
          <w:p w14:paraId="0D4A42A6"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0,7</w:t>
            </w:r>
          </w:p>
        </w:tc>
        <w:tc>
          <w:tcPr>
            <w:tcW w:w="1411" w:type="dxa"/>
            <w:vAlign w:val="center"/>
            <w:hideMark/>
          </w:tcPr>
          <w:p w14:paraId="74EB9A5E"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0,6</w:t>
            </w:r>
          </w:p>
        </w:tc>
        <w:tc>
          <w:tcPr>
            <w:tcW w:w="1329" w:type="dxa"/>
            <w:vAlign w:val="center"/>
            <w:hideMark/>
          </w:tcPr>
          <w:p w14:paraId="0D8DED9B"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0,5</w:t>
            </w:r>
          </w:p>
        </w:tc>
        <w:tc>
          <w:tcPr>
            <w:tcW w:w="1333" w:type="dxa"/>
            <w:vAlign w:val="center"/>
            <w:hideMark/>
          </w:tcPr>
          <w:p w14:paraId="18E104B0"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0,7</w:t>
            </w:r>
          </w:p>
        </w:tc>
        <w:tc>
          <w:tcPr>
            <w:tcW w:w="1334" w:type="dxa"/>
            <w:vAlign w:val="center"/>
            <w:hideMark/>
          </w:tcPr>
          <w:p w14:paraId="0B7DA251"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0,4</w:t>
            </w:r>
          </w:p>
        </w:tc>
      </w:tr>
      <w:tr w:rsidR="00322B02" w:rsidRPr="0021759D" w14:paraId="265E9F83" w14:textId="77777777" w:rsidTr="00BA4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47319FD9"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Jest położone w rejonie </w:t>
            </w:r>
            <w:r>
              <w:rPr>
                <w:rFonts w:eastAsia="Times New Roman" w:cs="Times New Roman"/>
                <w:color w:val="auto"/>
                <w:sz w:val="20"/>
                <w:szCs w:val="20"/>
                <w:lang w:eastAsia="pl-PL"/>
              </w:rPr>
              <w:t xml:space="preserve">        </w:t>
            </w:r>
            <w:r w:rsidRPr="0021759D">
              <w:rPr>
                <w:rFonts w:eastAsia="Times New Roman" w:cs="Times New Roman"/>
                <w:color w:val="auto"/>
                <w:sz w:val="20"/>
                <w:szCs w:val="20"/>
                <w:lang w:eastAsia="pl-PL"/>
              </w:rPr>
              <w:t xml:space="preserve">o złej infrastrukturze        </w:t>
            </w:r>
            <w:r>
              <w:rPr>
                <w:rFonts w:eastAsia="Times New Roman" w:cs="Times New Roman"/>
                <w:color w:val="auto"/>
                <w:sz w:val="20"/>
                <w:szCs w:val="20"/>
                <w:lang w:eastAsia="pl-PL"/>
              </w:rPr>
              <w:t xml:space="preserve">       </w:t>
            </w:r>
            <w:r w:rsidRPr="0021759D">
              <w:rPr>
                <w:rFonts w:eastAsia="Times New Roman" w:cs="Times New Roman"/>
                <w:color w:val="auto"/>
                <w:sz w:val="20"/>
                <w:szCs w:val="20"/>
                <w:lang w:eastAsia="pl-PL"/>
              </w:rPr>
              <w:t xml:space="preserve">                                                </w:t>
            </w:r>
          </w:p>
        </w:tc>
        <w:tc>
          <w:tcPr>
            <w:tcW w:w="1329" w:type="dxa"/>
            <w:vAlign w:val="center"/>
            <w:hideMark/>
          </w:tcPr>
          <w:p w14:paraId="55CE2976"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10,9</w:t>
            </w:r>
          </w:p>
        </w:tc>
        <w:tc>
          <w:tcPr>
            <w:tcW w:w="1411" w:type="dxa"/>
            <w:vAlign w:val="center"/>
            <w:hideMark/>
          </w:tcPr>
          <w:p w14:paraId="611987B4"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11,7</w:t>
            </w:r>
          </w:p>
        </w:tc>
        <w:tc>
          <w:tcPr>
            <w:tcW w:w="1329" w:type="dxa"/>
            <w:vAlign w:val="center"/>
            <w:hideMark/>
          </w:tcPr>
          <w:p w14:paraId="2B77FD8D"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11,5</w:t>
            </w:r>
          </w:p>
        </w:tc>
        <w:tc>
          <w:tcPr>
            <w:tcW w:w="1333" w:type="dxa"/>
            <w:vAlign w:val="center"/>
            <w:hideMark/>
          </w:tcPr>
          <w:p w14:paraId="3546D90C"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12,3</w:t>
            </w:r>
          </w:p>
        </w:tc>
        <w:tc>
          <w:tcPr>
            <w:tcW w:w="1334" w:type="dxa"/>
            <w:vAlign w:val="center"/>
            <w:hideMark/>
          </w:tcPr>
          <w:p w14:paraId="7A017E7E"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10,4</w:t>
            </w:r>
          </w:p>
        </w:tc>
      </w:tr>
      <w:tr w:rsidR="00322B02" w:rsidRPr="0021759D" w14:paraId="10C846EA" w14:textId="77777777" w:rsidTr="00BA4636">
        <w:trPr>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171A2242"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Jest położone w rejonie </w:t>
            </w:r>
            <w:r>
              <w:rPr>
                <w:rFonts w:eastAsia="Times New Roman" w:cs="Times New Roman"/>
                <w:color w:val="auto"/>
                <w:sz w:val="20"/>
                <w:szCs w:val="20"/>
                <w:lang w:eastAsia="pl-PL"/>
              </w:rPr>
              <w:t xml:space="preserve">         </w:t>
            </w:r>
            <w:r w:rsidRPr="0021759D">
              <w:rPr>
                <w:rFonts w:eastAsia="Times New Roman" w:cs="Times New Roman"/>
                <w:color w:val="auto"/>
                <w:sz w:val="20"/>
                <w:szCs w:val="20"/>
                <w:lang w:eastAsia="pl-PL"/>
              </w:rPr>
              <w:t xml:space="preserve">o szczególnych zaletach                                                       </w:t>
            </w:r>
          </w:p>
        </w:tc>
        <w:tc>
          <w:tcPr>
            <w:tcW w:w="1329" w:type="dxa"/>
            <w:vAlign w:val="center"/>
            <w:hideMark/>
          </w:tcPr>
          <w:p w14:paraId="60A10442"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5,3</w:t>
            </w:r>
          </w:p>
        </w:tc>
        <w:tc>
          <w:tcPr>
            <w:tcW w:w="1411" w:type="dxa"/>
            <w:vAlign w:val="center"/>
            <w:hideMark/>
          </w:tcPr>
          <w:p w14:paraId="1C2D405B"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5,0</w:t>
            </w:r>
          </w:p>
        </w:tc>
        <w:tc>
          <w:tcPr>
            <w:tcW w:w="1329" w:type="dxa"/>
            <w:vAlign w:val="center"/>
            <w:hideMark/>
          </w:tcPr>
          <w:p w14:paraId="0F0A9783"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5,7</w:t>
            </w:r>
          </w:p>
        </w:tc>
        <w:tc>
          <w:tcPr>
            <w:tcW w:w="1333" w:type="dxa"/>
            <w:vAlign w:val="center"/>
            <w:hideMark/>
          </w:tcPr>
          <w:p w14:paraId="246335C3"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5,6</w:t>
            </w:r>
          </w:p>
        </w:tc>
        <w:tc>
          <w:tcPr>
            <w:tcW w:w="1334" w:type="dxa"/>
            <w:vAlign w:val="center"/>
            <w:hideMark/>
          </w:tcPr>
          <w:p w14:paraId="0D124406"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5,8</w:t>
            </w:r>
          </w:p>
        </w:tc>
      </w:tr>
      <w:tr w:rsidR="00322B02" w:rsidRPr="0021759D" w14:paraId="69737079" w14:textId="77777777" w:rsidTr="00BA4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6E554357" w14:textId="77777777" w:rsidR="00322B02" w:rsidRPr="0021759D"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 xml:space="preserve">Posiada balkon (taras), ogródek                                                                       </w:t>
            </w:r>
          </w:p>
        </w:tc>
        <w:tc>
          <w:tcPr>
            <w:tcW w:w="1329" w:type="dxa"/>
            <w:vAlign w:val="center"/>
            <w:hideMark/>
          </w:tcPr>
          <w:p w14:paraId="5805539F"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93,1</w:t>
            </w:r>
          </w:p>
        </w:tc>
        <w:tc>
          <w:tcPr>
            <w:tcW w:w="1411" w:type="dxa"/>
            <w:vAlign w:val="center"/>
            <w:hideMark/>
          </w:tcPr>
          <w:p w14:paraId="5F65CDB5"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93,0</w:t>
            </w:r>
          </w:p>
        </w:tc>
        <w:tc>
          <w:tcPr>
            <w:tcW w:w="1329" w:type="dxa"/>
            <w:vAlign w:val="center"/>
            <w:hideMark/>
          </w:tcPr>
          <w:p w14:paraId="5F917583"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89,7</w:t>
            </w:r>
          </w:p>
        </w:tc>
        <w:tc>
          <w:tcPr>
            <w:tcW w:w="1333" w:type="dxa"/>
            <w:vAlign w:val="center"/>
            <w:hideMark/>
          </w:tcPr>
          <w:p w14:paraId="6A561DD8"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86,6</w:t>
            </w:r>
          </w:p>
        </w:tc>
        <w:tc>
          <w:tcPr>
            <w:tcW w:w="1334" w:type="dxa"/>
            <w:vAlign w:val="center"/>
            <w:hideMark/>
          </w:tcPr>
          <w:p w14:paraId="04C3DFF5"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93,5</w:t>
            </w:r>
          </w:p>
        </w:tc>
      </w:tr>
      <w:tr w:rsidR="00322B02" w:rsidRPr="0021759D" w14:paraId="4A24226B" w14:textId="77777777" w:rsidTr="00BA4636">
        <w:trPr>
          <w:trHeight w:val="300"/>
        </w:trPr>
        <w:tc>
          <w:tcPr>
            <w:cnfStyle w:val="001000000000" w:firstRow="0" w:lastRow="0" w:firstColumn="1" w:lastColumn="0" w:oddVBand="0" w:evenVBand="0" w:oddHBand="0" w:evenHBand="0" w:firstRowFirstColumn="0" w:firstRowLastColumn="0" w:lastRowFirstColumn="0" w:lastRowLastColumn="0"/>
            <w:tcW w:w="2497" w:type="dxa"/>
            <w:hideMark/>
          </w:tcPr>
          <w:p w14:paraId="0CAED430" w14:textId="77777777" w:rsidR="00322B02" w:rsidRPr="0021759D" w:rsidRDefault="00322B02" w:rsidP="00BA4636">
            <w:pPr>
              <w:jc w:val="left"/>
              <w:rPr>
                <w:rFonts w:cs="Times New Roman"/>
                <w:color w:val="auto"/>
                <w:sz w:val="20"/>
                <w:szCs w:val="20"/>
              </w:rPr>
            </w:pPr>
            <w:r w:rsidRPr="0021759D">
              <w:rPr>
                <w:rFonts w:cs="Times New Roman"/>
                <w:color w:val="auto"/>
                <w:sz w:val="20"/>
                <w:szCs w:val="20"/>
              </w:rPr>
              <w:t>Jest wystarczająco ciepłe w zimie</w:t>
            </w:r>
          </w:p>
        </w:tc>
        <w:tc>
          <w:tcPr>
            <w:tcW w:w="1329" w:type="dxa"/>
            <w:vAlign w:val="center"/>
            <w:hideMark/>
          </w:tcPr>
          <w:p w14:paraId="2A0EDD14"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96,5</w:t>
            </w:r>
          </w:p>
        </w:tc>
        <w:tc>
          <w:tcPr>
            <w:tcW w:w="1411" w:type="dxa"/>
            <w:vAlign w:val="center"/>
            <w:hideMark/>
          </w:tcPr>
          <w:p w14:paraId="1743FF1E"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95,1</w:t>
            </w:r>
          </w:p>
        </w:tc>
        <w:tc>
          <w:tcPr>
            <w:tcW w:w="1329" w:type="dxa"/>
            <w:vAlign w:val="center"/>
            <w:hideMark/>
          </w:tcPr>
          <w:p w14:paraId="269ED3E1"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93,5</w:t>
            </w:r>
          </w:p>
        </w:tc>
        <w:tc>
          <w:tcPr>
            <w:tcW w:w="1333" w:type="dxa"/>
            <w:vAlign w:val="center"/>
            <w:hideMark/>
          </w:tcPr>
          <w:p w14:paraId="36331822"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91,0</w:t>
            </w:r>
          </w:p>
        </w:tc>
        <w:tc>
          <w:tcPr>
            <w:tcW w:w="1334" w:type="dxa"/>
            <w:vAlign w:val="center"/>
            <w:hideMark/>
          </w:tcPr>
          <w:p w14:paraId="6131AF6F"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96,4</w:t>
            </w:r>
          </w:p>
        </w:tc>
      </w:tr>
      <w:tr w:rsidR="00322B02" w:rsidRPr="0021759D" w14:paraId="77C0F785" w14:textId="77777777" w:rsidTr="00BA46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7" w:type="dxa"/>
          </w:tcPr>
          <w:p w14:paraId="67494EB1" w14:textId="77777777" w:rsidR="00322B02" w:rsidRPr="0021759D" w:rsidRDefault="00322B02" w:rsidP="00BA4636">
            <w:pPr>
              <w:jc w:val="left"/>
              <w:rPr>
                <w:rFonts w:cs="Times New Roman"/>
                <w:color w:val="auto"/>
                <w:sz w:val="20"/>
                <w:szCs w:val="20"/>
              </w:rPr>
            </w:pPr>
            <w:r w:rsidRPr="0021759D">
              <w:rPr>
                <w:rFonts w:cs="Times New Roman"/>
                <w:color w:val="auto"/>
                <w:sz w:val="20"/>
                <w:szCs w:val="20"/>
              </w:rPr>
              <w:t>Jest wystarczająco chłodne w lecie</w:t>
            </w:r>
          </w:p>
        </w:tc>
        <w:tc>
          <w:tcPr>
            <w:tcW w:w="1329" w:type="dxa"/>
            <w:vAlign w:val="center"/>
          </w:tcPr>
          <w:p w14:paraId="025CC4C1"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96,7</w:t>
            </w:r>
          </w:p>
        </w:tc>
        <w:tc>
          <w:tcPr>
            <w:tcW w:w="1411" w:type="dxa"/>
            <w:vAlign w:val="center"/>
          </w:tcPr>
          <w:p w14:paraId="3BF4DB88"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95,9</w:t>
            </w:r>
          </w:p>
        </w:tc>
        <w:tc>
          <w:tcPr>
            <w:tcW w:w="1329" w:type="dxa"/>
            <w:vAlign w:val="center"/>
          </w:tcPr>
          <w:p w14:paraId="3B96CBD2"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95,0</w:t>
            </w:r>
          </w:p>
        </w:tc>
        <w:tc>
          <w:tcPr>
            <w:tcW w:w="1333" w:type="dxa"/>
            <w:vAlign w:val="center"/>
          </w:tcPr>
          <w:p w14:paraId="231618D9"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94,0</w:t>
            </w:r>
          </w:p>
        </w:tc>
        <w:tc>
          <w:tcPr>
            <w:tcW w:w="1334" w:type="dxa"/>
            <w:vAlign w:val="center"/>
          </w:tcPr>
          <w:p w14:paraId="21C40357" w14:textId="77777777" w:rsidR="00322B02" w:rsidRPr="0021759D" w:rsidRDefault="00322B02" w:rsidP="00BA463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21759D">
              <w:rPr>
                <w:rFonts w:cs="Times New Roman"/>
                <w:sz w:val="20"/>
                <w:szCs w:val="20"/>
              </w:rPr>
              <w:t>96,0</w:t>
            </w:r>
          </w:p>
        </w:tc>
      </w:tr>
      <w:tr w:rsidR="00322B02" w:rsidRPr="0021759D" w14:paraId="36483429" w14:textId="77777777" w:rsidTr="00BA4636">
        <w:trPr>
          <w:trHeight w:val="720"/>
        </w:trPr>
        <w:tc>
          <w:tcPr>
            <w:cnfStyle w:val="001000000000" w:firstRow="0" w:lastRow="0" w:firstColumn="1" w:lastColumn="0" w:oddVBand="0" w:evenVBand="0" w:oddHBand="0" w:evenHBand="0" w:firstRowFirstColumn="0" w:firstRowLastColumn="0" w:lastRowFirstColumn="0" w:lastRowLastColumn="0"/>
            <w:tcW w:w="2497" w:type="dxa"/>
            <w:hideMark/>
          </w:tcPr>
          <w:p w14:paraId="40E49E21" w14:textId="77777777" w:rsidR="00322B02" w:rsidRDefault="00322B02" w:rsidP="00BA4636">
            <w:pPr>
              <w:spacing w:line="240" w:lineRule="auto"/>
              <w:jc w:val="left"/>
              <w:rPr>
                <w:rFonts w:eastAsia="Times New Roman" w:cs="Times New Roman"/>
                <w:color w:val="auto"/>
                <w:sz w:val="20"/>
                <w:szCs w:val="20"/>
                <w:lang w:eastAsia="pl-PL"/>
              </w:rPr>
            </w:pPr>
            <w:r w:rsidRPr="0021759D">
              <w:rPr>
                <w:rFonts w:eastAsia="Times New Roman" w:cs="Times New Roman"/>
                <w:color w:val="auto"/>
                <w:sz w:val="20"/>
                <w:szCs w:val="20"/>
                <w:lang w:eastAsia="pl-PL"/>
              </w:rPr>
              <w:t>Znajduje się w budynku posiadaj</w:t>
            </w:r>
            <w:r>
              <w:rPr>
                <w:rFonts w:eastAsia="Times New Roman" w:cs="Times New Roman"/>
                <w:color w:val="auto"/>
                <w:sz w:val="20"/>
                <w:szCs w:val="20"/>
                <w:lang w:eastAsia="pl-PL"/>
              </w:rPr>
              <w:t xml:space="preserve">ącym bariery architektoniczne </w:t>
            </w:r>
            <w:r w:rsidRPr="0021759D">
              <w:rPr>
                <w:rFonts w:eastAsia="Times New Roman" w:cs="Times New Roman"/>
                <w:color w:val="auto"/>
                <w:sz w:val="20"/>
                <w:szCs w:val="20"/>
                <w:lang w:eastAsia="pl-PL"/>
              </w:rPr>
              <w:t xml:space="preserve">utrudniające dostęp </w:t>
            </w:r>
            <w:r>
              <w:rPr>
                <w:rFonts w:eastAsia="Times New Roman" w:cs="Times New Roman"/>
                <w:color w:val="auto"/>
                <w:sz w:val="20"/>
                <w:szCs w:val="20"/>
                <w:lang w:eastAsia="pl-PL"/>
              </w:rPr>
              <w:t xml:space="preserve">             </w:t>
            </w:r>
            <w:r w:rsidRPr="0021759D">
              <w:rPr>
                <w:rFonts w:eastAsia="Times New Roman" w:cs="Times New Roman"/>
                <w:color w:val="auto"/>
                <w:sz w:val="20"/>
                <w:szCs w:val="20"/>
                <w:lang w:eastAsia="pl-PL"/>
              </w:rPr>
              <w:t xml:space="preserve">do mieszkania        </w:t>
            </w:r>
          </w:p>
          <w:p w14:paraId="1D9338B9" w14:textId="77777777" w:rsidR="00322B02" w:rsidRPr="0021759D" w:rsidRDefault="00322B02" w:rsidP="00BA4636">
            <w:pPr>
              <w:spacing w:line="240" w:lineRule="auto"/>
              <w:jc w:val="left"/>
              <w:rPr>
                <w:rFonts w:eastAsia="Times New Roman" w:cs="Times New Roman"/>
                <w:color w:val="auto"/>
                <w:sz w:val="20"/>
                <w:szCs w:val="20"/>
                <w:lang w:eastAsia="pl-PL"/>
              </w:rPr>
            </w:pPr>
          </w:p>
        </w:tc>
        <w:tc>
          <w:tcPr>
            <w:tcW w:w="1329" w:type="dxa"/>
            <w:vAlign w:val="center"/>
            <w:hideMark/>
          </w:tcPr>
          <w:p w14:paraId="33F3D7CA"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16,9</w:t>
            </w:r>
          </w:p>
        </w:tc>
        <w:tc>
          <w:tcPr>
            <w:tcW w:w="1411" w:type="dxa"/>
            <w:vAlign w:val="center"/>
            <w:hideMark/>
          </w:tcPr>
          <w:p w14:paraId="2CAA3E45"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17,8</w:t>
            </w:r>
          </w:p>
        </w:tc>
        <w:tc>
          <w:tcPr>
            <w:tcW w:w="1329" w:type="dxa"/>
            <w:vAlign w:val="center"/>
            <w:hideMark/>
          </w:tcPr>
          <w:p w14:paraId="1A23A766"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19,4</w:t>
            </w:r>
          </w:p>
        </w:tc>
        <w:tc>
          <w:tcPr>
            <w:tcW w:w="1333" w:type="dxa"/>
            <w:vAlign w:val="center"/>
            <w:hideMark/>
          </w:tcPr>
          <w:p w14:paraId="64D9AEB9"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20,7</w:t>
            </w:r>
          </w:p>
        </w:tc>
        <w:tc>
          <w:tcPr>
            <w:tcW w:w="1334" w:type="dxa"/>
            <w:vAlign w:val="center"/>
            <w:hideMark/>
          </w:tcPr>
          <w:p w14:paraId="0E10D1AB" w14:textId="77777777" w:rsidR="00322B02" w:rsidRPr="0021759D" w:rsidRDefault="00322B02" w:rsidP="00BA463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21759D">
              <w:rPr>
                <w:rFonts w:cs="Times New Roman"/>
                <w:sz w:val="20"/>
                <w:szCs w:val="20"/>
              </w:rPr>
              <w:t>17,9</w:t>
            </w:r>
          </w:p>
        </w:tc>
      </w:tr>
    </w:tbl>
    <w:p w14:paraId="0B05D4BA" w14:textId="692DD002" w:rsidR="00322B02" w:rsidRPr="00392F2F" w:rsidRDefault="00322B02" w:rsidP="00322B02">
      <w:pPr>
        <w:spacing w:after="120"/>
        <w:rPr>
          <w:rFonts w:cs="Times New Roman"/>
          <w:b/>
          <w:bCs/>
          <w:spacing w:val="-10"/>
          <w:kern w:val="20"/>
          <w:sz w:val="22"/>
        </w:rPr>
      </w:pPr>
      <w:r w:rsidRPr="00392F2F">
        <w:rPr>
          <w:rFonts w:cs="Times New Roman"/>
          <w:b/>
          <w:bCs/>
          <w:spacing w:val="-10"/>
          <w:kern w:val="20"/>
          <w:sz w:val="22"/>
        </w:rPr>
        <w:t>Źródło: Badanie budżetów gospodarstw domowych w 2020 r., GUS</w:t>
      </w:r>
      <w:r w:rsidR="00392F2F">
        <w:rPr>
          <w:rFonts w:cs="Times New Roman"/>
          <w:b/>
          <w:bCs/>
          <w:spacing w:val="-10"/>
          <w:kern w:val="20"/>
          <w:sz w:val="22"/>
        </w:rPr>
        <w:t>.</w:t>
      </w:r>
    </w:p>
    <w:p w14:paraId="0A616C61" w14:textId="7C38E9C1" w:rsidR="00392F2F" w:rsidRDefault="00AB3FB0" w:rsidP="00392F2F">
      <w:pPr>
        <w:rPr>
          <w:rFonts w:cs="Times New Roman"/>
          <w:bCs/>
          <w:spacing w:val="-10"/>
          <w:kern w:val="20"/>
          <w:szCs w:val="24"/>
        </w:rPr>
      </w:pPr>
      <w:r w:rsidRPr="00AB3FB0">
        <w:rPr>
          <w:rFonts w:cs="Times New Roman"/>
          <w:bCs/>
          <w:spacing w:val="-10"/>
          <w:kern w:val="20"/>
          <w:szCs w:val="24"/>
        </w:rPr>
        <w:t>Stopa ubóstwa skrajnego została obliczona jako procent mieszkańców Polski będących członkami gospodarstw domowych, których wydatki były niższe od przyjętej granicy ubóstwa skrajnego. Została ona ustalona na podstawie minimum egzystencji obliczanego przez</w:t>
      </w:r>
      <w:r w:rsidR="00942717">
        <w:rPr>
          <w:rFonts w:cs="Times New Roman"/>
          <w:bCs/>
          <w:spacing w:val="-10"/>
          <w:kern w:val="20"/>
          <w:szCs w:val="24"/>
        </w:rPr>
        <w:t xml:space="preserve"> </w:t>
      </w:r>
      <w:r w:rsidR="00942717" w:rsidRPr="00942717">
        <w:rPr>
          <w:rFonts w:cs="Times New Roman"/>
          <w:bCs/>
          <w:spacing w:val="-10"/>
          <w:kern w:val="20"/>
          <w:szCs w:val="24"/>
        </w:rPr>
        <w:t>Instytut Pracy i Spraw Socjalnych</w:t>
      </w:r>
      <w:r w:rsidRPr="00AB3FB0">
        <w:rPr>
          <w:rFonts w:cs="Times New Roman"/>
          <w:bCs/>
          <w:spacing w:val="-10"/>
          <w:kern w:val="20"/>
          <w:szCs w:val="24"/>
        </w:rPr>
        <w:t xml:space="preserve"> </w:t>
      </w:r>
      <w:proofErr w:type="spellStart"/>
      <w:r w:rsidRPr="00AB3FB0">
        <w:rPr>
          <w:rFonts w:cs="Times New Roman"/>
          <w:bCs/>
          <w:spacing w:val="-10"/>
          <w:kern w:val="20"/>
          <w:szCs w:val="24"/>
        </w:rPr>
        <w:t>I</w:t>
      </w:r>
      <w:r w:rsidR="003E645C">
        <w:rPr>
          <w:rFonts w:cs="Times New Roman"/>
          <w:bCs/>
          <w:spacing w:val="-10"/>
          <w:kern w:val="20"/>
          <w:szCs w:val="24"/>
        </w:rPr>
        <w:t>PiSS</w:t>
      </w:r>
      <w:proofErr w:type="spellEnd"/>
      <w:r>
        <w:rPr>
          <w:rFonts w:cs="Times New Roman"/>
          <w:bCs/>
          <w:spacing w:val="-10"/>
          <w:kern w:val="20"/>
          <w:szCs w:val="24"/>
        </w:rPr>
        <w:t xml:space="preserve">. </w:t>
      </w:r>
      <w:r w:rsidRPr="00AB3FB0">
        <w:rPr>
          <w:rFonts w:cs="Times New Roman"/>
          <w:bCs/>
          <w:spacing w:val="-10"/>
          <w:kern w:val="20"/>
          <w:szCs w:val="24"/>
        </w:rPr>
        <w:t xml:space="preserve">Wyznacza ono poziom zaspokojenia potrzeb, poniżej którego występuje biologiczne zagrożenie życia oraz rozwoju psychofizycznego człowieka. Zaspakajanie potrzeb na tym poziomie i zakresie rzeczowym umożliwia jedynie przeżycie. </w:t>
      </w:r>
    </w:p>
    <w:p w14:paraId="0DDC3CC9" w14:textId="77777777" w:rsidR="00392F2F" w:rsidRPr="00AB3FB0" w:rsidRDefault="00392F2F" w:rsidP="00392F2F">
      <w:pPr>
        <w:rPr>
          <w:rFonts w:cs="Times New Roman"/>
          <w:bCs/>
          <w:spacing w:val="-10"/>
          <w:kern w:val="20"/>
          <w:szCs w:val="24"/>
        </w:rPr>
      </w:pPr>
    </w:p>
    <w:p w14:paraId="1EAD04EE" w14:textId="421A818A" w:rsidR="00AB3FB0" w:rsidRPr="00AB3FB0" w:rsidRDefault="00AB3FB0" w:rsidP="00AB3FB0">
      <w:pPr>
        <w:keepNext/>
        <w:spacing w:line="240" w:lineRule="auto"/>
        <w:rPr>
          <w:rFonts w:cs="Times New Roman"/>
          <w:b/>
          <w:iCs/>
          <w:szCs w:val="18"/>
        </w:rPr>
      </w:pPr>
      <w:r w:rsidRPr="00AB3FB0">
        <w:rPr>
          <w:rFonts w:cs="Times New Roman"/>
          <w:b/>
          <w:iCs/>
          <w:szCs w:val="18"/>
        </w:rPr>
        <w:t xml:space="preserve">Tabela </w:t>
      </w:r>
      <w:r w:rsidRPr="003E645C">
        <w:rPr>
          <w:rFonts w:cs="Times New Roman"/>
          <w:b/>
          <w:iCs/>
          <w:szCs w:val="18"/>
        </w:rPr>
        <w:t>10</w:t>
      </w:r>
      <w:r w:rsidR="00EE73AF">
        <w:rPr>
          <w:rFonts w:cs="Times New Roman"/>
          <w:b/>
          <w:iCs/>
          <w:szCs w:val="18"/>
        </w:rPr>
        <w:t>.</w:t>
      </w:r>
      <w:r w:rsidRPr="003E645C">
        <w:rPr>
          <w:rFonts w:cs="Times New Roman"/>
          <w:b/>
          <w:iCs/>
          <w:szCs w:val="18"/>
        </w:rPr>
        <w:t xml:space="preserve"> </w:t>
      </w:r>
      <w:r w:rsidRPr="00AB3FB0">
        <w:rPr>
          <w:rFonts w:cs="Times New Roman"/>
          <w:b/>
          <w:iCs/>
          <w:szCs w:val="18"/>
        </w:rPr>
        <w:t>Zasięg ubóstwa w gospodarstwach domowych</w:t>
      </w:r>
      <w:r w:rsidR="00F331C6">
        <w:rPr>
          <w:rFonts w:cs="Times New Roman"/>
          <w:b/>
          <w:iCs/>
          <w:szCs w:val="18"/>
        </w:rPr>
        <w:t xml:space="preserve"> w 2020 r.</w:t>
      </w:r>
    </w:p>
    <w:tbl>
      <w:tblPr>
        <w:tblStyle w:val="Tabelasiatki4akcent21"/>
        <w:tblW w:w="9351" w:type="dxa"/>
        <w:tblLook w:val="04A0" w:firstRow="1" w:lastRow="0" w:firstColumn="1" w:lastColumn="0" w:noHBand="0" w:noVBand="1"/>
      </w:tblPr>
      <w:tblGrid>
        <w:gridCol w:w="2936"/>
        <w:gridCol w:w="2180"/>
        <w:gridCol w:w="1546"/>
        <w:gridCol w:w="1418"/>
        <w:gridCol w:w="1271"/>
      </w:tblGrid>
      <w:tr w:rsidR="00AB3FB0" w:rsidRPr="00AB3FB0" w14:paraId="2538B093" w14:textId="77777777" w:rsidTr="003E645C">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936" w:type="dxa"/>
            <w:vMerge w:val="restart"/>
            <w:hideMark/>
          </w:tcPr>
          <w:p w14:paraId="6EA2F381" w14:textId="77777777" w:rsidR="00AB3FB0" w:rsidRPr="00AB3FB0" w:rsidRDefault="00AB3FB0" w:rsidP="00AB3FB0">
            <w:pPr>
              <w:spacing w:line="240" w:lineRule="auto"/>
              <w:jc w:val="center"/>
              <w:rPr>
                <w:rFonts w:eastAsia="Times New Roman" w:cs="Times New Roman"/>
                <w:color w:val="auto"/>
                <w:sz w:val="20"/>
                <w:szCs w:val="20"/>
                <w:lang w:eastAsia="pl-PL"/>
              </w:rPr>
            </w:pPr>
            <w:r w:rsidRPr="00AB3FB0">
              <w:rPr>
                <w:rFonts w:eastAsia="Times New Roman" w:cs="Times New Roman"/>
                <w:color w:val="auto"/>
                <w:sz w:val="20"/>
                <w:szCs w:val="20"/>
                <w:lang w:eastAsia="pl-PL"/>
              </w:rPr>
              <w:t>Wyszczególnienie</w:t>
            </w:r>
          </w:p>
        </w:tc>
        <w:tc>
          <w:tcPr>
            <w:tcW w:w="2180" w:type="dxa"/>
            <w:noWrap/>
            <w:hideMark/>
          </w:tcPr>
          <w:p w14:paraId="7C647BEB" w14:textId="77777777" w:rsidR="00AB3FB0" w:rsidRPr="00AB3FB0" w:rsidRDefault="00AB3FB0" w:rsidP="00AB3FB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AB3FB0">
              <w:rPr>
                <w:rFonts w:eastAsia="Times New Roman" w:cs="Times New Roman"/>
                <w:color w:val="auto"/>
                <w:sz w:val="20"/>
                <w:szCs w:val="20"/>
                <w:lang w:eastAsia="pl-PL"/>
              </w:rPr>
              <w:t>Ogółem</w:t>
            </w:r>
          </w:p>
        </w:tc>
        <w:tc>
          <w:tcPr>
            <w:tcW w:w="1546" w:type="dxa"/>
            <w:noWrap/>
            <w:hideMark/>
          </w:tcPr>
          <w:p w14:paraId="35F2E17B" w14:textId="77777777" w:rsidR="00AB3FB0" w:rsidRPr="00AB3FB0" w:rsidRDefault="00AB3FB0" w:rsidP="00AB3FB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AB3FB0">
              <w:rPr>
                <w:rFonts w:eastAsia="Times New Roman" w:cs="Times New Roman"/>
                <w:color w:val="auto"/>
                <w:sz w:val="20"/>
                <w:szCs w:val="20"/>
                <w:lang w:eastAsia="pl-PL"/>
              </w:rPr>
              <w:t>Osoby w wieku 0-17</w:t>
            </w:r>
          </w:p>
        </w:tc>
        <w:tc>
          <w:tcPr>
            <w:tcW w:w="1418" w:type="dxa"/>
            <w:hideMark/>
          </w:tcPr>
          <w:p w14:paraId="41C0EFF2" w14:textId="77777777" w:rsidR="00AB3FB0" w:rsidRPr="00AB3FB0" w:rsidRDefault="00AB3FB0" w:rsidP="00AB3FB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AB3FB0">
              <w:rPr>
                <w:rFonts w:eastAsia="Times New Roman" w:cs="Times New Roman"/>
                <w:color w:val="auto"/>
                <w:sz w:val="20"/>
                <w:szCs w:val="20"/>
                <w:lang w:eastAsia="pl-PL"/>
              </w:rPr>
              <w:t>Osoby w wieku 18-64</w:t>
            </w:r>
          </w:p>
        </w:tc>
        <w:tc>
          <w:tcPr>
            <w:tcW w:w="1271" w:type="dxa"/>
            <w:hideMark/>
          </w:tcPr>
          <w:p w14:paraId="21C1DC99" w14:textId="77777777" w:rsidR="00AB3FB0" w:rsidRPr="00AB3FB0" w:rsidRDefault="00AB3FB0" w:rsidP="00AB3FB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AB3FB0">
              <w:rPr>
                <w:rFonts w:eastAsia="Times New Roman" w:cs="Times New Roman"/>
                <w:color w:val="auto"/>
                <w:sz w:val="20"/>
                <w:szCs w:val="20"/>
                <w:lang w:eastAsia="pl-PL"/>
              </w:rPr>
              <w:t>Osoby w wieku 65 lat i więcej</w:t>
            </w:r>
          </w:p>
        </w:tc>
      </w:tr>
      <w:tr w:rsidR="00AB3FB0" w:rsidRPr="00AB3FB0" w14:paraId="51253501" w14:textId="77777777" w:rsidTr="003E645C">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936" w:type="dxa"/>
            <w:vMerge/>
            <w:hideMark/>
          </w:tcPr>
          <w:p w14:paraId="0ADACCD3" w14:textId="77777777" w:rsidR="00AB3FB0" w:rsidRPr="00AB3FB0" w:rsidRDefault="00AB3FB0" w:rsidP="00AB3FB0">
            <w:pPr>
              <w:spacing w:line="240" w:lineRule="auto"/>
              <w:jc w:val="center"/>
              <w:rPr>
                <w:rFonts w:eastAsia="Times New Roman" w:cs="Times New Roman"/>
                <w:sz w:val="20"/>
                <w:szCs w:val="20"/>
                <w:lang w:eastAsia="pl-PL"/>
              </w:rPr>
            </w:pPr>
          </w:p>
        </w:tc>
        <w:tc>
          <w:tcPr>
            <w:tcW w:w="6415" w:type="dxa"/>
            <w:gridSpan w:val="4"/>
            <w:noWrap/>
            <w:hideMark/>
          </w:tcPr>
          <w:p w14:paraId="06F070D4" w14:textId="77777777" w:rsidR="00AB3FB0" w:rsidRPr="00AB3FB0" w:rsidRDefault="00AB3FB0" w:rsidP="00AB3FB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AB3FB0">
              <w:rPr>
                <w:rFonts w:eastAsia="Times New Roman" w:cs="Times New Roman"/>
                <w:b/>
                <w:sz w:val="20"/>
                <w:szCs w:val="20"/>
                <w:lang w:eastAsia="pl-PL"/>
              </w:rPr>
              <w:t>% osób</w:t>
            </w:r>
          </w:p>
        </w:tc>
      </w:tr>
      <w:tr w:rsidR="00AB3FB0" w:rsidRPr="00AB3FB0" w14:paraId="0559B659" w14:textId="77777777" w:rsidTr="003E645C">
        <w:trPr>
          <w:trHeight w:val="300"/>
        </w:trPr>
        <w:tc>
          <w:tcPr>
            <w:cnfStyle w:val="001000000000" w:firstRow="0" w:lastRow="0" w:firstColumn="1" w:lastColumn="0" w:oddVBand="0" w:evenVBand="0" w:oddHBand="0" w:evenHBand="0" w:firstRowFirstColumn="0" w:firstRowLastColumn="0" w:lastRowFirstColumn="0" w:lastRowLastColumn="0"/>
            <w:tcW w:w="2936" w:type="dxa"/>
            <w:hideMark/>
          </w:tcPr>
          <w:p w14:paraId="1B6F45DA" w14:textId="77777777" w:rsidR="00AB3FB0" w:rsidRPr="00AB3FB0" w:rsidRDefault="00AB3FB0" w:rsidP="00AB3FB0">
            <w:pPr>
              <w:spacing w:line="240" w:lineRule="auto"/>
              <w:rPr>
                <w:rFonts w:eastAsia="Times New Roman" w:cs="Times New Roman"/>
                <w:sz w:val="20"/>
                <w:szCs w:val="20"/>
                <w:lang w:eastAsia="pl-PL"/>
              </w:rPr>
            </w:pPr>
            <w:r w:rsidRPr="00AB3FB0">
              <w:rPr>
                <w:rFonts w:eastAsia="Times New Roman" w:cs="Times New Roman"/>
                <w:sz w:val="20"/>
                <w:szCs w:val="20"/>
                <w:lang w:eastAsia="pl-PL"/>
              </w:rPr>
              <w:t>Stopa ubóstwa skrajnego</w:t>
            </w:r>
          </w:p>
        </w:tc>
        <w:tc>
          <w:tcPr>
            <w:tcW w:w="2180" w:type="dxa"/>
            <w:noWrap/>
            <w:hideMark/>
          </w:tcPr>
          <w:p w14:paraId="16D7718C" w14:textId="05B1099E" w:rsidR="00AB3FB0" w:rsidRPr="00AB3FB0" w:rsidRDefault="00F331C6" w:rsidP="00AB3FB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Pr>
                <w:rFonts w:eastAsia="Times New Roman" w:cs="Times New Roman"/>
                <w:sz w:val="20"/>
                <w:szCs w:val="20"/>
                <w:lang w:eastAsia="pl-PL"/>
              </w:rPr>
              <w:t>5</w:t>
            </w:r>
            <w:r w:rsidR="00AB3FB0" w:rsidRPr="00AB3FB0">
              <w:rPr>
                <w:rFonts w:eastAsia="Times New Roman" w:cs="Times New Roman"/>
                <w:sz w:val="20"/>
                <w:szCs w:val="20"/>
                <w:lang w:eastAsia="pl-PL"/>
              </w:rPr>
              <w:t>,2</w:t>
            </w:r>
          </w:p>
        </w:tc>
        <w:tc>
          <w:tcPr>
            <w:tcW w:w="1546" w:type="dxa"/>
            <w:noWrap/>
            <w:hideMark/>
          </w:tcPr>
          <w:p w14:paraId="622BC7EC" w14:textId="1297C770" w:rsidR="00AB3FB0" w:rsidRPr="00AB3FB0" w:rsidRDefault="00F331C6" w:rsidP="00AB3FB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Pr>
                <w:rFonts w:eastAsia="Times New Roman" w:cs="Times New Roman"/>
                <w:sz w:val="20"/>
                <w:szCs w:val="20"/>
                <w:lang w:eastAsia="pl-PL"/>
              </w:rPr>
              <w:t>5,9</w:t>
            </w:r>
          </w:p>
        </w:tc>
        <w:tc>
          <w:tcPr>
            <w:tcW w:w="1418" w:type="dxa"/>
            <w:hideMark/>
          </w:tcPr>
          <w:p w14:paraId="44A18E30" w14:textId="648D6861" w:rsidR="00AB3FB0" w:rsidRPr="00AB3FB0" w:rsidRDefault="00F331C6" w:rsidP="00AB3FB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Pr>
                <w:rFonts w:eastAsia="Times New Roman" w:cs="Times New Roman"/>
                <w:sz w:val="20"/>
                <w:szCs w:val="20"/>
                <w:lang w:eastAsia="pl-PL"/>
              </w:rPr>
              <w:t>5</w:t>
            </w:r>
            <w:r w:rsidR="00FC14EC">
              <w:rPr>
                <w:rFonts w:eastAsia="Times New Roman" w:cs="Times New Roman"/>
                <w:sz w:val="20"/>
                <w:szCs w:val="20"/>
                <w:lang w:eastAsia="pl-PL"/>
              </w:rPr>
              <w:t>,1</w:t>
            </w:r>
          </w:p>
        </w:tc>
        <w:tc>
          <w:tcPr>
            <w:tcW w:w="1271" w:type="dxa"/>
            <w:hideMark/>
          </w:tcPr>
          <w:p w14:paraId="04D89F08" w14:textId="7961B9DC" w:rsidR="00AB3FB0" w:rsidRPr="00AB3FB0" w:rsidRDefault="00F331C6" w:rsidP="00AB3FB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Pr>
                <w:rFonts w:eastAsia="Times New Roman" w:cs="Times New Roman"/>
                <w:sz w:val="20"/>
                <w:szCs w:val="20"/>
                <w:lang w:eastAsia="pl-PL"/>
              </w:rPr>
              <w:t>4,4</w:t>
            </w:r>
          </w:p>
        </w:tc>
      </w:tr>
    </w:tbl>
    <w:p w14:paraId="0AFB73E8" w14:textId="10EB144A" w:rsidR="00AB3FB0" w:rsidRPr="00392F2F" w:rsidRDefault="00AB3FB0" w:rsidP="00392F2F">
      <w:pPr>
        <w:rPr>
          <w:rFonts w:cs="Times New Roman"/>
          <w:b/>
          <w:bCs/>
          <w:spacing w:val="-10"/>
          <w:kern w:val="20"/>
          <w:sz w:val="22"/>
        </w:rPr>
      </w:pPr>
      <w:r w:rsidRPr="00392F2F">
        <w:rPr>
          <w:rFonts w:cs="Times New Roman"/>
          <w:b/>
          <w:bCs/>
          <w:spacing w:val="-10"/>
          <w:kern w:val="20"/>
          <w:sz w:val="22"/>
        </w:rPr>
        <w:t>Źródło: Dane GUS.</w:t>
      </w:r>
    </w:p>
    <w:p w14:paraId="199F908B" w14:textId="77777777" w:rsidR="003E645C" w:rsidRPr="003E645C" w:rsidRDefault="003E645C" w:rsidP="003E645C">
      <w:pPr>
        <w:pStyle w:val="Nagwek3"/>
      </w:pPr>
      <w:bookmarkStart w:id="15" w:name="_Toc77513881"/>
      <w:bookmarkStart w:id="16" w:name="_Toc80523041"/>
      <w:r w:rsidRPr="003E645C">
        <w:lastRenderedPageBreak/>
        <w:t>Usługi opiekuńcze i specjalistyczne usługi opiekuńcze w miejscu zamieszkania.</w:t>
      </w:r>
      <w:bookmarkEnd w:id="15"/>
      <w:bookmarkEnd w:id="16"/>
    </w:p>
    <w:p w14:paraId="1978F38C" w14:textId="58228B1D" w:rsidR="003E645C" w:rsidRPr="00392F2F" w:rsidRDefault="003E645C" w:rsidP="00392F2F">
      <w:pPr>
        <w:contextualSpacing/>
        <w:rPr>
          <w:rFonts w:cs="Times New Roman"/>
          <w:bCs/>
          <w:spacing w:val="-10"/>
          <w:kern w:val="20"/>
          <w:szCs w:val="24"/>
        </w:rPr>
      </w:pPr>
      <w:r w:rsidRPr="00392F2F">
        <w:rPr>
          <w:rFonts w:cs="Times New Roman"/>
          <w:bCs/>
          <w:spacing w:val="-10"/>
          <w:kern w:val="20"/>
          <w:szCs w:val="24"/>
        </w:rPr>
        <w:t xml:space="preserve">Usługi opiekuńcze i specjalistyczne usługi opiekuńcze jest to  forma wsparcia realizowana w oparciu o przepisy ustawy z dnia 12 marca 2004 r. o pomocy społecznej </w:t>
      </w:r>
      <w:r w:rsidR="00EE280C">
        <w:rPr>
          <w:rFonts w:cs="Times New Roman"/>
          <w:bCs/>
          <w:spacing w:val="-10"/>
          <w:kern w:val="20"/>
          <w:szCs w:val="24"/>
        </w:rPr>
        <w:t>(Dz. U. z</w:t>
      </w:r>
      <w:r w:rsidR="006952C6">
        <w:rPr>
          <w:rFonts w:cs="Times New Roman"/>
          <w:bCs/>
          <w:spacing w:val="-10"/>
          <w:kern w:val="20"/>
          <w:szCs w:val="24"/>
        </w:rPr>
        <w:t xml:space="preserve"> </w:t>
      </w:r>
      <w:r w:rsidR="00EE280C">
        <w:rPr>
          <w:rFonts w:cs="Times New Roman"/>
          <w:bCs/>
          <w:spacing w:val="-10"/>
          <w:kern w:val="20"/>
          <w:szCs w:val="24"/>
        </w:rPr>
        <w:t xml:space="preserve"> 2020 r. poz. 1876, z </w:t>
      </w:r>
      <w:proofErr w:type="spellStart"/>
      <w:r w:rsidR="00EE280C">
        <w:rPr>
          <w:rFonts w:cs="Times New Roman"/>
          <w:bCs/>
          <w:spacing w:val="-10"/>
          <w:kern w:val="20"/>
          <w:szCs w:val="24"/>
        </w:rPr>
        <w:t>późn</w:t>
      </w:r>
      <w:proofErr w:type="spellEnd"/>
      <w:r w:rsidR="00EE280C">
        <w:rPr>
          <w:rFonts w:cs="Times New Roman"/>
          <w:bCs/>
          <w:spacing w:val="-10"/>
          <w:kern w:val="20"/>
          <w:szCs w:val="24"/>
        </w:rPr>
        <w:t xml:space="preserve">. zm.) </w:t>
      </w:r>
      <w:r w:rsidRPr="00392F2F">
        <w:rPr>
          <w:rFonts w:cs="Times New Roman"/>
          <w:bCs/>
          <w:spacing w:val="-10"/>
          <w:kern w:val="20"/>
          <w:szCs w:val="24"/>
        </w:rPr>
        <w:t>oraz rozporządzenia Ministra Polityki Społecznej z dnia 22 września 2005 r. w sprawie specjalistycznych usług opiekuńczych (Dz. U. poz. 1598, z</w:t>
      </w:r>
      <w:r w:rsidR="00B16D30">
        <w:rPr>
          <w:rFonts w:cs="Times New Roman"/>
          <w:bCs/>
          <w:spacing w:val="-10"/>
          <w:kern w:val="20"/>
          <w:szCs w:val="24"/>
        </w:rPr>
        <w:t xml:space="preserve"> </w:t>
      </w:r>
      <w:proofErr w:type="spellStart"/>
      <w:r w:rsidR="00B16D30">
        <w:rPr>
          <w:rFonts w:cs="Times New Roman"/>
          <w:bCs/>
          <w:spacing w:val="-10"/>
          <w:kern w:val="20"/>
          <w:szCs w:val="24"/>
        </w:rPr>
        <w:t>późn</w:t>
      </w:r>
      <w:proofErr w:type="spellEnd"/>
      <w:r w:rsidR="00B16D30">
        <w:rPr>
          <w:rFonts w:cs="Times New Roman"/>
          <w:bCs/>
          <w:spacing w:val="-10"/>
          <w:kern w:val="20"/>
          <w:szCs w:val="24"/>
        </w:rPr>
        <w:t>.</w:t>
      </w:r>
      <w:r w:rsidRPr="00392F2F">
        <w:rPr>
          <w:rFonts w:cs="Times New Roman"/>
          <w:bCs/>
          <w:spacing w:val="-10"/>
          <w:kern w:val="20"/>
          <w:szCs w:val="24"/>
        </w:rPr>
        <w:t xml:space="preserve"> zm.) oraz w ramach </w:t>
      </w:r>
      <w:r w:rsidR="007F5626">
        <w:rPr>
          <w:rFonts w:cs="Times New Roman"/>
          <w:bCs/>
          <w:spacing w:val="-10"/>
          <w:kern w:val="20"/>
          <w:szCs w:val="24"/>
        </w:rPr>
        <w:t xml:space="preserve">rządowego </w:t>
      </w:r>
      <w:r w:rsidRPr="00392F2F">
        <w:rPr>
          <w:rFonts w:cs="Times New Roman"/>
          <w:bCs/>
          <w:spacing w:val="-10"/>
          <w:kern w:val="20"/>
          <w:szCs w:val="24"/>
        </w:rPr>
        <w:t>Programu „ Opieka 75+” i przysługuje:</w:t>
      </w:r>
    </w:p>
    <w:p w14:paraId="50240D89" w14:textId="77777777" w:rsidR="003E645C" w:rsidRPr="00392F2F" w:rsidRDefault="003E645C" w:rsidP="00FE70E3">
      <w:pPr>
        <w:pStyle w:val="Akapitzlist"/>
        <w:numPr>
          <w:ilvl w:val="0"/>
          <w:numId w:val="64"/>
        </w:numPr>
        <w:rPr>
          <w:rFonts w:cs="Times New Roman"/>
          <w:bCs/>
          <w:spacing w:val="-10"/>
          <w:kern w:val="20"/>
          <w:szCs w:val="24"/>
        </w:rPr>
      </w:pPr>
      <w:r w:rsidRPr="00392F2F">
        <w:rPr>
          <w:rFonts w:cs="Times New Roman"/>
          <w:bCs/>
          <w:spacing w:val="-10"/>
          <w:kern w:val="20"/>
          <w:szCs w:val="24"/>
        </w:rPr>
        <w:t>osobie samotnej, która z powodu wieku, choroby lub niepełnosprawności wymaga pomocy innych osób,</w:t>
      </w:r>
    </w:p>
    <w:p w14:paraId="12282C25" w14:textId="77777777" w:rsidR="003E645C" w:rsidRPr="00392F2F" w:rsidRDefault="003E645C" w:rsidP="00FE70E3">
      <w:pPr>
        <w:pStyle w:val="Akapitzlist"/>
        <w:numPr>
          <w:ilvl w:val="0"/>
          <w:numId w:val="64"/>
        </w:numPr>
        <w:rPr>
          <w:rFonts w:cs="Times New Roman"/>
          <w:bCs/>
          <w:spacing w:val="-10"/>
          <w:kern w:val="20"/>
          <w:szCs w:val="24"/>
        </w:rPr>
      </w:pPr>
      <w:r w:rsidRPr="00392F2F">
        <w:rPr>
          <w:rFonts w:cs="Times New Roman"/>
          <w:bCs/>
          <w:spacing w:val="-10"/>
          <w:kern w:val="20"/>
          <w:szCs w:val="24"/>
        </w:rPr>
        <w:t>osobie w rodzinie, która wymaga pomocy innych osób, jednak rodzina, a także wspólnie nie zamieszkujący małżonek, wstępni i zstępni nie są w stanie takiej pomocy zapewnić.</w:t>
      </w:r>
    </w:p>
    <w:p w14:paraId="2A324615" w14:textId="77777777" w:rsidR="003E645C" w:rsidRPr="00392F2F" w:rsidRDefault="003E645C" w:rsidP="00392F2F">
      <w:pPr>
        <w:pStyle w:val="Akapitzlist"/>
        <w:ind w:left="360"/>
        <w:rPr>
          <w:rFonts w:cs="Times New Roman"/>
          <w:bCs/>
          <w:spacing w:val="-10"/>
          <w:kern w:val="20"/>
          <w:szCs w:val="24"/>
        </w:rPr>
      </w:pPr>
    </w:p>
    <w:p w14:paraId="65B767C5" w14:textId="77777777" w:rsidR="003E645C" w:rsidRPr="00392F2F" w:rsidRDefault="003E645C" w:rsidP="00392F2F">
      <w:pPr>
        <w:contextualSpacing/>
        <w:rPr>
          <w:rFonts w:cs="Times New Roman"/>
          <w:bCs/>
          <w:spacing w:val="-10"/>
          <w:kern w:val="20"/>
          <w:szCs w:val="24"/>
        </w:rPr>
      </w:pPr>
      <w:r w:rsidRPr="00392F2F">
        <w:rPr>
          <w:rFonts w:cs="Times New Roman"/>
          <w:b/>
          <w:bCs/>
          <w:spacing w:val="-10"/>
          <w:kern w:val="20"/>
          <w:szCs w:val="24"/>
        </w:rPr>
        <w:t>Usługi opiekuńcze</w:t>
      </w:r>
      <w:r w:rsidRPr="00392F2F">
        <w:rPr>
          <w:rFonts w:cs="Times New Roman"/>
          <w:bCs/>
          <w:spacing w:val="-10"/>
          <w:kern w:val="20"/>
          <w:szCs w:val="24"/>
        </w:rPr>
        <w:t xml:space="preserve"> obejmują: zaspokajanie codziennych potrzeb życiowych (sprzątanie, pranie, zakupy, sporządzanie posiłków), opiekę higieniczną, zaleconą przez lekarza pielęgnację, zapewnianie kontaktów z otoczeniem. </w:t>
      </w:r>
    </w:p>
    <w:p w14:paraId="4814F018" w14:textId="77777777" w:rsidR="003E645C" w:rsidRPr="00392F2F" w:rsidRDefault="003E645C" w:rsidP="00392F2F">
      <w:pPr>
        <w:contextualSpacing/>
        <w:rPr>
          <w:rFonts w:cs="Times New Roman"/>
          <w:bCs/>
          <w:spacing w:val="-10"/>
          <w:kern w:val="20"/>
          <w:szCs w:val="24"/>
        </w:rPr>
      </w:pPr>
    </w:p>
    <w:p w14:paraId="664BA866" w14:textId="77777777" w:rsidR="003E645C" w:rsidRPr="00392F2F" w:rsidRDefault="003E645C" w:rsidP="00392F2F">
      <w:pPr>
        <w:contextualSpacing/>
        <w:rPr>
          <w:rFonts w:cs="Times New Roman"/>
          <w:bCs/>
          <w:spacing w:val="-10"/>
          <w:kern w:val="20"/>
          <w:szCs w:val="24"/>
        </w:rPr>
      </w:pPr>
      <w:r w:rsidRPr="00392F2F">
        <w:rPr>
          <w:rFonts w:cs="Times New Roman"/>
          <w:b/>
          <w:bCs/>
          <w:spacing w:val="-10"/>
          <w:kern w:val="20"/>
          <w:szCs w:val="24"/>
        </w:rPr>
        <w:t>Specjalistyczne usługi opiekuńcze</w:t>
      </w:r>
      <w:r w:rsidRPr="00392F2F">
        <w:rPr>
          <w:rFonts w:cs="Times New Roman"/>
          <w:bCs/>
          <w:spacing w:val="-10"/>
          <w:kern w:val="20"/>
          <w:szCs w:val="24"/>
        </w:rPr>
        <w:t xml:space="preserve"> są usługami dostosowanymi do szczególnych potrzeb wynikających z rodzaju schorzenia lub niepełnosprawności, które są świadczone przez osoby ze specjalistycznym przygotowaniem zawodowym: pracowników socjalnych, psychologów, pedagogów, logopedów, terapeutów zajęciowych, pielęgniarki, asystentów osoby niepełnosprawnej, opiekunki środowiskowe, specjalistów w zakresie rehabilitacji medycznej czy fizjoterapeutów. Są zadaniem własnym gminy. Specjalistyczne usługi opiekuńcze dla osób z zaburzeniami psychicznymi są natomiast zadaniem zleconym gminie, finansowanym z budżetu państwa.</w:t>
      </w:r>
    </w:p>
    <w:p w14:paraId="7F884F88" w14:textId="77777777" w:rsidR="003E645C" w:rsidRPr="003E645C" w:rsidRDefault="003E645C" w:rsidP="00392F2F">
      <w:pPr>
        <w:contextualSpacing/>
        <w:rPr>
          <w:rFonts w:cs="Times New Roman"/>
          <w:bCs/>
          <w:spacing w:val="-10"/>
          <w:kern w:val="20"/>
          <w:szCs w:val="24"/>
        </w:rPr>
      </w:pPr>
    </w:p>
    <w:p w14:paraId="2B6005A0" w14:textId="77777777" w:rsidR="003E645C" w:rsidRDefault="003E645C" w:rsidP="00392F2F">
      <w:pPr>
        <w:contextualSpacing/>
        <w:rPr>
          <w:rFonts w:cs="Times New Roman"/>
          <w:bCs/>
          <w:spacing w:val="-10"/>
          <w:kern w:val="20"/>
          <w:szCs w:val="24"/>
        </w:rPr>
      </w:pPr>
      <w:r w:rsidRPr="003E645C">
        <w:rPr>
          <w:rFonts w:cs="Times New Roman"/>
          <w:bCs/>
          <w:spacing w:val="-10"/>
          <w:kern w:val="20"/>
          <w:szCs w:val="24"/>
        </w:rPr>
        <w:t>Specjalistyczne usługi opiekuńcze obejmują uczenie i rozwija</w:t>
      </w:r>
      <w:r>
        <w:rPr>
          <w:rFonts w:cs="Times New Roman"/>
          <w:bCs/>
          <w:spacing w:val="-10"/>
          <w:kern w:val="20"/>
          <w:szCs w:val="24"/>
        </w:rPr>
        <w:t>nie umiejętności niezbędnych do </w:t>
      </w:r>
      <w:r w:rsidRPr="003E645C">
        <w:rPr>
          <w:rFonts w:cs="Times New Roman"/>
          <w:bCs/>
          <w:spacing w:val="-10"/>
          <w:kern w:val="20"/>
          <w:szCs w:val="24"/>
        </w:rPr>
        <w:t>sam</w:t>
      </w:r>
      <w:r>
        <w:rPr>
          <w:rFonts w:cs="Times New Roman"/>
          <w:bCs/>
          <w:spacing w:val="-10"/>
          <w:kern w:val="20"/>
          <w:szCs w:val="24"/>
        </w:rPr>
        <w:t xml:space="preserve">odzielnego życia, w tym m.in.: </w:t>
      </w:r>
    </w:p>
    <w:p w14:paraId="1DC49049" w14:textId="77777777" w:rsidR="003E645C" w:rsidRDefault="003E645C" w:rsidP="00FE70E3">
      <w:pPr>
        <w:pStyle w:val="Akapitzlist"/>
        <w:numPr>
          <w:ilvl w:val="0"/>
          <w:numId w:val="65"/>
        </w:numPr>
        <w:rPr>
          <w:rFonts w:cs="Times New Roman"/>
          <w:bCs/>
          <w:spacing w:val="-10"/>
          <w:kern w:val="20"/>
          <w:szCs w:val="24"/>
        </w:rPr>
      </w:pPr>
      <w:r w:rsidRPr="003E645C">
        <w:rPr>
          <w:rFonts w:cs="Times New Roman"/>
          <w:bCs/>
          <w:spacing w:val="-10"/>
          <w:kern w:val="20"/>
          <w:szCs w:val="24"/>
        </w:rPr>
        <w:t>kształtowanie umiejętności zaspokajania podstawowych potrzeb życiowych i umiejętności społecznego funkcjonowania,</w:t>
      </w:r>
    </w:p>
    <w:p w14:paraId="18E00D19" w14:textId="77777777" w:rsidR="003E645C" w:rsidRDefault="003E645C" w:rsidP="00FE70E3">
      <w:pPr>
        <w:pStyle w:val="Akapitzlist"/>
        <w:numPr>
          <w:ilvl w:val="0"/>
          <w:numId w:val="65"/>
        </w:numPr>
        <w:rPr>
          <w:rFonts w:cs="Times New Roman"/>
          <w:bCs/>
          <w:spacing w:val="-10"/>
          <w:kern w:val="20"/>
          <w:szCs w:val="24"/>
        </w:rPr>
      </w:pPr>
      <w:r w:rsidRPr="003E645C">
        <w:rPr>
          <w:rFonts w:cs="Times New Roman"/>
          <w:bCs/>
          <w:spacing w:val="-10"/>
          <w:kern w:val="20"/>
          <w:szCs w:val="24"/>
        </w:rPr>
        <w:t>pomoc w załatwianiu spraw urzędowych,</w:t>
      </w:r>
    </w:p>
    <w:p w14:paraId="666343FB" w14:textId="77777777" w:rsidR="003E645C" w:rsidRDefault="003E645C" w:rsidP="00FE70E3">
      <w:pPr>
        <w:pStyle w:val="Akapitzlist"/>
        <w:numPr>
          <w:ilvl w:val="0"/>
          <w:numId w:val="65"/>
        </w:numPr>
        <w:rPr>
          <w:rFonts w:cs="Times New Roman"/>
          <w:bCs/>
          <w:spacing w:val="-10"/>
          <w:kern w:val="20"/>
          <w:szCs w:val="24"/>
        </w:rPr>
      </w:pPr>
      <w:r w:rsidRPr="003E645C">
        <w:rPr>
          <w:rFonts w:cs="Times New Roman"/>
          <w:bCs/>
          <w:spacing w:val="-10"/>
          <w:kern w:val="20"/>
          <w:szCs w:val="24"/>
        </w:rPr>
        <w:t>pomoc w gospodarowaniu pieniędzmi,</w:t>
      </w:r>
    </w:p>
    <w:p w14:paraId="0933F477" w14:textId="77777777" w:rsidR="003E645C" w:rsidRDefault="003E645C" w:rsidP="00FE70E3">
      <w:pPr>
        <w:pStyle w:val="Akapitzlist"/>
        <w:numPr>
          <w:ilvl w:val="0"/>
          <w:numId w:val="65"/>
        </w:numPr>
        <w:rPr>
          <w:rFonts w:cs="Times New Roman"/>
          <w:bCs/>
          <w:spacing w:val="-10"/>
          <w:kern w:val="20"/>
          <w:szCs w:val="24"/>
        </w:rPr>
      </w:pPr>
      <w:r w:rsidRPr="003E645C">
        <w:rPr>
          <w:rFonts w:cs="Times New Roman"/>
          <w:bCs/>
          <w:spacing w:val="-10"/>
          <w:kern w:val="20"/>
          <w:szCs w:val="24"/>
        </w:rPr>
        <w:t>pielęgnację - jako wspieranie procesu leczenia,</w:t>
      </w:r>
    </w:p>
    <w:p w14:paraId="29362B82" w14:textId="2BB7CB2C" w:rsidR="003E645C" w:rsidRDefault="003E645C" w:rsidP="00FE70E3">
      <w:pPr>
        <w:pStyle w:val="Akapitzlist"/>
        <w:numPr>
          <w:ilvl w:val="0"/>
          <w:numId w:val="65"/>
        </w:numPr>
        <w:rPr>
          <w:rFonts w:cs="Times New Roman"/>
          <w:bCs/>
          <w:spacing w:val="-10"/>
          <w:kern w:val="20"/>
          <w:szCs w:val="24"/>
        </w:rPr>
      </w:pPr>
      <w:r w:rsidRPr="003E645C">
        <w:rPr>
          <w:rFonts w:cs="Times New Roman"/>
          <w:bCs/>
          <w:spacing w:val="-10"/>
          <w:kern w:val="20"/>
          <w:szCs w:val="24"/>
        </w:rPr>
        <w:t>rehabilitację fizyczną i usprawnianie zaburzonych funkcji organizmu w zakresie nieobjętym przepisami ustawy z dnia 27 sierpnia 2004 r. o świadczeniach opieki zdrowotnej finansowanych ze środków publicznych (Dz. U. z 20</w:t>
      </w:r>
      <w:r w:rsidR="006952C6">
        <w:rPr>
          <w:rFonts w:cs="Times New Roman"/>
          <w:bCs/>
          <w:spacing w:val="-10"/>
          <w:kern w:val="20"/>
          <w:szCs w:val="24"/>
        </w:rPr>
        <w:t>21</w:t>
      </w:r>
      <w:r w:rsidRPr="003E645C">
        <w:rPr>
          <w:rFonts w:cs="Times New Roman"/>
          <w:bCs/>
          <w:spacing w:val="-10"/>
          <w:kern w:val="20"/>
          <w:szCs w:val="24"/>
        </w:rPr>
        <w:t xml:space="preserve"> r. poz. 1</w:t>
      </w:r>
      <w:r w:rsidR="006952C6">
        <w:rPr>
          <w:rFonts w:cs="Times New Roman"/>
          <w:bCs/>
          <w:spacing w:val="-10"/>
          <w:kern w:val="20"/>
          <w:szCs w:val="24"/>
        </w:rPr>
        <w:t xml:space="preserve">285, z </w:t>
      </w:r>
      <w:proofErr w:type="spellStart"/>
      <w:r w:rsidR="006952C6">
        <w:rPr>
          <w:rFonts w:cs="Times New Roman"/>
          <w:bCs/>
          <w:spacing w:val="-10"/>
          <w:kern w:val="20"/>
          <w:szCs w:val="24"/>
        </w:rPr>
        <w:t>późn</w:t>
      </w:r>
      <w:proofErr w:type="spellEnd"/>
      <w:r w:rsidR="006952C6">
        <w:rPr>
          <w:rFonts w:cs="Times New Roman"/>
          <w:bCs/>
          <w:spacing w:val="-10"/>
          <w:kern w:val="20"/>
          <w:szCs w:val="24"/>
        </w:rPr>
        <w:t>. zm.</w:t>
      </w:r>
      <w:r w:rsidRPr="003E645C">
        <w:rPr>
          <w:rFonts w:cs="Times New Roman"/>
          <w:bCs/>
          <w:spacing w:val="-10"/>
          <w:kern w:val="20"/>
          <w:szCs w:val="24"/>
        </w:rPr>
        <w:t>).</w:t>
      </w:r>
    </w:p>
    <w:p w14:paraId="0937B298" w14:textId="77777777" w:rsidR="00392F2F" w:rsidRDefault="00392F2F" w:rsidP="00392F2F">
      <w:pPr>
        <w:pStyle w:val="Akapitzlist"/>
        <w:ind w:left="360"/>
        <w:rPr>
          <w:rFonts w:cs="Times New Roman"/>
          <w:bCs/>
          <w:spacing w:val="-10"/>
          <w:kern w:val="20"/>
          <w:szCs w:val="24"/>
        </w:rPr>
      </w:pPr>
    </w:p>
    <w:p w14:paraId="1E2FEF7F" w14:textId="4ABA5CA5" w:rsidR="00C444E7" w:rsidRPr="00392F2F" w:rsidRDefault="00C444E7" w:rsidP="00392F2F">
      <w:pPr>
        <w:contextualSpacing/>
        <w:rPr>
          <w:rFonts w:cs="Times New Roman"/>
          <w:szCs w:val="24"/>
        </w:rPr>
      </w:pPr>
      <w:r w:rsidRPr="00392F2F">
        <w:rPr>
          <w:rFonts w:cs="Times New Roman"/>
          <w:szCs w:val="24"/>
        </w:rPr>
        <w:t xml:space="preserve">Zgodnie ze statystycznymi danymi resortowymi, pomoc w formie usług opiekuńczych ogółem, realizowana w ramach zadań własnych gminy o charakterze obowiązkowym, </w:t>
      </w:r>
      <w:r w:rsidRPr="00392F2F">
        <w:rPr>
          <w:rFonts w:cs="Times New Roman"/>
          <w:szCs w:val="24"/>
        </w:rPr>
        <w:br/>
        <w:t>w 2020 r</w:t>
      </w:r>
      <w:r w:rsidR="006952C6">
        <w:rPr>
          <w:rFonts w:cs="Times New Roman"/>
          <w:szCs w:val="24"/>
        </w:rPr>
        <w:t>.</w:t>
      </w:r>
      <w:r w:rsidRPr="00392F2F">
        <w:rPr>
          <w:rFonts w:cs="Times New Roman"/>
          <w:szCs w:val="24"/>
          <w:vertAlign w:val="superscript"/>
        </w:rPr>
        <w:footnoteReference w:id="4"/>
      </w:r>
      <w:r w:rsidRPr="00392F2F">
        <w:rPr>
          <w:rFonts w:cs="Times New Roman"/>
          <w:szCs w:val="24"/>
        </w:rPr>
        <w:t xml:space="preserve"> została przyznana w drodze decyzji administracyjnych łącznie ok. 113 tys. osób, </w:t>
      </w:r>
      <w:r w:rsidRPr="00392F2F">
        <w:rPr>
          <w:rFonts w:cs="Times New Roman"/>
          <w:szCs w:val="24"/>
        </w:rPr>
        <w:br/>
        <w:t xml:space="preserve">w tym prawie 6 tys. osób (5 938 osób) w formie specjalistycznych usług opiekuńczych </w:t>
      </w:r>
      <w:r w:rsidRPr="00392F2F">
        <w:rPr>
          <w:rFonts w:cs="Times New Roman"/>
          <w:szCs w:val="24"/>
        </w:rPr>
        <w:br/>
        <w:t xml:space="preserve">(z wyłączeniem specjalistycznych usług opiekuńczych w miejscu zamieszkania dla osób </w:t>
      </w:r>
      <w:r w:rsidRPr="00392F2F">
        <w:rPr>
          <w:rFonts w:cs="Times New Roman"/>
          <w:szCs w:val="24"/>
        </w:rPr>
        <w:br/>
        <w:t xml:space="preserve">z zaburzeniami psychicznymi). </w:t>
      </w:r>
    </w:p>
    <w:p w14:paraId="641D9467" w14:textId="77777777" w:rsidR="00392F2F" w:rsidRPr="00C715D7" w:rsidRDefault="00392F2F" w:rsidP="00392F2F">
      <w:pPr>
        <w:contextualSpacing/>
        <w:rPr>
          <w:rFonts w:cs="Times New Roman"/>
        </w:rPr>
      </w:pPr>
    </w:p>
    <w:p w14:paraId="3003A9BD" w14:textId="4345CA88" w:rsidR="00C444E7" w:rsidRDefault="00C444E7" w:rsidP="00392F2F">
      <w:pPr>
        <w:contextualSpacing/>
        <w:rPr>
          <w:rFonts w:cs="Times New Roman"/>
        </w:rPr>
      </w:pPr>
      <w:r w:rsidRPr="00C715D7">
        <w:rPr>
          <w:rFonts w:cs="Times New Roman"/>
        </w:rPr>
        <w:t>W porównaniu do danych za 2019 r</w:t>
      </w:r>
      <w:r w:rsidR="006952C6">
        <w:rPr>
          <w:rFonts w:cs="Times New Roman"/>
        </w:rPr>
        <w:t>.</w:t>
      </w:r>
      <w:r w:rsidRPr="00C715D7">
        <w:rPr>
          <w:rFonts w:cs="Times New Roman"/>
        </w:rPr>
        <w:t xml:space="preserve"> liczba beneficjentów usług opiekuńczych ogółem </w:t>
      </w:r>
      <w:r w:rsidRPr="00C715D7">
        <w:rPr>
          <w:rFonts w:cs="Times New Roman"/>
        </w:rPr>
        <w:br/>
        <w:t>w 2020 r</w:t>
      </w:r>
      <w:r w:rsidR="006952C6">
        <w:rPr>
          <w:rFonts w:cs="Times New Roman"/>
        </w:rPr>
        <w:t>.</w:t>
      </w:r>
      <w:r w:rsidRPr="00C715D7">
        <w:rPr>
          <w:rFonts w:cs="Times New Roman"/>
        </w:rPr>
        <w:t xml:space="preserve"> zmalała o 5,3 % (z ok. 119 tys. osób w 2019 r</w:t>
      </w:r>
      <w:r w:rsidR="006952C6">
        <w:rPr>
          <w:rFonts w:cs="Times New Roman"/>
        </w:rPr>
        <w:t>.</w:t>
      </w:r>
      <w:r w:rsidRPr="00C715D7">
        <w:rPr>
          <w:rFonts w:cs="Times New Roman"/>
        </w:rPr>
        <w:t xml:space="preserve"> do ok. 113 tys. osób </w:t>
      </w:r>
      <w:r w:rsidRPr="00C715D7">
        <w:rPr>
          <w:rFonts w:cs="Times New Roman"/>
        </w:rPr>
        <w:br/>
        <w:t>w 2020 r</w:t>
      </w:r>
      <w:r w:rsidR="006952C6">
        <w:rPr>
          <w:rFonts w:cs="Times New Roman"/>
        </w:rPr>
        <w:t>.</w:t>
      </w:r>
      <w:r w:rsidRPr="00C715D7">
        <w:rPr>
          <w:rFonts w:cs="Times New Roman"/>
        </w:rPr>
        <w:t xml:space="preserve">), w tym beneficjentów specjalistycznych usług opiekuńczych w miejscu zamieszkania </w:t>
      </w:r>
      <w:r w:rsidRPr="00C715D7">
        <w:rPr>
          <w:rFonts w:cs="Times New Roman"/>
        </w:rPr>
        <w:lastRenderedPageBreak/>
        <w:t>o 11,4 % (z 6,7 tys. osób w 2019 r</w:t>
      </w:r>
      <w:r w:rsidR="006952C6">
        <w:rPr>
          <w:rFonts w:cs="Times New Roman"/>
        </w:rPr>
        <w:t>.</w:t>
      </w:r>
      <w:r w:rsidRPr="00C715D7">
        <w:rPr>
          <w:rFonts w:cs="Times New Roman"/>
        </w:rPr>
        <w:t xml:space="preserve"> do 5,9 tys. osób w 2020 r</w:t>
      </w:r>
      <w:r w:rsidR="006952C6">
        <w:rPr>
          <w:rFonts w:cs="Times New Roman"/>
        </w:rPr>
        <w:t>.</w:t>
      </w:r>
      <w:r w:rsidRPr="00C715D7">
        <w:rPr>
          <w:rFonts w:cs="Times New Roman"/>
        </w:rPr>
        <w:t>). Na usługi opiekuńcze ogółem w 2020 r</w:t>
      </w:r>
      <w:r w:rsidR="006952C6">
        <w:rPr>
          <w:rFonts w:cs="Times New Roman"/>
        </w:rPr>
        <w:t>.</w:t>
      </w:r>
      <w:r w:rsidRPr="00C715D7">
        <w:rPr>
          <w:rFonts w:cs="Times New Roman"/>
        </w:rPr>
        <w:t xml:space="preserve"> zabezpieczono na poziomie gmin (jak wynika z wydanych decyzji administracyjnych) niecałe 714 mln zł, tj. o 4,4 % więcej niż w 2019 </w:t>
      </w:r>
      <w:r w:rsidR="006952C6">
        <w:rPr>
          <w:rFonts w:cs="Times New Roman"/>
        </w:rPr>
        <w:t>r.</w:t>
      </w:r>
      <w:r w:rsidRPr="00C715D7">
        <w:rPr>
          <w:rFonts w:cs="Times New Roman"/>
        </w:rPr>
        <w:t xml:space="preserve"> </w:t>
      </w:r>
      <w:r w:rsidRPr="00C715D7">
        <w:rPr>
          <w:rFonts w:cs="Times New Roman"/>
        </w:rPr>
        <w:br/>
        <w:t xml:space="preserve">(ok. 683 mln zł), w tym na specjalistyczne usługi opiekuńcze - ok. 31 mln zł </w:t>
      </w:r>
      <w:r>
        <w:rPr>
          <w:rFonts w:cs="Times New Roman"/>
        </w:rPr>
        <w:t>(wydatki</w:t>
      </w:r>
      <w:r w:rsidR="00FF59DD">
        <w:rPr>
          <w:rFonts w:cs="Times New Roman"/>
        </w:rPr>
        <w:t xml:space="preserve"> </w:t>
      </w:r>
      <w:r>
        <w:rPr>
          <w:rFonts w:cs="Times New Roman"/>
        </w:rPr>
        <w:t>na </w:t>
      </w:r>
      <w:r w:rsidRPr="00C715D7">
        <w:rPr>
          <w:rFonts w:cs="Times New Roman"/>
        </w:rPr>
        <w:t>podobnym poziomie, co w 2019</w:t>
      </w:r>
      <w:r w:rsidR="006952C6">
        <w:rPr>
          <w:rFonts w:cs="Times New Roman"/>
        </w:rPr>
        <w:t xml:space="preserve"> r.</w:t>
      </w:r>
      <w:r w:rsidRPr="00C715D7">
        <w:rPr>
          <w:rFonts w:cs="Times New Roman"/>
        </w:rPr>
        <w:t>).</w:t>
      </w:r>
    </w:p>
    <w:p w14:paraId="17937FE5" w14:textId="77777777" w:rsidR="00C444E7" w:rsidRPr="00C715D7" w:rsidRDefault="00C444E7" w:rsidP="00392F2F">
      <w:pPr>
        <w:contextualSpacing/>
        <w:rPr>
          <w:rFonts w:cs="Times New Roman"/>
        </w:rPr>
      </w:pPr>
    </w:p>
    <w:p w14:paraId="109E2B91" w14:textId="5F1075D7" w:rsidR="00C444E7" w:rsidRDefault="00C444E7" w:rsidP="00392F2F">
      <w:pPr>
        <w:rPr>
          <w:rFonts w:cs="Times New Roman"/>
        </w:rPr>
      </w:pPr>
      <w:r w:rsidRPr="00C715D7">
        <w:rPr>
          <w:rFonts w:cs="Times New Roman"/>
        </w:rPr>
        <w:t xml:space="preserve">Pomoc w formie specjalistycznych usług opiekuńczych w </w:t>
      </w:r>
      <w:r>
        <w:rPr>
          <w:rFonts w:cs="Times New Roman"/>
        </w:rPr>
        <w:t>miejscu zamieszkania dla osób z </w:t>
      </w:r>
      <w:r w:rsidRPr="00C715D7">
        <w:rPr>
          <w:rFonts w:cs="Times New Roman"/>
        </w:rPr>
        <w:t xml:space="preserve">zaburzeniami psychicznymi, realizowaną przez gminy w ramach zadań z zakresu administracji rządowej, w 2020 </w:t>
      </w:r>
      <w:r w:rsidR="006952C6">
        <w:rPr>
          <w:rFonts w:cs="Times New Roman"/>
        </w:rPr>
        <w:t xml:space="preserve">r. </w:t>
      </w:r>
      <w:r w:rsidRPr="00C715D7">
        <w:rPr>
          <w:rFonts w:cs="Times New Roman"/>
        </w:rPr>
        <w:t xml:space="preserve">przyznano ok. 14,6 tys. osobom, co w porównaniu do liczby osób objętych tymi usługami w 2019 </w:t>
      </w:r>
      <w:r w:rsidR="006952C6">
        <w:rPr>
          <w:rFonts w:cs="Times New Roman"/>
        </w:rPr>
        <w:t xml:space="preserve">r. </w:t>
      </w:r>
      <w:r w:rsidRPr="00C715D7">
        <w:rPr>
          <w:rFonts w:cs="Times New Roman"/>
        </w:rPr>
        <w:t>(ok. 15,5 tys. osób) daje spadek w wysokości 6,3 %. Na realizację przedmiotowych usług w 2020 r</w:t>
      </w:r>
      <w:r w:rsidR="006952C6">
        <w:rPr>
          <w:rFonts w:cs="Times New Roman"/>
        </w:rPr>
        <w:t>.</w:t>
      </w:r>
      <w:r w:rsidRPr="00C715D7">
        <w:rPr>
          <w:rFonts w:cs="Times New Roman"/>
        </w:rPr>
        <w:t xml:space="preserve"> przeznaczono niecałe 134 mln zł (wydatki na podobnym poziomie, co w 2019 </w:t>
      </w:r>
      <w:r w:rsidR="006952C6">
        <w:rPr>
          <w:rFonts w:cs="Times New Roman"/>
        </w:rPr>
        <w:t xml:space="preserve">r. </w:t>
      </w:r>
      <w:r w:rsidRPr="00C715D7">
        <w:rPr>
          <w:rFonts w:cs="Times New Roman"/>
        </w:rPr>
        <w:t>- niecałe 135 mln zł)</w:t>
      </w:r>
      <w:r>
        <w:rPr>
          <w:rStyle w:val="Odwoanieprzypisudolnego"/>
          <w:rFonts w:cs="Times New Roman"/>
        </w:rPr>
        <w:footnoteReference w:id="5"/>
      </w:r>
      <w:r w:rsidRPr="00C715D7">
        <w:rPr>
          <w:rFonts w:cs="Times New Roman"/>
        </w:rPr>
        <w:t>.</w:t>
      </w:r>
    </w:p>
    <w:p w14:paraId="7B2D7372" w14:textId="77777777" w:rsidR="00C444E7" w:rsidRPr="00C715D7" w:rsidRDefault="00C444E7" w:rsidP="00C444E7">
      <w:pPr>
        <w:rPr>
          <w:rFonts w:cs="Times New Roman"/>
        </w:rPr>
      </w:pPr>
    </w:p>
    <w:p w14:paraId="19B2E47D" w14:textId="77777777" w:rsidR="00324288" w:rsidRDefault="00C444E7" w:rsidP="00C444E7">
      <w:pPr>
        <w:pStyle w:val="Nagwek3"/>
      </w:pPr>
      <w:bookmarkStart w:id="17" w:name="_Toc77513882"/>
      <w:bookmarkStart w:id="18" w:name="_Toc80523042"/>
      <w:r w:rsidRPr="00C715D7">
        <w:t>Usługi opiekuńcze i specjalistyczne usługi opiekuńcze świadczone w ośrodkach wsparcia.</w:t>
      </w:r>
      <w:bookmarkEnd w:id="17"/>
      <w:bookmarkEnd w:id="18"/>
    </w:p>
    <w:p w14:paraId="7EF43D7D" w14:textId="77777777" w:rsidR="00D1690A" w:rsidRPr="00D1690A" w:rsidRDefault="00D1690A" w:rsidP="00D1690A"/>
    <w:p w14:paraId="7AE7D972" w14:textId="77777777" w:rsidR="00324288" w:rsidRDefault="00C444E7" w:rsidP="00392F2F">
      <w:pPr>
        <w:rPr>
          <w:rFonts w:cs="Times New Roman"/>
          <w:b/>
        </w:rPr>
      </w:pPr>
      <w:r w:rsidRPr="00324288">
        <w:rPr>
          <w:rFonts w:cs="Times New Roman"/>
          <w:b/>
        </w:rPr>
        <w:t xml:space="preserve">Usługi opiekuńcze i specjalistyczne usługi opiekuńcze mogą być także świadczone </w:t>
      </w:r>
      <w:r w:rsidRPr="00324288">
        <w:rPr>
          <w:rFonts w:cs="Times New Roman"/>
          <w:b/>
        </w:rPr>
        <w:br/>
        <w:t>w</w:t>
      </w:r>
      <w:r w:rsidRPr="00C715D7">
        <w:rPr>
          <w:rFonts w:cs="Times New Roman"/>
        </w:rPr>
        <w:t xml:space="preserve"> </w:t>
      </w:r>
      <w:r w:rsidRPr="00C715D7">
        <w:rPr>
          <w:rFonts w:cs="Times New Roman"/>
          <w:b/>
        </w:rPr>
        <w:t>ośrodkach wsparcia</w:t>
      </w:r>
      <w:r w:rsidRPr="00C715D7">
        <w:rPr>
          <w:rFonts w:cs="Times New Roman"/>
        </w:rPr>
        <w:t xml:space="preserve">. Ośrodkami wsparcia są m. in.: </w:t>
      </w:r>
    </w:p>
    <w:p w14:paraId="2B8DE021" w14:textId="77777777" w:rsidR="00324288" w:rsidRPr="00324288" w:rsidRDefault="00C444E7" w:rsidP="00FE70E3">
      <w:pPr>
        <w:pStyle w:val="Akapitzlist"/>
        <w:numPr>
          <w:ilvl w:val="0"/>
          <w:numId w:val="66"/>
        </w:numPr>
        <w:rPr>
          <w:rFonts w:cs="Times New Roman"/>
          <w:b/>
        </w:rPr>
      </w:pPr>
      <w:r w:rsidRPr="00324288">
        <w:rPr>
          <w:rFonts w:cs="Times New Roman"/>
        </w:rPr>
        <w:t xml:space="preserve">dzienne domy pomocy, </w:t>
      </w:r>
    </w:p>
    <w:p w14:paraId="7CDC133F" w14:textId="77777777" w:rsidR="00C444E7" w:rsidRPr="00324288" w:rsidRDefault="00C444E7" w:rsidP="00FE70E3">
      <w:pPr>
        <w:pStyle w:val="Akapitzlist"/>
        <w:numPr>
          <w:ilvl w:val="0"/>
          <w:numId w:val="66"/>
        </w:numPr>
        <w:rPr>
          <w:rFonts w:cs="Times New Roman"/>
          <w:b/>
        </w:rPr>
      </w:pPr>
      <w:r w:rsidRPr="00324288">
        <w:rPr>
          <w:rFonts w:cs="Times New Roman"/>
        </w:rPr>
        <w:t xml:space="preserve">ośrodki wsparcia dla osób z zaburzeniami psychicznymi: środowiskowe domy samopomocy </w:t>
      </w:r>
      <w:r w:rsidRPr="00324288">
        <w:rPr>
          <w:rFonts w:cs="Times New Roman"/>
        </w:rPr>
        <w:br/>
        <w:t xml:space="preserve">i kluby samopomocy dla osób z zaburzeniami psychicznymi. </w:t>
      </w:r>
    </w:p>
    <w:p w14:paraId="47C60B8A" w14:textId="77777777" w:rsidR="00FF59DD" w:rsidRDefault="00FF59DD" w:rsidP="00392F2F">
      <w:pPr>
        <w:rPr>
          <w:rFonts w:cs="Times New Roman"/>
        </w:rPr>
      </w:pPr>
    </w:p>
    <w:p w14:paraId="21DB601C" w14:textId="47FCC95F" w:rsidR="00C444E7" w:rsidRDefault="00C444E7" w:rsidP="00392F2F">
      <w:pPr>
        <w:rPr>
          <w:rFonts w:cs="Times New Roman"/>
        </w:rPr>
      </w:pPr>
      <w:r w:rsidRPr="00C715D7">
        <w:rPr>
          <w:rFonts w:cs="Times New Roman"/>
        </w:rPr>
        <w:t xml:space="preserve">Działalność ośrodków wsparcia jest o tyle istotna, że działają wspierająco na całą rodzinę, pomagając w sprawowaniu funkcji opiekuńczych nad niepełnosprawnymi </w:t>
      </w:r>
      <w:r w:rsidRPr="00C715D7">
        <w:rPr>
          <w:rFonts w:cs="Times New Roman"/>
        </w:rPr>
        <w:br/>
        <w:t xml:space="preserve">i niesamodzielnymi członkami rodzin, zapobiegając jednocześnie umieszczaniu ich w placówkach całodobowych. W stosunku do osób starszych, samotnych zapobiega ich wieloaspektowemu wykluczeniu z życia społecznego. </w:t>
      </w:r>
    </w:p>
    <w:p w14:paraId="7802CE56" w14:textId="77777777" w:rsidR="00324288" w:rsidRPr="00C715D7" w:rsidRDefault="00324288" w:rsidP="00392F2F">
      <w:pPr>
        <w:rPr>
          <w:rFonts w:cs="Times New Roman"/>
        </w:rPr>
      </w:pPr>
    </w:p>
    <w:p w14:paraId="1EB2B3FA" w14:textId="77777777" w:rsidR="00C444E7" w:rsidRPr="00C715D7" w:rsidRDefault="00C444E7" w:rsidP="00392F2F">
      <w:pPr>
        <w:rPr>
          <w:rFonts w:cs="Times New Roman"/>
        </w:rPr>
      </w:pPr>
      <w:r w:rsidRPr="00C715D7">
        <w:rPr>
          <w:rFonts w:cs="Times New Roman"/>
        </w:rPr>
        <w:t xml:space="preserve">Prowadzenie ośrodków wsparcia, z wyłączeniem ośrodków wsparcia dla osób </w:t>
      </w:r>
      <w:r w:rsidRPr="00C715D7">
        <w:rPr>
          <w:rFonts w:cs="Times New Roman"/>
        </w:rPr>
        <w:br/>
        <w:t xml:space="preserve">z zaburzeniami psychicznymi, jest zadaniem własnym gminy lub powiatu finansowanym </w:t>
      </w:r>
      <w:r w:rsidRPr="00C715D7">
        <w:rPr>
          <w:rFonts w:cs="Times New Roman"/>
        </w:rPr>
        <w:br/>
        <w:t>z ich budżetu. Gmina lub powiat może zlecać prowadzenie taki</w:t>
      </w:r>
      <w:r w:rsidR="00324288">
        <w:rPr>
          <w:rFonts w:cs="Times New Roman"/>
        </w:rPr>
        <w:t>ch jednostek innym podmiotom, o </w:t>
      </w:r>
      <w:r w:rsidRPr="00C715D7">
        <w:rPr>
          <w:rFonts w:cs="Times New Roman"/>
        </w:rPr>
        <w:t xml:space="preserve">których mowa w art. 25 ustawy </w:t>
      </w:r>
      <w:r w:rsidR="006952C6">
        <w:rPr>
          <w:rFonts w:cs="Times New Roman"/>
        </w:rPr>
        <w:t>z dnia 12 marca 2004 r.</w:t>
      </w:r>
      <w:r w:rsidRPr="00C715D7">
        <w:rPr>
          <w:rFonts w:cs="Times New Roman"/>
        </w:rPr>
        <w:t xml:space="preserve"> o pomocy społecznej.</w:t>
      </w:r>
    </w:p>
    <w:p w14:paraId="48AF45AD" w14:textId="77777777" w:rsidR="00324288" w:rsidRDefault="00324288" w:rsidP="00392F2F">
      <w:pPr>
        <w:rPr>
          <w:rFonts w:cs="Times New Roman"/>
          <w:b/>
        </w:rPr>
      </w:pPr>
    </w:p>
    <w:p w14:paraId="0710DF1C" w14:textId="1F8D0106" w:rsidR="00C444E7" w:rsidRPr="00C715D7" w:rsidRDefault="00C444E7" w:rsidP="00392F2F">
      <w:pPr>
        <w:rPr>
          <w:rFonts w:cs="Times New Roman"/>
        </w:rPr>
      </w:pPr>
      <w:r w:rsidRPr="00C715D7">
        <w:rPr>
          <w:rFonts w:cs="Times New Roman"/>
          <w:b/>
        </w:rPr>
        <w:t>Dzienne domy pomocy</w:t>
      </w:r>
      <w:r w:rsidRPr="00C715D7">
        <w:rPr>
          <w:rFonts w:cs="Times New Roman"/>
        </w:rPr>
        <w:t xml:space="preserve"> są prowadzone i finansowane przez jednostki samorządu terytoria</w:t>
      </w:r>
      <w:r w:rsidR="00324288">
        <w:rPr>
          <w:rFonts w:cs="Times New Roman"/>
        </w:rPr>
        <w:t xml:space="preserve">lnego w ramach zadań własnych. </w:t>
      </w:r>
      <w:r w:rsidRPr="00C715D7">
        <w:rPr>
          <w:rFonts w:cs="Times New Roman"/>
        </w:rPr>
        <w:t>Według stanu na koniec 2020 r</w:t>
      </w:r>
      <w:r w:rsidR="006952C6">
        <w:rPr>
          <w:rFonts w:cs="Times New Roman"/>
        </w:rPr>
        <w:t>.</w:t>
      </w:r>
      <w:r w:rsidRPr="00C715D7">
        <w:rPr>
          <w:rFonts w:cs="Times New Roman"/>
          <w:vertAlign w:val="superscript"/>
        </w:rPr>
        <w:footnoteReference w:id="6"/>
      </w:r>
      <w:r w:rsidRPr="00C715D7">
        <w:rPr>
          <w:rFonts w:cs="Times New Roman"/>
        </w:rPr>
        <w:t xml:space="preserve"> na terenie Polski funkcjonowało 49</w:t>
      </w:r>
      <w:r w:rsidR="00964A10">
        <w:rPr>
          <w:rFonts w:cs="Times New Roman"/>
        </w:rPr>
        <w:t xml:space="preserve">5 dziennych domów pomocy na 20 </w:t>
      </w:r>
      <w:r w:rsidRPr="00C715D7">
        <w:rPr>
          <w:rFonts w:cs="Times New Roman"/>
        </w:rPr>
        <w:t>44</w:t>
      </w:r>
      <w:r w:rsidR="00964A10">
        <w:rPr>
          <w:rFonts w:cs="Times New Roman"/>
        </w:rPr>
        <w:t>7</w:t>
      </w:r>
      <w:r w:rsidRPr="00C715D7">
        <w:rPr>
          <w:rFonts w:cs="Times New Roman"/>
        </w:rPr>
        <w:t xml:space="preserve"> miejsca (o 44 jednostki i o 1825 miejsc więce</w:t>
      </w:r>
      <w:r w:rsidR="00324288">
        <w:rPr>
          <w:rFonts w:cs="Times New Roman"/>
        </w:rPr>
        <w:t>j, niż w </w:t>
      </w:r>
      <w:r w:rsidRPr="00C715D7">
        <w:rPr>
          <w:rFonts w:cs="Times New Roman"/>
        </w:rPr>
        <w:t>2019 r</w:t>
      </w:r>
      <w:r w:rsidR="006952C6">
        <w:rPr>
          <w:rFonts w:cs="Times New Roman"/>
        </w:rPr>
        <w:t>.</w:t>
      </w:r>
      <w:r w:rsidRPr="00C715D7">
        <w:rPr>
          <w:rFonts w:cs="Times New Roman"/>
        </w:rPr>
        <w:t>, co stanowi wzrost zarówno liczby jednostek, jak i miejsc o ok. 9,8 %) .</w:t>
      </w:r>
    </w:p>
    <w:p w14:paraId="2D4BDFCF" w14:textId="77777777" w:rsidR="00C444E7" w:rsidRDefault="00C444E7" w:rsidP="00392F2F">
      <w:pPr>
        <w:rPr>
          <w:rFonts w:cs="Times New Roman"/>
          <w:b/>
        </w:rPr>
      </w:pPr>
    </w:p>
    <w:p w14:paraId="52D5C93C" w14:textId="77777777" w:rsidR="00C444E7" w:rsidRDefault="00C444E7" w:rsidP="00392F2F">
      <w:pPr>
        <w:rPr>
          <w:rFonts w:cs="Times New Roman"/>
        </w:rPr>
      </w:pPr>
      <w:r w:rsidRPr="00C715D7">
        <w:rPr>
          <w:rFonts w:cs="Times New Roman"/>
          <w:b/>
        </w:rPr>
        <w:t xml:space="preserve">Środowiskowe domy samopomocy </w:t>
      </w:r>
      <w:r w:rsidRPr="00C715D7">
        <w:rPr>
          <w:rFonts w:cs="Times New Roman"/>
        </w:rPr>
        <w:t>są prowadzone przez gminy i powiaty</w:t>
      </w:r>
      <w:r w:rsidRPr="00C715D7">
        <w:rPr>
          <w:rFonts w:cs="Times New Roman"/>
          <w:b/>
        </w:rPr>
        <w:t xml:space="preserve"> </w:t>
      </w:r>
      <w:r w:rsidRPr="00C715D7">
        <w:rPr>
          <w:rFonts w:cs="Times New Roman"/>
        </w:rPr>
        <w:t>jako</w:t>
      </w:r>
      <w:r w:rsidRPr="00C715D7">
        <w:rPr>
          <w:rFonts w:cs="Times New Roman"/>
          <w:b/>
        </w:rPr>
        <w:t xml:space="preserve"> </w:t>
      </w:r>
      <w:r w:rsidRPr="00C715D7">
        <w:rPr>
          <w:rFonts w:cs="Times New Roman"/>
        </w:rPr>
        <w:t xml:space="preserve"> zadanie z zakresu administracji rządowej, zlecone do</w:t>
      </w:r>
      <w:r w:rsidR="00324288">
        <w:rPr>
          <w:rFonts w:cs="Times New Roman"/>
        </w:rPr>
        <w:t xml:space="preserve"> realizacji gminom i powiatom. </w:t>
      </w:r>
      <w:r w:rsidRPr="00C715D7">
        <w:rPr>
          <w:rFonts w:cs="Times New Roman"/>
        </w:rPr>
        <w:t xml:space="preserve">Na ich tworzenie i prowadzenie samorządy otrzymują dotację z budżetu państwa. W celu wykonania nałożonego zadania, jednostki samorządu terytorialnego mogą samodzielnie prowadzić ośrodki wsparcia, bądź zlecić </w:t>
      </w:r>
      <w:r w:rsidRPr="00C715D7">
        <w:rPr>
          <w:rFonts w:cs="Times New Roman"/>
        </w:rPr>
        <w:lastRenderedPageBreak/>
        <w:t xml:space="preserve">ich prowadzenie innemu podmiotowi w trybie przewidzianym w przepisach ustawy </w:t>
      </w:r>
      <w:r w:rsidR="006952C6">
        <w:rPr>
          <w:rFonts w:cs="Times New Roman"/>
        </w:rPr>
        <w:t xml:space="preserve">z dnia 12 marca 2004 r. </w:t>
      </w:r>
      <w:r w:rsidRPr="00C715D7">
        <w:rPr>
          <w:rFonts w:cs="Times New Roman"/>
        </w:rPr>
        <w:t>o pomocy społecznej (art. 25).</w:t>
      </w:r>
    </w:p>
    <w:p w14:paraId="6E95F61C" w14:textId="77777777" w:rsidR="00324288" w:rsidRPr="00C715D7" w:rsidRDefault="00324288" w:rsidP="00392F2F">
      <w:pPr>
        <w:rPr>
          <w:rFonts w:cs="Times New Roman"/>
        </w:rPr>
      </w:pPr>
    </w:p>
    <w:p w14:paraId="0A0F7EEB" w14:textId="77777777" w:rsidR="00C444E7" w:rsidRPr="00C715D7" w:rsidRDefault="00C444E7" w:rsidP="00392F2F">
      <w:pPr>
        <w:rPr>
          <w:rFonts w:cs="Times New Roman"/>
        </w:rPr>
      </w:pPr>
      <w:r w:rsidRPr="00C715D7">
        <w:rPr>
          <w:rFonts w:cs="Times New Roman"/>
        </w:rPr>
        <w:t>Środowiskowe domy samopomocy świadczą usługi w ramach indywidualnych lub zespołowych treningów samoobsługi i treningów umiejętności społecznych, które obejmują:</w:t>
      </w:r>
    </w:p>
    <w:p w14:paraId="0F84C2D5" w14:textId="77777777" w:rsidR="00C444E7" w:rsidRPr="00C715D7" w:rsidRDefault="00C444E7" w:rsidP="00FE70E3">
      <w:pPr>
        <w:numPr>
          <w:ilvl w:val="0"/>
          <w:numId w:val="17"/>
        </w:numPr>
        <w:rPr>
          <w:rFonts w:cs="Times New Roman"/>
        </w:rPr>
      </w:pPr>
      <w:r w:rsidRPr="00C715D7">
        <w:rPr>
          <w:rFonts w:cs="Times New Roman"/>
        </w:rPr>
        <w:t>trening funkcjonowania w codziennym życiu, w tym: trening dbałości o wygląd zewnętrzny, trening nauki higieny, trening kulinarny, trening umiejętności praktycznych, trening gospodarowania własnymi środkami finansowymi;</w:t>
      </w:r>
    </w:p>
    <w:p w14:paraId="73332776" w14:textId="77777777" w:rsidR="00C444E7" w:rsidRPr="00C715D7" w:rsidRDefault="00C444E7" w:rsidP="00FE70E3">
      <w:pPr>
        <w:numPr>
          <w:ilvl w:val="0"/>
          <w:numId w:val="17"/>
        </w:numPr>
        <w:rPr>
          <w:rFonts w:cs="Times New Roman"/>
        </w:rPr>
      </w:pPr>
      <w:r w:rsidRPr="00C715D7">
        <w:rPr>
          <w:rFonts w:cs="Times New Roman"/>
        </w:rPr>
        <w:t>trening umiejętności interpersonalnych i rozwiązywania problemów, w tym: kształtowanie pozytywnych relacji uczestnika z osobami bliskimi, sąsiadami, z innymi osobami w czasie zakupów, w środkach komunikacji publicznej, w urzędach, w instytucjach kultury;</w:t>
      </w:r>
    </w:p>
    <w:p w14:paraId="0C7DE204" w14:textId="77777777" w:rsidR="00C444E7" w:rsidRPr="00C715D7" w:rsidRDefault="00C444E7" w:rsidP="00FE70E3">
      <w:pPr>
        <w:numPr>
          <w:ilvl w:val="0"/>
          <w:numId w:val="17"/>
        </w:numPr>
        <w:rPr>
          <w:rFonts w:cs="Times New Roman"/>
        </w:rPr>
      </w:pPr>
      <w:r w:rsidRPr="00C715D7">
        <w:rPr>
          <w:rFonts w:cs="Times New Roman"/>
        </w:rPr>
        <w:t>trening umiejętności spędzania czasu wolnego, w tym: rozwijanie zainteresowań literaturą, audycjami radiowymi, telewizyjnymi, Internetem, udzi</w:t>
      </w:r>
      <w:r w:rsidR="00324288">
        <w:rPr>
          <w:rFonts w:cs="Times New Roman"/>
        </w:rPr>
        <w:t>ał w spotkaniach towarzyskich i </w:t>
      </w:r>
      <w:r w:rsidRPr="00C715D7">
        <w:rPr>
          <w:rFonts w:cs="Times New Roman"/>
        </w:rPr>
        <w:t>kulturalnych;</w:t>
      </w:r>
    </w:p>
    <w:p w14:paraId="54546894" w14:textId="77777777" w:rsidR="00C444E7" w:rsidRPr="00C715D7" w:rsidRDefault="00C444E7" w:rsidP="00FE70E3">
      <w:pPr>
        <w:numPr>
          <w:ilvl w:val="0"/>
          <w:numId w:val="17"/>
        </w:numPr>
        <w:rPr>
          <w:rFonts w:cs="Times New Roman"/>
        </w:rPr>
      </w:pPr>
      <w:r w:rsidRPr="00C715D7">
        <w:rPr>
          <w:rFonts w:cs="Times New Roman"/>
        </w:rPr>
        <w:t>poradnictwo psychologiczne;</w:t>
      </w:r>
    </w:p>
    <w:p w14:paraId="453CC74A" w14:textId="77777777" w:rsidR="00C444E7" w:rsidRPr="00C715D7" w:rsidRDefault="00C444E7" w:rsidP="00FE70E3">
      <w:pPr>
        <w:numPr>
          <w:ilvl w:val="0"/>
          <w:numId w:val="17"/>
        </w:numPr>
        <w:rPr>
          <w:rFonts w:cs="Times New Roman"/>
        </w:rPr>
      </w:pPr>
      <w:r w:rsidRPr="00C715D7">
        <w:rPr>
          <w:rFonts w:cs="Times New Roman"/>
        </w:rPr>
        <w:t>pomoc w załatwianiu spraw urzędowych;</w:t>
      </w:r>
    </w:p>
    <w:p w14:paraId="47B62D56" w14:textId="77777777" w:rsidR="00C444E7" w:rsidRPr="00C715D7" w:rsidRDefault="00C444E7" w:rsidP="00FE70E3">
      <w:pPr>
        <w:numPr>
          <w:ilvl w:val="0"/>
          <w:numId w:val="17"/>
        </w:numPr>
        <w:rPr>
          <w:rFonts w:cs="Times New Roman"/>
        </w:rPr>
      </w:pPr>
      <w:r w:rsidRPr="00C715D7">
        <w:rPr>
          <w:rFonts w:cs="Times New Roman"/>
        </w:rPr>
        <w:t>pomoc w dostępie do niezbędnych świadczeń zd</w:t>
      </w:r>
      <w:r w:rsidR="00324288">
        <w:rPr>
          <w:rFonts w:cs="Times New Roman"/>
        </w:rPr>
        <w:t xml:space="preserve">rowotnych, w tym uzgadnianie </w:t>
      </w:r>
      <w:r w:rsidR="00324288">
        <w:rPr>
          <w:rFonts w:cs="Times New Roman"/>
        </w:rPr>
        <w:br/>
        <w:t xml:space="preserve">i </w:t>
      </w:r>
      <w:r w:rsidRPr="00C715D7">
        <w:rPr>
          <w:rFonts w:cs="Times New Roman"/>
        </w:rPr>
        <w:t xml:space="preserve">pilnowanie terminów wizyt u lekarza, pomoc w zakupie leków, pomoc </w:t>
      </w:r>
      <w:r w:rsidRPr="00C715D7">
        <w:rPr>
          <w:rFonts w:cs="Times New Roman"/>
        </w:rPr>
        <w:br/>
        <w:t>w dotarciu do jednostek ochrony zdrowia;</w:t>
      </w:r>
    </w:p>
    <w:p w14:paraId="32F612B6" w14:textId="77777777" w:rsidR="00C444E7" w:rsidRPr="00C715D7" w:rsidRDefault="00C444E7" w:rsidP="00FE70E3">
      <w:pPr>
        <w:numPr>
          <w:ilvl w:val="0"/>
          <w:numId w:val="17"/>
        </w:numPr>
        <w:rPr>
          <w:rFonts w:cs="Times New Roman"/>
        </w:rPr>
      </w:pPr>
      <w:r w:rsidRPr="00C715D7">
        <w:rPr>
          <w:rFonts w:cs="Times New Roman"/>
        </w:rPr>
        <w:t>niezbędną opiekę;</w:t>
      </w:r>
    </w:p>
    <w:p w14:paraId="25389B1F" w14:textId="77777777" w:rsidR="00C444E7" w:rsidRPr="00C715D7" w:rsidRDefault="00C444E7" w:rsidP="00FE70E3">
      <w:pPr>
        <w:numPr>
          <w:ilvl w:val="0"/>
          <w:numId w:val="17"/>
        </w:numPr>
        <w:rPr>
          <w:rFonts w:cs="Times New Roman"/>
        </w:rPr>
      </w:pPr>
      <w:r w:rsidRPr="00C715D7">
        <w:rPr>
          <w:rFonts w:cs="Times New Roman"/>
        </w:rPr>
        <w:t>terapię ruchową, w tym: zajęcia sportowe, turystykę i rekreację;</w:t>
      </w:r>
    </w:p>
    <w:p w14:paraId="07A3C749" w14:textId="77777777" w:rsidR="00C444E7" w:rsidRPr="00C715D7" w:rsidRDefault="00C444E7" w:rsidP="00FE70E3">
      <w:pPr>
        <w:numPr>
          <w:ilvl w:val="0"/>
          <w:numId w:val="17"/>
        </w:numPr>
        <w:rPr>
          <w:rFonts w:cs="Times New Roman"/>
        </w:rPr>
      </w:pPr>
      <w:r w:rsidRPr="00C715D7">
        <w:rPr>
          <w:rFonts w:cs="Times New Roman"/>
        </w:rPr>
        <w:t xml:space="preserve">całodobowe wyżywienie dla uczestników skierowanych na pobyt całodobowy </w:t>
      </w:r>
      <w:r w:rsidRPr="00C715D7">
        <w:rPr>
          <w:rFonts w:cs="Times New Roman"/>
        </w:rPr>
        <w:br/>
        <w:t>w formie posiłków lub produktów żywnościowych do przygotowania posiłków przez uczestnika;</w:t>
      </w:r>
    </w:p>
    <w:p w14:paraId="3120F8E3" w14:textId="77777777" w:rsidR="00324288" w:rsidRDefault="00C444E7" w:rsidP="00FE70E3">
      <w:pPr>
        <w:numPr>
          <w:ilvl w:val="0"/>
          <w:numId w:val="17"/>
        </w:numPr>
        <w:rPr>
          <w:rFonts w:cs="Times New Roman"/>
        </w:rPr>
      </w:pPr>
      <w:r w:rsidRPr="00C715D7">
        <w:rPr>
          <w:rFonts w:cs="Times New Roman"/>
        </w:rPr>
        <w:t>inne formy postępowania przygotowujące do uczestnictwa w warsztatach terapii zajęciowej lub podjęcia zatrudnienia, w tym w warunkach pracy chronionej na przystosowanym stanowisku pracy.</w:t>
      </w:r>
    </w:p>
    <w:p w14:paraId="58F8ED3D" w14:textId="77777777" w:rsidR="00324288" w:rsidRPr="00324288" w:rsidRDefault="00324288" w:rsidP="00392F2F">
      <w:pPr>
        <w:ind w:left="360"/>
        <w:rPr>
          <w:rFonts w:cs="Times New Roman"/>
        </w:rPr>
      </w:pPr>
    </w:p>
    <w:p w14:paraId="60B20FA8" w14:textId="77777777" w:rsidR="00C444E7" w:rsidRPr="00324288" w:rsidRDefault="00C444E7" w:rsidP="00392F2F">
      <w:pPr>
        <w:rPr>
          <w:rFonts w:cs="Times New Roman"/>
          <w:b/>
          <w:u w:val="single"/>
        </w:rPr>
      </w:pPr>
      <w:r w:rsidRPr="00324288">
        <w:rPr>
          <w:rFonts w:cs="Times New Roman"/>
          <w:b/>
          <w:u w:val="single"/>
        </w:rPr>
        <w:t>Osoby starsze korzystające z usług świadczonych w środowiskowych domach samopomocy to przede wszystkim osoby z chorobami otępiennymi, w tym z chorobą Alzheimera.</w:t>
      </w:r>
    </w:p>
    <w:p w14:paraId="2A0F7959" w14:textId="77777777" w:rsidR="00324288" w:rsidRPr="00C715D7" w:rsidRDefault="00324288" w:rsidP="00392F2F">
      <w:pPr>
        <w:rPr>
          <w:rFonts w:cs="Times New Roman"/>
          <w:u w:val="single"/>
        </w:rPr>
      </w:pPr>
    </w:p>
    <w:p w14:paraId="2EAF1297" w14:textId="75743117" w:rsidR="00C444E7" w:rsidRPr="00324288" w:rsidRDefault="00C444E7" w:rsidP="00392F2F">
      <w:pPr>
        <w:rPr>
          <w:rFonts w:cs="Times New Roman"/>
          <w:u w:val="single"/>
        </w:rPr>
      </w:pPr>
      <w:r w:rsidRPr="00C715D7">
        <w:rPr>
          <w:rFonts w:cs="Times New Roman"/>
        </w:rPr>
        <w:t>Według stanu na koniec 2020 r</w:t>
      </w:r>
      <w:r w:rsidR="006952C6">
        <w:rPr>
          <w:rFonts w:cs="Times New Roman"/>
        </w:rPr>
        <w:t>.</w:t>
      </w:r>
      <w:r w:rsidRPr="00C715D7">
        <w:rPr>
          <w:rFonts w:cs="Times New Roman"/>
          <w:vertAlign w:val="superscript"/>
        </w:rPr>
        <w:footnoteReference w:id="7"/>
      </w:r>
      <w:r w:rsidRPr="00C715D7">
        <w:rPr>
          <w:rFonts w:cs="Times New Roman"/>
        </w:rPr>
        <w:t xml:space="preserve"> na terenie Polski funkc</w:t>
      </w:r>
      <w:r w:rsidR="009403F6">
        <w:rPr>
          <w:rFonts w:cs="Times New Roman"/>
        </w:rPr>
        <w:t>jonowały 844 środowiskowe domy</w:t>
      </w:r>
      <w:r w:rsidRPr="00C715D7">
        <w:rPr>
          <w:rFonts w:cs="Times New Roman"/>
        </w:rPr>
        <w:t xml:space="preserve"> samopomocy na 31 </w:t>
      </w:r>
      <w:r w:rsidR="009403F6">
        <w:rPr>
          <w:rFonts w:cs="Times New Roman"/>
        </w:rPr>
        <w:t>975 miejsc. To o 14 jednostek więcej (1,7</w:t>
      </w:r>
      <w:r w:rsidRPr="00C715D7">
        <w:rPr>
          <w:rFonts w:cs="Times New Roman"/>
        </w:rPr>
        <w:t>%), niż w 2019 r</w:t>
      </w:r>
      <w:r w:rsidRPr="00324288">
        <w:t>.</w:t>
      </w:r>
      <w:r w:rsidR="00324288" w:rsidRPr="00324288">
        <w:t xml:space="preserve"> </w:t>
      </w:r>
      <w:r w:rsidRPr="00C715D7">
        <w:rPr>
          <w:rFonts w:cs="Times New Roman"/>
        </w:rPr>
        <w:t>W 2020</w:t>
      </w:r>
      <w:r w:rsidR="006952C6">
        <w:rPr>
          <w:rFonts w:cs="Times New Roman"/>
        </w:rPr>
        <w:t xml:space="preserve"> r.</w:t>
      </w:r>
      <w:r w:rsidRPr="00C715D7">
        <w:rPr>
          <w:rFonts w:cs="Times New Roman"/>
        </w:rPr>
        <w:t xml:space="preserve"> utworzono ogółem w ramach rezerwy celowej budżetu państwa 18 środowiskowych domów samopomocy, 3 filie ś</w:t>
      </w:r>
      <w:r w:rsidR="00324288">
        <w:rPr>
          <w:rFonts w:cs="Times New Roman"/>
        </w:rPr>
        <w:t xml:space="preserve">rodowiskowych domów samopomocy </w:t>
      </w:r>
      <w:r w:rsidRPr="00C715D7">
        <w:rPr>
          <w:rFonts w:cs="Times New Roman"/>
        </w:rPr>
        <w:t>oraz 1 klub s</w:t>
      </w:r>
      <w:r w:rsidR="00324288">
        <w:rPr>
          <w:rFonts w:cs="Times New Roman"/>
        </w:rPr>
        <w:t>amopomocy dla osób z </w:t>
      </w:r>
      <w:r w:rsidRPr="00C715D7">
        <w:rPr>
          <w:rFonts w:cs="Times New Roman"/>
        </w:rPr>
        <w:t xml:space="preserve">zaburzeniami psychicznymi na ogółem 717 miejsc, z tego, w ramach Działania 3.2, utworzono 4 środowiskowe domy samopomocy i 1 filę środowiskowego domu samopomocy, w których utworzono 52 miejsca. W ramach działania 3.2 utworzono również 18 nowych miejsc w ośrodkach wsparcia już istniejących. W ramach Działania 3.2 sfinansowano podwyższenie miesięcznej dotacji, na podstawie art. 51c ust 5 ustawy </w:t>
      </w:r>
      <w:r w:rsidR="006952C6">
        <w:rPr>
          <w:rFonts w:cs="Times New Roman"/>
        </w:rPr>
        <w:t>z dnia 12 marca 2004 r.</w:t>
      </w:r>
      <w:r w:rsidRPr="00C715D7">
        <w:rPr>
          <w:rFonts w:cs="Times New Roman"/>
        </w:rPr>
        <w:t xml:space="preserve"> o pomocy społecznej,</w:t>
      </w:r>
      <w:r w:rsidR="00324288">
        <w:rPr>
          <w:rFonts w:cs="Times New Roman"/>
        </w:rPr>
        <w:t xml:space="preserve"> dla 164 nowoutworzonych i już istniejących miejsc. </w:t>
      </w:r>
      <w:r w:rsidRPr="00C715D7">
        <w:rPr>
          <w:rFonts w:cs="Times New Roman"/>
        </w:rPr>
        <w:t xml:space="preserve">Na powyższe wydatkowano kwotę 45 168 097,35 zł. </w:t>
      </w:r>
    </w:p>
    <w:p w14:paraId="0D68FABC" w14:textId="77777777" w:rsidR="00C444E7" w:rsidRDefault="00C444E7" w:rsidP="00392F2F">
      <w:pPr>
        <w:rPr>
          <w:rFonts w:cs="Times New Roman"/>
          <w:b/>
        </w:rPr>
      </w:pPr>
    </w:p>
    <w:p w14:paraId="0F67A38A" w14:textId="63D82C9F" w:rsidR="00C444E7" w:rsidRPr="00C715D7" w:rsidRDefault="00C444E7" w:rsidP="00392F2F">
      <w:pPr>
        <w:rPr>
          <w:rFonts w:cs="Times New Roman"/>
        </w:rPr>
      </w:pPr>
      <w:r w:rsidRPr="00C715D7">
        <w:rPr>
          <w:rFonts w:cs="Times New Roman"/>
          <w:b/>
        </w:rPr>
        <w:lastRenderedPageBreak/>
        <w:t>Kluby samopomocy dla osób z zaburzeniami psychicznymi</w:t>
      </w:r>
      <w:r w:rsidRPr="00C715D7">
        <w:rPr>
          <w:rFonts w:cs="Times New Roman"/>
        </w:rPr>
        <w:t xml:space="preserve"> s</w:t>
      </w:r>
      <w:r w:rsidR="00324288">
        <w:rPr>
          <w:rFonts w:cs="Times New Roman"/>
        </w:rPr>
        <w:t>ą ośrodkami wsparcia dla osób z </w:t>
      </w:r>
      <w:r w:rsidRPr="00C715D7">
        <w:rPr>
          <w:rFonts w:cs="Times New Roman"/>
        </w:rPr>
        <w:t>zaburzeniami psychicznymi, w ramach których podejmowane są działania samopomocowe oraz w zakresie integracji społecznej. Korzystanie z usług w kluba</w:t>
      </w:r>
      <w:r w:rsidR="00324288">
        <w:rPr>
          <w:rFonts w:cs="Times New Roman"/>
        </w:rPr>
        <w:t>ch samopomocy jest dobrowolne i </w:t>
      </w:r>
      <w:r w:rsidRPr="00C715D7">
        <w:rPr>
          <w:rFonts w:cs="Times New Roman"/>
        </w:rPr>
        <w:t>nie wymaga wydania dec</w:t>
      </w:r>
      <w:r w:rsidR="00324288">
        <w:rPr>
          <w:rFonts w:cs="Times New Roman"/>
        </w:rPr>
        <w:t xml:space="preserve">yzji administracyjnej. Z zajęć w klubach korzystają osoby z zaburzeniami psychicznymi. </w:t>
      </w:r>
      <w:r w:rsidRPr="00C715D7">
        <w:rPr>
          <w:rFonts w:cs="Times New Roman"/>
        </w:rPr>
        <w:t>Według stanu na koniec 2020 r</w:t>
      </w:r>
      <w:r w:rsidR="00230782">
        <w:rPr>
          <w:rFonts w:cs="Times New Roman"/>
        </w:rPr>
        <w:t>.</w:t>
      </w:r>
      <w:r w:rsidRPr="00C715D7">
        <w:rPr>
          <w:rFonts w:cs="Times New Roman"/>
          <w:vertAlign w:val="superscript"/>
        </w:rPr>
        <w:t>4</w:t>
      </w:r>
      <w:r w:rsidRPr="00C715D7">
        <w:rPr>
          <w:rFonts w:cs="Times New Roman"/>
        </w:rPr>
        <w:t xml:space="preserve"> na terenie Polski funkcjonowało 37 klubów samopomocy dla osób z zaburzeniami psychicznymi (tyl</w:t>
      </w:r>
      <w:r w:rsidR="00324288">
        <w:rPr>
          <w:rFonts w:cs="Times New Roman"/>
        </w:rPr>
        <w:t>e samo, co</w:t>
      </w:r>
      <w:r w:rsidR="00FF59DD">
        <w:rPr>
          <w:rFonts w:cs="Times New Roman"/>
        </w:rPr>
        <w:t> </w:t>
      </w:r>
      <w:r w:rsidR="00324288">
        <w:rPr>
          <w:rFonts w:cs="Times New Roman"/>
        </w:rPr>
        <w:t>w</w:t>
      </w:r>
      <w:r w:rsidR="00FF59DD">
        <w:rPr>
          <w:rFonts w:cs="Times New Roman"/>
        </w:rPr>
        <w:t> </w:t>
      </w:r>
      <w:r w:rsidR="00324288">
        <w:rPr>
          <w:rFonts w:cs="Times New Roman"/>
        </w:rPr>
        <w:t xml:space="preserve">roku poprzednim), </w:t>
      </w:r>
      <w:r w:rsidRPr="00C715D7">
        <w:rPr>
          <w:rFonts w:cs="Times New Roman"/>
        </w:rPr>
        <w:t>w których było dostępnych 675 miejsc (o 14 więcej, niż w 2019 roku).</w:t>
      </w:r>
    </w:p>
    <w:p w14:paraId="15F9A32D" w14:textId="77777777" w:rsidR="00C444E7" w:rsidRPr="00C715D7" w:rsidRDefault="00C444E7" w:rsidP="00C444E7">
      <w:pPr>
        <w:rPr>
          <w:rFonts w:cs="Times New Roman"/>
        </w:rPr>
      </w:pPr>
    </w:p>
    <w:p w14:paraId="24F5B81C" w14:textId="77777777" w:rsidR="00324288" w:rsidRDefault="00C444E7" w:rsidP="00324288">
      <w:pPr>
        <w:pStyle w:val="Nagwek3"/>
      </w:pPr>
      <w:bookmarkStart w:id="19" w:name="_Toc77513883"/>
      <w:bookmarkStart w:id="20" w:name="_Toc80523043"/>
      <w:r w:rsidRPr="00C715D7">
        <w:t>Całodobowe usługi świadczone w rodzinnym domu pomocy, w domu pomocy społecznej lub mieszkaniu chronionym.</w:t>
      </w:r>
      <w:bookmarkEnd w:id="19"/>
      <w:bookmarkEnd w:id="20"/>
    </w:p>
    <w:p w14:paraId="01A4DDF2" w14:textId="77777777" w:rsidR="00D1690A" w:rsidRPr="00D1690A" w:rsidRDefault="00D1690A" w:rsidP="00D1690A"/>
    <w:p w14:paraId="2CE3433D" w14:textId="084FA10D" w:rsidR="00C444E7" w:rsidRDefault="00C444E7" w:rsidP="00FF59DD">
      <w:pPr>
        <w:rPr>
          <w:rFonts w:cs="Times New Roman"/>
        </w:rPr>
      </w:pPr>
      <w:r w:rsidRPr="00C715D7">
        <w:rPr>
          <w:rFonts w:cs="Times New Roman"/>
        </w:rPr>
        <w:t>Osoby niepełnosprawne, w tym osoby starsze, mogą korzystać również z form wsparcia jakimi są</w:t>
      </w:r>
      <w:r w:rsidR="00FF59DD">
        <w:rPr>
          <w:rFonts w:cs="Times New Roman"/>
        </w:rPr>
        <w:t> </w:t>
      </w:r>
      <w:r w:rsidRPr="00C715D7">
        <w:rPr>
          <w:rFonts w:cs="Times New Roman"/>
        </w:rPr>
        <w:t>mieszkania chronione i rodzinne domy pomocy.</w:t>
      </w:r>
    </w:p>
    <w:p w14:paraId="25974917" w14:textId="77777777" w:rsidR="00324288" w:rsidRPr="00C715D7" w:rsidRDefault="00324288" w:rsidP="00FF59DD">
      <w:pPr>
        <w:rPr>
          <w:rFonts w:cs="Times New Roman"/>
        </w:rPr>
      </w:pPr>
    </w:p>
    <w:p w14:paraId="37DBB2BD" w14:textId="77777777" w:rsidR="00C444E7" w:rsidRDefault="00C444E7" w:rsidP="00FF59DD">
      <w:pPr>
        <w:rPr>
          <w:rFonts w:cs="Times New Roman"/>
        </w:rPr>
      </w:pPr>
      <w:r w:rsidRPr="00C715D7">
        <w:rPr>
          <w:rFonts w:cs="Times New Roman"/>
          <w:b/>
        </w:rPr>
        <w:t>Mieszkanie chronione</w:t>
      </w:r>
      <w:r w:rsidRPr="00C715D7">
        <w:rPr>
          <w:rFonts w:cs="Times New Roman"/>
        </w:rPr>
        <w:t xml:space="preserve"> to miejsce (mieszkanie), w którym osoba — ze względu na trudną sytuację życiową, wiek, niepełnosprawność lub chorobę otrzymuje okresowe </w:t>
      </w:r>
      <w:r w:rsidRPr="00C715D7">
        <w:rPr>
          <w:rFonts w:cs="Times New Roman"/>
          <w:noProof/>
          <w:lang w:eastAsia="pl-PL"/>
        </w:rPr>
        <w:drawing>
          <wp:inline distT="0" distB="0" distL="0" distR="0" wp14:anchorId="1F792E85" wp14:editId="06FA61B0">
            <wp:extent cx="9144" cy="79271"/>
            <wp:effectExtent l="0" t="0" r="0" b="0"/>
            <wp:docPr id="38" name="Picture 22748"/>
            <wp:cNvGraphicFramePr/>
            <a:graphic xmlns:a="http://schemas.openxmlformats.org/drawingml/2006/main">
              <a:graphicData uri="http://schemas.openxmlformats.org/drawingml/2006/picture">
                <pic:pic xmlns:pic="http://schemas.openxmlformats.org/drawingml/2006/picture">
                  <pic:nvPicPr>
                    <pic:cNvPr id="22748" name="Picture 22748"/>
                    <pic:cNvPicPr/>
                  </pic:nvPicPr>
                  <pic:blipFill>
                    <a:blip r:embed="rId9"/>
                    <a:stretch>
                      <a:fillRect/>
                    </a:stretch>
                  </pic:blipFill>
                  <pic:spPr>
                    <a:xfrm>
                      <a:off x="0" y="0"/>
                      <a:ext cx="9144" cy="79271"/>
                    </a:xfrm>
                    <a:prstGeom prst="rect">
                      <a:avLst/>
                    </a:prstGeom>
                  </pic:spPr>
                </pic:pic>
              </a:graphicData>
            </a:graphic>
          </wp:inline>
        </w:drawing>
      </w:r>
      <w:r w:rsidRPr="00C715D7">
        <w:rPr>
          <w:rFonts w:cs="Times New Roman"/>
        </w:rPr>
        <w:t>(w wyjątkowych sytuacjach — stałe) wsparcie w funkcjonowaniu w codziennym życiu, przygotowujące ją do prowadzenia samodzielnego życia w integr</w:t>
      </w:r>
      <w:r w:rsidR="00324288">
        <w:rPr>
          <w:rFonts w:cs="Times New Roman"/>
        </w:rPr>
        <w:t xml:space="preserve">acji ze społecznością lokalną. </w:t>
      </w:r>
      <w:r w:rsidRPr="00C715D7">
        <w:rPr>
          <w:rFonts w:cs="Times New Roman"/>
        </w:rPr>
        <w:t xml:space="preserve">Ta forma pomocy społecznej przeznaczona jest także dla osób, które wymagają stałego </w:t>
      </w:r>
      <w:r w:rsidRPr="00C715D7">
        <w:rPr>
          <w:rFonts w:cs="Times New Roman"/>
          <w:noProof/>
          <w:lang w:eastAsia="pl-PL"/>
        </w:rPr>
        <w:drawing>
          <wp:inline distT="0" distB="0" distL="0" distR="0" wp14:anchorId="4E824759" wp14:editId="76F7F3D3">
            <wp:extent cx="9144" cy="18293"/>
            <wp:effectExtent l="0" t="0" r="0" b="0"/>
            <wp:docPr id="39" name="Picture 22752"/>
            <wp:cNvGraphicFramePr/>
            <a:graphic xmlns:a="http://schemas.openxmlformats.org/drawingml/2006/main">
              <a:graphicData uri="http://schemas.openxmlformats.org/drawingml/2006/picture">
                <pic:pic xmlns:pic="http://schemas.openxmlformats.org/drawingml/2006/picture">
                  <pic:nvPicPr>
                    <pic:cNvPr id="22752" name="Picture 22752"/>
                    <pic:cNvPicPr/>
                  </pic:nvPicPr>
                  <pic:blipFill>
                    <a:blip r:embed="rId10"/>
                    <a:stretch>
                      <a:fillRect/>
                    </a:stretch>
                  </pic:blipFill>
                  <pic:spPr>
                    <a:xfrm>
                      <a:off x="0" y="0"/>
                      <a:ext cx="9144" cy="18293"/>
                    </a:xfrm>
                    <a:prstGeom prst="rect">
                      <a:avLst/>
                    </a:prstGeom>
                  </pic:spPr>
                </pic:pic>
              </a:graphicData>
            </a:graphic>
          </wp:inline>
        </w:drawing>
      </w:r>
      <w:r w:rsidRPr="00C715D7">
        <w:rPr>
          <w:rFonts w:cs="Times New Roman"/>
        </w:rPr>
        <w:t>wsp</w:t>
      </w:r>
      <w:r w:rsidR="00324288">
        <w:rPr>
          <w:rFonts w:cs="Times New Roman"/>
        </w:rPr>
        <w:t>arcia, ale nie wymagają usług w </w:t>
      </w:r>
      <w:r w:rsidRPr="00C715D7">
        <w:rPr>
          <w:rFonts w:cs="Times New Roman"/>
        </w:rPr>
        <w:t>takim wymiarze i</w:t>
      </w:r>
      <w:r w:rsidR="00324288">
        <w:rPr>
          <w:rFonts w:cs="Times New Roman"/>
        </w:rPr>
        <w:t xml:space="preserve"> zakresie jaki jest świadczony </w:t>
      </w:r>
      <w:r w:rsidRPr="00C715D7">
        <w:rPr>
          <w:rFonts w:cs="Times New Roman"/>
        </w:rPr>
        <w:t xml:space="preserve">w placówkach opieki całodobowej. </w:t>
      </w:r>
    </w:p>
    <w:p w14:paraId="0264C169" w14:textId="77777777" w:rsidR="00324288" w:rsidRPr="00C715D7" w:rsidRDefault="00324288" w:rsidP="00FF59DD">
      <w:pPr>
        <w:rPr>
          <w:rFonts w:cs="Times New Roman"/>
        </w:rPr>
      </w:pPr>
    </w:p>
    <w:p w14:paraId="6E5C9289" w14:textId="0C89C066" w:rsidR="00C444E7" w:rsidRPr="00C715D7" w:rsidRDefault="00C444E7" w:rsidP="00FF59DD">
      <w:pPr>
        <w:rPr>
          <w:rFonts w:cs="Times New Roman"/>
        </w:rPr>
      </w:pPr>
      <w:r w:rsidRPr="00C715D7">
        <w:rPr>
          <w:rFonts w:cs="Times New Roman"/>
        </w:rPr>
        <w:t>Kadrę stanowią m. in. pracownik socjalny, psycholog, terapeuta, asystent osoby niepełnosprawnej. Warunki pobytu w mieszkaniu chronionym muszą być dostosowane do potrzeb osób przebywających w nim (także osób niepełnosprawnych). Standard określa rozporządzenie  z dnia 26 kwietnia 2018 r. w sprawie mieszkań chronionych (Dz. U. poz.</w:t>
      </w:r>
      <w:r w:rsidR="00230782">
        <w:rPr>
          <w:rFonts w:cs="Times New Roman"/>
        </w:rPr>
        <w:t xml:space="preserve"> </w:t>
      </w:r>
      <w:r w:rsidRPr="00C715D7">
        <w:rPr>
          <w:rFonts w:cs="Times New Roman"/>
        </w:rPr>
        <w:t>822), określające m.in.</w:t>
      </w:r>
      <w:r w:rsidR="00FF59DD">
        <w:rPr>
          <w:rFonts w:cs="Times New Roman"/>
        </w:rPr>
        <w:t> </w:t>
      </w:r>
      <w:r w:rsidRPr="00C715D7">
        <w:rPr>
          <w:rFonts w:cs="Times New Roman"/>
        </w:rPr>
        <w:t>minimalne standardy usług oraz  m</w:t>
      </w:r>
      <w:r w:rsidR="00324288">
        <w:rPr>
          <w:rFonts w:cs="Times New Roman"/>
        </w:rPr>
        <w:t xml:space="preserve">inimalne standardy pomieszczeń </w:t>
      </w:r>
      <w:r w:rsidRPr="00C715D7">
        <w:rPr>
          <w:rFonts w:cs="Times New Roman"/>
        </w:rPr>
        <w:t>w mieszkaniu chronionym.</w:t>
      </w:r>
    </w:p>
    <w:p w14:paraId="706E9737" w14:textId="77777777" w:rsidR="00324288" w:rsidRDefault="00324288" w:rsidP="00FF59DD">
      <w:pPr>
        <w:rPr>
          <w:rFonts w:cs="Times New Roman"/>
        </w:rPr>
      </w:pPr>
    </w:p>
    <w:p w14:paraId="5DAC1D14" w14:textId="68A6A78A" w:rsidR="00C444E7" w:rsidRDefault="00C444E7" w:rsidP="00FF59DD">
      <w:pPr>
        <w:rPr>
          <w:rFonts w:cs="Times New Roman"/>
        </w:rPr>
      </w:pPr>
      <w:r w:rsidRPr="00C715D7">
        <w:rPr>
          <w:rFonts w:cs="Times New Roman"/>
        </w:rPr>
        <w:t xml:space="preserve">Mieszkania chronione dzielą się na: </w:t>
      </w:r>
      <w:r w:rsidRPr="00C715D7">
        <w:rPr>
          <w:rFonts w:cs="Times New Roman"/>
          <w:b/>
        </w:rPr>
        <w:t>mieszkania chronione treningowe oraz wspierane</w:t>
      </w:r>
      <w:r w:rsidR="00324288">
        <w:rPr>
          <w:rFonts w:cs="Times New Roman"/>
        </w:rPr>
        <w:t>. W </w:t>
      </w:r>
      <w:r w:rsidRPr="00C715D7">
        <w:rPr>
          <w:rFonts w:cs="Times New Roman"/>
        </w:rPr>
        <w:t>mieszkaniu chronionym treningowym zapewnia się usługi bytowe oraz naukę, rozwijanie lub</w:t>
      </w:r>
      <w:r w:rsidR="00FF59DD">
        <w:rPr>
          <w:rFonts w:cs="Times New Roman"/>
        </w:rPr>
        <w:t> </w:t>
      </w:r>
      <w:r w:rsidRPr="00C715D7">
        <w:rPr>
          <w:rFonts w:cs="Times New Roman"/>
        </w:rPr>
        <w:t xml:space="preserve">utrwalanie samodzielności, sprawności w zakresie samoobsługi, pełnienia ról społecznych w </w:t>
      </w:r>
      <w:r w:rsidR="00324288">
        <w:rPr>
          <w:rFonts w:cs="Times New Roman"/>
        </w:rPr>
        <w:t> </w:t>
      </w:r>
      <w:r w:rsidRPr="00C715D7">
        <w:rPr>
          <w:rFonts w:cs="Times New Roman"/>
        </w:rPr>
        <w:t>integracji ze społecznością lokalną, w celu umożliwienia p</w:t>
      </w:r>
      <w:r w:rsidR="00324288">
        <w:rPr>
          <w:rFonts w:cs="Times New Roman"/>
        </w:rPr>
        <w:t xml:space="preserve">rowadzenia samodzielnego życia. </w:t>
      </w:r>
      <w:r w:rsidRPr="00C715D7">
        <w:rPr>
          <w:rFonts w:cs="Times New Roman"/>
        </w:rPr>
        <w:t>Natomiast w mieszkaniu chronionym wspieranym zapewnia</w:t>
      </w:r>
      <w:r w:rsidR="00324288">
        <w:rPr>
          <w:rFonts w:cs="Times New Roman"/>
        </w:rPr>
        <w:t xml:space="preserve"> się usługi bytowe oraz pomoc w </w:t>
      </w:r>
      <w:r w:rsidRPr="00C715D7">
        <w:rPr>
          <w:rFonts w:cs="Times New Roman"/>
        </w:rPr>
        <w:t>wykonywaniu czynności niezbędnych w życiu codziennym i real</w:t>
      </w:r>
      <w:r w:rsidR="00324288">
        <w:rPr>
          <w:rFonts w:cs="Times New Roman"/>
        </w:rPr>
        <w:t xml:space="preserve">izacji kontaktów społecznych, w </w:t>
      </w:r>
      <w:r w:rsidRPr="00C715D7">
        <w:rPr>
          <w:rFonts w:cs="Times New Roman"/>
        </w:rPr>
        <w:t>celu utrzymania lub rozwijania sa</w:t>
      </w:r>
      <w:r w:rsidR="00324288">
        <w:rPr>
          <w:rFonts w:cs="Times New Roman"/>
        </w:rPr>
        <w:t xml:space="preserve">modzielności osoby na poziomie </w:t>
      </w:r>
      <w:r w:rsidRPr="00C715D7">
        <w:rPr>
          <w:rFonts w:cs="Times New Roman"/>
        </w:rPr>
        <w:t xml:space="preserve">jej psychofizycznych możliwości. </w:t>
      </w:r>
    </w:p>
    <w:p w14:paraId="2EE46B19" w14:textId="77777777" w:rsidR="00324288" w:rsidRPr="00C715D7" w:rsidRDefault="00324288" w:rsidP="00FF59DD">
      <w:pPr>
        <w:rPr>
          <w:rFonts w:cs="Times New Roman"/>
        </w:rPr>
      </w:pPr>
    </w:p>
    <w:p w14:paraId="0BED67F7" w14:textId="77777777" w:rsidR="00C444E7" w:rsidRPr="00324288" w:rsidRDefault="00D1690A" w:rsidP="00FF59DD">
      <w:pPr>
        <w:rPr>
          <w:rFonts w:cs="Times New Roman"/>
          <w:b/>
        </w:rPr>
      </w:pPr>
      <w:r>
        <w:rPr>
          <w:rFonts w:cs="Times New Roman"/>
          <w:b/>
          <w:u w:val="single"/>
        </w:rPr>
        <w:t>Osoby</w:t>
      </w:r>
      <w:r w:rsidR="00C444E7" w:rsidRPr="00324288">
        <w:rPr>
          <w:rFonts w:cs="Times New Roman"/>
          <w:b/>
          <w:u w:val="single"/>
        </w:rPr>
        <w:t xml:space="preserve"> starsze, to są one kierowane przede wszystkim do mieszkań chronionych wspieranych, gdzie zapewnia się usługi bytowe oraz pomoc w wykonywaniu czynności niezbędnych w życiu codziennym i realizacji kontaktów społecznych, w celu utrzymania lub rozwijania samodzielności osoby na poziomie jej psychofizycznych możliwości. </w:t>
      </w:r>
    </w:p>
    <w:p w14:paraId="2DBA25F4" w14:textId="77777777" w:rsidR="00324288" w:rsidRDefault="00324288" w:rsidP="00FF59DD">
      <w:pPr>
        <w:rPr>
          <w:rFonts w:cs="Times New Roman"/>
        </w:rPr>
      </w:pPr>
    </w:p>
    <w:p w14:paraId="594ED675" w14:textId="1D9415D3" w:rsidR="00324288" w:rsidRDefault="00C444E7" w:rsidP="00FF59DD">
      <w:pPr>
        <w:rPr>
          <w:rFonts w:cs="Times New Roman"/>
        </w:rPr>
      </w:pPr>
      <w:r w:rsidRPr="00C715D7">
        <w:rPr>
          <w:rFonts w:cs="Times New Roman"/>
        </w:rPr>
        <w:t>Według stanu na koniec 2020 r</w:t>
      </w:r>
      <w:r w:rsidR="00230782">
        <w:rPr>
          <w:rFonts w:cs="Times New Roman"/>
        </w:rPr>
        <w:t>.</w:t>
      </w:r>
      <w:r w:rsidRPr="00C715D7">
        <w:rPr>
          <w:rFonts w:cs="Times New Roman"/>
          <w:vertAlign w:val="superscript"/>
        </w:rPr>
        <w:footnoteReference w:id="8"/>
      </w:r>
      <w:r w:rsidR="00E44611">
        <w:rPr>
          <w:rFonts w:cs="Times New Roman"/>
        </w:rPr>
        <w:t xml:space="preserve"> funkcjonowało 1 348</w:t>
      </w:r>
      <w:r w:rsidRPr="00C715D7">
        <w:rPr>
          <w:rFonts w:cs="Times New Roman"/>
        </w:rPr>
        <w:t xml:space="preserve"> mieszkań chronionych na 4 098 miejsc, z kt</w:t>
      </w:r>
      <w:r w:rsidR="00E44611">
        <w:rPr>
          <w:rFonts w:cs="Times New Roman"/>
        </w:rPr>
        <w:t>órych skorzystały</w:t>
      </w:r>
      <w:r w:rsidR="00324288">
        <w:rPr>
          <w:rFonts w:cs="Times New Roman"/>
        </w:rPr>
        <w:t xml:space="preserve"> 3 664 osoby. </w:t>
      </w:r>
      <w:r w:rsidRPr="00C715D7">
        <w:rPr>
          <w:rFonts w:cs="Times New Roman"/>
        </w:rPr>
        <w:t>Liczba mieszkań chronionych działających w 20</w:t>
      </w:r>
      <w:r w:rsidR="00324288">
        <w:rPr>
          <w:rFonts w:cs="Times New Roman"/>
        </w:rPr>
        <w:t xml:space="preserve">20 </w:t>
      </w:r>
      <w:r w:rsidR="00230782">
        <w:rPr>
          <w:rFonts w:cs="Times New Roman"/>
        </w:rPr>
        <w:t xml:space="preserve">r. </w:t>
      </w:r>
      <w:r w:rsidR="00324288">
        <w:rPr>
          <w:rFonts w:cs="Times New Roman"/>
        </w:rPr>
        <w:t xml:space="preserve">była </w:t>
      </w:r>
      <w:r w:rsidR="001A37D0">
        <w:rPr>
          <w:rFonts w:cs="Times New Roman"/>
        </w:rPr>
        <w:lastRenderedPageBreak/>
        <w:t>wyższa o 242 jednost</w:t>
      </w:r>
      <w:r w:rsidR="00324288">
        <w:rPr>
          <w:rFonts w:cs="Times New Roman"/>
        </w:rPr>
        <w:t>k</w:t>
      </w:r>
      <w:r w:rsidR="001A37D0">
        <w:rPr>
          <w:rFonts w:cs="Times New Roman"/>
        </w:rPr>
        <w:t>i</w:t>
      </w:r>
      <w:r w:rsidR="00324288">
        <w:rPr>
          <w:rFonts w:cs="Times New Roman"/>
        </w:rPr>
        <w:t xml:space="preserve"> </w:t>
      </w:r>
      <w:r w:rsidRPr="00C715D7">
        <w:rPr>
          <w:rFonts w:cs="Times New Roman"/>
        </w:rPr>
        <w:t>w stosunku do liczby mieszkań, które f</w:t>
      </w:r>
      <w:r w:rsidR="00324288">
        <w:rPr>
          <w:rFonts w:cs="Times New Roman"/>
        </w:rPr>
        <w:t xml:space="preserve">unkcjonowały w 2019 </w:t>
      </w:r>
      <w:r w:rsidR="00230782">
        <w:rPr>
          <w:rFonts w:cs="Times New Roman"/>
        </w:rPr>
        <w:t>r.</w:t>
      </w:r>
      <w:r w:rsidR="00324288">
        <w:rPr>
          <w:rFonts w:cs="Times New Roman"/>
        </w:rPr>
        <w:t xml:space="preserve"> (1 106 </w:t>
      </w:r>
      <w:r w:rsidRPr="00C715D7">
        <w:rPr>
          <w:rFonts w:cs="Times New Roman"/>
        </w:rPr>
        <w:t xml:space="preserve">mieszkań chronionych), </w:t>
      </w:r>
      <w:r w:rsidR="001A37D0">
        <w:rPr>
          <w:rFonts w:cs="Times New Roman"/>
        </w:rPr>
        <w:t>co stanowi wzrost o ok. 21,9</w:t>
      </w:r>
      <w:r w:rsidR="00324288">
        <w:rPr>
          <w:rFonts w:cs="Times New Roman"/>
        </w:rPr>
        <w:t xml:space="preserve"> %.</w:t>
      </w:r>
    </w:p>
    <w:p w14:paraId="40863805" w14:textId="77777777" w:rsidR="00324288" w:rsidRDefault="00324288" w:rsidP="00FF59DD">
      <w:pPr>
        <w:rPr>
          <w:rFonts w:cs="Times New Roman"/>
        </w:rPr>
      </w:pPr>
    </w:p>
    <w:p w14:paraId="781FF8C5" w14:textId="7807D363" w:rsidR="00C444E7" w:rsidRPr="00C715D7" w:rsidRDefault="00C444E7" w:rsidP="00FF59DD">
      <w:pPr>
        <w:rPr>
          <w:rFonts w:cs="Times New Roman"/>
        </w:rPr>
      </w:pPr>
      <w:r w:rsidRPr="00C715D7">
        <w:rPr>
          <w:rFonts w:cs="Times New Roman"/>
        </w:rPr>
        <w:t>Tworzenie i prowadzenie mieszkań chronionych jest zadaniem</w:t>
      </w:r>
      <w:r w:rsidR="00324288">
        <w:rPr>
          <w:rFonts w:cs="Times New Roman"/>
        </w:rPr>
        <w:t xml:space="preserve"> własnym samorządu. Jednakże, w </w:t>
      </w:r>
      <w:r w:rsidRPr="00C715D7">
        <w:rPr>
          <w:rFonts w:cs="Times New Roman"/>
        </w:rPr>
        <w:t>związku z realizacją Programu „Za życiem”, możliwe jest dofinansowanie utworzenia takiego mieszkania ze środków budżetu państwa. W 2020</w:t>
      </w:r>
      <w:r w:rsidR="00230782">
        <w:rPr>
          <w:rFonts w:cs="Times New Roman"/>
        </w:rPr>
        <w:t xml:space="preserve"> r.</w:t>
      </w:r>
      <w:r w:rsidRPr="00C715D7">
        <w:rPr>
          <w:rFonts w:cs="Times New Roman"/>
        </w:rPr>
        <w:t xml:space="preserve"> dotacja na  realizację tego zadania wynosiła do 70% kosztów jego realizacji. W ramach Działania 4.7 w 2020 </w:t>
      </w:r>
      <w:r w:rsidR="00230782">
        <w:rPr>
          <w:rFonts w:cs="Times New Roman"/>
        </w:rPr>
        <w:t xml:space="preserve">r. </w:t>
      </w:r>
      <w:r w:rsidRPr="00C715D7">
        <w:rPr>
          <w:rFonts w:cs="Times New Roman"/>
        </w:rPr>
        <w:t xml:space="preserve">utworzono ogółem 18 mieszkań chronionych(4 mieszkania chronione treningowe i 14 mieszkań chronionych wspieranych) dla 59 osób (9 w mieszkaniach treningowych i 50 </w:t>
      </w:r>
      <w:r w:rsidR="00324288">
        <w:rPr>
          <w:rFonts w:cs="Times New Roman"/>
        </w:rPr>
        <w:t>w mieszkaniach wspieranych). Na </w:t>
      </w:r>
      <w:r w:rsidRPr="00C715D7">
        <w:rPr>
          <w:rFonts w:cs="Times New Roman"/>
        </w:rPr>
        <w:t>powyższe wydatkowano łącznie kwotę 3 247 512,87 zł</w:t>
      </w:r>
      <w:r w:rsidR="00324288">
        <w:rPr>
          <w:rFonts w:cs="Times New Roman"/>
          <w:b/>
        </w:rPr>
        <w:t xml:space="preserve"> </w:t>
      </w:r>
      <w:r w:rsidRPr="00C715D7">
        <w:rPr>
          <w:rFonts w:cs="Times New Roman"/>
        </w:rPr>
        <w:t>(z czego 1 816 886,68 zł to środki rezerwy celowej budżetu państwa, a 1 430 626,19 zł to środki własne samorządu).</w:t>
      </w:r>
    </w:p>
    <w:p w14:paraId="7D979F6A" w14:textId="77777777" w:rsidR="00C444E7" w:rsidRPr="00C715D7" w:rsidRDefault="00C444E7" w:rsidP="00FF59DD">
      <w:pPr>
        <w:rPr>
          <w:rFonts w:cs="Times New Roman"/>
        </w:rPr>
      </w:pPr>
    </w:p>
    <w:p w14:paraId="3CCB9D78" w14:textId="77777777" w:rsidR="00C444E7" w:rsidRPr="00C715D7" w:rsidRDefault="00C444E7" w:rsidP="00FF59DD">
      <w:pPr>
        <w:rPr>
          <w:rFonts w:cs="Times New Roman"/>
        </w:rPr>
      </w:pPr>
      <w:r w:rsidRPr="00C715D7">
        <w:rPr>
          <w:rFonts w:cs="Times New Roman"/>
          <w:b/>
        </w:rPr>
        <w:t>Rodzinne domy pomocy</w:t>
      </w:r>
      <w:r w:rsidRPr="00C715D7">
        <w:rPr>
          <w:rFonts w:cs="Times New Roman"/>
        </w:rPr>
        <w:t xml:space="preserve"> służą zapewnieniu pobytu stałego lub okresowego osobom wymagającym pomocy innych osób, z powodu wieku lub niepełnosprawności, którym nie można zapewnić usług opiek</w:t>
      </w:r>
      <w:r w:rsidR="00324288">
        <w:rPr>
          <w:rFonts w:cs="Times New Roman"/>
        </w:rPr>
        <w:t xml:space="preserve">uńczych w miejscu zamieszkania. </w:t>
      </w:r>
      <w:r w:rsidRPr="00C715D7">
        <w:rPr>
          <w:rFonts w:cs="Times New Roman"/>
        </w:rPr>
        <w:t xml:space="preserve">Tego rodzaju wsparcie zapewnia usługi opiekuńcze i bytowe i jest świadczone przez osoby fizyczne lub organizacje pożytku publicznego. </w:t>
      </w:r>
    </w:p>
    <w:p w14:paraId="6A64D716" w14:textId="45B6FDC3" w:rsidR="00C444E7" w:rsidRPr="00C715D7" w:rsidRDefault="00C444E7" w:rsidP="00FF59DD">
      <w:pPr>
        <w:rPr>
          <w:rFonts w:cs="Times New Roman"/>
        </w:rPr>
      </w:pPr>
      <w:r w:rsidRPr="00C715D7">
        <w:rPr>
          <w:rFonts w:cs="Times New Roman"/>
        </w:rPr>
        <w:t>Według stanu na koniec 2020 r</w:t>
      </w:r>
      <w:r w:rsidR="00230782">
        <w:rPr>
          <w:rFonts w:cs="Times New Roman"/>
        </w:rPr>
        <w:t>.</w:t>
      </w:r>
      <w:r w:rsidRPr="00C715D7">
        <w:rPr>
          <w:rFonts w:cs="Times New Roman"/>
          <w:vertAlign w:val="superscript"/>
        </w:rPr>
        <w:footnoteReference w:id="9"/>
      </w:r>
      <w:r w:rsidRPr="00C715D7">
        <w:rPr>
          <w:rFonts w:cs="Times New Roman"/>
        </w:rPr>
        <w:t xml:space="preserve"> na terenie Polski funkcjonowało 47 rodzinnych domów pomocy (o 14 więcej, niż w 2019 r</w:t>
      </w:r>
      <w:r w:rsidR="00230782">
        <w:rPr>
          <w:rFonts w:cs="Times New Roman"/>
        </w:rPr>
        <w:t>.</w:t>
      </w:r>
      <w:r w:rsidRPr="00C715D7">
        <w:rPr>
          <w:rFonts w:cs="Times New Roman"/>
        </w:rPr>
        <w:t xml:space="preserve">, co stanowi wzrost liczby placówek </w:t>
      </w:r>
      <w:r w:rsidRPr="00C715D7">
        <w:rPr>
          <w:rFonts w:cs="Times New Roman"/>
        </w:rPr>
        <w:br/>
        <w:t xml:space="preserve">o ok. 42,4 %) </w:t>
      </w:r>
      <w:r w:rsidRPr="00C715D7">
        <w:rPr>
          <w:rFonts w:cs="Times New Roman"/>
          <w:noProof/>
          <w:lang w:eastAsia="pl-PL"/>
        </w:rPr>
        <w:drawing>
          <wp:inline distT="0" distB="0" distL="0" distR="0" wp14:anchorId="2151E555" wp14:editId="5DD7B522">
            <wp:extent cx="3047" cy="6098"/>
            <wp:effectExtent l="0" t="0" r="0" b="0"/>
            <wp:docPr id="1" name="Picture 7937"/>
            <wp:cNvGraphicFramePr/>
            <a:graphic xmlns:a="http://schemas.openxmlformats.org/drawingml/2006/main">
              <a:graphicData uri="http://schemas.openxmlformats.org/drawingml/2006/picture">
                <pic:pic xmlns:pic="http://schemas.openxmlformats.org/drawingml/2006/picture">
                  <pic:nvPicPr>
                    <pic:cNvPr id="7937" name="Picture 7937"/>
                    <pic:cNvPicPr/>
                  </pic:nvPicPr>
                  <pic:blipFill>
                    <a:blip r:embed="rId11"/>
                    <a:stretch>
                      <a:fillRect/>
                    </a:stretch>
                  </pic:blipFill>
                  <pic:spPr>
                    <a:xfrm>
                      <a:off x="0" y="0"/>
                      <a:ext cx="3047" cy="6098"/>
                    </a:xfrm>
                    <a:prstGeom prst="rect">
                      <a:avLst/>
                    </a:prstGeom>
                  </pic:spPr>
                </pic:pic>
              </a:graphicData>
            </a:graphic>
          </wp:inline>
        </w:drawing>
      </w:r>
      <w:r w:rsidRPr="00C715D7">
        <w:rPr>
          <w:rFonts w:cs="Times New Roman"/>
        </w:rPr>
        <w:t>na 354 miejsca (zwiększenie liczby miejsc o 126, co stanowi ok. 55,3 % wzrost liczby miejsc względem 2019 r</w:t>
      </w:r>
      <w:r w:rsidR="00F77CDB">
        <w:rPr>
          <w:rFonts w:cs="Times New Roman"/>
        </w:rPr>
        <w:t>.</w:t>
      </w:r>
      <w:r w:rsidRPr="00C715D7">
        <w:rPr>
          <w:rFonts w:cs="Times New Roman"/>
        </w:rPr>
        <w:t>). Z rodzinnych domów pomocy w 2020 r</w:t>
      </w:r>
      <w:r w:rsidR="00F77CDB">
        <w:rPr>
          <w:rFonts w:cs="Times New Roman"/>
        </w:rPr>
        <w:t>.</w:t>
      </w:r>
      <w:r w:rsidRPr="00C715D7">
        <w:rPr>
          <w:rFonts w:cs="Times New Roman"/>
        </w:rPr>
        <w:t xml:space="preserve"> skorzystały łącznie 343 osoby (o 112 osób więcej, niż w 2019 r</w:t>
      </w:r>
      <w:r w:rsidR="00F77CDB">
        <w:rPr>
          <w:rFonts w:cs="Times New Roman"/>
        </w:rPr>
        <w:t>.</w:t>
      </w:r>
      <w:r w:rsidRPr="00C715D7">
        <w:rPr>
          <w:rFonts w:cs="Times New Roman"/>
        </w:rPr>
        <w:t>, co stanowi wzrost liczby osób korzystających z tej formy wsparcia o ok. 48,5 % względem 2019 r</w:t>
      </w:r>
      <w:r w:rsidR="00F77CDB">
        <w:rPr>
          <w:rFonts w:cs="Times New Roman"/>
        </w:rPr>
        <w:t>.</w:t>
      </w:r>
      <w:r w:rsidRPr="00C715D7">
        <w:rPr>
          <w:rFonts w:cs="Times New Roman"/>
        </w:rPr>
        <w:t>).</w:t>
      </w:r>
    </w:p>
    <w:p w14:paraId="399C66AC" w14:textId="77777777" w:rsidR="00C444E7" w:rsidRPr="00C715D7" w:rsidRDefault="00C444E7" w:rsidP="00FF59DD">
      <w:pPr>
        <w:rPr>
          <w:rFonts w:cs="Times New Roman"/>
          <w:b/>
        </w:rPr>
      </w:pPr>
    </w:p>
    <w:p w14:paraId="401B9BBE" w14:textId="77777777" w:rsidR="00C444E7" w:rsidRPr="00C715D7" w:rsidRDefault="00C444E7" w:rsidP="00FF59DD">
      <w:pPr>
        <w:rPr>
          <w:rFonts w:cs="Times New Roman"/>
        </w:rPr>
      </w:pPr>
      <w:r w:rsidRPr="00C715D7">
        <w:rPr>
          <w:rFonts w:cs="Times New Roman"/>
        </w:rPr>
        <w:t xml:space="preserve">Oprócz ww. usług i form świadczonych w środowisku lokalnym, osobom starszym przysługuje prawo do umieszczenia w domu pomocy społecznej. Należy wyraźnie podkreślić, </w:t>
      </w:r>
      <w:r w:rsidRPr="00C715D7">
        <w:rPr>
          <w:rFonts w:cs="Times New Roman"/>
        </w:rPr>
        <w:br/>
        <w:t>że umieszczenie osoby w domu pomocy społecznej jest ostatecznością. Poprzedzone powinno być ono rzetelną oceną możliwości udzielenia pomocy w miejscu jej zamieszkania oraz zbadaniem jej sytuacji rodzinnej. Skierowanie do domu pomocy społecznej (DPS) wymaga oceny stanu zdrowia oraz uprzedniego ustalenia zakresu możliwości korzystania przez daną osobę z pomocy środowiskowej, zwłaszcza zbadania możliwości zorganizowania usług opiekuńczych lub specjalistycznych usług opiekuńczych w miejscu zamieszkania.</w:t>
      </w:r>
    </w:p>
    <w:p w14:paraId="7E3297E5" w14:textId="77777777" w:rsidR="00C444E7" w:rsidRPr="00C715D7" w:rsidRDefault="00C444E7" w:rsidP="00FF59DD">
      <w:pPr>
        <w:rPr>
          <w:rFonts w:cs="Times New Roman"/>
        </w:rPr>
      </w:pPr>
    </w:p>
    <w:p w14:paraId="75FA1E28" w14:textId="77777777" w:rsidR="00C444E7" w:rsidRPr="00C715D7" w:rsidRDefault="00C444E7" w:rsidP="00FF59DD">
      <w:pPr>
        <w:rPr>
          <w:rFonts w:cs="Times New Roman"/>
          <w:b/>
        </w:rPr>
      </w:pPr>
      <w:r w:rsidRPr="00C715D7">
        <w:rPr>
          <w:rFonts w:cs="Times New Roman"/>
          <w:b/>
        </w:rPr>
        <w:t xml:space="preserve">Dom pomocy społecznej </w:t>
      </w:r>
    </w:p>
    <w:p w14:paraId="1763C903" w14:textId="77777777" w:rsidR="00C444E7" w:rsidRDefault="00C444E7" w:rsidP="00FF59DD">
      <w:pPr>
        <w:rPr>
          <w:rFonts w:cs="Times New Roman"/>
          <w:bCs/>
        </w:rPr>
      </w:pPr>
      <w:r w:rsidRPr="00C715D7">
        <w:rPr>
          <w:rFonts w:cs="Times New Roman"/>
          <w:bCs/>
        </w:rPr>
        <w:t>Domy pomocy społecznej przeznaczone są dla osób wyma</w:t>
      </w:r>
      <w:r w:rsidR="00324288">
        <w:rPr>
          <w:rFonts w:cs="Times New Roman"/>
          <w:bCs/>
        </w:rPr>
        <w:t>gających  całodobowej opieki ze </w:t>
      </w:r>
      <w:r w:rsidRPr="00C715D7">
        <w:rPr>
          <w:rFonts w:cs="Times New Roman"/>
          <w:bCs/>
        </w:rPr>
        <w:t>względu na wiek, chorobę lub niepełnosprawność. Są to placówki całodobowego stałego pobytu zapewniające usługi bytowe, opiekuńcze, wspomagające. Domy pomocy społecznej umożliwiają i organizują mieszkańcom pomoc w korzystaniu ze świadczeń zdrowotnych przysługujących im na podstawie odrębnych przepisów.</w:t>
      </w:r>
    </w:p>
    <w:p w14:paraId="65A3C4CE" w14:textId="77777777" w:rsidR="00D1690A" w:rsidRPr="00C715D7" w:rsidRDefault="00D1690A" w:rsidP="00FF59DD">
      <w:pPr>
        <w:rPr>
          <w:rFonts w:cs="Times New Roman"/>
          <w:b/>
        </w:rPr>
      </w:pPr>
    </w:p>
    <w:p w14:paraId="56C21223" w14:textId="77777777" w:rsidR="00C444E7" w:rsidRPr="00C715D7" w:rsidRDefault="00C444E7" w:rsidP="00FF59DD">
      <w:pPr>
        <w:rPr>
          <w:rFonts w:cs="Times New Roman"/>
          <w:b/>
        </w:rPr>
      </w:pPr>
      <w:r w:rsidRPr="00C715D7">
        <w:rPr>
          <w:rFonts w:cs="Times New Roman"/>
        </w:rPr>
        <w:t xml:space="preserve">Decyzję o skierowaniu do domu pomocy społecznej i decyzję ustalającą opłatę za pobyt </w:t>
      </w:r>
      <w:r w:rsidRPr="00C715D7">
        <w:rPr>
          <w:rFonts w:cs="Times New Roman"/>
        </w:rPr>
        <w:br/>
        <w:t>w domu wydaje organ gminy właściwej dla tej osoby w dniu jej kierowania do domu. Decyzję o</w:t>
      </w:r>
      <w:r w:rsidR="00324288">
        <w:rPr>
          <w:rFonts w:cs="Times New Roman"/>
        </w:rPr>
        <w:t> </w:t>
      </w:r>
      <w:r w:rsidRPr="00C715D7">
        <w:rPr>
          <w:rFonts w:cs="Times New Roman"/>
        </w:rPr>
        <w:t xml:space="preserve">umieszczeniu w domu pomocy społecznej wydaje organ gminy prowadzącej dom lub starosta powiatu prowadzącego dom. W przypadku regionalnych domów pomocy społecznej decyzję </w:t>
      </w:r>
      <w:r w:rsidRPr="00C715D7">
        <w:rPr>
          <w:rFonts w:cs="Times New Roman"/>
        </w:rPr>
        <w:lastRenderedPageBreak/>
        <w:t xml:space="preserve">wydaje marszałek województwa. </w:t>
      </w:r>
      <w:r w:rsidRPr="00C715D7">
        <w:rPr>
          <w:rFonts w:cs="Times New Roman"/>
          <w:bCs/>
        </w:rPr>
        <w:t>Pobyt w domu pomocy społecznej jest odpłatny do pełnego kosztu utrzymania, przy czym:</w:t>
      </w:r>
    </w:p>
    <w:p w14:paraId="6E3EB9DB" w14:textId="77777777" w:rsidR="00C444E7" w:rsidRPr="00C715D7" w:rsidRDefault="00C444E7" w:rsidP="00FE70E3">
      <w:pPr>
        <w:numPr>
          <w:ilvl w:val="0"/>
          <w:numId w:val="18"/>
        </w:numPr>
        <w:rPr>
          <w:rFonts w:cs="Times New Roman"/>
        </w:rPr>
      </w:pPr>
      <w:r w:rsidRPr="00C715D7">
        <w:rPr>
          <w:rFonts w:cs="Times New Roman"/>
        </w:rPr>
        <w:t xml:space="preserve">jako pierwsza opłatę ponosi osoba kierowana do domu pomocy społecznej </w:t>
      </w:r>
      <w:r w:rsidRPr="00C715D7">
        <w:rPr>
          <w:rFonts w:cs="Times New Roman"/>
        </w:rPr>
        <w:br/>
        <w:t>w wysokości 70 % dochodu własnego nie więcej niż pełny koszt utrzymania,</w:t>
      </w:r>
    </w:p>
    <w:p w14:paraId="776CEB09" w14:textId="77777777" w:rsidR="00C444E7" w:rsidRPr="00C715D7" w:rsidRDefault="00C444E7" w:rsidP="00FE70E3">
      <w:pPr>
        <w:numPr>
          <w:ilvl w:val="0"/>
          <w:numId w:val="18"/>
        </w:numPr>
        <w:rPr>
          <w:rFonts w:cs="Times New Roman"/>
        </w:rPr>
      </w:pPr>
      <w:r w:rsidRPr="00C715D7">
        <w:rPr>
          <w:rFonts w:cs="Times New Roman"/>
        </w:rPr>
        <w:t xml:space="preserve">w drugiej kolejności rodzina osoby kierowanej - małżonek, zstępni (dzieci, wnuki) przed wstępnymi (rodzicami, dziadkami) jeżeli jej sytuacja na to pozwala (tylko wtedy, gdy odpłatność wnoszona przez mieszkańca domu nie pokrywa w pełni średniego miesięcznego kosztu utrzymania w domu pomocy społecznej); </w:t>
      </w:r>
    </w:p>
    <w:p w14:paraId="2881A870" w14:textId="0DF0F189" w:rsidR="00C444E7" w:rsidRPr="00C715D7" w:rsidRDefault="00C444E7" w:rsidP="00FF59DD">
      <w:pPr>
        <w:rPr>
          <w:rFonts w:cs="Times New Roman"/>
        </w:rPr>
      </w:pPr>
      <w:r w:rsidRPr="00C715D7">
        <w:rPr>
          <w:rFonts w:cs="Times New Roman"/>
        </w:rPr>
        <w:t>Ustawa określa ustalanie odpłatności w przypadku dochodu wyższego niż 300% kryterium dochodowego osoby samotnie gospodar</w:t>
      </w:r>
      <w:r w:rsidR="00324288">
        <w:rPr>
          <w:rFonts w:cs="Times New Roman"/>
        </w:rPr>
        <w:t xml:space="preserve">ującej (czyli powyżej 2103 zł) </w:t>
      </w:r>
      <w:r w:rsidRPr="00C715D7">
        <w:rPr>
          <w:rFonts w:cs="Times New Roman"/>
        </w:rPr>
        <w:t>i wyższego niż 300% kryterium dochodowego na osobę w rodzinie (czyli powyżej 1584 zł).</w:t>
      </w:r>
      <w:r w:rsidR="00324288">
        <w:rPr>
          <w:rFonts w:cs="Times New Roman"/>
        </w:rPr>
        <w:t xml:space="preserve"> </w:t>
      </w:r>
      <w:r w:rsidRPr="00C715D7">
        <w:rPr>
          <w:rFonts w:cs="Times New Roman"/>
        </w:rPr>
        <w:t>W sytuacji wniesienia odpłatności przez członków rodziny kwota dochodu poz</w:t>
      </w:r>
      <w:r w:rsidR="00EE73AF">
        <w:rPr>
          <w:rFonts w:cs="Times New Roman"/>
        </w:rPr>
        <w:t>ostająca po wniesieniu opłaty w </w:t>
      </w:r>
      <w:r w:rsidRPr="00C715D7">
        <w:rPr>
          <w:rFonts w:cs="Times New Roman"/>
        </w:rPr>
        <w:t>przypadku osoby samotnie gospodarującej nie może być niżs</w:t>
      </w:r>
      <w:r w:rsidR="00EE73AF">
        <w:rPr>
          <w:rFonts w:cs="Times New Roman"/>
        </w:rPr>
        <w:t>za niż 300% tego kryterium, a w </w:t>
      </w:r>
      <w:r w:rsidRPr="00C715D7">
        <w:rPr>
          <w:rFonts w:cs="Times New Roman"/>
        </w:rPr>
        <w:t>przypadku osoby w rodzinie nie może być niższa niż 300% kryterium dochodowego na osobę w rodzinie,</w:t>
      </w:r>
    </w:p>
    <w:p w14:paraId="1127A762" w14:textId="77777777" w:rsidR="00C444E7" w:rsidRPr="00C715D7" w:rsidRDefault="00C444E7" w:rsidP="00FE70E3">
      <w:pPr>
        <w:numPr>
          <w:ilvl w:val="0"/>
          <w:numId w:val="19"/>
        </w:numPr>
        <w:rPr>
          <w:rFonts w:cs="Times New Roman"/>
        </w:rPr>
      </w:pPr>
      <w:r w:rsidRPr="00C715D7">
        <w:rPr>
          <w:rFonts w:cs="Times New Roman"/>
        </w:rPr>
        <w:t>trzecia w kolejności jest gmina, z której osoba została skierowana do domu pomocy społecznej – w wysokości różnicy między średnim kosztem utrzym</w:t>
      </w:r>
      <w:r w:rsidR="00324288">
        <w:rPr>
          <w:rFonts w:cs="Times New Roman"/>
        </w:rPr>
        <w:t>ania w domu pomocy społecznej a </w:t>
      </w:r>
      <w:r w:rsidRPr="00C715D7">
        <w:rPr>
          <w:rFonts w:cs="Times New Roman"/>
        </w:rPr>
        <w:t xml:space="preserve">opłatami wnoszonymi przez osoby, o których mowa wyżej. </w:t>
      </w:r>
    </w:p>
    <w:p w14:paraId="394D1426" w14:textId="77777777" w:rsidR="00324288" w:rsidRDefault="00324288" w:rsidP="00FF59DD">
      <w:pPr>
        <w:rPr>
          <w:rFonts w:cs="Times New Roman"/>
        </w:rPr>
      </w:pPr>
    </w:p>
    <w:p w14:paraId="5D0ABC76" w14:textId="77777777" w:rsidR="00C444E7" w:rsidRPr="00C715D7" w:rsidRDefault="00C444E7" w:rsidP="00FF59DD">
      <w:pPr>
        <w:rPr>
          <w:rFonts w:cs="Times New Roman"/>
        </w:rPr>
      </w:pPr>
      <w:r w:rsidRPr="00C715D7">
        <w:rPr>
          <w:rFonts w:cs="Times New Roman"/>
        </w:rPr>
        <w:t>W przypadku mieszkańca domu odpłatność za pobyt w domu po</w:t>
      </w:r>
      <w:r w:rsidR="00324288">
        <w:rPr>
          <w:rFonts w:cs="Times New Roman"/>
        </w:rPr>
        <w:t>mocy społecznej ustalana jest w </w:t>
      </w:r>
      <w:r w:rsidRPr="00C715D7">
        <w:rPr>
          <w:rFonts w:cs="Times New Roman"/>
        </w:rPr>
        <w:t>drodze decyzji administracyjnej. Odpłatność wnoszona przez rodzinę ustalana jest w drodze umowy. Jeżeli osoba zobowiązana nie wyrazi zgody na zawarcie takiej umowy, wysokość jej opłaty za pobyt mieszkańca domu w domu pomocy społecznej ustala w drodze decyzji organ gminy.</w:t>
      </w:r>
    </w:p>
    <w:p w14:paraId="7FECDFB8" w14:textId="77777777" w:rsidR="00324288" w:rsidRDefault="00324288" w:rsidP="00FF59DD">
      <w:pPr>
        <w:rPr>
          <w:rFonts w:cs="Times New Roman"/>
        </w:rPr>
      </w:pPr>
    </w:p>
    <w:p w14:paraId="3D4F826A" w14:textId="77777777" w:rsidR="00C444E7" w:rsidRDefault="00C444E7" w:rsidP="00FF59DD">
      <w:pPr>
        <w:rPr>
          <w:rFonts w:cs="Times New Roman"/>
        </w:rPr>
      </w:pPr>
      <w:r w:rsidRPr="00C715D7">
        <w:rPr>
          <w:rFonts w:cs="Times New Roman"/>
        </w:rPr>
        <w:t>Domy pomocy społecznej mogą prowadzić, po</w:t>
      </w:r>
      <w:r w:rsidR="00324288">
        <w:rPr>
          <w:rFonts w:cs="Times New Roman"/>
        </w:rPr>
        <w:t xml:space="preserve"> uzyskaniu zezwolenia wojewody: </w:t>
      </w:r>
      <w:r w:rsidRPr="00C715D7">
        <w:rPr>
          <w:rFonts w:cs="Times New Roman"/>
        </w:rPr>
        <w:t>jednostki samorządu terytorialne</w:t>
      </w:r>
      <w:r w:rsidR="00324288">
        <w:rPr>
          <w:rFonts w:cs="Times New Roman"/>
        </w:rPr>
        <w:t xml:space="preserve">go; </w:t>
      </w:r>
      <w:r w:rsidRPr="00C715D7">
        <w:rPr>
          <w:rFonts w:cs="Times New Roman"/>
        </w:rPr>
        <w:t>Kościół Katolicki, inne kościoły, związki wyznaniow</w:t>
      </w:r>
      <w:r w:rsidR="00324288">
        <w:rPr>
          <w:rFonts w:cs="Times New Roman"/>
        </w:rPr>
        <w:t xml:space="preserve">e oraz organizacje   społeczne, fundacje i stowarzyszenia; inne osoby prawne; </w:t>
      </w:r>
      <w:r w:rsidRPr="00C715D7">
        <w:rPr>
          <w:rFonts w:cs="Times New Roman"/>
        </w:rPr>
        <w:t>osoby fizyczne.</w:t>
      </w:r>
    </w:p>
    <w:p w14:paraId="2E4AFDFE" w14:textId="77777777" w:rsidR="00324288" w:rsidRPr="00C715D7" w:rsidRDefault="00324288" w:rsidP="00FF59DD">
      <w:pPr>
        <w:rPr>
          <w:rFonts w:cs="Times New Roman"/>
        </w:rPr>
      </w:pPr>
    </w:p>
    <w:p w14:paraId="0DFEB8D1" w14:textId="0B3E3F3C" w:rsidR="00C444E7" w:rsidRPr="00C715D7" w:rsidRDefault="00C444E7" w:rsidP="00FF59DD">
      <w:pPr>
        <w:rPr>
          <w:rFonts w:cs="Times New Roman"/>
          <w:b/>
        </w:rPr>
      </w:pPr>
      <w:r w:rsidRPr="00C715D7">
        <w:rPr>
          <w:rFonts w:cs="Times New Roman"/>
        </w:rPr>
        <w:t>Na koniec 2020 r</w:t>
      </w:r>
      <w:r w:rsidR="00F77CDB">
        <w:rPr>
          <w:rFonts w:cs="Times New Roman"/>
        </w:rPr>
        <w:t>.</w:t>
      </w:r>
      <w:r w:rsidRPr="00C715D7">
        <w:rPr>
          <w:rFonts w:cs="Times New Roman"/>
          <w:vertAlign w:val="superscript"/>
        </w:rPr>
        <w:footnoteReference w:id="10"/>
      </w:r>
      <w:r w:rsidRPr="00C715D7">
        <w:rPr>
          <w:rFonts w:cs="Times New Roman"/>
        </w:rPr>
        <w:t xml:space="preserve"> na</w:t>
      </w:r>
      <w:r w:rsidR="001A37D0">
        <w:rPr>
          <w:rFonts w:cs="Times New Roman"/>
        </w:rPr>
        <w:t xml:space="preserve"> terenie kraju funkcjonowało 826</w:t>
      </w:r>
      <w:r w:rsidRPr="00C715D7">
        <w:rPr>
          <w:rFonts w:cs="Times New Roman"/>
        </w:rPr>
        <w:t xml:space="preserve"> gminnych i ponadgminnych domów pomocy społecznej na ogólną liczbę miejsc 81 004, w których</w:t>
      </w:r>
      <w:r w:rsidR="00324288">
        <w:rPr>
          <w:rFonts w:cs="Times New Roman"/>
        </w:rPr>
        <w:t xml:space="preserve"> liczba mieszkańców wynosiła 75 </w:t>
      </w:r>
      <w:r w:rsidRPr="00C715D7">
        <w:rPr>
          <w:rFonts w:cs="Times New Roman"/>
        </w:rPr>
        <w:t>133 osoby, przy czym w domach pomocy społecznej, w których przebywają osoby starsze kształtowała się następująco:</w:t>
      </w:r>
    </w:p>
    <w:p w14:paraId="0004DE9B" w14:textId="1BA09078" w:rsidR="00324288" w:rsidRDefault="00C444E7" w:rsidP="00FE70E3">
      <w:pPr>
        <w:pStyle w:val="Akapitzlist"/>
        <w:numPr>
          <w:ilvl w:val="0"/>
          <w:numId w:val="19"/>
        </w:numPr>
        <w:rPr>
          <w:rFonts w:cs="Times New Roman"/>
        </w:rPr>
      </w:pPr>
      <w:r w:rsidRPr="00324288">
        <w:rPr>
          <w:rFonts w:cs="Times New Roman"/>
        </w:rPr>
        <w:t>dla osób w podeszłym wieku l</w:t>
      </w:r>
      <w:r w:rsidR="001A37D0">
        <w:rPr>
          <w:rFonts w:cs="Times New Roman"/>
        </w:rPr>
        <w:t>iczba mieszkańców wynosiła 5 719 na 6 671</w:t>
      </w:r>
      <w:r w:rsidRPr="00324288">
        <w:rPr>
          <w:rFonts w:cs="Times New Roman"/>
        </w:rPr>
        <w:t xml:space="preserve"> miejsca,</w:t>
      </w:r>
    </w:p>
    <w:p w14:paraId="55DC8805" w14:textId="5C71057A" w:rsidR="00324288" w:rsidRDefault="00C444E7" w:rsidP="00FE70E3">
      <w:pPr>
        <w:pStyle w:val="Akapitzlist"/>
        <w:numPr>
          <w:ilvl w:val="0"/>
          <w:numId w:val="19"/>
        </w:numPr>
        <w:rPr>
          <w:rFonts w:cs="Times New Roman"/>
        </w:rPr>
      </w:pPr>
      <w:r w:rsidRPr="00324288">
        <w:rPr>
          <w:rFonts w:cs="Times New Roman"/>
        </w:rPr>
        <w:t>dla osób przewlekle somatycznie chorych li</w:t>
      </w:r>
      <w:r w:rsidR="001A37D0">
        <w:rPr>
          <w:rFonts w:cs="Times New Roman"/>
        </w:rPr>
        <w:t>czba mieszkańców wynosiła 12 157 na 13 400</w:t>
      </w:r>
      <w:r w:rsidRPr="00324288">
        <w:rPr>
          <w:rFonts w:cs="Times New Roman"/>
        </w:rPr>
        <w:t xml:space="preserve"> miejsc,</w:t>
      </w:r>
    </w:p>
    <w:p w14:paraId="085B0C00" w14:textId="77777777" w:rsidR="00324288" w:rsidRDefault="00C444E7" w:rsidP="00FE70E3">
      <w:pPr>
        <w:pStyle w:val="Akapitzlist"/>
        <w:numPr>
          <w:ilvl w:val="0"/>
          <w:numId w:val="19"/>
        </w:numPr>
        <w:rPr>
          <w:rFonts w:cs="Times New Roman"/>
        </w:rPr>
      </w:pPr>
      <w:r w:rsidRPr="00324288">
        <w:rPr>
          <w:rFonts w:cs="Times New Roman"/>
        </w:rPr>
        <w:t>dla osób w podeszłym wieku i dla osób przewlekle somatycznie chorych (typ łączony) liczba mieszkańców wynosiła 8 687 na 10 063 miejsca,</w:t>
      </w:r>
    </w:p>
    <w:p w14:paraId="27E817B8" w14:textId="652923B6" w:rsidR="00C444E7" w:rsidRPr="00324288" w:rsidRDefault="00C444E7" w:rsidP="00FE70E3">
      <w:pPr>
        <w:pStyle w:val="Akapitzlist"/>
        <w:numPr>
          <w:ilvl w:val="0"/>
          <w:numId w:val="19"/>
        </w:numPr>
        <w:rPr>
          <w:rFonts w:cs="Times New Roman"/>
        </w:rPr>
      </w:pPr>
      <w:r w:rsidRPr="00324288">
        <w:rPr>
          <w:rFonts w:cs="Times New Roman"/>
        </w:rPr>
        <w:t>dla osób w podeszłym wieku i osób niepełnosprawnych fizycznie (typ łączony) li</w:t>
      </w:r>
      <w:r w:rsidR="001A37D0">
        <w:rPr>
          <w:rFonts w:cs="Times New Roman"/>
        </w:rPr>
        <w:t>czba mieszkańców wynosiła  1 453 na 1 718</w:t>
      </w:r>
      <w:r w:rsidRPr="00324288">
        <w:rPr>
          <w:rFonts w:cs="Times New Roman"/>
        </w:rPr>
        <w:t xml:space="preserve"> miejsc. </w:t>
      </w:r>
    </w:p>
    <w:p w14:paraId="0DE2BEC5" w14:textId="77777777" w:rsidR="00C444E7" w:rsidRPr="00C715D7" w:rsidRDefault="00C444E7" w:rsidP="00FF59DD">
      <w:pPr>
        <w:rPr>
          <w:rFonts w:cs="Times New Roman"/>
        </w:rPr>
      </w:pPr>
    </w:p>
    <w:p w14:paraId="4EBD45A3" w14:textId="77777777" w:rsidR="00C444E7" w:rsidRDefault="00C444E7" w:rsidP="00FF59DD">
      <w:pPr>
        <w:rPr>
          <w:rFonts w:cs="Times New Roman"/>
        </w:rPr>
      </w:pPr>
      <w:r w:rsidRPr="00C715D7">
        <w:rPr>
          <w:rFonts w:cs="Times New Roman"/>
        </w:rPr>
        <w:t xml:space="preserve">Prowadzenie domów pomocy społecznej jest zadaniem własnym jednostek samorządu terytorialnego, jednakże rokrocznie budżet państwa wspiera samorząd, przekazując środki </w:t>
      </w:r>
      <w:r w:rsidRPr="00C715D7">
        <w:rPr>
          <w:rFonts w:cs="Times New Roman"/>
        </w:rPr>
        <w:br/>
        <w:t>z rezerwy celowej będącej w dyspozycji Ministra</w:t>
      </w:r>
      <w:r w:rsidR="001E362D">
        <w:rPr>
          <w:rFonts w:cs="Times New Roman"/>
        </w:rPr>
        <w:t xml:space="preserve"> Rodziny i Polityki Społecznej. W 2020 r. </w:t>
      </w:r>
      <w:r w:rsidR="001E362D">
        <w:rPr>
          <w:rFonts w:cs="Times New Roman"/>
        </w:rPr>
        <w:lastRenderedPageBreak/>
        <w:t>na </w:t>
      </w:r>
      <w:r w:rsidRPr="00C715D7">
        <w:rPr>
          <w:rFonts w:cs="Times New Roman"/>
        </w:rPr>
        <w:t xml:space="preserve">wsparcie domów pomocy społecznej z rezerw celowych budżetu państwa rozdysponowano łącznie kwotę 137 623 675 zł. </w:t>
      </w:r>
    </w:p>
    <w:p w14:paraId="4E254F49" w14:textId="77777777" w:rsidR="001E362D" w:rsidRPr="00C715D7" w:rsidRDefault="001E362D" w:rsidP="00FF59DD">
      <w:pPr>
        <w:rPr>
          <w:rFonts w:cs="Times New Roman"/>
        </w:rPr>
      </w:pPr>
    </w:p>
    <w:p w14:paraId="085F91E5" w14:textId="77777777" w:rsidR="00C444E7" w:rsidRPr="00C715D7" w:rsidRDefault="00C444E7" w:rsidP="00FF59DD">
      <w:pPr>
        <w:rPr>
          <w:rFonts w:cs="Times New Roman"/>
          <w:bCs/>
        </w:rPr>
      </w:pPr>
      <w:r w:rsidRPr="00C715D7">
        <w:rPr>
          <w:rFonts w:cs="Times New Roman"/>
        </w:rPr>
        <w:t>W ramach rezerwy celowej będącej w gestii ministra właściwego ds. zabezpieczenia społecznego przeznaczono:</w:t>
      </w:r>
      <w:r w:rsidRPr="00C715D7">
        <w:rPr>
          <w:rFonts w:cs="Times New Roman"/>
          <w:bCs/>
        </w:rPr>
        <w:t xml:space="preserve"> </w:t>
      </w:r>
    </w:p>
    <w:p w14:paraId="556CA0A8" w14:textId="25D501B5" w:rsidR="001E362D" w:rsidRDefault="00C444E7" w:rsidP="00FE70E3">
      <w:pPr>
        <w:pStyle w:val="Akapitzlist"/>
        <w:numPr>
          <w:ilvl w:val="0"/>
          <w:numId w:val="67"/>
        </w:numPr>
        <w:rPr>
          <w:rFonts w:cs="Times New Roman"/>
        </w:rPr>
      </w:pPr>
      <w:r w:rsidRPr="001E362D">
        <w:rPr>
          <w:rFonts w:cs="Times New Roman"/>
        </w:rPr>
        <w:t>22 386 000 zł na dofinansowanie mieszkańców domów p</w:t>
      </w:r>
      <w:r w:rsidR="001E362D">
        <w:rPr>
          <w:rFonts w:cs="Times New Roman"/>
        </w:rPr>
        <w:t>omocy społecznej, przyjętych do </w:t>
      </w:r>
      <w:r w:rsidRPr="001E362D">
        <w:rPr>
          <w:rFonts w:cs="Times New Roman"/>
        </w:rPr>
        <w:t xml:space="preserve">placówek na podstawie tzw. „starych zasad” (mieszkańcy przyjęci przed 1 stycznia 2004 roku), czyli zgodnie z art. 87 ustawy </w:t>
      </w:r>
      <w:r w:rsidR="00F77CDB">
        <w:rPr>
          <w:rFonts w:cs="Times New Roman"/>
        </w:rPr>
        <w:t>z dnia 13 listopada 2003 r.</w:t>
      </w:r>
      <w:r w:rsidRPr="001E362D">
        <w:rPr>
          <w:rFonts w:cs="Times New Roman"/>
        </w:rPr>
        <w:t xml:space="preserve"> o dochodach jednostek samorządu terytorialnego</w:t>
      </w:r>
      <w:r w:rsidR="00F77CDB">
        <w:rPr>
          <w:rFonts w:cs="Times New Roman"/>
        </w:rPr>
        <w:t xml:space="preserve"> (Dz. U. z 2021 r38)</w:t>
      </w:r>
      <w:r w:rsidRPr="001E362D">
        <w:rPr>
          <w:rFonts w:cs="Times New Roman"/>
        </w:rPr>
        <w:t>;</w:t>
      </w:r>
    </w:p>
    <w:p w14:paraId="435C3C26" w14:textId="0CBA3E97" w:rsidR="001E362D" w:rsidRDefault="00C444E7" w:rsidP="00FE70E3">
      <w:pPr>
        <w:pStyle w:val="Akapitzlist"/>
        <w:numPr>
          <w:ilvl w:val="0"/>
          <w:numId w:val="67"/>
        </w:numPr>
        <w:rPr>
          <w:rFonts w:cs="Times New Roman"/>
        </w:rPr>
      </w:pPr>
      <w:r w:rsidRPr="001E362D">
        <w:rPr>
          <w:rFonts w:cs="Times New Roman"/>
        </w:rPr>
        <w:t>105 881 685 zł na dofinansowanie zadania własnego na podstawie art. 115 ustawy</w:t>
      </w:r>
      <w:r w:rsidR="00EE73AF">
        <w:rPr>
          <w:rFonts w:cs="Times New Roman"/>
        </w:rPr>
        <w:t xml:space="preserve"> z dnia 12 </w:t>
      </w:r>
      <w:r w:rsidR="00F77CDB">
        <w:rPr>
          <w:rFonts w:cs="Times New Roman"/>
        </w:rPr>
        <w:t>marca 2004 r.</w:t>
      </w:r>
      <w:r w:rsidR="001A37D0">
        <w:rPr>
          <w:rFonts w:cs="Times New Roman"/>
        </w:rPr>
        <w:t xml:space="preserve"> </w:t>
      </w:r>
      <w:r w:rsidRPr="001E362D">
        <w:rPr>
          <w:rFonts w:cs="Times New Roman"/>
        </w:rPr>
        <w:t>o pomocy społecznej z przeznaczeniem na przygotowanie i zabezpieczenie domów pomocy społecznej przed wzrostem zakażeń wywołanych wirusem</w:t>
      </w:r>
      <w:r w:rsidR="00EE73AF">
        <w:rPr>
          <w:rFonts w:cs="Times New Roman"/>
        </w:rPr>
        <w:t xml:space="preserve"> SARS-CoV-2, w </w:t>
      </w:r>
      <w:r w:rsidR="001E362D">
        <w:rPr>
          <w:rFonts w:cs="Times New Roman"/>
        </w:rPr>
        <w:t>szczególności na </w:t>
      </w:r>
      <w:r w:rsidRPr="001E362D">
        <w:rPr>
          <w:rFonts w:cs="Times New Roman"/>
        </w:rPr>
        <w:t>zapewnienie kadry niezbędnej do zapewnienia ciągło</w:t>
      </w:r>
      <w:r w:rsidR="001E362D">
        <w:rPr>
          <w:rFonts w:cs="Times New Roman"/>
        </w:rPr>
        <w:t>ści usług świadczonych przez te </w:t>
      </w:r>
      <w:r w:rsidRPr="001E362D">
        <w:rPr>
          <w:rFonts w:cs="Times New Roman"/>
        </w:rPr>
        <w:t>jednostki</w:t>
      </w:r>
    </w:p>
    <w:p w14:paraId="447C65F4" w14:textId="77777777" w:rsidR="00C444E7" w:rsidRPr="001E362D" w:rsidRDefault="00C444E7" w:rsidP="00FF59DD">
      <w:pPr>
        <w:rPr>
          <w:rFonts w:cs="Times New Roman"/>
        </w:rPr>
      </w:pPr>
      <w:r w:rsidRPr="001E362D">
        <w:rPr>
          <w:rFonts w:cs="Times New Roman"/>
        </w:rPr>
        <w:t xml:space="preserve"> </w:t>
      </w:r>
    </w:p>
    <w:p w14:paraId="73602DE9" w14:textId="77777777" w:rsidR="00C444E7" w:rsidRPr="00C715D7" w:rsidRDefault="00C444E7" w:rsidP="00FF59DD">
      <w:pPr>
        <w:rPr>
          <w:rFonts w:cs="Times New Roman"/>
        </w:rPr>
      </w:pPr>
      <w:r w:rsidRPr="00C715D7">
        <w:rPr>
          <w:rFonts w:cs="Times New Roman"/>
        </w:rPr>
        <w:t>Domy pomocy społecznej otrzymały także środki z rezerwy znajdującej się w gestii prezesa rady ministrów, w  wys. 9 355 990 zł na wzmocnienie zabezpieczenia domów pomocy społecznej przed skutkami występowania wirusa SARS-CoV-2, w szczególności na zapewnienie kadry niezbędnej do zachowania ciągłości usług świadczonych przez te jednostki oraz zakup niezbędnych środków ochrony osobistej, sprzętu i wyposażenia.</w:t>
      </w:r>
    </w:p>
    <w:p w14:paraId="4BCE2F8A" w14:textId="77777777" w:rsidR="00C444E7" w:rsidRPr="00C715D7" w:rsidRDefault="00C444E7" w:rsidP="00C444E7">
      <w:pPr>
        <w:rPr>
          <w:rFonts w:cs="Times New Roman"/>
        </w:rPr>
      </w:pPr>
    </w:p>
    <w:p w14:paraId="4002B08D" w14:textId="77777777" w:rsidR="00C444E7" w:rsidRDefault="00C444E7" w:rsidP="001E362D">
      <w:pPr>
        <w:pStyle w:val="Nagwek3"/>
      </w:pPr>
      <w:bookmarkStart w:id="21" w:name="_Toc77513884"/>
      <w:bookmarkStart w:id="22" w:name="_Toc80523044"/>
      <w:r w:rsidRPr="00C715D7">
        <w:t>Całodobowe usługi świadczone w placówkach zapewniających całodobową opiekę osobom niepełnosprawnym, przewlekle chorym lub osobom w podeszłym wieku prowadzonych w ramach działalności gospodarczej lub statutowej.</w:t>
      </w:r>
      <w:bookmarkEnd w:id="21"/>
      <w:bookmarkEnd w:id="22"/>
      <w:r w:rsidRPr="00C715D7">
        <w:t xml:space="preserve"> </w:t>
      </w:r>
    </w:p>
    <w:p w14:paraId="423BEEE2" w14:textId="77777777" w:rsidR="00D1690A" w:rsidRPr="00D1690A" w:rsidRDefault="00D1690A" w:rsidP="00D1690A"/>
    <w:p w14:paraId="10482FE4" w14:textId="77777777" w:rsidR="00C444E7" w:rsidRPr="00C715D7" w:rsidRDefault="00C444E7" w:rsidP="00C444E7">
      <w:pPr>
        <w:rPr>
          <w:rFonts w:cs="Times New Roman"/>
          <w:b/>
        </w:rPr>
      </w:pPr>
      <w:r w:rsidRPr="00C715D7">
        <w:rPr>
          <w:rFonts w:cs="Times New Roman"/>
        </w:rPr>
        <w:t xml:space="preserve">Zgodnie z przepisami ustawy z dnia 12 marca 2004 r. o pomocy społecznej działalność gospodarcza w zakresie prowadzenia placówki zapewniającej całodobową opiekę osobom niepełnosprawnym, przewlekle chorym lub osobom w podeszłym wieku może być prowadzona po uzyskaniu zezwolenia wojewody. Wymóg uzyskana zezwolenia dotyczy też placówek prowadzonych w ramach działalności statutowej przez Kościół Katolicki, inne kościoły, związki wyznaniowe oraz organizacje społeczne, fundacje i stowarzyszenia. </w:t>
      </w:r>
    </w:p>
    <w:p w14:paraId="3C6204DC" w14:textId="77777777" w:rsidR="00D1690A" w:rsidRDefault="00D1690A" w:rsidP="00C444E7">
      <w:pPr>
        <w:rPr>
          <w:rFonts w:cs="Times New Roman"/>
        </w:rPr>
      </w:pPr>
    </w:p>
    <w:p w14:paraId="17614D42" w14:textId="77777777" w:rsidR="00C444E7" w:rsidRDefault="00C444E7" w:rsidP="00C444E7">
      <w:pPr>
        <w:rPr>
          <w:rFonts w:cs="Times New Roman"/>
        </w:rPr>
      </w:pPr>
      <w:r w:rsidRPr="00C715D7">
        <w:rPr>
          <w:rFonts w:cs="Times New Roman"/>
        </w:rPr>
        <w:t>Opieka w placówce zapewniającej całodobową opiekę osobom niepełnosprawnym, przewlekle chorym lub osobom w podeszłym wieku polega na świadczeniu przez całą dobę usług:</w:t>
      </w:r>
    </w:p>
    <w:p w14:paraId="0ADD8E95" w14:textId="77777777" w:rsidR="00D1690A" w:rsidRPr="00C715D7" w:rsidRDefault="00D1690A" w:rsidP="00C444E7">
      <w:pPr>
        <w:rPr>
          <w:rFonts w:cs="Times New Roman"/>
          <w:b/>
        </w:rPr>
      </w:pPr>
    </w:p>
    <w:p w14:paraId="70B3A70B" w14:textId="77777777" w:rsidR="00C444E7" w:rsidRPr="00C715D7" w:rsidRDefault="00C444E7" w:rsidP="00FE70E3">
      <w:pPr>
        <w:numPr>
          <w:ilvl w:val="0"/>
          <w:numId w:val="60"/>
        </w:numPr>
        <w:rPr>
          <w:rFonts w:cs="Times New Roman"/>
        </w:rPr>
      </w:pPr>
      <w:r w:rsidRPr="00C715D7">
        <w:rPr>
          <w:rFonts w:cs="Times New Roman"/>
        </w:rPr>
        <w:t>opiekuńczych zapewniających:</w:t>
      </w:r>
    </w:p>
    <w:p w14:paraId="371C44B0" w14:textId="77777777" w:rsidR="00C444E7" w:rsidRPr="00C715D7" w:rsidRDefault="00C444E7" w:rsidP="00C444E7">
      <w:pPr>
        <w:rPr>
          <w:rFonts w:cs="Times New Roman"/>
        </w:rPr>
      </w:pPr>
      <w:r w:rsidRPr="00C715D7">
        <w:rPr>
          <w:rFonts w:cs="Times New Roman"/>
        </w:rPr>
        <w:t>a)  udzielanie pomocy w podstawowych czynnościach życiowych,</w:t>
      </w:r>
    </w:p>
    <w:p w14:paraId="5283D8CC" w14:textId="77777777" w:rsidR="00C444E7" w:rsidRPr="00C715D7" w:rsidRDefault="00C444E7" w:rsidP="00C444E7">
      <w:pPr>
        <w:rPr>
          <w:rFonts w:cs="Times New Roman"/>
        </w:rPr>
      </w:pPr>
      <w:r w:rsidRPr="00C715D7">
        <w:rPr>
          <w:rFonts w:cs="Times New Roman"/>
        </w:rPr>
        <w:t>b)  pielęgnację, w tym pielęgnację w czasie choroby,</w:t>
      </w:r>
    </w:p>
    <w:p w14:paraId="2720E12E" w14:textId="77777777" w:rsidR="00C444E7" w:rsidRPr="00C715D7" w:rsidRDefault="00C444E7" w:rsidP="00C444E7">
      <w:pPr>
        <w:rPr>
          <w:rFonts w:cs="Times New Roman"/>
        </w:rPr>
      </w:pPr>
      <w:r w:rsidRPr="00C715D7">
        <w:rPr>
          <w:rFonts w:cs="Times New Roman"/>
        </w:rPr>
        <w:t>c)  opiekę higieniczną,</w:t>
      </w:r>
    </w:p>
    <w:p w14:paraId="336B57BC" w14:textId="77777777" w:rsidR="00C444E7" w:rsidRPr="00C715D7" w:rsidRDefault="00C444E7" w:rsidP="00C444E7">
      <w:pPr>
        <w:rPr>
          <w:rFonts w:cs="Times New Roman"/>
        </w:rPr>
      </w:pPr>
      <w:r w:rsidRPr="00C715D7">
        <w:rPr>
          <w:rFonts w:cs="Times New Roman"/>
        </w:rPr>
        <w:t>d)  niezbędną pomoc w załatwianiu spraw osobistych,</w:t>
      </w:r>
    </w:p>
    <w:p w14:paraId="1728EFD9" w14:textId="64CD57D4" w:rsidR="00D1690A" w:rsidRPr="00C715D7" w:rsidRDefault="00C444E7" w:rsidP="00C444E7">
      <w:pPr>
        <w:rPr>
          <w:rFonts w:cs="Times New Roman"/>
        </w:rPr>
      </w:pPr>
      <w:r w:rsidRPr="00C715D7">
        <w:rPr>
          <w:rFonts w:cs="Times New Roman"/>
        </w:rPr>
        <w:t>e)  kontakty z otoczeniem;</w:t>
      </w:r>
    </w:p>
    <w:p w14:paraId="18860C6F" w14:textId="77777777" w:rsidR="00C444E7" w:rsidRPr="00D1690A" w:rsidRDefault="00C444E7" w:rsidP="00FE70E3">
      <w:pPr>
        <w:numPr>
          <w:ilvl w:val="0"/>
          <w:numId w:val="60"/>
        </w:numPr>
        <w:rPr>
          <w:rFonts w:cs="Times New Roman"/>
        </w:rPr>
      </w:pPr>
      <w:r w:rsidRPr="00D1690A">
        <w:rPr>
          <w:rFonts w:cs="Times New Roman"/>
        </w:rPr>
        <w:t>bytowych zapewniających:</w:t>
      </w:r>
    </w:p>
    <w:p w14:paraId="6997C56E" w14:textId="77777777" w:rsidR="00C444E7" w:rsidRPr="00C715D7" w:rsidRDefault="00C444E7" w:rsidP="00C444E7">
      <w:pPr>
        <w:rPr>
          <w:rFonts w:cs="Times New Roman"/>
        </w:rPr>
      </w:pPr>
      <w:r w:rsidRPr="00C715D7">
        <w:rPr>
          <w:rFonts w:cs="Times New Roman"/>
        </w:rPr>
        <w:t>a)  miejsce pobytu,</w:t>
      </w:r>
    </w:p>
    <w:p w14:paraId="7E7DF542" w14:textId="77777777" w:rsidR="00C444E7" w:rsidRPr="00C715D7" w:rsidRDefault="00C444E7" w:rsidP="00C444E7">
      <w:pPr>
        <w:rPr>
          <w:rFonts w:cs="Times New Roman"/>
        </w:rPr>
      </w:pPr>
      <w:r w:rsidRPr="00C715D7">
        <w:rPr>
          <w:rFonts w:cs="Times New Roman"/>
        </w:rPr>
        <w:t>b)  wyżywienie,</w:t>
      </w:r>
    </w:p>
    <w:p w14:paraId="4136DF2F" w14:textId="77777777" w:rsidR="00C444E7" w:rsidRPr="00C715D7" w:rsidRDefault="00C444E7" w:rsidP="00C444E7">
      <w:pPr>
        <w:rPr>
          <w:rFonts w:cs="Times New Roman"/>
        </w:rPr>
      </w:pPr>
      <w:r w:rsidRPr="00C715D7">
        <w:rPr>
          <w:rFonts w:cs="Times New Roman"/>
        </w:rPr>
        <w:t>c)  utrzymanie czystości.</w:t>
      </w:r>
    </w:p>
    <w:p w14:paraId="711CF1CD" w14:textId="77777777" w:rsidR="00CD3DA3" w:rsidRDefault="00CD3DA3" w:rsidP="00C444E7">
      <w:pPr>
        <w:rPr>
          <w:rFonts w:cs="Times New Roman"/>
        </w:rPr>
      </w:pPr>
    </w:p>
    <w:p w14:paraId="7E753C9B" w14:textId="756383F0" w:rsidR="00C444E7" w:rsidRPr="00C715D7" w:rsidRDefault="00C444E7" w:rsidP="00C444E7">
      <w:pPr>
        <w:rPr>
          <w:rFonts w:cs="Times New Roman"/>
        </w:rPr>
      </w:pPr>
      <w:r w:rsidRPr="00C715D7">
        <w:rPr>
          <w:rFonts w:cs="Times New Roman"/>
        </w:rPr>
        <w:t xml:space="preserve">Sposób świadczenia usług powinien uwzględniać stan zdrowia, sprawność fizyczną </w:t>
      </w:r>
      <w:r w:rsidRPr="00C715D7">
        <w:rPr>
          <w:rFonts w:cs="Times New Roman"/>
        </w:rPr>
        <w:br/>
        <w:t xml:space="preserve">i intelektualną oraz indywidualne potrzeby i możliwości osoby przebywającej w placówce, </w:t>
      </w:r>
      <w:r w:rsidRPr="00C715D7">
        <w:rPr>
          <w:rFonts w:cs="Times New Roman"/>
        </w:rPr>
        <w:br/>
        <w:t xml:space="preserve">a także prawa człowieka, w tym w szczególności prawo do godności, wolności, intymności </w:t>
      </w:r>
      <w:r w:rsidRPr="00C715D7">
        <w:rPr>
          <w:rFonts w:cs="Times New Roman"/>
        </w:rPr>
        <w:br/>
        <w:t>i poczucia bezpieczeństwa. Umieszczenie osoby w tego typu placówce odbywa się na podstawie umowy cywilno-prawnej i nie w</w:t>
      </w:r>
      <w:r w:rsidR="00CD3DA3">
        <w:rPr>
          <w:rFonts w:cs="Times New Roman"/>
        </w:rPr>
        <w:t xml:space="preserve">ymaga decyzji administracyjnej. </w:t>
      </w:r>
      <w:r w:rsidRPr="00C715D7">
        <w:rPr>
          <w:rFonts w:cs="Times New Roman"/>
        </w:rPr>
        <w:t>Według stanu na koniec 2020 r</w:t>
      </w:r>
      <w:r w:rsidR="00F77CDB">
        <w:rPr>
          <w:rFonts w:cs="Times New Roman"/>
        </w:rPr>
        <w:t>.</w:t>
      </w:r>
      <w:r w:rsidRPr="00C715D7">
        <w:rPr>
          <w:rFonts w:cs="Times New Roman"/>
          <w:vertAlign w:val="superscript"/>
        </w:rPr>
        <w:footnoteReference w:id="11"/>
      </w:r>
      <w:r w:rsidRPr="00C715D7">
        <w:rPr>
          <w:rFonts w:cs="Times New Roman"/>
        </w:rPr>
        <w:t xml:space="preserve"> w Polsce fun</w:t>
      </w:r>
      <w:r w:rsidR="001A37D0">
        <w:rPr>
          <w:rFonts w:cs="Times New Roman"/>
        </w:rPr>
        <w:t>kcjonowało 667</w:t>
      </w:r>
      <w:r w:rsidRPr="00C715D7">
        <w:rPr>
          <w:rFonts w:cs="Times New Roman"/>
        </w:rPr>
        <w:t xml:space="preserve"> placów</w:t>
      </w:r>
      <w:r w:rsidR="001A37D0">
        <w:rPr>
          <w:rFonts w:cs="Times New Roman"/>
        </w:rPr>
        <w:t>ek całodobowej opieki na 25 481 miejsc i przebywało w nich 18</w:t>
      </w:r>
      <w:r w:rsidRPr="00C715D7">
        <w:rPr>
          <w:rFonts w:cs="Times New Roman"/>
        </w:rPr>
        <w:t xml:space="preserve"> </w:t>
      </w:r>
      <w:r w:rsidR="001A37D0">
        <w:rPr>
          <w:rFonts w:cs="Times New Roman"/>
        </w:rPr>
        <w:t>17</w:t>
      </w:r>
      <w:r w:rsidRPr="00C715D7">
        <w:rPr>
          <w:rFonts w:cs="Times New Roman"/>
        </w:rPr>
        <w:t>6 mieszkańców.</w:t>
      </w:r>
    </w:p>
    <w:p w14:paraId="72A2FF51" w14:textId="77777777" w:rsidR="00C444E7" w:rsidRDefault="00C444E7" w:rsidP="00C444E7">
      <w:pPr>
        <w:rPr>
          <w:rFonts w:cs="Times New Roman"/>
          <w:b/>
        </w:rPr>
      </w:pPr>
    </w:p>
    <w:p w14:paraId="7229ADC0" w14:textId="77777777" w:rsidR="001E362D" w:rsidRPr="00C715D7" w:rsidRDefault="001E362D" w:rsidP="001E362D">
      <w:pPr>
        <w:pStyle w:val="Nagwek3"/>
      </w:pPr>
      <w:bookmarkStart w:id="23" w:name="_Toc77513885"/>
      <w:bookmarkStart w:id="24" w:name="_Toc80523045"/>
      <w:r>
        <w:t>Poradnictwo oraz świadczenia pieniężne</w:t>
      </w:r>
      <w:bookmarkEnd w:id="23"/>
      <w:bookmarkEnd w:id="24"/>
    </w:p>
    <w:p w14:paraId="43FB8B2C" w14:textId="77777777" w:rsidR="00CD3DA3" w:rsidRDefault="00CD3DA3" w:rsidP="00C444E7">
      <w:pPr>
        <w:rPr>
          <w:rFonts w:cs="Times New Roman"/>
        </w:rPr>
      </w:pPr>
    </w:p>
    <w:p w14:paraId="2416EA88" w14:textId="5D2E2B7C" w:rsidR="00C444E7" w:rsidRDefault="00C444E7" w:rsidP="00C444E7">
      <w:pPr>
        <w:rPr>
          <w:rFonts w:cs="Times New Roman"/>
        </w:rPr>
      </w:pPr>
      <w:r w:rsidRPr="00C715D7">
        <w:rPr>
          <w:rFonts w:cs="Times New Roman"/>
        </w:rPr>
        <w:t>Jeśli chodzi o inne działania podejmowane na rzecz osób starszych</w:t>
      </w:r>
      <w:r w:rsidR="001A37D0">
        <w:rPr>
          <w:rFonts w:cs="Times New Roman"/>
        </w:rPr>
        <w:t xml:space="preserve"> w ramach systemu pomocy społecznej</w:t>
      </w:r>
      <w:r w:rsidRPr="00C715D7">
        <w:rPr>
          <w:rFonts w:cs="Times New Roman"/>
        </w:rPr>
        <w:t>, to zaliczyć do nich należy dodatkowo: poradnictwo</w:t>
      </w:r>
      <w:r w:rsidR="001A37D0">
        <w:rPr>
          <w:rFonts w:cs="Times New Roman"/>
        </w:rPr>
        <w:t xml:space="preserve"> specjalistyczne</w:t>
      </w:r>
      <w:r w:rsidRPr="00C715D7">
        <w:rPr>
          <w:rFonts w:cs="Times New Roman"/>
        </w:rPr>
        <w:t xml:space="preserve"> oraz świadczenia pieniężne</w:t>
      </w:r>
      <w:r w:rsidR="00CD3DA3">
        <w:rPr>
          <w:rFonts w:cs="Times New Roman"/>
        </w:rPr>
        <w:t>, do których należą zasiłek stały oraz zasiłek celowy</w:t>
      </w:r>
      <w:r w:rsidRPr="00C715D7">
        <w:rPr>
          <w:rFonts w:cs="Times New Roman"/>
        </w:rPr>
        <w:t xml:space="preserve">. </w:t>
      </w:r>
    </w:p>
    <w:p w14:paraId="1E302B31" w14:textId="77777777" w:rsidR="001E362D" w:rsidRPr="00C715D7" w:rsidRDefault="001E362D" w:rsidP="00C444E7">
      <w:pPr>
        <w:rPr>
          <w:rFonts w:cs="Times New Roman"/>
        </w:rPr>
      </w:pPr>
    </w:p>
    <w:p w14:paraId="367D7A64" w14:textId="77777777" w:rsidR="004E5794" w:rsidRPr="00F32C33" w:rsidRDefault="004E5794" w:rsidP="004E5794">
      <w:pPr>
        <w:rPr>
          <w:rFonts w:cs="Times New Roman"/>
          <w:b/>
        </w:rPr>
      </w:pPr>
      <w:r w:rsidRPr="00F32C33">
        <w:rPr>
          <w:rFonts w:cs="Times New Roman"/>
          <w:b/>
        </w:rPr>
        <w:t>Poradnictwo specjalistyczne</w:t>
      </w:r>
    </w:p>
    <w:p w14:paraId="06CD1AAF" w14:textId="77777777" w:rsidR="004E5794" w:rsidRPr="00C715D7" w:rsidRDefault="004E5794" w:rsidP="004E5794">
      <w:pPr>
        <w:rPr>
          <w:rFonts w:cs="Times New Roman"/>
        </w:rPr>
      </w:pPr>
      <w:r w:rsidRPr="00C715D7">
        <w:rPr>
          <w:rFonts w:cs="Times New Roman"/>
        </w:rPr>
        <w:t xml:space="preserve">Bez względu na posiadany dochód, w ramach świadczeń niepieniężnych z pomocy społecznej oferowana jest praca socjalna, a ponadto prowadzone jest </w:t>
      </w:r>
      <w:r w:rsidRPr="00C715D7">
        <w:rPr>
          <w:rFonts w:cs="Times New Roman"/>
          <w:b/>
        </w:rPr>
        <w:t>poradnictwo specjalistyczne</w:t>
      </w:r>
      <w:r>
        <w:rPr>
          <w:rFonts w:cs="Times New Roman"/>
        </w:rPr>
        <w:t>, w </w:t>
      </w:r>
      <w:r w:rsidRPr="00C715D7">
        <w:rPr>
          <w:rFonts w:cs="Times New Roman"/>
        </w:rPr>
        <w:t xml:space="preserve">szczególności prawne, psychologiczne i rodzinne, dla osób </w:t>
      </w:r>
      <w:r w:rsidRPr="004E5794">
        <w:rPr>
          <w:rFonts w:cs="Times New Roman"/>
        </w:rPr>
        <w:t>i</w:t>
      </w:r>
      <w:r>
        <w:rPr>
          <w:rFonts w:cs="Times New Roman"/>
        </w:rPr>
        <w:t xml:space="preserve"> rodzin, które mają trudności w </w:t>
      </w:r>
      <w:r w:rsidRPr="00C715D7">
        <w:rPr>
          <w:rFonts w:cs="Times New Roman"/>
        </w:rPr>
        <w:t>rozwiązywaniu swoich problemów życiowych lub potrzebują wsparcia.</w:t>
      </w:r>
      <w:r>
        <w:rPr>
          <w:rFonts w:cs="Times New Roman"/>
        </w:rPr>
        <w:t xml:space="preserve"> Rejestr jednostek specjalistycznego poradnictwa jest prowadzony przez wojewodów, ma charakter jawny i jest corocznie, do dnia 30 czerwca, ogłaszany w wojewódzkim dzienniku urzędowym oraz publikowany na przedmiotowej stronie internetowej.</w:t>
      </w:r>
    </w:p>
    <w:p w14:paraId="05856293" w14:textId="77777777" w:rsidR="004E5794" w:rsidRDefault="004E5794" w:rsidP="004E5794">
      <w:pPr>
        <w:rPr>
          <w:rFonts w:cs="Times New Roman"/>
        </w:rPr>
      </w:pPr>
    </w:p>
    <w:p w14:paraId="69236150" w14:textId="77777777" w:rsidR="004E5794" w:rsidRPr="00C715D7" w:rsidRDefault="004E5794" w:rsidP="004E5794">
      <w:pPr>
        <w:rPr>
          <w:rFonts w:cs="Times New Roman"/>
          <w:b/>
        </w:rPr>
      </w:pPr>
      <w:r w:rsidRPr="00C715D7">
        <w:rPr>
          <w:rFonts w:cs="Times New Roman"/>
          <w:b/>
        </w:rPr>
        <w:t>Zasiłek stały</w:t>
      </w:r>
    </w:p>
    <w:p w14:paraId="0D5937F2" w14:textId="742FFAB5" w:rsidR="004E5794" w:rsidRDefault="004E5794" w:rsidP="004E5794">
      <w:pPr>
        <w:rPr>
          <w:rFonts w:cs="Times New Roman"/>
        </w:rPr>
      </w:pPr>
      <w:r>
        <w:rPr>
          <w:rFonts w:cs="Times New Roman"/>
        </w:rPr>
        <w:t>P</w:t>
      </w:r>
      <w:r w:rsidRPr="00815865">
        <w:rPr>
          <w:rFonts w:cs="Times New Roman"/>
        </w:rPr>
        <w:t>rzyznanie zasiłku stałego uzależnione jest od spełnienia przez osobę wnioskującą o ten rodzaj pomocy dwóch przesłanek – niezdolności do pracy oraz nieprzekraczania ustawowo określonego kryterium dochodowego. Przesłanki te muszą być spełnione łącznie. Przez całkowitą niezdolność do pracy rozumie się całkowitą niezdolność do pracy w rozumieniu przepisów o emeryturach i</w:t>
      </w:r>
      <w:r>
        <w:rPr>
          <w:rFonts w:cs="Times New Roman"/>
        </w:rPr>
        <w:t> </w:t>
      </w:r>
      <w:r w:rsidRPr="00815865">
        <w:rPr>
          <w:rFonts w:cs="Times New Roman"/>
        </w:rPr>
        <w:t xml:space="preserve">rentach z Funduszu Ubezpieczeń Społecznych albo zaliczenie do I lub II grupy inwalidów lub legitymowanie się znacznym lub umiarkowanym stopniem niepełnosprawności w rozumieniu przepisów o rehabilitacji zawodowej i społecznej oraz zatrudnianiu osób niepełnosprawnych (art. 6 pkt 1 ustawy). </w:t>
      </w:r>
    </w:p>
    <w:p w14:paraId="6FB1F1E1" w14:textId="77777777" w:rsidR="004E5794" w:rsidRPr="00815865" w:rsidRDefault="004E5794" w:rsidP="004E5794">
      <w:pPr>
        <w:rPr>
          <w:rFonts w:cs="Times New Roman"/>
        </w:rPr>
      </w:pPr>
    </w:p>
    <w:p w14:paraId="32C3F863" w14:textId="77777777" w:rsidR="004E5794" w:rsidRDefault="004E5794" w:rsidP="004E5794">
      <w:pPr>
        <w:rPr>
          <w:rFonts w:cs="Times New Roman"/>
        </w:rPr>
      </w:pPr>
      <w:r w:rsidRPr="00815865">
        <w:rPr>
          <w:rFonts w:cs="Times New Roman"/>
        </w:rPr>
        <w:t>Zasiłek stały ustala się w wysokości: w przypadku osoby samotnie gospodarującej - różnicy między kryterium dochodowym osoby samotnie gospodarującej a dochodem tej osoby</w:t>
      </w:r>
      <w:r>
        <w:rPr>
          <w:rFonts w:cs="Times New Roman"/>
        </w:rPr>
        <w:t xml:space="preserve"> (z zastrzeżeniem, że kwota zasiłku w tym przypadku nie może być wyższa niż 645 zł – zgodnie z § 1 pkt 2 lit. d rozporządzenia Rady Ministrów z dnia 11 lipca 2018 r. w sprawie zweryfikowanych kryteriów dochodowych oraz kwot świadczeń pieniężnych z pomocy społecznej (Dz. U. poz. 1358))</w:t>
      </w:r>
      <w:r w:rsidRPr="00815865">
        <w:rPr>
          <w:rFonts w:cs="Times New Roman"/>
        </w:rPr>
        <w:t>, natomiast w przypadku osoby w rodzinie - różnicy między kryterium dochodowym na osobę w rodzinie a dochodem na osobę w rodzinie.</w:t>
      </w:r>
      <w:r>
        <w:rPr>
          <w:rFonts w:cs="Times New Roman"/>
        </w:rPr>
        <w:t xml:space="preserve"> Podkreślenie wymaga, że k</w:t>
      </w:r>
      <w:r w:rsidRPr="00C715D7">
        <w:rPr>
          <w:rFonts w:cs="Times New Roman"/>
        </w:rPr>
        <w:t xml:space="preserve">wota zasiłku stałego nie może być niższa niż 30 zł miesięcznie. </w:t>
      </w:r>
    </w:p>
    <w:p w14:paraId="231CADA8" w14:textId="77777777" w:rsidR="004E5794" w:rsidRPr="00C715D7" w:rsidRDefault="004E5794" w:rsidP="004E5794">
      <w:pPr>
        <w:rPr>
          <w:rFonts w:cs="Times New Roman"/>
        </w:rPr>
      </w:pPr>
    </w:p>
    <w:p w14:paraId="30A39532" w14:textId="77777777" w:rsidR="008470A9" w:rsidRDefault="008470A9" w:rsidP="004E5794">
      <w:pPr>
        <w:rPr>
          <w:rFonts w:cs="Times New Roman"/>
          <w:b/>
        </w:rPr>
      </w:pPr>
    </w:p>
    <w:p w14:paraId="1E3EC8A5" w14:textId="6B1F739F" w:rsidR="004E5794" w:rsidRPr="00C715D7" w:rsidRDefault="004E5794" w:rsidP="004E5794">
      <w:pPr>
        <w:rPr>
          <w:rFonts w:cs="Times New Roman"/>
        </w:rPr>
      </w:pPr>
      <w:r w:rsidRPr="00C715D7">
        <w:rPr>
          <w:rFonts w:cs="Times New Roman"/>
          <w:b/>
        </w:rPr>
        <w:lastRenderedPageBreak/>
        <w:t>Zasiłek celowy</w:t>
      </w:r>
    </w:p>
    <w:p w14:paraId="69A427C6" w14:textId="0E4C5B17" w:rsidR="004E5794" w:rsidRDefault="004E5794" w:rsidP="004E5794">
      <w:pPr>
        <w:rPr>
          <w:rFonts w:cs="Times New Roman"/>
        </w:rPr>
      </w:pPr>
      <w:r w:rsidRPr="00C715D7">
        <w:rPr>
          <w:rFonts w:cs="Times New Roman"/>
        </w:rPr>
        <w:t>Zasiłek celowy może być przyznany w celu zaspokojenia</w:t>
      </w:r>
      <w:r w:rsidR="00EE73AF">
        <w:rPr>
          <w:rFonts w:cs="Times New Roman"/>
        </w:rPr>
        <w:t xml:space="preserve"> niezbędnej potrzeby bytowej, w </w:t>
      </w:r>
      <w:r w:rsidRPr="00C715D7">
        <w:rPr>
          <w:rFonts w:cs="Times New Roman"/>
        </w:rPr>
        <w:t xml:space="preserve">szczególności na pokrycie części lub całości kosztów zakupu żywności, leków i leczenia, opału, odzieży, niezbędnych przedmiotów użytku domowego, drobnych remontów i napraw </w:t>
      </w:r>
      <w:r w:rsidRPr="00C715D7">
        <w:rPr>
          <w:rFonts w:cs="Times New Roman"/>
        </w:rPr>
        <w:br/>
        <w:t xml:space="preserve">w mieszkaniu, a także kosztów pogrzebu. </w:t>
      </w:r>
      <w:r w:rsidRPr="00D34B38">
        <w:rPr>
          <w:rFonts w:cs="Times New Roman"/>
        </w:rPr>
        <w:t>Katalog obejmujący pojęcie „niezbędnej potrzeby życiowej” ma charakter otwarty i w głównej mierze – m.in. ze względu na fakultatywność tego świadczenia – jest określany przez praktykę przyznawania ww. zasiłków przez ośrodki pomocy społecznej oraz przez orzecznictwo sądowo-administracyjne. Wysokość zasiłku celowego jest ustalana indywidualnie w danym stanie faktycznym przez ośrodek pomocy spo</w:t>
      </w:r>
      <w:r w:rsidR="00EE73AF">
        <w:rPr>
          <w:rFonts w:cs="Times New Roman"/>
        </w:rPr>
        <w:t>łecznej, z </w:t>
      </w:r>
      <w:r w:rsidRPr="00D34B38">
        <w:rPr>
          <w:rFonts w:cs="Times New Roman"/>
        </w:rPr>
        <w:t>uwzględnieniem m.in. sytuacji majątkowej i rodzinnej osoby ubiegającej się oraz możliwości finansowych gminy.</w:t>
      </w:r>
      <w:r>
        <w:rPr>
          <w:rFonts w:cs="Times New Roman"/>
        </w:rPr>
        <w:t xml:space="preserve"> </w:t>
      </w:r>
    </w:p>
    <w:p w14:paraId="5996BBDB" w14:textId="77777777" w:rsidR="004E5794" w:rsidRDefault="004E5794" w:rsidP="004E5794">
      <w:pPr>
        <w:rPr>
          <w:rFonts w:cs="Times New Roman"/>
        </w:rPr>
      </w:pPr>
    </w:p>
    <w:p w14:paraId="06B1B41A" w14:textId="77777777" w:rsidR="004E5794" w:rsidRDefault="004E5794" w:rsidP="004E5794">
      <w:pPr>
        <w:rPr>
          <w:rFonts w:cs="Times New Roman"/>
        </w:rPr>
      </w:pPr>
      <w:r w:rsidRPr="00C715D7">
        <w:rPr>
          <w:rFonts w:cs="Times New Roman"/>
        </w:rPr>
        <w:t>Zasiłek celowy może być przyznany również osobie albo rodzinie, które poniosły stratę w wyniku zdarzenia losowego, w wyniku klęski żywiołowej lub ekologicznej. Zasiłek przyznawany z takich przyczyn, może być przyznany niezależnie od dochodu i może nie podlegać zwrotowi.</w:t>
      </w:r>
    </w:p>
    <w:p w14:paraId="46118D0C" w14:textId="63EF2325" w:rsidR="00CD3DA3" w:rsidRPr="00C715D7" w:rsidRDefault="00CD3DA3" w:rsidP="00C444E7">
      <w:pPr>
        <w:rPr>
          <w:rFonts w:cs="Times New Roman"/>
        </w:rPr>
      </w:pPr>
    </w:p>
    <w:p w14:paraId="2A5CE891" w14:textId="2BB28DA4" w:rsidR="00C444E7" w:rsidRDefault="00C444E7" w:rsidP="00C444E7">
      <w:pPr>
        <w:rPr>
          <w:rFonts w:cs="Times New Roman"/>
        </w:rPr>
      </w:pPr>
      <w:r w:rsidRPr="00C715D7">
        <w:rPr>
          <w:rFonts w:cs="Times New Roman"/>
        </w:rPr>
        <w:t xml:space="preserve">W szczególnie uzasadnionych przypadkach osobie albo rodzinie o dochodach przekraczających kryterium dochodowe może być przyznany </w:t>
      </w:r>
      <w:r w:rsidRPr="00C715D7">
        <w:rPr>
          <w:rFonts w:cs="Times New Roman"/>
          <w:b/>
        </w:rPr>
        <w:t>specjalny zasiłek celowy</w:t>
      </w:r>
      <w:r w:rsidRPr="00C715D7">
        <w:rPr>
          <w:rFonts w:cs="Times New Roman"/>
        </w:rPr>
        <w:t xml:space="preserve"> w wysokości nieprzekraczającej odpowiednio kryterium dochodowego osoby samotnie gospodarującej lub rodziny, który nie podlega zwrotowi. Może też być przyznany zasiłek okresowy, zasiłek celowy lub pomoc rzeczowa, pod warunkiem zwrotu części lub całości kwoty zasiłku lub wydatków na pomoc rzeczową. </w:t>
      </w:r>
    </w:p>
    <w:p w14:paraId="7BF08C90" w14:textId="77777777" w:rsidR="00FF59DD" w:rsidRDefault="00FF59DD" w:rsidP="00C444E7">
      <w:pPr>
        <w:rPr>
          <w:rFonts w:cs="Times New Roman"/>
        </w:rPr>
      </w:pPr>
    </w:p>
    <w:p w14:paraId="4952C909" w14:textId="77777777" w:rsidR="00D1690A" w:rsidRPr="00D1690A" w:rsidRDefault="006C2089" w:rsidP="00D1690A">
      <w:pPr>
        <w:pStyle w:val="Nagwek2"/>
        <w:ind w:hanging="792"/>
      </w:pPr>
      <w:bookmarkStart w:id="25" w:name="_Toc80523046"/>
      <w:r>
        <w:t>Sytuacja na rynku pracy</w:t>
      </w:r>
      <w:bookmarkEnd w:id="25"/>
    </w:p>
    <w:p w14:paraId="22921380" w14:textId="77777777" w:rsidR="008470A9" w:rsidRDefault="008470A9" w:rsidP="00D1690A">
      <w:pPr>
        <w:rPr>
          <w:rFonts w:eastAsia="Lucida Sans Unicode" w:cs="Times New Roman"/>
          <w:i/>
          <w:szCs w:val="24"/>
          <w:lang w:eastAsia="ar-SA"/>
        </w:rPr>
      </w:pPr>
    </w:p>
    <w:p w14:paraId="1B3B1E49" w14:textId="579C9CBF" w:rsidR="008470A9" w:rsidRPr="008470A9" w:rsidRDefault="008470A9" w:rsidP="008470A9">
      <w:pPr>
        <w:rPr>
          <w:rFonts w:eastAsia="Lucida Sans Unicode" w:cs="Times New Roman"/>
          <w:szCs w:val="24"/>
          <w:lang w:eastAsia="ar-SA"/>
        </w:rPr>
      </w:pPr>
      <w:r w:rsidRPr="008470A9">
        <w:rPr>
          <w:rFonts w:eastAsia="Lucida Sans Unicode" w:cs="Times New Roman"/>
          <w:szCs w:val="24"/>
          <w:lang w:eastAsia="ar-SA"/>
        </w:rPr>
        <w:t>W 2020 r. ludność aktywna zawodowo w wieku 60 lat i więcej liczyła 1378 tys. (Badanie Aktywności Ekonomicznej Ludności BAEL). Wśród tych osób 1357 tys</w:t>
      </w:r>
      <w:r w:rsidR="00EE73AF">
        <w:rPr>
          <w:rFonts w:eastAsia="Lucida Sans Unicode" w:cs="Times New Roman"/>
          <w:szCs w:val="24"/>
          <w:lang w:eastAsia="ar-SA"/>
        </w:rPr>
        <w:t>. to osoby pracujące (tj. </w:t>
      </w:r>
      <w:r w:rsidRPr="008470A9">
        <w:rPr>
          <w:rFonts w:eastAsia="Lucida Sans Unicode" w:cs="Times New Roman"/>
          <w:szCs w:val="24"/>
          <w:lang w:eastAsia="ar-SA"/>
        </w:rPr>
        <w:t>98,5% wobec 98,2% w 2019 r.). W porównaniu do roku poprzedniego nastąpił wzrost liczby osób starszych aktywnych zawodowo o 5,9%, a pracujących o 6,3%. Osoby aktywne zawodowo w wieku 60 lat i więcej stanowiły 8,1% ogółu aktywnych zawodowo</w:t>
      </w:r>
      <w:r w:rsidR="00EE73AF">
        <w:rPr>
          <w:rFonts w:eastAsia="Lucida Sans Unicode" w:cs="Times New Roman"/>
          <w:szCs w:val="24"/>
          <w:lang w:eastAsia="ar-SA"/>
        </w:rPr>
        <w:t xml:space="preserve"> w  wieku 15 lat i  więcej (dla </w:t>
      </w:r>
      <w:r w:rsidRPr="008470A9">
        <w:rPr>
          <w:rFonts w:eastAsia="Lucida Sans Unicode" w:cs="Times New Roman"/>
          <w:szCs w:val="24"/>
          <w:lang w:eastAsia="ar-SA"/>
        </w:rPr>
        <w:t xml:space="preserve">pracujących analogiczny odsetek wynosił 8,3%). Wśród aktywnych zawodowo seniorów przeważali mężczyźni - populacja ta liczyła 924 tys. (tj. 67,1%). </w:t>
      </w:r>
    </w:p>
    <w:p w14:paraId="4B3C42E2" w14:textId="77777777" w:rsidR="008470A9" w:rsidRPr="008470A9" w:rsidRDefault="008470A9" w:rsidP="008470A9">
      <w:pPr>
        <w:rPr>
          <w:rFonts w:eastAsia="Lucida Sans Unicode" w:cs="Times New Roman"/>
          <w:szCs w:val="24"/>
          <w:lang w:eastAsia="ar-SA"/>
        </w:rPr>
      </w:pPr>
    </w:p>
    <w:p w14:paraId="4605A0C6" w14:textId="35447096" w:rsidR="008470A9" w:rsidRPr="008470A9" w:rsidRDefault="008470A9" w:rsidP="008470A9">
      <w:pPr>
        <w:rPr>
          <w:rFonts w:eastAsia="Lucida Sans Unicode" w:cs="Times New Roman"/>
          <w:szCs w:val="24"/>
          <w:lang w:eastAsia="ar-SA"/>
        </w:rPr>
      </w:pPr>
      <w:r w:rsidRPr="008470A9">
        <w:rPr>
          <w:rFonts w:eastAsia="Lucida Sans Unicode" w:cs="Times New Roman"/>
          <w:szCs w:val="24"/>
          <w:lang w:eastAsia="ar-SA"/>
        </w:rPr>
        <w:t xml:space="preserve">W 2020 r. współczynnik aktywności zawodowej dla zbiorowości osób starszych wynosił 14,5% (w 2019 roku było to 13,9%), natomiast wskaźnik zatrudnienia ukształtował się na poziomie 14,3% w (roku poprzednim - 13,7%). </w:t>
      </w:r>
    </w:p>
    <w:p w14:paraId="1D9FEADC" w14:textId="77777777" w:rsidR="008470A9" w:rsidRPr="008470A9" w:rsidRDefault="008470A9" w:rsidP="008470A9">
      <w:pPr>
        <w:rPr>
          <w:rFonts w:eastAsia="Lucida Sans Unicode" w:cs="Times New Roman"/>
          <w:szCs w:val="24"/>
          <w:lang w:eastAsia="ar-SA"/>
        </w:rPr>
      </w:pPr>
    </w:p>
    <w:p w14:paraId="60F5A5FE" w14:textId="6C4C66E4" w:rsidR="008470A9" w:rsidRPr="008470A9" w:rsidRDefault="008470A9" w:rsidP="008470A9">
      <w:pPr>
        <w:rPr>
          <w:rFonts w:eastAsia="Lucida Sans Unicode" w:cs="Times New Roman"/>
          <w:szCs w:val="24"/>
          <w:lang w:eastAsia="ar-SA"/>
        </w:rPr>
      </w:pPr>
      <w:r w:rsidRPr="008470A9">
        <w:rPr>
          <w:rFonts w:eastAsia="Lucida Sans Unicode" w:cs="Times New Roman"/>
          <w:szCs w:val="24"/>
          <w:lang w:eastAsia="ar-SA"/>
        </w:rPr>
        <w:t>Populacja osób starszych biernych zawodowo wynosiła 8123 tys., co stanowiło 85,5% ogółu ludności w wieku 60 lat i więcej, tj. o 0,6 p. proc. mniej niż rok wcześniej. Wśród tych osób główną przyczyną bierności jest emerytura, którą w 2020 r. wskazało 7307 tys. osób. Drugą istotną przyczyną bierności jest choroba lub niepełnosprawność, wskazana przez 527 tys. osób.</w:t>
      </w:r>
    </w:p>
    <w:p w14:paraId="4A1431B0" w14:textId="77777777" w:rsidR="008470A9" w:rsidRPr="008470A9" w:rsidRDefault="008470A9" w:rsidP="008470A9">
      <w:pPr>
        <w:rPr>
          <w:rFonts w:eastAsia="Lucida Sans Unicode" w:cs="Times New Roman"/>
          <w:szCs w:val="24"/>
          <w:lang w:eastAsia="ar-SA"/>
        </w:rPr>
      </w:pPr>
    </w:p>
    <w:p w14:paraId="5BDC6CB0" w14:textId="02628218" w:rsidR="008470A9" w:rsidRPr="008470A9" w:rsidRDefault="008470A9" w:rsidP="008470A9">
      <w:pPr>
        <w:rPr>
          <w:rFonts w:eastAsia="Lucida Sans Unicode" w:cs="Times New Roman"/>
          <w:szCs w:val="24"/>
          <w:lang w:eastAsia="ar-SA"/>
        </w:rPr>
      </w:pPr>
      <w:r w:rsidRPr="008470A9">
        <w:rPr>
          <w:rFonts w:eastAsia="Lucida Sans Unicode" w:cs="Times New Roman"/>
          <w:szCs w:val="24"/>
          <w:lang w:eastAsia="ar-SA"/>
        </w:rPr>
        <w:t>Wśród bezrobotnych zarejestrowanych w urzędach pracy w końcu</w:t>
      </w:r>
      <w:r w:rsidR="00EE73AF">
        <w:rPr>
          <w:rFonts w:eastAsia="Lucida Sans Unicode" w:cs="Times New Roman"/>
          <w:szCs w:val="24"/>
          <w:lang w:eastAsia="ar-SA"/>
        </w:rPr>
        <w:t xml:space="preserve"> grudnia 2020 r. 67,6 tys. (tj. </w:t>
      </w:r>
      <w:r w:rsidRPr="008470A9">
        <w:rPr>
          <w:rFonts w:eastAsia="Lucida Sans Unicode" w:cs="Times New Roman"/>
          <w:szCs w:val="24"/>
          <w:lang w:eastAsia="ar-SA"/>
        </w:rPr>
        <w:t xml:space="preserve">6,5%) stanowiły osoby w wieku 60 lat i więcej (wyłącznie mężczyźni). W stosunku do roku </w:t>
      </w:r>
      <w:r w:rsidRPr="008470A9">
        <w:rPr>
          <w:rFonts w:eastAsia="Lucida Sans Unicode" w:cs="Times New Roman"/>
          <w:szCs w:val="24"/>
          <w:lang w:eastAsia="ar-SA"/>
        </w:rPr>
        <w:lastRenderedPageBreak/>
        <w:t>2020 liczba bezrobotnych seniorów zwiększyła się o 12,2%, a ich udział wśród ogółu bezrobotnych nieznacznie spadł (o 0,4%).</w:t>
      </w:r>
    </w:p>
    <w:p w14:paraId="2D186449" w14:textId="45D19B38" w:rsidR="00907EE8" w:rsidRPr="00D30727" w:rsidRDefault="00907EE8" w:rsidP="00D30727">
      <w:pPr>
        <w:rPr>
          <w:rFonts w:cs="Times New Roman"/>
          <w:szCs w:val="24"/>
        </w:rPr>
      </w:pPr>
    </w:p>
    <w:p w14:paraId="1BCC20D5" w14:textId="6AFB1063" w:rsidR="00D1690A" w:rsidRPr="00FF7721" w:rsidRDefault="00D1690A" w:rsidP="00D1690A">
      <w:pPr>
        <w:pStyle w:val="Legenda"/>
        <w:keepNext/>
        <w:rPr>
          <w:rFonts w:cs="Times New Roman"/>
          <w:b/>
          <w:i w:val="0"/>
          <w:color w:val="auto"/>
          <w:sz w:val="24"/>
        </w:rPr>
      </w:pPr>
      <w:bookmarkStart w:id="26" w:name="_Toc49171387"/>
      <w:r w:rsidRPr="00FF7721">
        <w:rPr>
          <w:rFonts w:cs="Times New Roman"/>
          <w:b/>
          <w:i w:val="0"/>
          <w:color w:val="auto"/>
          <w:sz w:val="24"/>
        </w:rPr>
        <w:t>Tabela 11</w:t>
      </w:r>
      <w:r w:rsidR="00EE73AF">
        <w:rPr>
          <w:rFonts w:cs="Times New Roman"/>
          <w:b/>
          <w:i w:val="0"/>
          <w:color w:val="auto"/>
          <w:sz w:val="24"/>
        </w:rPr>
        <w:t>.</w:t>
      </w:r>
      <w:r w:rsidRPr="00FF7721">
        <w:rPr>
          <w:rFonts w:cs="Times New Roman"/>
          <w:b/>
          <w:i w:val="0"/>
          <w:color w:val="auto"/>
          <w:sz w:val="24"/>
        </w:rPr>
        <w:t xml:space="preserve"> Aktywność ekonomiczna ludności w wieku 15 lat i więcej według płci i miejsca zamieszkania w 2020 r.</w:t>
      </w:r>
      <w:bookmarkEnd w:id="26"/>
    </w:p>
    <w:tbl>
      <w:tblPr>
        <w:tblStyle w:val="Tabelasiatki5ciemnaakcent2"/>
        <w:tblW w:w="9970" w:type="dxa"/>
        <w:tblLook w:val="04A0" w:firstRow="1" w:lastRow="0" w:firstColumn="1" w:lastColumn="0" w:noHBand="0" w:noVBand="1"/>
      </w:tblPr>
      <w:tblGrid>
        <w:gridCol w:w="3262"/>
        <w:gridCol w:w="1340"/>
        <w:gridCol w:w="1340"/>
        <w:gridCol w:w="1340"/>
        <w:gridCol w:w="1340"/>
        <w:gridCol w:w="1348"/>
      </w:tblGrid>
      <w:tr w:rsidR="00D1690A" w:rsidRPr="00FF7721" w14:paraId="7373E79B" w14:textId="77777777" w:rsidTr="00804B0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262" w:type="dxa"/>
            <w:noWrap/>
            <w:vAlign w:val="center"/>
            <w:hideMark/>
          </w:tcPr>
          <w:p w14:paraId="01145CD5" w14:textId="77777777" w:rsidR="00D1690A" w:rsidRPr="00FF7721" w:rsidRDefault="00D1690A" w:rsidP="00804B02">
            <w:pPr>
              <w:spacing w:line="240" w:lineRule="auto"/>
              <w:jc w:val="center"/>
              <w:rPr>
                <w:rFonts w:eastAsia="Times New Roman" w:cs="Times New Roman"/>
                <w:color w:val="auto"/>
                <w:sz w:val="20"/>
                <w:szCs w:val="20"/>
                <w:lang w:eastAsia="pl-PL"/>
              </w:rPr>
            </w:pPr>
            <w:r w:rsidRPr="00FF7721">
              <w:rPr>
                <w:rFonts w:eastAsia="Times New Roman" w:cs="Times New Roman"/>
                <w:color w:val="auto"/>
                <w:sz w:val="20"/>
                <w:szCs w:val="20"/>
                <w:lang w:eastAsia="pl-PL"/>
              </w:rPr>
              <w:t>Wyszczególnienie</w:t>
            </w:r>
          </w:p>
        </w:tc>
        <w:tc>
          <w:tcPr>
            <w:tcW w:w="1340" w:type="dxa"/>
            <w:noWrap/>
            <w:vAlign w:val="center"/>
            <w:hideMark/>
          </w:tcPr>
          <w:p w14:paraId="0539F581" w14:textId="77777777" w:rsidR="00D1690A" w:rsidRPr="00FF7721" w:rsidRDefault="00D1690A" w:rsidP="00804B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FF7721">
              <w:rPr>
                <w:rFonts w:eastAsia="Times New Roman" w:cs="Times New Roman"/>
                <w:color w:val="auto"/>
                <w:sz w:val="20"/>
                <w:szCs w:val="20"/>
                <w:lang w:eastAsia="pl-PL"/>
              </w:rPr>
              <w:t>Ogółem</w:t>
            </w:r>
          </w:p>
        </w:tc>
        <w:tc>
          <w:tcPr>
            <w:tcW w:w="1340" w:type="dxa"/>
            <w:noWrap/>
            <w:vAlign w:val="center"/>
            <w:hideMark/>
          </w:tcPr>
          <w:p w14:paraId="1B8C0A18" w14:textId="77777777" w:rsidR="00D1690A" w:rsidRPr="00FF7721" w:rsidRDefault="00D1690A" w:rsidP="00804B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FF7721">
              <w:rPr>
                <w:rFonts w:eastAsia="Times New Roman" w:cs="Times New Roman"/>
                <w:color w:val="auto"/>
                <w:sz w:val="20"/>
                <w:szCs w:val="20"/>
                <w:lang w:eastAsia="pl-PL"/>
              </w:rPr>
              <w:t>Mężczyźni</w:t>
            </w:r>
          </w:p>
        </w:tc>
        <w:tc>
          <w:tcPr>
            <w:tcW w:w="1340" w:type="dxa"/>
            <w:noWrap/>
            <w:vAlign w:val="center"/>
            <w:hideMark/>
          </w:tcPr>
          <w:p w14:paraId="666BEA7B" w14:textId="77777777" w:rsidR="00D1690A" w:rsidRPr="00FF7721" w:rsidRDefault="00D1690A" w:rsidP="00804B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FF7721">
              <w:rPr>
                <w:rFonts w:eastAsia="Times New Roman" w:cs="Times New Roman"/>
                <w:color w:val="auto"/>
                <w:sz w:val="20"/>
                <w:szCs w:val="20"/>
                <w:lang w:eastAsia="pl-PL"/>
              </w:rPr>
              <w:t>Kobiety</w:t>
            </w:r>
          </w:p>
        </w:tc>
        <w:tc>
          <w:tcPr>
            <w:tcW w:w="1340" w:type="dxa"/>
            <w:noWrap/>
            <w:vAlign w:val="center"/>
            <w:hideMark/>
          </w:tcPr>
          <w:p w14:paraId="550F4E3B" w14:textId="77777777" w:rsidR="00D1690A" w:rsidRPr="00FF7721" w:rsidRDefault="00D1690A" w:rsidP="00804B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FF7721">
              <w:rPr>
                <w:rFonts w:eastAsia="Times New Roman" w:cs="Times New Roman"/>
                <w:color w:val="auto"/>
                <w:sz w:val="20"/>
                <w:szCs w:val="20"/>
                <w:lang w:eastAsia="pl-PL"/>
              </w:rPr>
              <w:t>Miasto</w:t>
            </w:r>
          </w:p>
        </w:tc>
        <w:tc>
          <w:tcPr>
            <w:tcW w:w="1348" w:type="dxa"/>
            <w:noWrap/>
            <w:vAlign w:val="center"/>
            <w:hideMark/>
          </w:tcPr>
          <w:p w14:paraId="473911FD" w14:textId="77777777" w:rsidR="00D1690A" w:rsidRPr="00FF7721" w:rsidRDefault="00D1690A" w:rsidP="00804B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FF7721">
              <w:rPr>
                <w:rFonts w:eastAsia="Times New Roman" w:cs="Times New Roman"/>
                <w:color w:val="auto"/>
                <w:sz w:val="20"/>
                <w:szCs w:val="20"/>
                <w:lang w:eastAsia="pl-PL"/>
              </w:rPr>
              <w:t>Wieś</w:t>
            </w:r>
          </w:p>
        </w:tc>
      </w:tr>
      <w:tr w:rsidR="00D1690A" w:rsidRPr="00FF7721" w14:paraId="7445C489" w14:textId="77777777" w:rsidTr="00804B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40891733" w14:textId="77777777" w:rsidR="00D1690A" w:rsidRPr="00FF7721" w:rsidRDefault="00D1690A" w:rsidP="00804B02">
            <w:pPr>
              <w:spacing w:line="240" w:lineRule="auto"/>
              <w:rPr>
                <w:rFonts w:eastAsia="Times New Roman" w:cs="Times New Roman"/>
                <w:bCs w:val="0"/>
                <w:color w:val="auto"/>
                <w:sz w:val="20"/>
                <w:szCs w:val="20"/>
                <w:lang w:eastAsia="pl-PL"/>
              </w:rPr>
            </w:pPr>
            <w:r w:rsidRPr="00FF7721">
              <w:rPr>
                <w:rFonts w:eastAsia="Times New Roman" w:cs="Times New Roman"/>
                <w:bCs w:val="0"/>
                <w:color w:val="auto"/>
                <w:sz w:val="20"/>
                <w:szCs w:val="20"/>
                <w:lang w:eastAsia="pl-PL"/>
              </w:rPr>
              <w:t>LUDNOŚĆ w tys.</w:t>
            </w:r>
          </w:p>
        </w:tc>
        <w:tc>
          <w:tcPr>
            <w:tcW w:w="1340" w:type="dxa"/>
            <w:noWrap/>
            <w:vAlign w:val="center"/>
            <w:hideMark/>
          </w:tcPr>
          <w:p w14:paraId="664BDCF6"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30 271</w:t>
            </w:r>
          </w:p>
        </w:tc>
        <w:tc>
          <w:tcPr>
            <w:tcW w:w="1340" w:type="dxa"/>
            <w:noWrap/>
            <w:vAlign w:val="center"/>
            <w:hideMark/>
          </w:tcPr>
          <w:p w14:paraId="0768B69E"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14 448</w:t>
            </w:r>
          </w:p>
        </w:tc>
        <w:tc>
          <w:tcPr>
            <w:tcW w:w="1340" w:type="dxa"/>
            <w:noWrap/>
            <w:vAlign w:val="center"/>
            <w:hideMark/>
          </w:tcPr>
          <w:p w14:paraId="5732786E"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15 822</w:t>
            </w:r>
          </w:p>
        </w:tc>
        <w:tc>
          <w:tcPr>
            <w:tcW w:w="1340" w:type="dxa"/>
            <w:noWrap/>
            <w:vAlign w:val="center"/>
            <w:hideMark/>
          </w:tcPr>
          <w:p w14:paraId="4642F42B"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18 124</w:t>
            </w:r>
          </w:p>
        </w:tc>
        <w:tc>
          <w:tcPr>
            <w:tcW w:w="1348" w:type="dxa"/>
            <w:noWrap/>
            <w:vAlign w:val="center"/>
            <w:hideMark/>
          </w:tcPr>
          <w:p w14:paraId="119DF828"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12 146</w:t>
            </w:r>
          </w:p>
        </w:tc>
      </w:tr>
      <w:tr w:rsidR="00D1690A" w:rsidRPr="00FF7721" w14:paraId="20EE512B" w14:textId="77777777" w:rsidTr="00804B02">
        <w:trPr>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3391A9D7" w14:textId="77777777" w:rsidR="00D1690A" w:rsidRPr="00FF7721" w:rsidRDefault="00D1690A" w:rsidP="00804B02">
            <w:pPr>
              <w:spacing w:line="240" w:lineRule="auto"/>
              <w:ind w:firstLineChars="100" w:firstLine="200"/>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w tym osoby w wieku 60 lat i więcej</w:t>
            </w:r>
          </w:p>
        </w:tc>
        <w:tc>
          <w:tcPr>
            <w:tcW w:w="1340" w:type="dxa"/>
            <w:noWrap/>
            <w:vAlign w:val="center"/>
            <w:hideMark/>
          </w:tcPr>
          <w:p w14:paraId="762D707F"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9 501</w:t>
            </w:r>
          </w:p>
        </w:tc>
        <w:tc>
          <w:tcPr>
            <w:tcW w:w="1340" w:type="dxa"/>
            <w:noWrap/>
            <w:vAlign w:val="center"/>
            <w:hideMark/>
          </w:tcPr>
          <w:p w14:paraId="4841BEB5"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3 981</w:t>
            </w:r>
          </w:p>
        </w:tc>
        <w:tc>
          <w:tcPr>
            <w:tcW w:w="1340" w:type="dxa"/>
            <w:noWrap/>
            <w:vAlign w:val="center"/>
            <w:hideMark/>
          </w:tcPr>
          <w:p w14:paraId="1D3E0849"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5 520</w:t>
            </w:r>
          </w:p>
        </w:tc>
        <w:tc>
          <w:tcPr>
            <w:tcW w:w="1340" w:type="dxa"/>
            <w:noWrap/>
            <w:vAlign w:val="center"/>
            <w:hideMark/>
          </w:tcPr>
          <w:p w14:paraId="6FD0ACE3"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6 160</w:t>
            </w:r>
          </w:p>
        </w:tc>
        <w:tc>
          <w:tcPr>
            <w:tcW w:w="1348" w:type="dxa"/>
            <w:noWrap/>
            <w:vAlign w:val="center"/>
            <w:hideMark/>
          </w:tcPr>
          <w:p w14:paraId="33856E89"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3 341</w:t>
            </w:r>
          </w:p>
        </w:tc>
      </w:tr>
      <w:tr w:rsidR="00D1690A" w:rsidRPr="00FF7721" w14:paraId="0561EFC4" w14:textId="77777777" w:rsidTr="00804B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70" w:type="dxa"/>
            <w:gridSpan w:val="6"/>
            <w:noWrap/>
            <w:hideMark/>
          </w:tcPr>
          <w:p w14:paraId="71AC9877" w14:textId="77777777" w:rsidR="00D1690A" w:rsidRPr="00FF7721" w:rsidRDefault="00D1690A" w:rsidP="00804B02">
            <w:pPr>
              <w:spacing w:line="240" w:lineRule="auto"/>
              <w:rPr>
                <w:rFonts w:eastAsia="Times New Roman" w:cs="Times New Roman"/>
                <w:bCs w:val="0"/>
                <w:color w:val="auto"/>
                <w:sz w:val="20"/>
                <w:szCs w:val="20"/>
                <w:lang w:eastAsia="pl-PL"/>
              </w:rPr>
            </w:pPr>
            <w:r w:rsidRPr="00FF7721">
              <w:rPr>
                <w:rFonts w:eastAsia="Times New Roman" w:cs="Times New Roman"/>
                <w:bCs w:val="0"/>
                <w:color w:val="auto"/>
                <w:sz w:val="20"/>
                <w:szCs w:val="20"/>
                <w:lang w:eastAsia="pl-PL"/>
              </w:rPr>
              <w:t>Aktywni zawodowo – razem (w tysiącach). Dane średnioroczne.</w:t>
            </w:r>
          </w:p>
        </w:tc>
      </w:tr>
      <w:tr w:rsidR="00D1690A" w:rsidRPr="00FF7721" w14:paraId="6A75CB1D" w14:textId="77777777" w:rsidTr="00804B02">
        <w:trPr>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1937E049"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Ogółem</w:t>
            </w:r>
          </w:p>
        </w:tc>
        <w:tc>
          <w:tcPr>
            <w:tcW w:w="1340" w:type="dxa"/>
            <w:noWrap/>
            <w:vAlign w:val="center"/>
            <w:hideMark/>
          </w:tcPr>
          <w:p w14:paraId="0FA41F33"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16 979</w:t>
            </w:r>
          </w:p>
        </w:tc>
        <w:tc>
          <w:tcPr>
            <w:tcW w:w="1340" w:type="dxa"/>
            <w:noWrap/>
            <w:vAlign w:val="center"/>
            <w:hideMark/>
          </w:tcPr>
          <w:p w14:paraId="264D905D"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9 400</w:t>
            </w:r>
          </w:p>
        </w:tc>
        <w:tc>
          <w:tcPr>
            <w:tcW w:w="1340" w:type="dxa"/>
            <w:noWrap/>
            <w:vAlign w:val="center"/>
            <w:hideMark/>
          </w:tcPr>
          <w:p w14:paraId="08A81967"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7 579</w:t>
            </w:r>
          </w:p>
        </w:tc>
        <w:tc>
          <w:tcPr>
            <w:tcW w:w="1340" w:type="dxa"/>
            <w:noWrap/>
            <w:vAlign w:val="center"/>
            <w:hideMark/>
          </w:tcPr>
          <w:p w14:paraId="33E34130"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10 139</w:t>
            </w:r>
          </w:p>
        </w:tc>
        <w:tc>
          <w:tcPr>
            <w:tcW w:w="1348" w:type="dxa"/>
            <w:noWrap/>
            <w:vAlign w:val="center"/>
            <w:hideMark/>
          </w:tcPr>
          <w:p w14:paraId="30488DD4"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6 840</w:t>
            </w:r>
          </w:p>
        </w:tc>
      </w:tr>
      <w:tr w:rsidR="00D1690A" w:rsidRPr="00FF7721" w14:paraId="0997EC35" w14:textId="77777777" w:rsidTr="00804B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43FE1437"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w tym osoby w wieku 60 lat i więcej</w:t>
            </w:r>
          </w:p>
        </w:tc>
        <w:tc>
          <w:tcPr>
            <w:tcW w:w="1340" w:type="dxa"/>
            <w:noWrap/>
            <w:vAlign w:val="center"/>
            <w:hideMark/>
          </w:tcPr>
          <w:p w14:paraId="055A656A"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1 378</w:t>
            </w:r>
          </w:p>
        </w:tc>
        <w:tc>
          <w:tcPr>
            <w:tcW w:w="1340" w:type="dxa"/>
            <w:noWrap/>
            <w:vAlign w:val="center"/>
            <w:hideMark/>
          </w:tcPr>
          <w:p w14:paraId="77F14867"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924</w:t>
            </w:r>
          </w:p>
        </w:tc>
        <w:tc>
          <w:tcPr>
            <w:tcW w:w="1340" w:type="dxa"/>
            <w:noWrap/>
            <w:vAlign w:val="center"/>
            <w:hideMark/>
          </w:tcPr>
          <w:p w14:paraId="7E73A0C2"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454</w:t>
            </w:r>
          </w:p>
        </w:tc>
        <w:tc>
          <w:tcPr>
            <w:tcW w:w="1340" w:type="dxa"/>
            <w:noWrap/>
            <w:vAlign w:val="center"/>
            <w:hideMark/>
          </w:tcPr>
          <w:p w14:paraId="34EB30BB"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920</w:t>
            </w:r>
          </w:p>
        </w:tc>
        <w:tc>
          <w:tcPr>
            <w:tcW w:w="1348" w:type="dxa"/>
            <w:noWrap/>
            <w:vAlign w:val="center"/>
            <w:hideMark/>
          </w:tcPr>
          <w:p w14:paraId="3DB95252"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458</w:t>
            </w:r>
          </w:p>
        </w:tc>
      </w:tr>
      <w:tr w:rsidR="00D1690A" w:rsidRPr="00FF7721" w14:paraId="4973215C" w14:textId="77777777" w:rsidTr="00804B02">
        <w:trPr>
          <w:trHeight w:val="300"/>
        </w:trPr>
        <w:tc>
          <w:tcPr>
            <w:cnfStyle w:val="001000000000" w:firstRow="0" w:lastRow="0" w:firstColumn="1" w:lastColumn="0" w:oddVBand="0" w:evenVBand="0" w:oddHBand="0" w:evenHBand="0" w:firstRowFirstColumn="0" w:firstRowLastColumn="0" w:lastRowFirstColumn="0" w:lastRowLastColumn="0"/>
            <w:tcW w:w="9970" w:type="dxa"/>
            <w:gridSpan w:val="6"/>
            <w:noWrap/>
            <w:hideMark/>
          </w:tcPr>
          <w:p w14:paraId="244D6D9F" w14:textId="77777777" w:rsidR="00D1690A" w:rsidRPr="00FF7721" w:rsidRDefault="00D1690A" w:rsidP="00804B02">
            <w:pPr>
              <w:spacing w:line="240" w:lineRule="auto"/>
              <w:rPr>
                <w:rFonts w:eastAsia="Times New Roman" w:cs="Times New Roman"/>
                <w:bCs w:val="0"/>
                <w:color w:val="auto"/>
                <w:sz w:val="20"/>
                <w:szCs w:val="20"/>
                <w:lang w:eastAsia="pl-PL"/>
              </w:rPr>
            </w:pPr>
            <w:r w:rsidRPr="00FF7721">
              <w:rPr>
                <w:rFonts w:eastAsia="Times New Roman" w:cs="Times New Roman"/>
                <w:bCs w:val="0"/>
                <w:color w:val="auto"/>
                <w:sz w:val="20"/>
                <w:szCs w:val="20"/>
                <w:lang w:eastAsia="pl-PL"/>
              </w:rPr>
              <w:t>Aktywni zawodowo – pracujący (w tysiącach). Dane średnioroczne.</w:t>
            </w:r>
          </w:p>
        </w:tc>
      </w:tr>
      <w:tr w:rsidR="00D1690A" w:rsidRPr="00FF7721" w14:paraId="30BFC742" w14:textId="77777777" w:rsidTr="00804B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60D3B3E4"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Ogółem</w:t>
            </w:r>
          </w:p>
        </w:tc>
        <w:tc>
          <w:tcPr>
            <w:tcW w:w="1340" w:type="dxa"/>
            <w:noWrap/>
            <w:vAlign w:val="center"/>
            <w:hideMark/>
          </w:tcPr>
          <w:p w14:paraId="34A91A21"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16 442</w:t>
            </w:r>
          </w:p>
        </w:tc>
        <w:tc>
          <w:tcPr>
            <w:tcW w:w="1340" w:type="dxa"/>
            <w:noWrap/>
            <w:vAlign w:val="center"/>
            <w:hideMark/>
          </w:tcPr>
          <w:p w14:paraId="565C37D5"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9 113</w:t>
            </w:r>
          </w:p>
        </w:tc>
        <w:tc>
          <w:tcPr>
            <w:tcW w:w="1340" w:type="dxa"/>
            <w:noWrap/>
            <w:vAlign w:val="center"/>
            <w:hideMark/>
          </w:tcPr>
          <w:p w14:paraId="2AD6CA09"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7 329</w:t>
            </w:r>
          </w:p>
        </w:tc>
        <w:tc>
          <w:tcPr>
            <w:tcW w:w="1340" w:type="dxa"/>
            <w:noWrap/>
            <w:vAlign w:val="center"/>
            <w:hideMark/>
          </w:tcPr>
          <w:p w14:paraId="0D118514"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9 828</w:t>
            </w:r>
          </w:p>
        </w:tc>
        <w:tc>
          <w:tcPr>
            <w:tcW w:w="1348" w:type="dxa"/>
            <w:noWrap/>
            <w:vAlign w:val="center"/>
            <w:hideMark/>
          </w:tcPr>
          <w:p w14:paraId="742B0084"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6 614</w:t>
            </w:r>
          </w:p>
        </w:tc>
      </w:tr>
      <w:tr w:rsidR="00D1690A" w:rsidRPr="00FF7721" w14:paraId="7AC895C3" w14:textId="77777777" w:rsidTr="00804B02">
        <w:trPr>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484BF9D4"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w tym osoby w wieku 60 lat i więcej</w:t>
            </w:r>
          </w:p>
        </w:tc>
        <w:tc>
          <w:tcPr>
            <w:tcW w:w="1340" w:type="dxa"/>
            <w:noWrap/>
            <w:vAlign w:val="center"/>
            <w:hideMark/>
          </w:tcPr>
          <w:p w14:paraId="25BC2577"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1 357</w:t>
            </w:r>
          </w:p>
        </w:tc>
        <w:tc>
          <w:tcPr>
            <w:tcW w:w="1340" w:type="dxa"/>
            <w:noWrap/>
            <w:vAlign w:val="center"/>
            <w:hideMark/>
          </w:tcPr>
          <w:p w14:paraId="3DF60BD7"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906</w:t>
            </w:r>
          </w:p>
        </w:tc>
        <w:tc>
          <w:tcPr>
            <w:tcW w:w="1340" w:type="dxa"/>
            <w:noWrap/>
            <w:vAlign w:val="center"/>
            <w:hideMark/>
          </w:tcPr>
          <w:p w14:paraId="23310722"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451</w:t>
            </w:r>
          </w:p>
        </w:tc>
        <w:tc>
          <w:tcPr>
            <w:tcW w:w="1340" w:type="dxa"/>
            <w:noWrap/>
            <w:vAlign w:val="center"/>
            <w:hideMark/>
          </w:tcPr>
          <w:p w14:paraId="2AEB5687"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905</w:t>
            </w:r>
          </w:p>
        </w:tc>
        <w:tc>
          <w:tcPr>
            <w:tcW w:w="1348" w:type="dxa"/>
            <w:noWrap/>
            <w:vAlign w:val="center"/>
            <w:hideMark/>
          </w:tcPr>
          <w:p w14:paraId="21635535"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452</w:t>
            </w:r>
          </w:p>
        </w:tc>
      </w:tr>
      <w:tr w:rsidR="00D1690A" w:rsidRPr="00FF7721" w14:paraId="6462204C" w14:textId="77777777" w:rsidTr="00804B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70" w:type="dxa"/>
            <w:gridSpan w:val="6"/>
            <w:noWrap/>
            <w:hideMark/>
          </w:tcPr>
          <w:p w14:paraId="7C264CED" w14:textId="77777777" w:rsidR="00D1690A" w:rsidRPr="00FF7721" w:rsidRDefault="00D1690A" w:rsidP="00804B02">
            <w:pPr>
              <w:spacing w:line="240" w:lineRule="auto"/>
              <w:rPr>
                <w:rFonts w:eastAsia="Times New Roman" w:cs="Times New Roman"/>
                <w:bCs w:val="0"/>
                <w:color w:val="auto"/>
                <w:sz w:val="20"/>
                <w:szCs w:val="20"/>
                <w:lang w:eastAsia="pl-PL"/>
              </w:rPr>
            </w:pPr>
            <w:r w:rsidRPr="00FF7721">
              <w:rPr>
                <w:rFonts w:eastAsia="Times New Roman" w:cs="Times New Roman"/>
                <w:bCs w:val="0"/>
                <w:color w:val="auto"/>
                <w:sz w:val="20"/>
                <w:szCs w:val="20"/>
                <w:lang w:eastAsia="pl-PL"/>
              </w:rPr>
              <w:t>Bierni zawodowo (w tysiącach). Dane średnioroczne.</w:t>
            </w:r>
          </w:p>
        </w:tc>
      </w:tr>
      <w:tr w:rsidR="00D1690A" w:rsidRPr="00FF7721" w14:paraId="548C36BF" w14:textId="77777777" w:rsidTr="00804B02">
        <w:trPr>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237DFBB9"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Ogółem</w:t>
            </w:r>
          </w:p>
        </w:tc>
        <w:tc>
          <w:tcPr>
            <w:tcW w:w="1340" w:type="dxa"/>
            <w:noWrap/>
            <w:vAlign w:val="center"/>
            <w:hideMark/>
          </w:tcPr>
          <w:p w14:paraId="332EA234"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13 292</w:t>
            </w:r>
          </w:p>
        </w:tc>
        <w:tc>
          <w:tcPr>
            <w:tcW w:w="1340" w:type="dxa"/>
            <w:noWrap/>
            <w:vAlign w:val="center"/>
            <w:hideMark/>
          </w:tcPr>
          <w:p w14:paraId="1F116EFF"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5 048</w:t>
            </w:r>
          </w:p>
        </w:tc>
        <w:tc>
          <w:tcPr>
            <w:tcW w:w="1340" w:type="dxa"/>
            <w:noWrap/>
            <w:vAlign w:val="center"/>
            <w:hideMark/>
          </w:tcPr>
          <w:p w14:paraId="7ADBF8C3"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8 244</w:t>
            </w:r>
          </w:p>
        </w:tc>
        <w:tc>
          <w:tcPr>
            <w:tcW w:w="1340" w:type="dxa"/>
            <w:noWrap/>
            <w:vAlign w:val="center"/>
            <w:hideMark/>
          </w:tcPr>
          <w:p w14:paraId="63E33FA8"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7 985</w:t>
            </w:r>
          </w:p>
        </w:tc>
        <w:tc>
          <w:tcPr>
            <w:tcW w:w="1348" w:type="dxa"/>
            <w:noWrap/>
            <w:vAlign w:val="center"/>
            <w:hideMark/>
          </w:tcPr>
          <w:p w14:paraId="200E02C0"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5 307</w:t>
            </w:r>
          </w:p>
        </w:tc>
      </w:tr>
      <w:tr w:rsidR="00D1690A" w:rsidRPr="00FF7721" w14:paraId="3C20068D" w14:textId="77777777" w:rsidTr="00804B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221D23AA"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w tym osoby w wieku 60 lat i więcej</w:t>
            </w:r>
          </w:p>
        </w:tc>
        <w:tc>
          <w:tcPr>
            <w:tcW w:w="1340" w:type="dxa"/>
            <w:noWrap/>
            <w:vAlign w:val="center"/>
            <w:hideMark/>
          </w:tcPr>
          <w:p w14:paraId="52EE0846"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8 123</w:t>
            </w:r>
          </w:p>
        </w:tc>
        <w:tc>
          <w:tcPr>
            <w:tcW w:w="1340" w:type="dxa"/>
            <w:noWrap/>
            <w:vAlign w:val="center"/>
            <w:hideMark/>
          </w:tcPr>
          <w:p w14:paraId="10C04544"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3 057</w:t>
            </w:r>
          </w:p>
        </w:tc>
        <w:tc>
          <w:tcPr>
            <w:tcW w:w="1340" w:type="dxa"/>
            <w:noWrap/>
            <w:vAlign w:val="center"/>
            <w:hideMark/>
          </w:tcPr>
          <w:p w14:paraId="3B2E0165"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5 066</w:t>
            </w:r>
          </w:p>
        </w:tc>
        <w:tc>
          <w:tcPr>
            <w:tcW w:w="1340" w:type="dxa"/>
            <w:noWrap/>
            <w:vAlign w:val="center"/>
            <w:hideMark/>
          </w:tcPr>
          <w:p w14:paraId="6EF8424D"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5 240</w:t>
            </w:r>
          </w:p>
        </w:tc>
        <w:tc>
          <w:tcPr>
            <w:tcW w:w="1348" w:type="dxa"/>
            <w:noWrap/>
            <w:vAlign w:val="center"/>
            <w:hideMark/>
          </w:tcPr>
          <w:p w14:paraId="4514702B"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2 883</w:t>
            </w:r>
          </w:p>
        </w:tc>
      </w:tr>
      <w:tr w:rsidR="00D1690A" w:rsidRPr="00FF7721" w14:paraId="53565257" w14:textId="77777777" w:rsidTr="00804B02">
        <w:trPr>
          <w:trHeight w:val="300"/>
        </w:trPr>
        <w:tc>
          <w:tcPr>
            <w:cnfStyle w:val="001000000000" w:firstRow="0" w:lastRow="0" w:firstColumn="1" w:lastColumn="0" w:oddVBand="0" w:evenVBand="0" w:oddHBand="0" w:evenHBand="0" w:firstRowFirstColumn="0" w:firstRowLastColumn="0" w:lastRowFirstColumn="0" w:lastRowLastColumn="0"/>
            <w:tcW w:w="9970" w:type="dxa"/>
            <w:gridSpan w:val="6"/>
            <w:noWrap/>
            <w:hideMark/>
          </w:tcPr>
          <w:p w14:paraId="33A81C66" w14:textId="77777777" w:rsidR="00D1690A" w:rsidRPr="00FF7721" w:rsidRDefault="00D1690A" w:rsidP="00804B02">
            <w:pPr>
              <w:spacing w:line="240" w:lineRule="auto"/>
              <w:rPr>
                <w:rFonts w:eastAsia="Times New Roman" w:cs="Times New Roman"/>
                <w:bCs w:val="0"/>
                <w:color w:val="auto"/>
                <w:sz w:val="20"/>
                <w:szCs w:val="20"/>
                <w:lang w:eastAsia="pl-PL"/>
              </w:rPr>
            </w:pPr>
            <w:r w:rsidRPr="00FF7721">
              <w:rPr>
                <w:rFonts w:eastAsia="Times New Roman" w:cs="Times New Roman"/>
                <w:bCs w:val="0"/>
                <w:color w:val="auto"/>
                <w:sz w:val="20"/>
                <w:szCs w:val="20"/>
                <w:lang w:eastAsia="pl-PL"/>
              </w:rPr>
              <w:t>Współczynnik aktywności zawodowej - w %.  Dane średnioroczne.</w:t>
            </w:r>
          </w:p>
        </w:tc>
      </w:tr>
      <w:tr w:rsidR="00D1690A" w:rsidRPr="00FF7721" w14:paraId="6EAE63A7" w14:textId="77777777" w:rsidTr="00804B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31A1B2EA"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Ogółem</w:t>
            </w:r>
          </w:p>
        </w:tc>
        <w:tc>
          <w:tcPr>
            <w:tcW w:w="1340" w:type="dxa"/>
            <w:noWrap/>
            <w:vAlign w:val="center"/>
            <w:hideMark/>
          </w:tcPr>
          <w:p w14:paraId="235996A6"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56,1</w:t>
            </w:r>
          </w:p>
        </w:tc>
        <w:tc>
          <w:tcPr>
            <w:tcW w:w="1340" w:type="dxa"/>
            <w:noWrap/>
            <w:vAlign w:val="center"/>
            <w:hideMark/>
          </w:tcPr>
          <w:p w14:paraId="3EF51767"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65,1</w:t>
            </w:r>
          </w:p>
        </w:tc>
        <w:tc>
          <w:tcPr>
            <w:tcW w:w="1340" w:type="dxa"/>
            <w:noWrap/>
            <w:vAlign w:val="center"/>
            <w:hideMark/>
          </w:tcPr>
          <w:p w14:paraId="5B8F8DA1"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47,9</w:t>
            </w:r>
          </w:p>
        </w:tc>
        <w:tc>
          <w:tcPr>
            <w:tcW w:w="1340" w:type="dxa"/>
            <w:noWrap/>
            <w:vAlign w:val="center"/>
            <w:hideMark/>
          </w:tcPr>
          <w:p w14:paraId="2D3930B5"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55,9</w:t>
            </w:r>
          </w:p>
        </w:tc>
        <w:tc>
          <w:tcPr>
            <w:tcW w:w="1348" w:type="dxa"/>
            <w:noWrap/>
            <w:vAlign w:val="center"/>
            <w:hideMark/>
          </w:tcPr>
          <w:p w14:paraId="060E53B8"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56,3</w:t>
            </w:r>
          </w:p>
        </w:tc>
      </w:tr>
      <w:tr w:rsidR="00D1690A" w:rsidRPr="00FF7721" w14:paraId="027B92F6" w14:textId="77777777" w:rsidTr="00804B02">
        <w:trPr>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3331E525"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w tym osoby w wieku 60 lat i więcej</w:t>
            </w:r>
          </w:p>
        </w:tc>
        <w:tc>
          <w:tcPr>
            <w:tcW w:w="1340" w:type="dxa"/>
            <w:noWrap/>
            <w:vAlign w:val="center"/>
            <w:hideMark/>
          </w:tcPr>
          <w:p w14:paraId="1C309070"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14,5</w:t>
            </w:r>
          </w:p>
        </w:tc>
        <w:tc>
          <w:tcPr>
            <w:tcW w:w="1340" w:type="dxa"/>
            <w:noWrap/>
            <w:vAlign w:val="center"/>
            <w:hideMark/>
          </w:tcPr>
          <w:p w14:paraId="0E21E3EB"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23,2</w:t>
            </w:r>
          </w:p>
        </w:tc>
        <w:tc>
          <w:tcPr>
            <w:tcW w:w="1340" w:type="dxa"/>
            <w:noWrap/>
            <w:vAlign w:val="center"/>
            <w:hideMark/>
          </w:tcPr>
          <w:p w14:paraId="45316FEF"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8,2</w:t>
            </w:r>
          </w:p>
        </w:tc>
        <w:tc>
          <w:tcPr>
            <w:tcW w:w="1340" w:type="dxa"/>
            <w:noWrap/>
            <w:vAlign w:val="center"/>
            <w:hideMark/>
          </w:tcPr>
          <w:p w14:paraId="149FFB32"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14,9</w:t>
            </w:r>
          </w:p>
        </w:tc>
        <w:tc>
          <w:tcPr>
            <w:tcW w:w="1348" w:type="dxa"/>
            <w:noWrap/>
            <w:vAlign w:val="center"/>
            <w:hideMark/>
          </w:tcPr>
          <w:p w14:paraId="587458B2"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13,7</w:t>
            </w:r>
          </w:p>
        </w:tc>
      </w:tr>
      <w:tr w:rsidR="00D1690A" w:rsidRPr="00FF7721" w14:paraId="7586094F" w14:textId="77777777" w:rsidTr="00804B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70" w:type="dxa"/>
            <w:gridSpan w:val="6"/>
            <w:noWrap/>
            <w:hideMark/>
          </w:tcPr>
          <w:p w14:paraId="59C1A93A" w14:textId="77777777" w:rsidR="00D1690A" w:rsidRPr="00FF7721" w:rsidRDefault="00D1690A" w:rsidP="00804B02">
            <w:pPr>
              <w:spacing w:line="240" w:lineRule="auto"/>
              <w:rPr>
                <w:rFonts w:eastAsia="Times New Roman" w:cs="Times New Roman"/>
                <w:bCs w:val="0"/>
                <w:color w:val="auto"/>
                <w:sz w:val="20"/>
                <w:szCs w:val="20"/>
                <w:lang w:eastAsia="pl-PL"/>
              </w:rPr>
            </w:pPr>
            <w:r w:rsidRPr="00FF7721">
              <w:rPr>
                <w:rFonts w:eastAsia="Times New Roman" w:cs="Times New Roman"/>
                <w:bCs w:val="0"/>
                <w:color w:val="auto"/>
                <w:sz w:val="20"/>
                <w:szCs w:val="20"/>
                <w:lang w:eastAsia="pl-PL"/>
              </w:rPr>
              <w:t>Wskaźnik zatrudnienia - w %. Dane średnioroczne.</w:t>
            </w:r>
          </w:p>
        </w:tc>
      </w:tr>
      <w:tr w:rsidR="00D1690A" w:rsidRPr="00FF7721" w14:paraId="181A2EDF" w14:textId="77777777" w:rsidTr="00804B02">
        <w:trPr>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32201A7B"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Ogółem</w:t>
            </w:r>
          </w:p>
        </w:tc>
        <w:tc>
          <w:tcPr>
            <w:tcW w:w="1340" w:type="dxa"/>
            <w:noWrap/>
            <w:vAlign w:val="center"/>
            <w:hideMark/>
          </w:tcPr>
          <w:p w14:paraId="14A4A10D"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54,3</w:t>
            </w:r>
          </w:p>
        </w:tc>
        <w:tc>
          <w:tcPr>
            <w:tcW w:w="1340" w:type="dxa"/>
            <w:noWrap/>
            <w:vAlign w:val="center"/>
            <w:hideMark/>
          </w:tcPr>
          <w:p w14:paraId="0AC32453"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63,1</w:t>
            </w:r>
          </w:p>
        </w:tc>
        <w:tc>
          <w:tcPr>
            <w:tcW w:w="1340" w:type="dxa"/>
            <w:noWrap/>
            <w:vAlign w:val="center"/>
            <w:hideMark/>
          </w:tcPr>
          <w:p w14:paraId="7B554B42"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46,3</w:t>
            </w:r>
          </w:p>
        </w:tc>
        <w:tc>
          <w:tcPr>
            <w:tcW w:w="1340" w:type="dxa"/>
            <w:noWrap/>
            <w:vAlign w:val="center"/>
            <w:hideMark/>
          </w:tcPr>
          <w:p w14:paraId="12350B48"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54,2</w:t>
            </w:r>
          </w:p>
        </w:tc>
        <w:tc>
          <w:tcPr>
            <w:tcW w:w="1348" w:type="dxa"/>
            <w:noWrap/>
            <w:vAlign w:val="center"/>
            <w:hideMark/>
          </w:tcPr>
          <w:p w14:paraId="17FE76A4"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54,5</w:t>
            </w:r>
          </w:p>
        </w:tc>
      </w:tr>
      <w:tr w:rsidR="00D1690A" w:rsidRPr="0092226B" w14:paraId="138A067C" w14:textId="77777777" w:rsidTr="00804B0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262" w:type="dxa"/>
            <w:noWrap/>
            <w:hideMark/>
          </w:tcPr>
          <w:p w14:paraId="3F84EAD1"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w tym osoby w wieku 60 lat i więcej</w:t>
            </w:r>
          </w:p>
        </w:tc>
        <w:tc>
          <w:tcPr>
            <w:tcW w:w="1340" w:type="dxa"/>
            <w:noWrap/>
            <w:vAlign w:val="center"/>
            <w:hideMark/>
          </w:tcPr>
          <w:p w14:paraId="69312A8A"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14,3</w:t>
            </w:r>
          </w:p>
        </w:tc>
        <w:tc>
          <w:tcPr>
            <w:tcW w:w="1340" w:type="dxa"/>
            <w:noWrap/>
            <w:vAlign w:val="center"/>
            <w:hideMark/>
          </w:tcPr>
          <w:p w14:paraId="1E39EF70"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22,8</w:t>
            </w:r>
          </w:p>
        </w:tc>
        <w:tc>
          <w:tcPr>
            <w:tcW w:w="1340" w:type="dxa"/>
            <w:noWrap/>
            <w:vAlign w:val="center"/>
            <w:hideMark/>
          </w:tcPr>
          <w:p w14:paraId="2FA36678"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8,2</w:t>
            </w:r>
          </w:p>
        </w:tc>
        <w:tc>
          <w:tcPr>
            <w:tcW w:w="1340" w:type="dxa"/>
            <w:noWrap/>
            <w:vAlign w:val="center"/>
            <w:hideMark/>
          </w:tcPr>
          <w:p w14:paraId="2A9EC7B6"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14,7</w:t>
            </w:r>
          </w:p>
        </w:tc>
        <w:tc>
          <w:tcPr>
            <w:tcW w:w="1348" w:type="dxa"/>
            <w:noWrap/>
            <w:vAlign w:val="center"/>
            <w:hideMark/>
          </w:tcPr>
          <w:p w14:paraId="28605AD9"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13,5</w:t>
            </w:r>
          </w:p>
        </w:tc>
      </w:tr>
      <w:tr w:rsidR="00D1690A" w:rsidRPr="0092226B" w14:paraId="52765ECA" w14:textId="77777777" w:rsidTr="00804B02">
        <w:trPr>
          <w:trHeight w:val="300"/>
        </w:trPr>
        <w:tc>
          <w:tcPr>
            <w:cnfStyle w:val="001000000000" w:firstRow="0" w:lastRow="0" w:firstColumn="1" w:lastColumn="0" w:oddVBand="0" w:evenVBand="0" w:oddHBand="0" w:evenHBand="0" w:firstRowFirstColumn="0" w:firstRowLastColumn="0" w:lastRowFirstColumn="0" w:lastRowLastColumn="0"/>
            <w:tcW w:w="9970" w:type="dxa"/>
            <w:gridSpan w:val="6"/>
            <w:noWrap/>
            <w:hideMark/>
          </w:tcPr>
          <w:p w14:paraId="312779BF" w14:textId="77777777" w:rsidR="00D1690A" w:rsidRPr="00FF7721" w:rsidRDefault="00D1690A" w:rsidP="00804B02">
            <w:pPr>
              <w:spacing w:line="240" w:lineRule="auto"/>
              <w:rPr>
                <w:rFonts w:eastAsia="Times New Roman" w:cs="Times New Roman"/>
                <w:bCs w:val="0"/>
                <w:color w:val="auto"/>
                <w:sz w:val="20"/>
                <w:szCs w:val="20"/>
                <w:lang w:eastAsia="pl-PL"/>
              </w:rPr>
            </w:pPr>
            <w:r w:rsidRPr="00FF7721">
              <w:rPr>
                <w:rFonts w:eastAsia="Times New Roman" w:cs="Times New Roman"/>
                <w:bCs w:val="0"/>
                <w:color w:val="auto"/>
                <w:sz w:val="20"/>
                <w:szCs w:val="20"/>
                <w:lang w:eastAsia="pl-PL"/>
              </w:rPr>
              <w:t>Bierni zawodowo w wieku 60 i więcej lat według wybranych przyczyn bierności (w tysiącach). Dane średnioroczne.</w:t>
            </w:r>
          </w:p>
        </w:tc>
      </w:tr>
      <w:tr w:rsidR="00D1690A" w:rsidRPr="0092226B" w14:paraId="2A0DF802" w14:textId="77777777" w:rsidTr="00804B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221F5363"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Ogółem</w:t>
            </w:r>
          </w:p>
        </w:tc>
        <w:tc>
          <w:tcPr>
            <w:tcW w:w="1340" w:type="dxa"/>
            <w:noWrap/>
            <w:vAlign w:val="center"/>
            <w:hideMark/>
          </w:tcPr>
          <w:p w14:paraId="26CEB4F0"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8 123</w:t>
            </w:r>
          </w:p>
        </w:tc>
        <w:tc>
          <w:tcPr>
            <w:tcW w:w="1340" w:type="dxa"/>
            <w:noWrap/>
            <w:vAlign w:val="center"/>
            <w:hideMark/>
          </w:tcPr>
          <w:p w14:paraId="630028F6"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3 057</w:t>
            </w:r>
          </w:p>
        </w:tc>
        <w:tc>
          <w:tcPr>
            <w:tcW w:w="1340" w:type="dxa"/>
            <w:noWrap/>
            <w:vAlign w:val="center"/>
            <w:hideMark/>
          </w:tcPr>
          <w:p w14:paraId="1830540A"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5 066</w:t>
            </w:r>
          </w:p>
        </w:tc>
        <w:tc>
          <w:tcPr>
            <w:tcW w:w="1340" w:type="dxa"/>
            <w:noWrap/>
            <w:vAlign w:val="center"/>
            <w:hideMark/>
          </w:tcPr>
          <w:p w14:paraId="1114C1FA"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5 240</w:t>
            </w:r>
          </w:p>
        </w:tc>
        <w:tc>
          <w:tcPr>
            <w:tcW w:w="1348" w:type="dxa"/>
            <w:noWrap/>
            <w:vAlign w:val="center"/>
            <w:hideMark/>
          </w:tcPr>
          <w:p w14:paraId="64624C17"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2 883</w:t>
            </w:r>
          </w:p>
        </w:tc>
      </w:tr>
      <w:tr w:rsidR="00D1690A" w:rsidRPr="0092226B" w14:paraId="6D340210" w14:textId="77777777" w:rsidTr="00804B02">
        <w:trPr>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74F01C8C"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w tym:</w:t>
            </w:r>
          </w:p>
        </w:tc>
        <w:tc>
          <w:tcPr>
            <w:tcW w:w="1340" w:type="dxa"/>
            <w:noWrap/>
            <w:vAlign w:val="center"/>
            <w:hideMark/>
          </w:tcPr>
          <w:p w14:paraId="3A840D10"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340" w:type="dxa"/>
            <w:noWrap/>
            <w:vAlign w:val="center"/>
            <w:hideMark/>
          </w:tcPr>
          <w:p w14:paraId="76F5EF5B"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340" w:type="dxa"/>
            <w:noWrap/>
            <w:vAlign w:val="center"/>
            <w:hideMark/>
          </w:tcPr>
          <w:p w14:paraId="53EC8060"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340" w:type="dxa"/>
            <w:noWrap/>
            <w:vAlign w:val="center"/>
            <w:hideMark/>
          </w:tcPr>
          <w:p w14:paraId="3305C8B4"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348" w:type="dxa"/>
            <w:noWrap/>
            <w:vAlign w:val="center"/>
            <w:hideMark/>
          </w:tcPr>
          <w:p w14:paraId="7FF17575"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D1690A" w:rsidRPr="0092226B" w14:paraId="1790C888" w14:textId="77777777" w:rsidTr="00804B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7F4003B0"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osoby nieposzukujące pracy - razem</w:t>
            </w:r>
          </w:p>
        </w:tc>
        <w:tc>
          <w:tcPr>
            <w:tcW w:w="1340" w:type="dxa"/>
            <w:noWrap/>
            <w:vAlign w:val="center"/>
            <w:hideMark/>
          </w:tcPr>
          <w:p w14:paraId="55DA7C16"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8 119</w:t>
            </w:r>
          </w:p>
        </w:tc>
        <w:tc>
          <w:tcPr>
            <w:tcW w:w="1340" w:type="dxa"/>
            <w:noWrap/>
            <w:vAlign w:val="center"/>
            <w:hideMark/>
          </w:tcPr>
          <w:p w14:paraId="39D7294A"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3 055</w:t>
            </w:r>
          </w:p>
        </w:tc>
        <w:tc>
          <w:tcPr>
            <w:tcW w:w="1340" w:type="dxa"/>
            <w:noWrap/>
            <w:vAlign w:val="center"/>
            <w:hideMark/>
          </w:tcPr>
          <w:p w14:paraId="0E57D8CC"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5 064</w:t>
            </w:r>
          </w:p>
        </w:tc>
        <w:tc>
          <w:tcPr>
            <w:tcW w:w="1340" w:type="dxa"/>
            <w:noWrap/>
            <w:vAlign w:val="center"/>
            <w:hideMark/>
          </w:tcPr>
          <w:p w14:paraId="5B24C693"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5 237</w:t>
            </w:r>
          </w:p>
        </w:tc>
        <w:tc>
          <w:tcPr>
            <w:tcW w:w="1348" w:type="dxa"/>
            <w:noWrap/>
            <w:vAlign w:val="center"/>
            <w:hideMark/>
          </w:tcPr>
          <w:p w14:paraId="2CE2E5A5"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2 882</w:t>
            </w:r>
          </w:p>
        </w:tc>
      </w:tr>
      <w:tr w:rsidR="00D1690A" w:rsidRPr="0092226B" w14:paraId="11327060" w14:textId="77777777" w:rsidTr="00804B02">
        <w:trPr>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2869B7DD"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osoby nieposzukujące pracy - emerytura</w:t>
            </w:r>
          </w:p>
        </w:tc>
        <w:tc>
          <w:tcPr>
            <w:tcW w:w="1340" w:type="dxa"/>
            <w:noWrap/>
            <w:vAlign w:val="center"/>
            <w:hideMark/>
          </w:tcPr>
          <w:p w14:paraId="7ABF646F"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7 307</w:t>
            </w:r>
          </w:p>
        </w:tc>
        <w:tc>
          <w:tcPr>
            <w:tcW w:w="1340" w:type="dxa"/>
            <w:noWrap/>
            <w:vAlign w:val="center"/>
            <w:hideMark/>
          </w:tcPr>
          <w:p w14:paraId="1B7CFDA6"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2 651</w:t>
            </w:r>
          </w:p>
        </w:tc>
        <w:tc>
          <w:tcPr>
            <w:tcW w:w="1340" w:type="dxa"/>
            <w:noWrap/>
            <w:vAlign w:val="center"/>
            <w:hideMark/>
          </w:tcPr>
          <w:p w14:paraId="251B7E95"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4 657</w:t>
            </w:r>
          </w:p>
        </w:tc>
        <w:tc>
          <w:tcPr>
            <w:tcW w:w="1340" w:type="dxa"/>
            <w:noWrap/>
            <w:vAlign w:val="center"/>
            <w:hideMark/>
          </w:tcPr>
          <w:p w14:paraId="2AD3D33A"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4 766</w:t>
            </w:r>
          </w:p>
        </w:tc>
        <w:tc>
          <w:tcPr>
            <w:tcW w:w="1348" w:type="dxa"/>
            <w:noWrap/>
            <w:vAlign w:val="center"/>
            <w:hideMark/>
          </w:tcPr>
          <w:p w14:paraId="1B5B1B49"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2 541</w:t>
            </w:r>
          </w:p>
        </w:tc>
      </w:tr>
      <w:tr w:rsidR="00D1690A" w:rsidRPr="0092226B" w14:paraId="67EBA903" w14:textId="77777777" w:rsidTr="00804B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570DD6D5"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osoby nieposzukujące pracy - choroba, niepełnosprawność</w:t>
            </w:r>
          </w:p>
        </w:tc>
        <w:tc>
          <w:tcPr>
            <w:tcW w:w="1340" w:type="dxa"/>
            <w:noWrap/>
            <w:vAlign w:val="center"/>
            <w:hideMark/>
          </w:tcPr>
          <w:p w14:paraId="48F79FEA"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527</w:t>
            </w:r>
          </w:p>
        </w:tc>
        <w:tc>
          <w:tcPr>
            <w:tcW w:w="1340" w:type="dxa"/>
            <w:noWrap/>
            <w:vAlign w:val="center"/>
            <w:hideMark/>
          </w:tcPr>
          <w:p w14:paraId="5EBEBB7B"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323</w:t>
            </w:r>
          </w:p>
        </w:tc>
        <w:tc>
          <w:tcPr>
            <w:tcW w:w="1340" w:type="dxa"/>
            <w:noWrap/>
            <w:vAlign w:val="center"/>
            <w:hideMark/>
          </w:tcPr>
          <w:p w14:paraId="562B57F7"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204</w:t>
            </w:r>
          </w:p>
        </w:tc>
        <w:tc>
          <w:tcPr>
            <w:tcW w:w="1340" w:type="dxa"/>
            <w:noWrap/>
            <w:vAlign w:val="center"/>
            <w:hideMark/>
          </w:tcPr>
          <w:p w14:paraId="57DA895A"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292</w:t>
            </w:r>
          </w:p>
        </w:tc>
        <w:tc>
          <w:tcPr>
            <w:tcW w:w="1348" w:type="dxa"/>
            <w:noWrap/>
            <w:vAlign w:val="center"/>
            <w:hideMark/>
          </w:tcPr>
          <w:p w14:paraId="75D42DBD"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235</w:t>
            </w:r>
          </w:p>
        </w:tc>
      </w:tr>
      <w:tr w:rsidR="00D1690A" w:rsidRPr="0092226B" w14:paraId="1832CE6C" w14:textId="77777777" w:rsidTr="00804B02">
        <w:trPr>
          <w:trHeight w:val="300"/>
        </w:trPr>
        <w:tc>
          <w:tcPr>
            <w:cnfStyle w:val="001000000000" w:firstRow="0" w:lastRow="0" w:firstColumn="1" w:lastColumn="0" w:oddVBand="0" w:evenVBand="0" w:oddHBand="0" w:evenHBand="0" w:firstRowFirstColumn="0" w:firstRowLastColumn="0" w:lastRowFirstColumn="0" w:lastRowLastColumn="0"/>
            <w:tcW w:w="9970" w:type="dxa"/>
            <w:gridSpan w:val="6"/>
            <w:noWrap/>
            <w:hideMark/>
          </w:tcPr>
          <w:p w14:paraId="56BFD3F2" w14:textId="77777777" w:rsidR="00D1690A" w:rsidRPr="00FF7721" w:rsidRDefault="00D1690A" w:rsidP="00804B02">
            <w:pPr>
              <w:spacing w:line="240" w:lineRule="auto"/>
              <w:rPr>
                <w:rFonts w:eastAsia="Times New Roman" w:cs="Times New Roman"/>
                <w:bCs w:val="0"/>
                <w:color w:val="auto"/>
                <w:sz w:val="20"/>
                <w:szCs w:val="20"/>
                <w:lang w:eastAsia="pl-PL"/>
              </w:rPr>
            </w:pPr>
            <w:r w:rsidRPr="00FF7721">
              <w:rPr>
                <w:rFonts w:eastAsia="Times New Roman" w:cs="Times New Roman"/>
                <w:bCs w:val="0"/>
                <w:color w:val="auto"/>
                <w:sz w:val="20"/>
                <w:szCs w:val="20"/>
                <w:lang w:eastAsia="pl-PL"/>
              </w:rPr>
              <w:t>Bezrobotni zarejestrowani w urzędach pracy (w tysiącach). Stan w końcu grudnia.</w:t>
            </w:r>
          </w:p>
        </w:tc>
      </w:tr>
      <w:tr w:rsidR="00D1690A" w:rsidRPr="0092226B" w14:paraId="2DC60243" w14:textId="77777777" w:rsidTr="00804B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7025C119"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Ogółem</w:t>
            </w:r>
          </w:p>
        </w:tc>
        <w:tc>
          <w:tcPr>
            <w:tcW w:w="1340" w:type="dxa"/>
            <w:noWrap/>
            <w:vAlign w:val="center"/>
            <w:hideMark/>
          </w:tcPr>
          <w:p w14:paraId="736DE14D"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1046,4</w:t>
            </w:r>
          </w:p>
        </w:tc>
        <w:tc>
          <w:tcPr>
            <w:tcW w:w="1340" w:type="dxa"/>
            <w:noWrap/>
            <w:vAlign w:val="center"/>
            <w:hideMark/>
          </w:tcPr>
          <w:p w14:paraId="596945AD"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484,8</w:t>
            </w:r>
          </w:p>
        </w:tc>
        <w:tc>
          <w:tcPr>
            <w:tcW w:w="1340" w:type="dxa"/>
            <w:noWrap/>
            <w:vAlign w:val="center"/>
            <w:hideMark/>
          </w:tcPr>
          <w:p w14:paraId="36A2DDAF"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561,6</w:t>
            </w:r>
          </w:p>
        </w:tc>
        <w:tc>
          <w:tcPr>
            <w:tcW w:w="1340" w:type="dxa"/>
            <w:noWrap/>
            <w:vAlign w:val="center"/>
            <w:hideMark/>
          </w:tcPr>
          <w:p w14:paraId="211F4244"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577,2</w:t>
            </w:r>
          </w:p>
        </w:tc>
        <w:tc>
          <w:tcPr>
            <w:tcW w:w="1348" w:type="dxa"/>
            <w:noWrap/>
            <w:vAlign w:val="center"/>
            <w:hideMark/>
          </w:tcPr>
          <w:p w14:paraId="473DED50" w14:textId="77777777" w:rsidR="00D1690A" w:rsidRPr="00FF7721" w:rsidRDefault="00D1690A" w:rsidP="00804B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FF7721">
              <w:rPr>
                <w:rFonts w:cs="Times New Roman"/>
                <w:sz w:val="20"/>
                <w:szCs w:val="20"/>
              </w:rPr>
              <w:t>469,2</w:t>
            </w:r>
          </w:p>
        </w:tc>
      </w:tr>
      <w:tr w:rsidR="00D1690A" w:rsidRPr="0092226B" w14:paraId="7C01F2B7" w14:textId="77777777" w:rsidTr="00804B02">
        <w:trPr>
          <w:trHeight w:val="30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205182E8" w14:textId="77777777" w:rsidR="00D1690A" w:rsidRPr="00FF7721" w:rsidRDefault="00D1690A" w:rsidP="00804B02">
            <w:pPr>
              <w:spacing w:line="240" w:lineRule="auto"/>
              <w:rPr>
                <w:rFonts w:eastAsia="Times New Roman" w:cs="Times New Roman"/>
                <w:b w:val="0"/>
                <w:color w:val="auto"/>
                <w:sz w:val="20"/>
                <w:szCs w:val="20"/>
                <w:lang w:eastAsia="pl-PL"/>
              </w:rPr>
            </w:pPr>
            <w:r w:rsidRPr="00FF7721">
              <w:rPr>
                <w:rFonts w:eastAsia="Times New Roman" w:cs="Times New Roman"/>
                <w:b w:val="0"/>
                <w:color w:val="auto"/>
                <w:sz w:val="20"/>
                <w:szCs w:val="20"/>
                <w:lang w:eastAsia="pl-PL"/>
              </w:rPr>
              <w:t>w tym osoby w wieku 60 lat i więcej</w:t>
            </w:r>
          </w:p>
        </w:tc>
        <w:tc>
          <w:tcPr>
            <w:tcW w:w="1340" w:type="dxa"/>
            <w:noWrap/>
            <w:vAlign w:val="center"/>
            <w:hideMark/>
          </w:tcPr>
          <w:p w14:paraId="7217CB74"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67,6</w:t>
            </w:r>
          </w:p>
        </w:tc>
        <w:tc>
          <w:tcPr>
            <w:tcW w:w="1340" w:type="dxa"/>
            <w:noWrap/>
            <w:vAlign w:val="center"/>
            <w:hideMark/>
          </w:tcPr>
          <w:p w14:paraId="15E524CB"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67,6</w:t>
            </w:r>
          </w:p>
        </w:tc>
        <w:tc>
          <w:tcPr>
            <w:tcW w:w="1340" w:type="dxa"/>
            <w:noWrap/>
            <w:vAlign w:val="center"/>
            <w:hideMark/>
          </w:tcPr>
          <w:p w14:paraId="12C138C5"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w:t>
            </w:r>
          </w:p>
        </w:tc>
        <w:tc>
          <w:tcPr>
            <w:tcW w:w="1340" w:type="dxa"/>
            <w:noWrap/>
            <w:vAlign w:val="center"/>
            <w:hideMark/>
          </w:tcPr>
          <w:p w14:paraId="19AB99D0"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40,2</w:t>
            </w:r>
          </w:p>
        </w:tc>
        <w:tc>
          <w:tcPr>
            <w:tcW w:w="1348" w:type="dxa"/>
            <w:noWrap/>
            <w:vAlign w:val="center"/>
            <w:hideMark/>
          </w:tcPr>
          <w:p w14:paraId="67387589" w14:textId="77777777" w:rsidR="00D1690A" w:rsidRPr="00FF7721" w:rsidRDefault="00D1690A" w:rsidP="00804B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FF7721">
              <w:rPr>
                <w:rFonts w:cs="Times New Roman"/>
                <w:sz w:val="20"/>
                <w:szCs w:val="20"/>
              </w:rPr>
              <w:t>27,3</w:t>
            </w:r>
          </w:p>
        </w:tc>
      </w:tr>
    </w:tbl>
    <w:p w14:paraId="71C95089" w14:textId="77777777" w:rsidR="00D1690A" w:rsidRPr="00534246" w:rsidRDefault="00D1690A" w:rsidP="00D1690A">
      <w:pPr>
        <w:rPr>
          <w:rFonts w:cs="Times New Roman"/>
          <w:b/>
          <w:bCs/>
          <w:spacing w:val="-10"/>
          <w:kern w:val="20"/>
          <w:sz w:val="22"/>
        </w:rPr>
      </w:pPr>
      <w:r w:rsidRPr="00534246">
        <w:rPr>
          <w:rFonts w:cs="Times New Roman"/>
          <w:b/>
          <w:bCs/>
          <w:spacing w:val="-10"/>
          <w:kern w:val="20"/>
          <w:sz w:val="22"/>
        </w:rPr>
        <w:t>Źródło: badanie BAEL.</w:t>
      </w:r>
    </w:p>
    <w:p w14:paraId="532393ED" w14:textId="77777777" w:rsidR="006C2089" w:rsidRPr="00430970" w:rsidRDefault="006C2089" w:rsidP="006C2089">
      <w:pPr>
        <w:pStyle w:val="Teksttreci0"/>
        <w:shd w:val="clear" w:color="auto" w:fill="auto"/>
        <w:spacing w:after="0" w:line="276" w:lineRule="auto"/>
        <w:ind w:left="20" w:right="20" w:firstLine="0"/>
        <w:jc w:val="both"/>
        <w:rPr>
          <w:sz w:val="24"/>
        </w:rPr>
      </w:pPr>
    </w:p>
    <w:p w14:paraId="36BD4544" w14:textId="23A0A8B7" w:rsidR="008470A9" w:rsidRDefault="008470A9" w:rsidP="008470A9">
      <w:pPr>
        <w:rPr>
          <w:rFonts w:cs="Times New Roman"/>
        </w:rPr>
      </w:pPr>
      <w:r w:rsidRPr="008470A9">
        <w:rPr>
          <w:rFonts w:cs="Times New Roman"/>
          <w:i/>
        </w:rPr>
        <w:t>Ustawa z dnia 20 kwietnia 2020 r. o promocji zatrudnienia i instytucjach rynku pracy</w:t>
      </w:r>
      <w:r w:rsidRPr="008470A9">
        <w:rPr>
          <w:rFonts w:cs="Times New Roman"/>
        </w:rPr>
        <w:t xml:space="preserve"> (Dz. U. z 2021 r. 1100) przewiduje instrumenty adresowane do pracodawców, których celem jest tworzenie i utrzymanie miejsc pracy m.in. dla osób powyżej 50 roku życia. Zgodnie z przepisami przedmiotowej ustawy bezrobotni, którzy ukończyli 50 rok życia są zaliczani do bezrobotnych będących w szczególnej sytuacji na rynku pracy i przysługuje im pierwszeństwo w skierowaniu do udziału w programach specjalnych. </w:t>
      </w:r>
    </w:p>
    <w:p w14:paraId="657545DA" w14:textId="24C48721" w:rsidR="008470A9" w:rsidRDefault="008470A9" w:rsidP="008470A9">
      <w:pPr>
        <w:rPr>
          <w:rFonts w:cs="Times New Roman"/>
        </w:rPr>
      </w:pPr>
    </w:p>
    <w:p w14:paraId="2280C6CB" w14:textId="77777777" w:rsidR="008470A9" w:rsidRPr="008470A9" w:rsidRDefault="008470A9" w:rsidP="008470A9">
      <w:pPr>
        <w:rPr>
          <w:rFonts w:cs="Times New Roman"/>
        </w:rPr>
      </w:pPr>
    </w:p>
    <w:p w14:paraId="1617195F" w14:textId="77777777" w:rsidR="008470A9" w:rsidRPr="008470A9" w:rsidRDefault="008470A9" w:rsidP="008470A9">
      <w:pPr>
        <w:rPr>
          <w:rFonts w:cs="Times New Roman"/>
        </w:rPr>
      </w:pPr>
    </w:p>
    <w:p w14:paraId="0309CD2F" w14:textId="3EE0F00A" w:rsidR="008470A9" w:rsidRPr="008470A9" w:rsidRDefault="008470A9" w:rsidP="008470A9">
      <w:pPr>
        <w:rPr>
          <w:rFonts w:cs="Times New Roman"/>
        </w:rPr>
      </w:pPr>
      <w:r w:rsidRPr="008470A9">
        <w:rPr>
          <w:rFonts w:cs="Times New Roman"/>
        </w:rPr>
        <w:lastRenderedPageBreak/>
        <w:t xml:space="preserve">Tacy bezrobotni mogą być również skierowani do zatrudnienia u pracodawcy w ramach prac interwencyjnych na okres do 24 miesięcy, zaś w przypadku gdy refundacja wynagrodzenia i składek na ubezpieczenia społeczne jest dokonywana za co drugi miesiąc, nawet na okres </w:t>
      </w:r>
      <w:r>
        <w:rPr>
          <w:rFonts w:cs="Times New Roman"/>
        </w:rPr>
        <w:t xml:space="preserve"> </w:t>
      </w:r>
      <w:r w:rsidRPr="008470A9">
        <w:rPr>
          <w:rFonts w:cs="Times New Roman"/>
        </w:rPr>
        <w:t>do 4 lat. Jeżeli skierowani bezrobotni powyżej 50 roku życia:</w:t>
      </w:r>
    </w:p>
    <w:p w14:paraId="2A114770" w14:textId="77777777" w:rsidR="008470A9" w:rsidRPr="008470A9" w:rsidRDefault="008470A9" w:rsidP="008470A9">
      <w:pPr>
        <w:rPr>
          <w:rFonts w:cs="Times New Roman"/>
        </w:rPr>
      </w:pPr>
      <w:r w:rsidRPr="008470A9">
        <w:rPr>
          <w:rFonts w:cs="Times New Roman"/>
        </w:rPr>
        <w:t>•</w:t>
      </w:r>
      <w:r w:rsidRPr="008470A9">
        <w:rPr>
          <w:rFonts w:cs="Times New Roman"/>
        </w:rPr>
        <w:tab/>
        <w:t xml:space="preserve">spełniają warunki konieczne do nabycia prawa do świadczenia przedemerytalnego – refundacja jest przyznawana w wysokości do 80% minimalnego wynagrodzenia za pracę </w:t>
      </w:r>
    </w:p>
    <w:p w14:paraId="73EE527A" w14:textId="77777777" w:rsidR="008470A9" w:rsidRPr="008470A9" w:rsidRDefault="008470A9" w:rsidP="008470A9">
      <w:pPr>
        <w:rPr>
          <w:rFonts w:cs="Times New Roman"/>
        </w:rPr>
      </w:pPr>
      <w:r w:rsidRPr="008470A9">
        <w:rPr>
          <w:rFonts w:cs="Times New Roman"/>
        </w:rPr>
        <w:t>i składek na ubezpieczenia społeczne od refundowanego wynagrodzenia,</w:t>
      </w:r>
    </w:p>
    <w:p w14:paraId="18DF0B68" w14:textId="77777777" w:rsidR="008470A9" w:rsidRPr="008470A9" w:rsidRDefault="008470A9" w:rsidP="008470A9">
      <w:pPr>
        <w:rPr>
          <w:rFonts w:cs="Times New Roman"/>
        </w:rPr>
      </w:pPr>
      <w:r w:rsidRPr="008470A9">
        <w:rPr>
          <w:rFonts w:cs="Times New Roman"/>
        </w:rPr>
        <w:t>•</w:t>
      </w:r>
      <w:r w:rsidRPr="008470A9">
        <w:rPr>
          <w:rFonts w:cs="Times New Roman"/>
        </w:rPr>
        <w:tab/>
        <w:t xml:space="preserve">nie spełniają warunków koniecznych do uzyskania świadczenia przedemerytalnego – refundacja jest przyznawana w wysokości do 50% minimalnego wynagrodzenia za pracę </w:t>
      </w:r>
    </w:p>
    <w:p w14:paraId="3FC55CA3" w14:textId="77777777" w:rsidR="008470A9" w:rsidRPr="008470A9" w:rsidRDefault="008470A9" w:rsidP="008470A9">
      <w:pPr>
        <w:rPr>
          <w:rFonts w:cs="Times New Roman"/>
        </w:rPr>
      </w:pPr>
      <w:r w:rsidRPr="008470A9">
        <w:rPr>
          <w:rFonts w:cs="Times New Roman"/>
        </w:rPr>
        <w:t>i składek na ubezpieczenia społeczne od refundowanego wynagrodzenia.</w:t>
      </w:r>
    </w:p>
    <w:p w14:paraId="117FBA7A" w14:textId="77777777" w:rsidR="008470A9" w:rsidRPr="008470A9" w:rsidRDefault="008470A9" w:rsidP="008470A9">
      <w:pPr>
        <w:rPr>
          <w:rFonts w:cs="Times New Roman"/>
        </w:rPr>
      </w:pPr>
    </w:p>
    <w:p w14:paraId="6C2184F4" w14:textId="77777777" w:rsidR="008470A9" w:rsidRPr="008470A9" w:rsidRDefault="008470A9" w:rsidP="008470A9">
      <w:pPr>
        <w:rPr>
          <w:rFonts w:cs="Times New Roman"/>
        </w:rPr>
      </w:pPr>
      <w:r w:rsidRPr="008470A9">
        <w:rPr>
          <w:rFonts w:cs="Times New Roman"/>
        </w:rPr>
        <w:t>Jednocześnie dodatkową zachętę do zatrudniania osób starszych ma stanowić zwolnienie pracodawców oraz innych jednostek organizacyjnych z obowiązku opłacania składek na Fundusz Pracy i Fundusz Gwarantowanych Świadczeń Pracowniczych  przez okres 12 miesięcy, począwszy od pierwszego miesiąca po zawarciu umowy o pracę, za osoby zatrudnione, które ukończyły 50 rok życia i w okresie 30 dni przed zatrudnieniem pozostawały w ewidencji bezrobotnych powiatowego urzędu pracy.</w:t>
      </w:r>
    </w:p>
    <w:p w14:paraId="5CF66C0A" w14:textId="77777777" w:rsidR="008470A9" w:rsidRPr="008470A9" w:rsidRDefault="008470A9" w:rsidP="008470A9">
      <w:pPr>
        <w:rPr>
          <w:rFonts w:cs="Times New Roman"/>
        </w:rPr>
      </w:pPr>
    </w:p>
    <w:p w14:paraId="749BAEF2" w14:textId="77777777" w:rsidR="008470A9" w:rsidRPr="008470A9" w:rsidRDefault="008470A9" w:rsidP="008470A9">
      <w:pPr>
        <w:rPr>
          <w:rFonts w:cs="Times New Roman"/>
        </w:rPr>
      </w:pPr>
      <w:r w:rsidRPr="008470A9">
        <w:rPr>
          <w:rFonts w:cs="Times New Roman"/>
        </w:rPr>
        <w:t>Natomiast pracodawca oraz inne jednostki organizacyjne zatrudniający osoby w wieku powyżej 55 lat (kobiety) i 60 lat (mężczyźni) są całkowicie zwolnieni z obowiązku odprowadzania za nich składek na te Fundusze.</w:t>
      </w:r>
    </w:p>
    <w:p w14:paraId="139368A9" w14:textId="77777777" w:rsidR="008470A9" w:rsidRPr="008470A9" w:rsidRDefault="008470A9" w:rsidP="008470A9">
      <w:pPr>
        <w:rPr>
          <w:rFonts w:cs="Times New Roman"/>
        </w:rPr>
      </w:pPr>
    </w:p>
    <w:p w14:paraId="5213394F" w14:textId="1922E0DB" w:rsidR="008470A9" w:rsidRDefault="008470A9" w:rsidP="008470A9">
      <w:pPr>
        <w:rPr>
          <w:rFonts w:cs="Times New Roman"/>
        </w:rPr>
      </w:pPr>
      <w:r w:rsidRPr="008470A9">
        <w:rPr>
          <w:rFonts w:cs="Times New Roman"/>
        </w:rPr>
        <w:t>Ponadto, w celu poprawy zatrudnialności starszych pracowników powiatowe urzędy pracy są ustawowo zobowiązane do organizowania szkoleń dla grup bezrobotnych, na podstawie diagnozy zapotrzebowania na zawody, specjalności i kwalifikacje, z uwzględnieniem potrzeb osób kierowanych na szkolenia. Potrzeby gospodarki są identyfikowane na podstawie analiz rynku pracy, w tym pomocnym narzędziem jest monitoring zawodów deficytowych i nadwyżkowych.</w:t>
      </w:r>
    </w:p>
    <w:p w14:paraId="2D2564A4" w14:textId="729F39BF" w:rsidR="00FF59DD" w:rsidRPr="00907EE8" w:rsidRDefault="00FF59DD" w:rsidP="00907EE8">
      <w:pPr>
        <w:rPr>
          <w:rFonts w:cs="Times New Roman"/>
        </w:rPr>
      </w:pPr>
      <w:bookmarkStart w:id="27" w:name="_Toc49171388"/>
    </w:p>
    <w:p w14:paraId="3E373D18" w14:textId="759D3EC3" w:rsidR="00577F45" w:rsidRPr="00577F45" w:rsidRDefault="00577F45" w:rsidP="00577F45">
      <w:pPr>
        <w:pStyle w:val="Legenda"/>
        <w:keepNext/>
        <w:rPr>
          <w:rFonts w:cs="Times New Roman"/>
          <w:b/>
          <w:i w:val="0"/>
          <w:color w:val="auto"/>
          <w:sz w:val="24"/>
        </w:rPr>
      </w:pPr>
      <w:r w:rsidRPr="00577F45">
        <w:rPr>
          <w:rFonts w:cs="Times New Roman"/>
          <w:b/>
          <w:i w:val="0"/>
          <w:color w:val="auto"/>
          <w:sz w:val="24"/>
        </w:rPr>
        <w:t xml:space="preserve">Tabela </w:t>
      </w:r>
      <w:r>
        <w:rPr>
          <w:rFonts w:cs="Times New Roman"/>
          <w:b/>
          <w:i w:val="0"/>
          <w:color w:val="auto"/>
          <w:sz w:val="24"/>
        </w:rPr>
        <w:t>12</w:t>
      </w:r>
      <w:r w:rsidR="00EE73AF">
        <w:rPr>
          <w:rFonts w:cs="Times New Roman"/>
          <w:b/>
          <w:i w:val="0"/>
          <w:color w:val="auto"/>
          <w:sz w:val="24"/>
        </w:rPr>
        <w:t>.</w:t>
      </w:r>
      <w:r w:rsidRPr="00577F45">
        <w:rPr>
          <w:rFonts w:cs="Times New Roman"/>
          <w:b/>
          <w:i w:val="0"/>
          <w:color w:val="auto"/>
          <w:sz w:val="24"/>
        </w:rPr>
        <w:t xml:space="preserve"> Osoby pobierające emerytury i renty z tytułu niezdolności do pracy</w:t>
      </w:r>
      <w:bookmarkEnd w:id="27"/>
    </w:p>
    <w:tbl>
      <w:tblPr>
        <w:tblStyle w:val="Tabelasiatki5ciemnaakcent2"/>
        <w:tblW w:w="9127" w:type="dxa"/>
        <w:tblLook w:val="04A0" w:firstRow="1" w:lastRow="0" w:firstColumn="1" w:lastColumn="0" w:noHBand="0" w:noVBand="1"/>
      </w:tblPr>
      <w:tblGrid>
        <w:gridCol w:w="1838"/>
        <w:gridCol w:w="1276"/>
        <w:gridCol w:w="1417"/>
        <w:gridCol w:w="1236"/>
        <w:gridCol w:w="1120"/>
        <w:gridCol w:w="1120"/>
        <w:gridCol w:w="1120"/>
      </w:tblGrid>
      <w:tr w:rsidR="00577F45" w:rsidRPr="00577F45" w14:paraId="716FD41E" w14:textId="77777777" w:rsidTr="00AD7202">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838" w:type="dxa"/>
            <w:vMerge w:val="restart"/>
            <w:vAlign w:val="center"/>
            <w:hideMark/>
          </w:tcPr>
          <w:p w14:paraId="682FA9DE" w14:textId="77777777" w:rsidR="00577F45" w:rsidRPr="00577F45" w:rsidRDefault="00577F45" w:rsidP="00AD7202">
            <w:pPr>
              <w:spacing w:line="240" w:lineRule="auto"/>
              <w:jc w:val="center"/>
              <w:rPr>
                <w:rFonts w:eastAsia="Times New Roman" w:cs="Times New Roman"/>
                <w:color w:val="auto"/>
                <w:sz w:val="20"/>
                <w:szCs w:val="20"/>
                <w:lang w:eastAsia="pl-PL"/>
              </w:rPr>
            </w:pPr>
            <w:r w:rsidRPr="00577F45">
              <w:rPr>
                <w:rFonts w:eastAsia="Times New Roman" w:cs="Times New Roman"/>
                <w:color w:val="auto"/>
                <w:sz w:val="20"/>
                <w:szCs w:val="20"/>
                <w:lang w:eastAsia="pl-PL"/>
              </w:rPr>
              <w:t>Wyszczególnienie</w:t>
            </w:r>
          </w:p>
        </w:tc>
        <w:tc>
          <w:tcPr>
            <w:tcW w:w="3929" w:type="dxa"/>
            <w:gridSpan w:val="3"/>
            <w:vMerge w:val="restart"/>
            <w:vAlign w:val="center"/>
            <w:hideMark/>
          </w:tcPr>
          <w:p w14:paraId="079495EC" w14:textId="77777777" w:rsidR="00577F45" w:rsidRPr="00577F45" w:rsidRDefault="00577F45"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577F45">
              <w:rPr>
                <w:rFonts w:eastAsia="Times New Roman" w:cs="Times New Roman"/>
                <w:color w:val="auto"/>
                <w:sz w:val="20"/>
                <w:szCs w:val="20"/>
                <w:lang w:eastAsia="pl-PL"/>
              </w:rPr>
              <w:t>Osoby pobierające emerytury</w:t>
            </w:r>
          </w:p>
        </w:tc>
        <w:tc>
          <w:tcPr>
            <w:tcW w:w="3360" w:type="dxa"/>
            <w:gridSpan w:val="3"/>
            <w:vMerge w:val="restart"/>
            <w:vAlign w:val="center"/>
            <w:hideMark/>
          </w:tcPr>
          <w:p w14:paraId="6A484444" w14:textId="77777777" w:rsidR="00577F45" w:rsidRPr="00577F45" w:rsidRDefault="00577F45"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577F45">
              <w:rPr>
                <w:rFonts w:eastAsia="Times New Roman" w:cs="Times New Roman"/>
                <w:color w:val="auto"/>
                <w:sz w:val="20"/>
                <w:szCs w:val="20"/>
                <w:lang w:eastAsia="pl-PL"/>
              </w:rPr>
              <w:t>Osoby pobierające renty z tytułu niezdolności do pracy</w:t>
            </w:r>
          </w:p>
        </w:tc>
      </w:tr>
      <w:tr w:rsidR="00577F45" w:rsidRPr="00577F45" w14:paraId="2297E93C" w14:textId="77777777" w:rsidTr="00AD720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838" w:type="dxa"/>
            <w:vMerge/>
            <w:hideMark/>
          </w:tcPr>
          <w:p w14:paraId="6A2986EB" w14:textId="77777777" w:rsidR="00577F45" w:rsidRPr="00577F45" w:rsidRDefault="00577F45" w:rsidP="00AD7202">
            <w:pPr>
              <w:spacing w:line="240" w:lineRule="auto"/>
              <w:jc w:val="center"/>
              <w:rPr>
                <w:rFonts w:eastAsia="Times New Roman" w:cs="Times New Roman"/>
                <w:b w:val="0"/>
                <w:color w:val="auto"/>
                <w:sz w:val="20"/>
                <w:szCs w:val="20"/>
                <w:lang w:eastAsia="pl-PL"/>
              </w:rPr>
            </w:pPr>
          </w:p>
        </w:tc>
        <w:tc>
          <w:tcPr>
            <w:tcW w:w="3929" w:type="dxa"/>
            <w:gridSpan w:val="3"/>
            <w:vMerge/>
            <w:hideMark/>
          </w:tcPr>
          <w:p w14:paraId="5629E7AC" w14:textId="77777777" w:rsidR="00577F45" w:rsidRPr="00577F45" w:rsidRDefault="00577F4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3360" w:type="dxa"/>
            <w:gridSpan w:val="3"/>
            <w:vMerge/>
            <w:hideMark/>
          </w:tcPr>
          <w:p w14:paraId="20A98675" w14:textId="77777777" w:rsidR="00577F45" w:rsidRPr="00577F45" w:rsidRDefault="00577F4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r>
      <w:tr w:rsidR="00577F45" w:rsidRPr="00577F45" w14:paraId="28ADE1C4"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838" w:type="dxa"/>
            <w:vMerge/>
            <w:hideMark/>
          </w:tcPr>
          <w:p w14:paraId="38DB5526" w14:textId="77777777" w:rsidR="00577F45" w:rsidRPr="00577F45" w:rsidRDefault="00577F45" w:rsidP="00AD7202">
            <w:pPr>
              <w:spacing w:line="240" w:lineRule="auto"/>
              <w:jc w:val="center"/>
              <w:rPr>
                <w:rFonts w:eastAsia="Times New Roman" w:cs="Times New Roman"/>
                <w:b w:val="0"/>
                <w:color w:val="auto"/>
                <w:sz w:val="20"/>
                <w:szCs w:val="20"/>
                <w:lang w:eastAsia="pl-PL"/>
              </w:rPr>
            </w:pPr>
          </w:p>
        </w:tc>
        <w:tc>
          <w:tcPr>
            <w:tcW w:w="1276" w:type="dxa"/>
            <w:hideMark/>
          </w:tcPr>
          <w:p w14:paraId="515E6F0A" w14:textId="77777777" w:rsidR="00577F45" w:rsidRPr="00577F45" w:rsidRDefault="00577F4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577F45">
              <w:rPr>
                <w:rFonts w:eastAsia="Times New Roman" w:cs="Times New Roman"/>
                <w:b/>
                <w:sz w:val="20"/>
                <w:szCs w:val="20"/>
                <w:lang w:eastAsia="pl-PL"/>
              </w:rPr>
              <w:t>ogółem</w:t>
            </w:r>
          </w:p>
        </w:tc>
        <w:tc>
          <w:tcPr>
            <w:tcW w:w="1417" w:type="dxa"/>
            <w:hideMark/>
          </w:tcPr>
          <w:p w14:paraId="2ED6C37A" w14:textId="77777777" w:rsidR="00577F45" w:rsidRPr="00577F45" w:rsidRDefault="00577F4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577F45">
              <w:rPr>
                <w:rFonts w:eastAsia="Times New Roman" w:cs="Times New Roman"/>
                <w:b/>
                <w:sz w:val="20"/>
                <w:szCs w:val="20"/>
                <w:lang w:eastAsia="pl-PL"/>
              </w:rPr>
              <w:t>mężczyźni</w:t>
            </w:r>
          </w:p>
        </w:tc>
        <w:tc>
          <w:tcPr>
            <w:tcW w:w="1236" w:type="dxa"/>
            <w:hideMark/>
          </w:tcPr>
          <w:p w14:paraId="0015E7EE" w14:textId="77777777" w:rsidR="00577F45" w:rsidRPr="00577F45" w:rsidRDefault="00577F4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577F45">
              <w:rPr>
                <w:rFonts w:eastAsia="Times New Roman" w:cs="Times New Roman"/>
                <w:b/>
                <w:sz w:val="20"/>
                <w:szCs w:val="20"/>
                <w:lang w:eastAsia="pl-PL"/>
              </w:rPr>
              <w:t>kobiety</w:t>
            </w:r>
          </w:p>
        </w:tc>
        <w:tc>
          <w:tcPr>
            <w:tcW w:w="1120" w:type="dxa"/>
            <w:hideMark/>
          </w:tcPr>
          <w:p w14:paraId="636F494F" w14:textId="77777777" w:rsidR="00577F45" w:rsidRPr="00577F45" w:rsidRDefault="00577F4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577F45">
              <w:rPr>
                <w:rFonts w:eastAsia="Times New Roman" w:cs="Times New Roman"/>
                <w:b/>
                <w:sz w:val="20"/>
                <w:szCs w:val="20"/>
                <w:lang w:eastAsia="pl-PL"/>
              </w:rPr>
              <w:t>ogółem</w:t>
            </w:r>
          </w:p>
        </w:tc>
        <w:tc>
          <w:tcPr>
            <w:tcW w:w="1120" w:type="dxa"/>
            <w:hideMark/>
          </w:tcPr>
          <w:p w14:paraId="3F5C5037" w14:textId="77777777" w:rsidR="00577F45" w:rsidRPr="00577F45" w:rsidRDefault="00577F4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577F45">
              <w:rPr>
                <w:rFonts w:eastAsia="Times New Roman" w:cs="Times New Roman"/>
                <w:b/>
                <w:sz w:val="20"/>
                <w:szCs w:val="20"/>
                <w:lang w:eastAsia="pl-PL"/>
              </w:rPr>
              <w:t>mężczyźni</w:t>
            </w:r>
          </w:p>
        </w:tc>
        <w:tc>
          <w:tcPr>
            <w:tcW w:w="1120" w:type="dxa"/>
            <w:hideMark/>
          </w:tcPr>
          <w:p w14:paraId="537E2067" w14:textId="77777777" w:rsidR="00577F45" w:rsidRPr="00577F45" w:rsidRDefault="00577F4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577F45">
              <w:rPr>
                <w:rFonts w:eastAsia="Times New Roman" w:cs="Times New Roman"/>
                <w:b/>
                <w:sz w:val="20"/>
                <w:szCs w:val="20"/>
                <w:lang w:eastAsia="pl-PL"/>
              </w:rPr>
              <w:t>kobiety</w:t>
            </w:r>
          </w:p>
        </w:tc>
      </w:tr>
      <w:tr w:rsidR="00577F45" w:rsidRPr="00577F45" w14:paraId="51E26326"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31BAE795" w14:textId="77777777" w:rsidR="00577F45" w:rsidRPr="00577F45" w:rsidRDefault="00577F45" w:rsidP="00AD7202">
            <w:pPr>
              <w:spacing w:line="240" w:lineRule="auto"/>
              <w:rPr>
                <w:rFonts w:eastAsia="Times New Roman" w:cs="Times New Roman"/>
                <w:b w:val="0"/>
                <w:color w:val="auto"/>
                <w:sz w:val="20"/>
                <w:szCs w:val="20"/>
                <w:lang w:eastAsia="pl-PL"/>
              </w:rPr>
            </w:pPr>
            <w:r w:rsidRPr="00577F45">
              <w:rPr>
                <w:rFonts w:eastAsia="Times New Roman" w:cs="Times New Roman"/>
                <w:b w:val="0"/>
                <w:color w:val="auto"/>
                <w:sz w:val="20"/>
                <w:szCs w:val="20"/>
                <w:lang w:eastAsia="pl-PL"/>
              </w:rPr>
              <w:t>Ogółem ZUS</w:t>
            </w:r>
          </w:p>
        </w:tc>
        <w:tc>
          <w:tcPr>
            <w:tcW w:w="1276" w:type="dxa"/>
            <w:vAlign w:val="center"/>
            <w:hideMark/>
          </w:tcPr>
          <w:p w14:paraId="6A530EA0"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5 887 110</w:t>
            </w:r>
          </w:p>
        </w:tc>
        <w:tc>
          <w:tcPr>
            <w:tcW w:w="1417" w:type="dxa"/>
            <w:vAlign w:val="center"/>
            <w:hideMark/>
          </w:tcPr>
          <w:p w14:paraId="0F65059E"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2 337 081</w:t>
            </w:r>
          </w:p>
        </w:tc>
        <w:tc>
          <w:tcPr>
            <w:tcW w:w="1236" w:type="dxa"/>
            <w:vAlign w:val="center"/>
            <w:hideMark/>
          </w:tcPr>
          <w:p w14:paraId="31952AAF"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3 550 029</w:t>
            </w:r>
          </w:p>
        </w:tc>
        <w:tc>
          <w:tcPr>
            <w:tcW w:w="1120" w:type="dxa"/>
            <w:vAlign w:val="center"/>
            <w:hideMark/>
          </w:tcPr>
          <w:p w14:paraId="42933C76"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701 039</w:t>
            </w:r>
          </w:p>
        </w:tc>
        <w:tc>
          <w:tcPr>
            <w:tcW w:w="1120" w:type="dxa"/>
            <w:vAlign w:val="center"/>
            <w:hideMark/>
          </w:tcPr>
          <w:p w14:paraId="2583603F"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471 780</w:t>
            </w:r>
          </w:p>
        </w:tc>
        <w:tc>
          <w:tcPr>
            <w:tcW w:w="1120" w:type="dxa"/>
            <w:vAlign w:val="center"/>
            <w:hideMark/>
          </w:tcPr>
          <w:p w14:paraId="3C102183"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229 259</w:t>
            </w:r>
          </w:p>
        </w:tc>
      </w:tr>
      <w:tr w:rsidR="00577F45" w:rsidRPr="00577F45" w14:paraId="7B4B7D4B"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838" w:type="dxa"/>
            <w:hideMark/>
          </w:tcPr>
          <w:p w14:paraId="75028A5C" w14:textId="77777777" w:rsidR="00577F45" w:rsidRPr="00577F45" w:rsidRDefault="00577F45" w:rsidP="00AD7202">
            <w:pPr>
              <w:spacing w:line="240" w:lineRule="auto"/>
              <w:rPr>
                <w:rFonts w:eastAsia="Times New Roman" w:cs="Times New Roman"/>
                <w:b w:val="0"/>
                <w:color w:val="auto"/>
                <w:sz w:val="20"/>
                <w:szCs w:val="20"/>
                <w:lang w:eastAsia="pl-PL"/>
              </w:rPr>
            </w:pPr>
            <w:r w:rsidRPr="00577F45">
              <w:rPr>
                <w:rFonts w:eastAsia="Times New Roman" w:cs="Times New Roman"/>
                <w:b w:val="0"/>
                <w:color w:val="auto"/>
                <w:sz w:val="20"/>
                <w:szCs w:val="20"/>
                <w:lang w:eastAsia="pl-PL"/>
              </w:rPr>
              <w:t>w tym 60 lat i więcej</w:t>
            </w:r>
          </w:p>
        </w:tc>
        <w:tc>
          <w:tcPr>
            <w:tcW w:w="1276" w:type="dxa"/>
            <w:noWrap/>
            <w:vAlign w:val="center"/>
            <w:hideMark/>
          </w:tcPr>
          <w:p w14:paraId="7D82D84A"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5 791 326</w:t>
            </w:r>
          </w:p>
        </w:tc>
        <w:tc>
          <w:tcPr>
            <w:tcW w:w="1417" w:type="dxa"/>
            <w:noWrap/>
            <w:vAlign w:val="center"/>
            <w:hideMark/>
          </w:tcPr>
          <w:p w14:paraId="1FB08C3D"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2 257 349</w:t>
            </w:r>
          </w:p>
        </w:tc>
        <w:tc>
          <w:tcPr>
            <w:tcW w:w="1236" w:type="dxa"/>
            <w:noWrap/>
            <w:vAlign w:val="center"/>
            <w:hideMark/>
          </w:tcPr>
          <w:p w14:paraId="5300D5A7"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3 533 977</w:t>
            </w:r>
          </w:p>
        </w:tc>
        <w:tc>
          <w:tcPr>
            <w:tcW w:w="1120" w:type="dxa"/>
            <w:noWrap/>
            <w:vAlign w:val="center"/>
            <w:hideMark/>
          </w:tcPr>
          <w:p w14:paraId="62114B2C"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347 445</w:t>
            </w:r>
          </w:p>
        </w:tc>
        <w:tc>
          <w:tcPr>
            <w:tcW w:w="1120" w:type="dxa"/>
            <w:noWrap/>
            <w:vAlign w:val="center"/>
            <w:hideMark/>
          </w:tcPr>
          <w:p w14:paraId="4C7DB937"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267 813</w:t>
            </w:r>
          </w:p>
        </w:tc>
        <w:tc>
          <w:tcPr>
            <w:tcW w:w="1120" w:type="dxa"/>
            <w:noWrap/>
            <w:vAlign w:val="center"/>
            <w:hideMark/>
          </w:tcPr>
          <w:p w14:paraId="0E3751D8"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79 632</w:t>
            </w:r>
          </w:p>
        </w:tc>
      </w:tr>
      <w:tr w:rsidR="00577F45" w:rsidRPr="00577F45" w14:paraId="03CAEAF1"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1A129E6F" w14:textId="77777777" w:rsidR="00577F45" w:rsidRPr="00577F45" w:rsidRDefault="00577F45" w:rsidP="00AD7202">
            <w:pPr>
              <w:spacing w:line="240" w:lineRule="auto"/>
              <w:rPr>
                <w:rFonts w:eastAsia="Times New Roman" w:cs="Times New Roman"/>
                <w:b w:val="0"/>
                <w:color w:val="auto"/>
                <w:sz w:val="20"/>
                <w:szCs w:val="20"/>
                <w:lang w:eastAsia="pl-PL"/>
              </w:rPr>
            </w:pPr>
            <w:r w:rsidRPr="00577F45">
              <w:rPr>
                <w:rFonts w:eastAsia="Times New Roman" w:cs="Times New Roman"/>
                <w:b w:val="0"/>
                <w:color w:val="auto"/>
                <w:sz w:val="20"/>
                <w:szCs w:val="20"/>
                <w:lang w:eastAsia="pl-PL"/>
              </w:rPr>
              <w:t>Ogółem KRUS</w:t>
            </w:r>
          </w:p>
        </w:tc>
        <w:tc>
          <w:tcPr>
            <w:tcW w:w="1276" w:type="dxa"/>
            <w:vAlign w:val="center"/>
            <w:hideMark/>
          </w:tcPr>
          <w:p w14:paraId="5754C949"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870 148</w:t>
            </w:r>
          </w:p>
        </w:tc>
        <w:tc>
          <w:tcPr>
            <w:tcW w:w="1417" w:type="dxa"/>
            <w:vAlign w:val="center"/>
            <w:hideMark/>
          </w:tcPr>
          <w:p w14:paraId="6ABAE1DD"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265 074</w:t>
            </w:r>
          </w:p>
        </w:tc>
        <w:tc>
          <w:tcPr>
            <w:tcW w:w="1236" w:type="dxa"/>
            <w:vAlign w:val="center"/>
            <w:hideMark/>
          </w:tcPr>
          <w:p w14:paraId="1E77CE27"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605 074</w:t>
            </w:r>
          </w:p>
        </w:tc>
        <w:tc>
          <w:tcPr>
            <w:tcW w:w="1120" w:type="dxa"/>
            <w:vAlign w:val="center"/>
            <w:hideMark/>
          </w:tcPr>
          <w:p w14:paraId="752C7319"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190 904</w:t>
            </w:r>
          </w:p>
        </w:tc>
        <w:tc>
          <w:tcPr>
            <w:tcW w:w="1120" w:type="dxa"/>
            <w:vAlign w:val="center"/>
            <w:hideMark/>
          </w:tcPr>
          <w:p w14:paraId="45488A7B"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100 991</w:t>
            </w:r>
          </w:p>
        </w:tc>
        <w:tc>
          <w:tcPr>
            <w:tcW w:w="1120" w:type="dxa"/>
            <w:vAlign w:val="center"/>
            <w:hideMark/>
          </w:tcPr>
          <w:p w14:paraId="0AF56907"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89 913</w:t>
            </w:r>
          </w:p>
        </w:tc>
      </w:tr>
      <w:tr w:rsidR="00577F45" w:rsidRPr="00577F45" w14:paraId="4A54074D"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838" w:type="dxa"/>
            <w:hideMark/>
          </w:tcPr>
          <w:p w14:paraId="1AA3D846" w14:textId="77777777" w:rsidR="00577F45" w:rsidRPr="00577F45" w:rsidRDefault="00577F45" w:rsidP="00AD7202">
            <w:pPr>
              <w:spacing w:line="240" w:lineRule="auto"/>
              <w:rPr>
                <w:rFonts w:eastAsia="Times New Roman" w:cs="Times New Roman"/>
                <w:b w:val="0"/>
                <w:color w:val="auto"/>
                <w:sz w:val="20"/>
                <w:szCs w:val="20"/>
                <w:lang w:eastAsia="pl-PL"/>
              </w:rPr>
            </w:pPr>
            <w:r w:rsidRPr="00577F45">
              <w:rPr>
                <w:rFonts w:eastAsia="Times New Roman" w:cs="Times New Roman"/>
                <w:b w:val="0"/>
                <w:color w:val="auto"/>
                <w:sz w:val="20"/>
                <w:szCs w:val="20"/>
                <w:lang w:eastAsia="pl-PL"/>
              </w:rPr>
              <w:t>w tym 60 lat i więcej</w:t>
            </w:r>
          </w:p>
        </w:tc>
        <w:tc>
          <w:tcPr>
            <w:tcW w:w="1276" w:type="dxa"/>
            <w:noWrap/>
            <w:vAlign w:val="center"/>
            <w:hideMark/>
          </w:tcPr>
          <w:p w14:paraId="1AACBC2A"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856 703</w:t>
            </w:r>
          </w:p>
        </w:tc>
        <w:tc>
          <w:tcPr>
            <w:tcW w:w="1417" w:type="dxa"/>
            <w:noWrap/>
            <w:vAlign w:val="center"/>
            <w:hideMark/>
          </w:tcPr>
          <w:p w14:paraId="6FBB5CB7"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265 074</w:t>
            </w:r>
          </w:p>
        </w:tc>
        <w:tc>
          <w:tcPr>
            <w:tcW w:w="1236" w:type="dxa"/>
            <w:noWrap/>
            <w:vAlign w:val="center"/>
            <w:hideMark/>
          </w:tcPr>
          <w:p w14:paraId="01E0C0EF"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591 629</w:t>
            </w:r>
          </w:p>
        </w:tc>
        <w:tc>
          <w:tcPr>
            <w:tcW w:w="1120" w:type="dxa"/>
            <w:noWrap/>
            <w:vAlign w:val="center"/>
            <w:hideMark/>
          </w:tcPr>
          <w:p w14:paraId="26564C65"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111 286</w:t>
            </w:r>
          </w:p>
        </w:tc>
        <w:tc>
          <w:tcPr>
            <w:tcW w:w="1120" w:type="dxa"/>
            <w:noWrap/>
            <w:vAlign w:val="center"/>
            <w:hideMark/>
          </w:tcPr>
          <w:p w14:paraId="57BD81AE"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62 539</w:t>
            </w:r>
          </w:p>
        </w:tc>
        <w:tc>
          <w:tcPr>
            <w:tcW w:w="1120" w:type="dxa"/>
            <w:noWrap/>
            <w:vAlign w:val="center"/>
            <w:hideMark/>
          </w:tcPr>
          <w:p w14:paraId="1C24C987"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48 747</w:t>
            </w:r>
          </w:p>
        </w:tc>
      </w:tr>
      <w:tr w:rsidR="00577F45" w:rsidRPr="00577F45" w14:paraId="66591DB2"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14A8E4D9" w14:textId="77777777" w:rsidR="00577F45" w:rsidRPr="00577F45" w:rsidRDefault="00577F45" w:rsidP="00AD7202">
            <w:pPr>
              <w:spacing w:line="240" w:lineRule="auto"/>
              <w:rPr>
                <w:rFonts w:eastAsia="Times New Roman" w:cs="Times New Roman"/>
                <w:b w:val="0"/>
                <w:color w:val="auto"/>
                <w:sz w:val="20"/>
                <w:szCs w:val="20"/>
                <w:lang w:eastAsia="pl-PL"/>
              </w:rPr>
            </w:pPr>
            <w:r w:rsidRPr="00577F45">
              <w:rPr>
                <w:rFonts w:eastAsia="Times New Roman" w:cs="Times New Roman"/>
                <w:b w:val="0"/>
                <w:color w:val="auto"/>
                <w:sz w:val="20"/>
                <w:szCs w:val="20"/>
                <w:lang w:eastAsia="pl-PL"/>
              </w:rPr>
              <w:t>Ogółem MON</w:t>
            </w:r>
          </w:p>
        </w:tc>
        <w:tc>
          <w:tcPr>
            <w:tcW w:w="1276" w:type="dxa"/>
            <w:vAlign w:val="center"/>
            <w:hideMark/>
          </w:tcPr>
          <w:p w14:paraId="2E602470"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110 056</w:t>
            </w:r>
          </w:p>
        </w:tc>
        <w:tc>
          <w:tcPr>
            <w:tcW w:w="1417" w:type="dxa"/>
            <w:vAlign w:val="center"/>
            <w:hideMark/>
          </w:tcPr>
          <w:p w14:paraId="39629ABB"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109 873</w:t>
            </w:r>
          </w:p>
        </w:tc>
        <w:tc>
          <w:tcPr>
            <w:tcW w:w="1236" w:type="dxa"/>
            <w:vAlign w:val="center"/>
            <w:hideMark/>
          </w:tcPr>
          <w:p w14:paraId="16D6BAB3"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183</w:t>
            </w:r>
          </w:p>
        </w:tc>
        <w:tc>
          <w:tcPr>
            <w:tcW w:w="1120" w:type="dxa"/>
            <w:vAlign w:val="center"/>
            <w:hideMark/>
          </w:tcPr>
          <w:p w14:paraId="46C5126F"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11 999</w:t>
            </w:r>
          </w:p>
        </w:tc>
        <w:tc>
          <w:tcPr>
            <w:tcW w:w="1120" w:type="dxa"/>
            <w:vAlign w:val="center"/>
            <w:hideMark/>
          </w:tcPr>
          <w:p w14:paraId="11610904"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11 961</w:t>
            </w:r>
          </w:p>
        </w:tc>
        <w:tc>
          <w:tcPr>
            <w:tcW w:w="1120" w:type="dxa"/>
            <w:vAlign w:val="center"/>
            <w:hideMark/>
          </w:tcPr>
          <w:p w14:paraId="52A38604"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38</w:t>
            </w:r>
          </w:p>
        </w:tc>
      </w:tr>
      <w:tr w:rsidR="00577F45" w:rsidRPr="00577F45" w14:paraId="16D7E64D"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838" w:type="dxa"/>
            <w:hideMark/>
          </w:tcPr>
          <w:p w14:paraId="03D51221" w14:textId="77777777" w:rsidR="00577F45" w:rsidRPr="00577F45" w:rsidRDefault="00577F45" w:rsidP="00AD7202">
            <w:pPr>
              <w:spacing w:line="240" w:lineRule="auto"/>
              <w:rPr>
                <w:rFonts w:eastAsia="Times New Roman" w:cs="Times New Roman"/>
                <w:b w:val="0"/>
                <w:color w:val="auto"/>
                <w:sz w:val="20"/>
                <w:szCs w:val="20"/>
                <w:lang w:eastAsia="pl-PL"/>
              </w:rPr>
            </w:pPr>
            <w:r w:rsidRPr="00577F45">
              <w:rPr>
                <w:rFonts w:eastAsia="Times New Roman" w:cs="Times New Roman"/>
                <w:b w:val="0"/>
                <w:color w:val="auto"/>
                <w:sz w:val="20"/>
                <w:szCs w:val="20"/>
                <w:lang w:eastAsia="pl-PL"/>
              </w:rPr>
              <w:t>w tym 60 lat i więcej</w:t>
            </w:r>
          </w:p>
        </w:tc>
        <w:tc>
          <w:tcPr>
            <w:tcW w:w="1276" w:type="dxa"/>
            <w:noWrap/>
            <w:vAlign w:val="center"/>
            <w:hideMark/>
          </w:tcPr>
          <w:p w14:paraId="20253503"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69 153</w:t>
            </w:r>
          </w:p>
        </w:tc>
        <w:tc>
          <w:tcPr>
            <w:tcW w:w="1417" w:type="dxa"/>
            <w:noWrap/>
            <w:vAlign w:val="center"/>
            <w:hideMark/>
          </w:tcPr>
          <w:p w14:paraId="4E6F7055"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69 115</w:t>
            </w:r>
          </w:p>
        </w:tc>
        <w:tc>
          <w:tcPr>
            <w:tcW w:w="1236" w:type="dxa"/>
            <w:noWrap/>
            <w:vAlign w:val="center"/>
            <w:hideMark/>
          </w:tcPr>
          <w:p w14:paraId="24354838"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38</w:t>
            </w:r>
          </w:p>
        </w:tc>
        <w:tc>
          <w:tcPr>
            <w:tcW w:w="1120" w:type="dxa"/>
            <w:noWrap/>
            <w:vAlign w:val="center"/>
            <w:hideMark/>
          </w:tcPr>
          <w:p w14:paraId="2B204FEE"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9 491</w:t>
            </w:r>
          </w:p>
        </w:tc>
        <w:tc>
          <w:tcPr>
            <w:tcW w:w="1120" w:type="dxa"/>
            <w:noWrap/>
            <w:vAlign w:val="center"/>
            <w:hideMark/>
          </w:tcPr>
          <w:p w14:paraId="11A73129"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9 489</w:t>
            </w:r>
          </w:p>
        </w:tc>
        <w:tc>
          <w:tcPr>
            <w:tcW w:w="1120" w:type="dxa"/>
            <w:noWrap/>
            <w:vAlign w:val="center"/>
            <w:hideMark/>
          </w:tcPr>
          <w:p w14:paraId="5615A140"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2</w:t>
            </w:r>
          </w:p>
        </w:tc>
      </w:tr>
      <w:tr w:rsidR="00577F45" w:rsidRPr="00577F45" w14:paraId="66966248"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3AAC779" w14:textId="77777777" w:rsidR="00577F45" w:rsidRPr="00577F45" w:rsidRDefault="00577F45" w:rsidP="00AD7202">
            <w:pPr>
              <w:spacing w:line="240" w:lineRule="auto"/>
              <w:rPr>
                <w:rFonts w:eastAsia="Times New Roman" w:cs="Times New Roman"/>
                <w:b w:val="0"/>
                <w:color w:val="auto"/>
                <w:sz w:val="20"/>
                <w:szCs w:val="20"/>
                <w:lang w:eastAsia="pl-PL"/>
              </w:rPr>
            </w:pPr>
            <w:r w:rsidRPr="00577F45">
              <w:rPr>
                <w:rFonts w:eastAsia="Times New Roman" w:cs="Times New Roman"/>
                <w:b w:val="0"/>
                <w:color w:val="auto"/>
                <w:sz w:val="20"/>
                <w:szCs w:val="20"/>
                <w:lang w:eastAsia="pl-PL"/>
              </w:rPr>
              <w:t>Ogółem MSWiA</w:t>
            </w:r>
          </w:p>
        </w:tc>
        <w:tc>
          <w:tcPr>
            <w:tcW w:w="1276" w:type="dxa"/>
            <w:vAlign w:val="center"/>
            <w:hideMark/>
          </w:tcPr>
          <w:p w14:paraId="79B3734D"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158 850</w:t>
            </w:r>
          </w:p>
        </w:tc>
        <w:tc>
          <w:tcPr>
            <w:tcW w:w="1417" w:type="dxa"/>
            <w:vAlign w:val="center"/>
            <w:hideMark/>
          </w:tcPr>
          <w:p w14:paraId="745B4509"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142 273</w:t>
            </w:r>
          </w:p>
        </w:tc>
        <w:tc>
          <w:tcPr>
            <w:tcW w:w="1236" w:type="dxa"/>
            <w:vAlign w:val="center"/>
            <w:hideMark/>
          </w:tcPr>
          <w:p w14:paraId="6C74520B"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16 577</w:t>
            </w:r>
          </w:p>
        </w:tc>
        <w:tc>
          <w:tcPr>
            <w:tcW w:w="1120" w:type="dxa"/>
            <w:vAlign w:val="center"/>
            <w:hideMark/>
          </w:tcPr>
          <w:p w14:paraId="457C5FDD"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11 841</w:t>
            </w:r>
          </w:p>
        </w:tc>
        <w:tc>
          <w:tcPr>
            <w:tcW w:w="1120" w:type="dxa"/>
            <w:vAlign w:val="center"/>
            <w:hideMark/>
          </w:tcPr>
          <w:p w14:paraId="4F768277"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10 263</w:t>
            </w:r>
          </w:p>
        </w:tc>
        <w:tc>
          <w:tcPr>
            <w:tcW w:w="1120" w:type="dxa"/>
            <w:vAlign w:val="center"/>
            <w:hideMark/>
          </w:tcPr>
          <w:p w14:paraId="1077FFA0"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1 578</w:t>
            </w:r>
          </w:p>
        </w:tc>
      </w:tr>
      <w:tr w:rsidR="00577F45" w:rsidRPr="00577F45" w14:paraId="6B0F8DC4"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838" w:type="dxa"/>
            <w:hideMark/>
          </w:tcPr>
          <w:p w14:paraId="32455719" w14:textId="77777777" w:rsidR="00577F45" w:rsidRPr="00577F45" w:rsidRDefault="00577F45" w:rsidP="00AD7202">
            <w:pPr>
              <w:spacing w:line="240" w:lineRule="auto"/>
              <w:rPr>
                <w:rFonts w:eastAsia="Times New Roman" w:cs="Times New Roman"/>
                <w:b w:val="0"/>
                <w:color w:val="auto"/>
                <w:sz w:val="20"/>
                <w:szCs w:val="20"/>
                <w:lang w:eastAsia="pl-PL"/>
              </w:rPr>
            </w:pPr>
            <w:r w:rsidRPr="00577F45">
              <w:rPr>
                <w:rFonts w:eastAsia="Times New Roman" w:cs="Times New Roman"/>
                <w:b w:val="0"/>
                <w:color w:val="auto"/>
                <w:sz w:val="20"/>
                <w:szCs w:val="20"/>
                <w:lang w:eastAsia="pl-PL"/>
              </w:rPr>
              <w:t>w tym 60 lat i więcej</w:t>
            </w:r>
          </w:p>
        </w:tc>
        <w:tc>
          <w:tcPr>
            <w:tcW w:w="1276" w:type="dxa"/>
            <w:noWrap/>
            <w:vAlign w:val="center"/>
            <w:hideMark/>
          </w:tcPr>
          <w:p w14:paraId="292B25FC"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87 025</w:t>
            </w:r>
          </w:p>
        </w:tc>
        <w:tc>
          <w:tcPr>
            <w:tcW w:w="1417" w:type="dxa"/>
            <w:noWrap/>
            <w:vAlign w:val="center"/>
            <w:hideMark/>
          </w:tcPr>
          <w:p w14:paraId="775D0E75"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74 524</w:t>
            </w:r>
          </w:p>
        </w:tc>
        <w:tc>
          <w:tcPr>
            <w:tcW w:w="1236" w:type="dxa"/>
            <w:noWrap/>
            <w:vAlign w:val="center"/>
            <w:hideMark/>
          </w:tcPr>
          <w:p w14:paraId="48009D82"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12 501</w:t>
            </w:r>
          </w:p>
        </w:tc>
        <w:tc>
          <w:tcPr>
            <w:tcW w:w="1120" w:type="dxa"/>
            <w:noWrap/>
            <w:vAlign w:val="center"/>
            <w:hideMark/>
          </w:tcPr>
          <w:p w14:paraId="5AA75992"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6 859</w:t>
            </w:r>
          </w:p>
        </w:tc>
        <w:tc>
          <w:tcPr>
            <w:tcW w:w="1120" w:type="dxa"/>
            <w:noWrap/>
            <w:vAlign w:val="center"/>
            <w:hideMark/>
          </w:tcPr>
          <w:p w14:paraId="61240B9B"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5 602</w:t>
            </w:r>
          </w:p>
        </w:tc>
        <w:tc>
          <w:tcPr>
            <w:tcW w:w="1120" w:type="dxa"/>
            <w:noWrap/>
            <w:vAlign w:val="center"/>
            <w:hideMark/>
          </w:tcPr>
          <w:p w14:paraId="3EDE23C8"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1 257</w:t>
            </w:r>
          </w:p>
        </w:tc>
      </w:tr>
      <w:tr w:rsidR="00577F45" w:rsidRPr="00577F45" w14:paraId="01FFFEAB"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EBE7770" w14:textId="77777777" w:rsidR="00577F45" w:rsidRPr="00577F45" w:rsidRDefault="00577F45" w:rsidP="00AD7202">
            <w:pPr>
              <w:spacing w:line="240" w:lineRule="auto"/>
              <w:rPr>
                <w:rFonts w:eastAsia="Times New Roman" w:cs="Times New Roman"/>
                <w:b w:val="0"/>
                <w:color w:val="auto"/>
                <w:sz w:val="20"/>
                <w:szCs w:val="20"/>
                <w:lang w:eastAsia="pl-PL"/>
              </w:rPr>
            </w:pPr>
            <w:r w:rsidRPr="00577F45">
              <w:rPr>
                <w:rFonts w:eastAsia="Times New Roman" w:cs="Times New Roman"/>
                <w:b w:val="0"/>
                <w:color w:val="auto"/>
                <w:sz w:val="20"/>
                <w:szCs w:val="20"/>
                <w:lang w:eastAsia="pl-PL"/>
              </w:rPr>
              <w:t>Ogółem MS</w:t>
            </w:r>
          </w:p>
        </w:tc>
        <w:tc>
          <w:tcPr>
            <w:tcW w:w="1276" w:type="dxa"/>
            <w:vAlign w:val="center"/>
            <w:hideMark/>
          </w:tcPr>
          <w:p w14:paraId="7BF8D86E"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25 385</w:t>
            </w:r>
          </w:p>
        </w:tc>
        <w:tc>
          <w:tcPr>
            <w:tcW w:w="1417" w:type="dxa"/>
            <w:vAlign w:val="center"/>
            <w:hideMark/>
          </w:tcPr>
          <w:p w14:paraId="1493DE83"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21 670</w:t>
            </w:r>
          </w:p>
        </w:tc>
        <w:tc>
          <w:tcPr>
            <w:tcW w:w="1236" w:type="dxa"/>
            <w:vAlign w:val="center"/>
            <w:hideMark/>
          </w:tcPr>
          <w:p w14:paraId="07CC0675"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3 715</w:t>
            </w:r>
          </w:p>
        </w:tc>
        <w:tc>
          <w:tcPr>
            <w:tcW w:w="1120" w:type="dxa"/>
            <w:vAlign w:val="center"/>
            <w:hideMark/>
          </w:tcPr>
          <w:p w14:paraId="39207931"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2 219</w:t>
            </w:r>
          </w:p>
        </w:tc>
        <w:tc>
          <w:tcPr>
            <w:tcW w:w="1120" w:type="dxa"/>
            <w:vAlign w:val="center"/>
            <w:hideMark/>
          </w:tcPr>
          <w:p w14:paraId="2DD6199B"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1 814</w:t>
            </w:r>
          </w:p>
        </w:tc>
        <w:tc>
          <w:tcPr>
            <w:tcW w:w="1120" w:type="dxa"/>
            <w:vAlign w:val="center"/>
            <w:hideMark/>
          </w:tcPr>
          <w:p w14:paraId="09A109C2" w14:textId="77777777" w:rsidR="00577F45" w:rsidRPr="00577F45" w:rsidRDefault="00577F4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577F45">
              <w:rPr>
                <w:rFonts w:cs="Times New Roman"/>
                <w:sz w:val="20"/>
                <w:szCs w:val="20"/>
              </w:rPr>
              <w:t>405</w:t>
            </w:r>
          </w:p>
        </w:tc>
      </w:tr>
      <w:tr w:rsidR="00577F45" w:rsidRPr="00577F45" w14:paraId="4B42A450"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838" w:type="dxa"/>
            <w:hideMark/>
          </w:tcPr>
          <w:p w14:paraId="54D99985" w14:textId="77777777" w:rsidR="00577F45" w:rsidRPr="00577F45" w:rsidRDefault="00577F45" w:rsidP="00AD7202">
            <w:pPr>
              <w:spacing w:line="240" w:lineRule="auto"/>
              <w:rPr>
                <w:rFonts w:eastAsia="Times New Roman" w:cs="Times New Roman"/>
                <w:b w:val="0"/>
                <w:color w:val="auto"/>
                <w:sz w:val="20"/>
                <w:szCs w:val="20"/>
                <w:lang w:eastAsia="pl-PL"/>
              </w:rPr>
            </w:pPr>
            <w:r w:rsidRPr="00577F45">
              <w:rPr>
                <w:rFonts w:eastAsia="Times New Roman" w:cs="Times New Roman"/>
                <w:b w:val="0"/>
                <w:color w:val="auto"/>
                <w:sz w:val="20"/>
                <w:szCs w:val="20"/>
                <w:lang w:eastAsia="pl-PL"/>
              </w:rPr>
              <w:t>w tym 60 lat i więcej</w:t>
            </w:r>
          </w:p>
        </w:tc>
        <w:tc>
          <w:tcPr>
            <w:tcW w:w="1276" w:type="dxa"/>
            <w:noWrap/>
            <w:vAlign w:val="center"/>
            <w:hideMark/>
          </w:tcPr>
          <w:p w14:paraId="3AE37463"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13 418</w:t>
            </w:r>
          </w:p>
        </w:tc>
        <w:tc>
          <w:tcPr>
            <w:tcW w:w="1417" w:type="dxa"/>
            <w:noWrap/>
            <w:vAlign w:val="center"/>
            <w:hideMark/>
          </w:tcPr>
          <w:p w14:paraId="42F4C81D"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10 847</w:t>
            </w:r>
          </w:p>
        </w:tc>
        <w:tc>
          <w:tcPr>
            <w:tcW w:w="1236" w:type="dxa"/>
            <w:noWrap/>
            <w:vAlign w:val="center"/>
            <w:hideMark/>
          </w:tcPr>
          <w:p w14:paraId="43ADEBAF"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2 571</w:t>
            </w:r>
          </w:p>
        </w:tc>
        <w:tc>
          <w:tcPr>
            <w:tcW w:w="1120" w:type="dxa"/>
            <w:noWrap/>
            <w:vAlign w:val="center"/>
            <w:hideMark/>
          </w:tcPr>
          <w:p w14:paraId="023768AD"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1 225</w:t>
            </w:r>
          </w:p>
        </w:tc>
        <w:tc>
          <w:tcPr>
            <w:tcW w:w="1120" w:type="dxa"/>
            <w:noWrap/>
            <w:vAlign w:val="center"/>
            <w:hideMark/>
          </w:tcPr>
          <w:p w14:paraId="22B76EFE"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948</w:t>
            </w:r>
          </w:p>
        </w:tc>
        <w:tc>
          <w:tcPr>
            <w:tcW w:w="1120" w:type="dxa"/>
            <w:noWrap/>
            <w:vAlign w:val="center"/>
            <w:hideMark/>
          </w:tcPr>
          <w:p w14:paraId="7229DE50" w14:textId="77777777" w:rsidR="00577F45" w:rsidRPr="00577F45" w:rsidRDefault="00577F4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577F45">
              <w:rPr>
                <w:rFonts w:cs="Times New Roman"/>
                <w:sz w:val="20"/>
                <w:szCs w:val="20"/>
              </w:rPr>
              <w:t>277</w:t>
            </w:r>
          </w:p>
        </w:tc>
      </w:tr>
    </w:tbl>
    <w:p w14:paraId="56A677A3" w14:textId="77777777" w:rsidR="00577F45" w:rsidRPr="00534246" w:rsidRDefault="00577F45" w:rsidP="00577F45">
      <w:pPr>
        <w:rPr>
          <w:rFonts w:cs="Times New Roman"/>
          <w:b/>
          <w:bCs/>
          <w:spacing w:val="-10"/>
          <w:kern w:val="20"/>
          <w:sz w:val="22"/>
        </w:rPr>
      </w:pPr>
      <w:r w:rsidRPr="00534246">
        <w:rPr>
          <w:rFonts w:cs="Times New Roman"/>
          <w:b/>
          <w:bCs/>
          <w:spacing w:val="-10"/>
          <w:kern w:val="20"/>
          <w:sz w:val="22"/>
        </w:rPr>
        <w:t>Źródło: Dane ZUS, KRUS, MON, MSWiA i MS</w:t>
      </w:r>
      <w:r w:rsidRPr="00534246">
        <w:rPr>
          <w:rStyle w:val="Odwoanieprzypisudolnego"/>
          <w:rFonts w:cs="Times New Roman"/>
          <w:b/>
          <w:bCs/>
          <w:spacing w:val="-10"/>
          <w:kern w:val="20"/>
          <w:sz w:val="22"/>
        </w:rPr>
        <w:footnoteReference w:id="12"/>
      </w:r>
      <w:r w:rsidRPr="00534246">
        <w:rPr>
          <w:rFonts w:cs="Times New Roman"/>
          <w:b/>
          <w:bCs/>
          <w:spacing w:val="-10"/>
          <w:kern w:val="20"/>
          <w:sz w:val="22"/>
        </w:rPr>
        <w:t>.</w:t>
      </w:r>
    </w:p>
    <w:p w14:paraId="4B489B9B" w14:textId="77777777" w:rsidR="00907EE8" w:rsidRDefault="00907EE8" w:rsidP="00C444E7">
      <w:pPr>
        <w:rPr>
          <w:rFonts w:cs="Times New Roman"/>
        </w:rPr>
      </w:pPr>
    </w:p>
    <w:p w14:paraId="72B7CCA7" w14:textId="0D7746A3" w:rsidR="008470A9" w:rsidRDefault="008470A9" w:rsidP="00C444E7">
      <w:pPr>
        <w:rPr>
          <w:rFonts w:cs="Times New Roman"/>
        </w:rPr>
      </w:pPr>
      <w:r w:rsidRPr="008470A9">
        <w:rPr>
          <w:rFonts w:cs="Times New Roman"/>
        </w:rPr>
        <w:t>Wśród osób w wieku 60 lat i więcej pobierających emerytury z Zakładu Ubezpieczeń Społecznych (ZUS) 61% stanowiły kobiety, a 39% mężczyźni. W Kasie Rolniczego Ubezpieczenia Społecznego (KRUS) wielkości te przedstawiały się następująco: 69% kobiety i 31% mężczyźni. W resortach tzw. „mundurowych” udział kobiet był znacznie niższy w porównaniu do świadczeniobiorców płci męskiej i wynosił – 0,05% w MON, 14,4% w MSWiA i 19,2% w MS.</w:t>
      </w:r>
    </w:p>
    <w:p w14:paraId="5BE81491" w14:textId="77777777" w:rsidR="008470A9" w:rsidRDefault="008470A9" w:rsidP="00C444E7">
      <w:pPr>
        <w:rPr>
          <w:rFonts w:cs="Times New Roman"/>
        </w:rPr>
      </w:pPr>
    </w:p>
    <w:p w14:paraId="3B8658A9" w14:textId="7F6EE22F" w:rsidR="00577F45" w:rsidRDefault="00907EE8" w:rsidP="00C444E7">
      <w:pPr>
        <w:rPr>
          <w:rFonts w:cs="Times New Roman"/>
        </w:rPr>
      </w:pPr>
      <w:r w:rsidRPr="00577F45">
        <w:rPr>
          <w:rFonts w:cs="Times New Roman"/>
        </w:rPr>
        <w:t>Wśród osób w wieku 60 lat i więcej pobierających renty z tytułu niezdolności do pr</w:t>
      </w:r>
      <w:r>
        <w:rPr>
          <w:rFonts w:cs="Times New Roman"/>
        </w:rPr>
        <w:t>acy z ZUS kobiety stanowiły 23%, natomiast mężczyźni 77</w:t>
      </w:r>
      <w:r w:rsidRPr="00577F45">
        <w:rPr>
          <w:rFonts w:cs="Times New Roman"/>
        </w:rPr>
        <w:t>%. W KRUS udział kobiet był większy i wynosił 44%, natomiast mężczyzn 56%. W resortach tzw. „mundurowych” udzia</w:t>
      </w:r>
      <w:r>
        <w:rPr>
          <w:rFonts w:cs="Times New Roman"/>
        </w:rPr>
        <w:t>ł kobiet wynosił odpowiednio: 18% w MSWiA i 23</w:t>
      </w:r>
      <w:r w:rsidRPr="00577F45">
        <w:rPr>
          <w:rFonts w:cs="Times New Roman"/>
        </w:rPr>
        <w:t xml:space="preserve">% w MS. W MON zanotowano </w:t>
      </w:r>
      <w:r>
        <w:rPr>
          <w:rFonts w:cs="Times New Roman"/>
        </w:rPr>
        <w:t xml:space="preserve">zaledwie </w:t>
      </w:r>
      <w:r w:rsidRPr="00577F45">
        <w:rPr>
          <w:rFonts w:cs="Times New Roman"/>
        </w:rPr>
        <w:t>dwie kobiety pobierające rentę z tytułu niezdolności do pracy w wieku 60 lat i więcej.</w:t>
      </w:r>
    </w:p>
    <w:p w14:paraId="2ECB292A" w14:textId="77777777" w:rsidR="00FF59DD" w:rsidRDefault="00FF59DD" w:rsidP="00C444E7">
      <w:pPr>
        <w:rPr>
          <w:rFonts w:cs="Times New Roman"/>
        </w:rPr>
      </w:pPr>
    </w:p>
    <w:p w14:paraId="65735567" w14:textId="29324AC3" w:rsidR="00052DB7" w:rsidRDefault="00363C18" w:rsidP="00052DB7">
      <w:pPr>
        <w:pStyle w:val="Nagwek2"/>
        <w:ind w:hanging="792"/>
      </w:pPr>
      <w:bookmarkStart w:id="28" w:name="_Toc80523047"/>
      <w:r>
        <w:t>Stan zdrowia i opieka zdrowotna</w:t>
      </w:r>
      <w:bookmarkEnd w:id="28"/>
    </w:p>
    <w:p w14:paraId="6E210B49" w14:textId="77777777" w:rsidR="00534246" w:rsidRDefault="00052DB7" w:rsidP="00534246">
      <w:pPr>
        <w:pStyle w:val="Teksttreci0"/>
        <w:shd w:val="clear" w:color="auto" w:fill="auto"/>
        <w:spacing w:after="0" w:line="276" w:lineRule="auto"/>
        <w:ind w:firstLine="0"/>
        <w:jc w:val="both"/>
        <w:rPr>
          <w:sz w:val="24"/>
          <w:szCs w:val="24"/>
        </w:rPr>
      </w:pPr>
      <w:r w:rsidRPr="007A2213">
        <w:rPr>
          <w:sz w:val="24"/>
          <w:szCs w:val="24"/>
        </w:rPr>
        <w:t>Osoby starsze należą do grupy pacjentów, która ze względu na częste występowanie kilku chorób przewlekłych jednocześnie, wymaga w wielu przypadkach świadczeń opieki zdrowotnej z różnych zakresów. Niezwykle istotne jest zapewnienie tym osobom dostępu do kompleksowej i skoordynowanej opieki, która w pełni zaspokajałaby ich potrzeby.</w:t>
      </w:r>
    </w:p>
    <w:p w14:paraId="10C81256" w14:textId="77777777" w:rsidR="00534246" w:rsidRDefault="00534246" w:rsidP="00534246">
      <w:pPr>
        <w:pStyle w:val="Teksttreci0"/>
        <w:shd w:val="clear" w:color="auto" w:fill="auto"/>
        <w:spacing w:after="0" w:line="276" w:lineRule="auto"/>
        <w:ind w:firstLine="0"/>
        <w:jc w:val="both"/>
        <w:rPr>
          <w:sz w:val="24"/>
          <w:szCs w:val="24"/>
        </w:rPr>
      </w:pPr>
    </w:p>
    <w:p w14:paraId="1FFF1075" w14:textId="738BD725" w:rsidR="00534246" w:rsidRDefault="00534246" w:rsidP="00534246">
      <w:pPr>
        <w:pStyle w:val="Teksttreci0"/>
        <w:shd w:val="clear" w:color="auto" w:fill="auto"/>
        <w:spacing w:after="0" w:line="276" w:lineRule="auto"/>
        <w:ind w:firstLine="0"/>
        <w:jc w:val="both"/>
        <w:rPr>
          <w:sz w:val="24"/>
          <w:szCs w:val="24"/>
        </w:rPr>
      </w:pPr>
      <w:r w:rsidRPr="00534246">
        <w:rPr>
          <w:sz w:val="24"/>
          <w:szCs w:val="24"/>
        </w:rPr>
        <w:t>Wyniki badania EHIS (</w:t>
      </w:r>
      <w:proofErr w:type="spellStart"/>
      <w:r w:rsidRPr="00534246">
        <w:rPr>
          <w:i/>
          <w:iCs/>
          <w:sz w:val="24"/>
          <w:szCs w:val="24"/>
        </w:rPr>
        <w:t>European</w:t>
      </w:r>
      <w:proofErr w:type="spellEnd"/>
      <w:r w:rsidRPr="00534246">
        <w:rPr>
          <w:i/>
          <w:iCs/>
          <w:sz w:val="24"/>
          <w:szCs w:val="24"/>
        </w:rPr>
        <w:t xml:space="preserve"> </w:t>
      </w:r>
      <w:proofErr w:type="spellStart"/>
      <w:r w:rsidRPr="00534246">
        <w:rPr>
          <w:i/>
          <w:iCs/>
          <w:sz w:val="24"/>
          <w:szCs w:val="24"/>
        </w:rPr>
        <w:t>Health</w:t>
      </w:r>
      <w:proofErr w:type="spellEnd"/>
      <w:r w:rsidRPr="00534246">
        <w:rPr>
          <w:i/>
          <w:iCs/>
          <w:sz w:val="24"/>
          <w:szCs w:val="24"/>
        </w:rPr>
        <w:t xml:space="preserve"> Interview </w:t>
      </w:r>
      <w:proofErr w:type="spellStart"/>
      <w:r w:rsidRPr="00534246">
        <w:rPr>
          <w:i/>
          <w:iCs/>
          <w:sz w:val="24"/>
          <w:szCs w:val="24"/>
        </w:rPr>
        <w:t>Survey</w:t>
      </w:r>
      <w:proofErr w:type="spellEnd"/>
      <w:r w:rsidRPr="00534246">
        <w:rPr>
          <w:sz w:val="24"/>
          <w:szCs w:val="24"/>
        </w:rPr>
        <w:t>), oraz dane Eurostatu</w:t>
      </w:r>
      <w:r>
        <w:rPr>
          <w:sz w:val="24"/>
          <w:szCs w:val="24"/>
        </w:rPr>
        <w:t xml:space="preserve"> </w:t>
      </w:r>
      <w:r w:rsidRPr="00534246">
        <w:rPr>
          <w:sz w:val="24"/>
          <w:szCs w:val="24"/>
        </w:rPr>
        <w:t>potwierdzają, że długotrwałe problemy zdrowotne wynikające z nakładania się chorób przewlekłych zależnych od wieku, związane z tym dolegliwości oraz konieczność przyjmowania wielu leków</w:t>
      </w:r>
      <w:r>
        <w:rPr>
          <w:sz w:val="24"/>
          <w:szCs w:val="24"/>
        </w:rPr>
        <w:t xml:space="preserve"> </w:t>
      </w:r>
      <w:r w:rsidRPr="00534246">
        <w:rPr>
          <w:sz w:val="24"/>
          <w:szCs w:val="24"/>
        </w:rPr>
        <w:t>są głównym powodem niższej oceny zdrowia</w:t>
      </w:r>
      <w:r>
        <w:rPr>
          <w:sz w:val="24"/>
          <w:szCs w:val="24"/>
        </w:rPr>
        <w:t xml:space="preserve"> w porównaniu do innych grup wiekowych.</w:t>
      </w:r>
    </w:p>
    <w:p w14:paraId="4CCCFC89" w14:textId="77777777" w:rsidR="00052DB7" w:rsidRDefault="00052DB7" w:rsidP="00052DB7">
      <w:pPr>
        <w:pStyle w:val="Teksttreci0"/>
        <w:shd w:val="clear" w:color="auto" w:fill="auto"/>
        <w:spacing w:after="0" w:line="276" w:lineRule="auto"/>
        <w:ind w:firstLine="0"/>
        <w:jc w:val="both"/>
        <w:rPr>
          <w:sz w:val="24"/>
          <w:szCs w:val="24"/>
        </w:rPr>
      </w:pPr>
    </w:p>
    <w:p w14:paraId="6F01012A" w14:textId="77777777" w:rsidR="00052DB7" w:rsidRDefault="00052DB7" w:rsidP="00052DB7">
      <w:pPr>
        <w:pStyle w:val="Nagwek3"/>
      </w:pPr>
      <w:bookmarkStart w:id="29" w:name="_Toc77513888"/>
      <w:bookmarkStart w:id="30" w:name="_Toc80523048"/>
      <w:r w:rsidRPr="002F183A">
        <w:t>Świadczenia udzielane osobom starszym</w:t>
      </w:r>
      <w:bookmarkEnd w:id="29"/>
      <w:bookmarkEnd w:id="30"/>
    </w:p>
    <w:p w14:paraId="1496A098" w14:textId="77777777" w:rsidR="00052DB7" w:rsidRDefault="00052DB7" w:rsidP="00052DB7"/>
    <w:p w14:paraId="7DAC40BE" w14:textId="3AA91FE5" w:rsidR="00052DB7" w:rsidRPr="008470A9" w:rsidRDefault="00052DB7" w:rsidP="00052DB7">
      <w:pPr>
        <w:rPr>
          <w:b/>
        </w:rPr>
      </w:pPr>
      <w:r>
        <w:rPr>
          <w:b/>
        </w:rPr>
        <w:t>Podstawowa opieka zdrowotna</w:t>
      </w:r>
    </w:p>
    <w:p w14:paraId="543CA48B" w14:textId="77777777" w:rsidR="00052DB7" w:rsidRDefault="00052DB7" w:rsidP="00052DB7">
      <w:r>
        <w:t>Głównym celem podstawowej opieki zdrowotnej jest sprawowanie kompleksowej opieki nad stanem zdrowia pacjenta poprzez zapewnienie świadczenia opieki zdrowotnej w miejscu zamieszkania.</w:t>
      </w:r>
    </w:p>
    <w:p w14:paraId="35815B83" w14:textId="77777777" w:rsidR="00052DB7" w:rsidRDefault="00052DB7" w:rsidP="00052DB7"/>
    <w:p w14:paraId="3EA08376" w14:textId="7805C530" w:rsidR="00052DB7" w:rsidRDefault="00052DB7" w:rsidP="00052DB7">
      <w:pPr>
        <w:pStyle w:val="Legenda"/>
        <w:keepNext/>
        <w:rPr>
          <w:rFonts w:cs="Times New Roman"/>
          <w:b/>
          <w:i w:val="0"/>
          <w:color w:val="auto"/>
          <w:sz w:val="24"/>
        </w:rPr>
      </w:pPr>
      <w:r w:rsidRPr="00E86941">
        <w:rPr>
          <w:rFonts w:cs="Times New Roman"/>
          <w:b/>
          <w:i w:val="0"/>
          <w:color w:val="auto"/>
          <w:sz w:val="24"/>
        </w:rPr>
        <w:t>Tabe</w:t>
      </w:r>
      <w:r>
        <w:rPr>
          <w:rFonts w:cs="Times New Roman"/>
          <w:b/>
          <w:i w:val="0"/>
          <w:color w:val="auto"/>
          <w:sz w:val="24"/>
        </w:rPr>
        <w:t xml:space="preserve">la </w:t>
      </w:r>
      <w:r w:rsidR="003908E2">
        <w:rPr>
          <w:rFonts w:cs="Times New Roman"/>
          <w:b/>
          <w:i w:val="0"/>
          <w:color w:val="auto"/>
          <w:sz w:val="24"/>
        </w:rPr>
        <w:t>13</w:t>
      </w:r>
      <w:r w:rsidR="00EE73AF">
        <w:rPr>
          <w:rFonts w:cs="Times New Roman"/>
          <w:b/>
          <w:i w:val="0"/>
          <w:color w:val="auto"/>
          <w:sz w:val="24"/>
        </w:rPr>
        <w:t>.</w:t>
      </w:r>
      <w:r w:rsidRPr="00E86941">
        <w:rPr>
          <w:rFonts w:cs="Times New Roman"/>
          <w:b/>
          <w:i w:val="0"/>
          <w:color w:val="auto"/>
          <w:sz w:val="24"/>
        </w:rPr>
        <w:t xml:space="preserve"> </w:t>
      </w:r>
      <w:r w:rsidRPr="00C603F6">
        <w:rPr>
          <w:rFonts w:cs="Times New Roman"/>
          <w:b/>
          <w:i w:val="0"/>
          <w:color w:val="auto"/>
          <w:sz w:val="24"/>
        </w:rPr>
        <w:t xml:space="preserve">Rozpoznania wśród osób w wieku 65+ korzystających ze świadczeń </w:t>
      </w:r>
      <w:r>
        <w:rPr>
          <w:rFonts w:cs="Times New Roman"/>
          <w:b/>
          <w:i w:val="0"/>
          <w:color w:val="auto"/>
          <w:sz w:val="24"/>
        </w:rPr>
        <w:t xml:space="preserve">z zakresu podstawowej opieki </w:t>
      </w:r>
      <w:r w:rsidRPr="00C603F6">
        <w:rPr>
          <w:rFonts w:cs="Times New Roman"/>
          <w:b/>
          <w:i w:val="0"/>
          <w:color w:val="auto"/>
          <w:sz w:val="24"/>
        </w:rPr>
        <w:t>zdrowotnej</w:t>
      </w:r>
    </w:p>
    <w:tbl>
      <w:tblPr>
        <w:tblStyle w:val="Tabelasiatki4akcent2"/>
        <w:tblW w:w="0" w:type="auto"/>
        <w:tblLook w:val="04A0" w:firstRow="1" w:lastRow="0" w:firstColumn="1" w:lastColumn="0" w:noHBand="0" w:noVBand="1"/>
      </w:tblPr>
      <w:tblGrid>
        <w:gridCol w:w="3118"/>
        <w:gridCol w:w="3119"/>
        <w:gridCol w:w="3119"/>
      </w:tblGrid>
      <w:tr w:rsidR="00052DB7" w14:paraId="0966BCE5" w14:textId="77777777" w:rsidTr="00AD7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vMerge w:val="restart"/>
            <w:vAlign w:val="center"/>
          </w:tcPr>
          <w:p w14:paraId="2EE01BA9" w14:textId="77777777" w:rsidR="00052DB7" w:rsidRPr="002462B2" w:rsidRDefault="00052DB7" w:rsidP="00AD7202">
            <w:pPr>
              <w:jc w:val="center"/>
              <w:rPr>
                <w:color w:val="auto"/>
                <w:sz w:val="20"/>
                <w:szCs w:val="20"/>
              </w:rPr>
            </w:pPr>
            <w:r w:rsidRPr="002462B2">
              <w:rPr>
                <w:color w:val="auto"/>
                <w:sz w:val="20"/>
                <w:szCs w:val="20"/>
              </w:rPr>
              <w:t>Rozpoznanie</w:t>
            </w:r>
          </w:p>
        </w:tc>
        <w:tc>
          <w:tcPr>
            <w:tcW w:w="6238" w:type="dxa"/>
            <w:gridSpan w:val="2"/>
            <w:vAlign w:val="center"/>
          </w:tcPr>
          <w:p w14:paraId="6691FB68" w14:textId="77777777" w:rsidR="00052DB7" w:rsidRPr="002462B2" w:rsidRDefault="00052DB7" w:rsidP="00AD7202">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2462B2">
              <w:rPr>
                <w:color w:val="auto"/>
                <w:sz w:val="20"/>
                <w:szCs w:val="20"/>
              </w:rPr>
              <w:t xml:space="preserve">Liczba </w:t>
            </w:r>
            <w:proofErr w:type="spellStart"/>
            <w:r w:rsidRPr="002462B2">
              <w:rPr>
                <w:color w:val="auto"/>
                <w:sz w:val="20"/>
                <w:szCs w:val="20"/>
              </w:rPr>
              <w:t>rozpoznań</w:t>
            </w:r>
            <w:proofErr w:type="spellEnd"/>
            <w:r w:rsidRPr="002462B2">
              <w:rPr>
                <w:color w:val="auto"/>
                <w:sz w:val="20"/>
                <w:szCs w:val="20"/>
              </w:rPr>
              <w:t xml:space="preserve"> wśród osób w wieku 65+</w:t>
            </w:r>
          </w:p>
        </w:tc>
      </w:tr>
      <w:tr w:rsidR="00052DB7" w14:paraId="1821A895"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vMerge/>
            <w:vAlign w:val="center"/>
          </w:tcPr>
          <w:p w14:paraId="45695730" w14:textId="77777777" w:rsidR="00052DB7" w:rsidRPr="002462B2" w:rsidRDefault="00052DB7" w:rsidP="00AD7202">
            <w:pPr>
              <w:jc w:val="center"/>
              <w:rPr>
                <w:sz w:val="20"/>
                <w:szCs w:val="20"/>
              </w:rPr>
            </w:pPr>
          </w:p>
        </w:tc>
        <w:tc>
          <w:tcPr>
            <w:tcW w:w="3119" w:type="dxa"/>
            <w:vAlign w:val="center"/>
          </w:tcPr>
          <w:p w14:paraId="7542968A" w14:textId="77777777" w:rsidR="00052DB7" w:rsidRPr="002462B2" w:rsidRDefault="00052DB7" w:rsidP="00AD7202">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w:t>
            </w:r>
            <w:r w:rsidRPr="002462B2">
              <w:rPr>
                <w:b/>
                <w:sz w:val="20"/>
                <w:szCs w:val="20"/>
              </w:rPr>
              <w:t xml:space="preserve"> 2019 r.</w:t>
            </w:r>
          </w:p>
        </w:tc>
        <w:tc>
          <w:tcPr>
            <w:tcW w:w="3119" w:type="dxa"/>
            <w:vAlign w:val="center"/>
          </w:tcPr>
          <w:p w14:paraId="16961EA0" w14:textId="77777777" w:rsidR="00052DB7" w:rsidRPr="002462B2" w:rsidRDefault="00052DB7" w:rsidP="00AD7202">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w:t>
            </w:r>
            <w:r w:rsidRPr="002462B2">
              <w:rPr>
                <w:b/>
                <w:sz w:val="20"/>
                <w:szCs w:val="20"/>
              </w:rPr>
              <w:t xml:space="preserve"> 2020 r.</w:t>
            </w:r>
          </w:p>
        </w:tc>
      </w:tr>
      <w:tr w:rsidR="00052DB7" w14:paraId="464C54BE" w14:textId="77777777" w:rsidTr="00AD7202">
        <w:tc>
          <w:tcPr>
            <w:cnfStyle w:val="001000000000" w:firstRow="0" w:lastRow="0" w:firstColumn="1" w:lastColumn="0" w:oddVBand="0" w:evenVBand="0" w:oddHBand="0" w:evenHBand="0" w:firstRowFirstColumn="0" w:firstRowLastColumn="0" w:lastRowFirstColumn="0" w:lastRowLastColumn="0"/>
            <w:tcW w:w="3118" w:type="dxa"/>
          </w:tcPr>
          <w:p w14:paraId="5E4D2868" w14:textId="77777777" w:rsidR="00052DB7" w:rsidRPr="002462B2" w:rsidRDefault="00052DB7" w:rsidP="00AD7202">
            <w:pPr>
              <w:rPr>
                <w:sz w:val="20"/>
                <w:szCs w:val="20"/>
              </w:rPr>
            </w:pPr>
            <w:r w:rsidRPr="002462B2">
              <w:rPr>
                <w:sz w:val="20"/>
                <w:szCs w:val="20"/>
              </w:rPr>
              <w:t>Gruźlica A15-A19, B90</w:t>
            </w:r>
          </w:p>
        </w:tc>
        <w:tc>
          <w:tcPr>
            <w:tcW w:w="3119" w:type="dxa"/>
            <w:vAlign w:val="center"/>
          </w:tcPr>
          <w:p w14:paraId="5113F42C" w14:textId="77777777" w:rsidR="00052DB7" w:rsidRPr="002462B2"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62B2">
              <w:rPr>
                <w:sz w:val="20"/>
                <w:szCs w:val="20"/>
              </w:rPr>
              <w:t>4 112</w:t>
            </w:r>
          </w:p>
        </w:tc>
        <w:tc>
          <w:tcPr>
            <w:tcW w:w="3119" w:type="dxa"/>
            <w:vAlign w:val="center"/>
          </w:tcPr>
          <w:p w14:paraId="058B2663" w14:textId="77777777" w:rsidR="00052DB7" w:rsidRPr="002462B2"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62B2">
              <w:rPr>
                <w:sz w:val="20"/>
                <w:szCs w:val="20"/>
              </w:rPr>
              <w:t>4 483</w:t>
            </w:r>
          </w:p>
        </w:tc>
      </w:tr>
      <w:tr w:rsidR="00052DB7" w14:paraId="0BDABF8B"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795BE060" w14:textId="77777777" w:rsidR="00052DB7" w:rsidRPr="002462B2" w:rsidRDefault="00052DB7" w:rsidP="00AD7202">
            <w:pPr>
              <w:rPr>
                <w:sz w:val="20"/>
                <w:szCs w:val="20"/>
              </w:rPr>
            </w:pPr>
            <w:r w:rsidRPr="002462B2">
              <w:rPr>
                <w:sz w:val="20"/>
                <w:szCs w:val="20"/>
              </w:rPr>
              <w:t>Nowotwory C00-C97, D00-D48</w:t>
            </w:r>
          </w:p>
        </w:tc>
        <w:tc>
          <w:tcPr>
            <w:tcW w:w="3119" w:type="dxa"/>
            <w:vAlign w:val="center"/>
          </w:tcPr>
          <w:p w14:paraId="54BBBD88" w14:textId="77777777" w:rsidR="00052DB7" w:rsidRPr="002462B2"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2B2">
              <w:rPr>
                <w:sz w:val="20"/>
                <w:szCs w:val="20"/>
              </w:rPr>
              <w:t>310 686</w:t>
            </w:r>
          </w:p>
        </w:tc>
        <w:tc>
          <w:tcPr>
            <w:tcW w:w="3119" w:type="dxa"/>
            <w:vAlign w:val="center"/>
          </w:tcPr>
          <w:p w14:paraId="4162F195" w14:textId="77777777" w:rsidR="00052DB7" w:rsidRPr="002462B2"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2B2">
              <w:rPr>
                <w:sz w:val="20"/>
                <w:szCs w:val="20"/>
              </w:rPr>
              <w:t>293 875</w:t>
            </w:r>
          </w:p>
        </w:tc>
      </w:tr>
      <w:tr w:rsidR="00052DB7" w14:paraId="7E740CAC" w14:textId="77777777" w:rsidTr="00AD7202">
        <w:tc>
          <w:tcPr>
            <w:cnfStyle w:val="001000000000" w:firstRow="0" w:lastRow="0" w:firstColumn="1" w:lastColumn="0" w:oddVBand="0" w:evenVBand="0" w:oddHBand="0" w:evenHBand="0" w:firstRowFirstColumn="0" w:firstRowLastColumn="0" w:lastRowFirstColumn="0" w:lastRowLastColumn="0"/>
            <w:tcW w:w="3118" w:type="dxa"/>
          </w:tcPr>
          <w:p w14:paraId="61F2E5E0" w14:textId="77777777" w:rsidR="00052DB7" w:rsidRPr="002462B2" w:rsidRDefault="00052DB7" w:rsidP="00AD7202">
            <w:pPr>
              <w:rPr>
                <w:sz w:val="20"/>
                <w:szCs w:val="20"/>
              </w:rPr>
            </w:pPr>
            <w:r w:rsidRPr="002462B2">
              <w:rPr>
                <w:sz w:val="20"/>
                <w:szCs w:val="20"/>
              </w:rPr>
              <w:t>Choroby tarczycy E00-E07</w:t>
            </w:r>
          </w:p>
        </w:tc>
        <w:tc>
          <w:tcPr>
            <w:tcW w:w="3119" w:type="dxa"/>
            <w:vAlign w:val="center"/>
          </w:tcPr>
          <w:p w14:paraId="3E69ACEC" w14:textId="77777777" w:rsidR="00052DB7" w:rsidRPr="002462B2"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62B2">
              <w:rPr>
                <w:sz w:val="20"/>
                <w:szCs w:val="20"/>
              </w:rPr>
              <w:t>346 629</w:t>
            </w:r>
          </w:p>
        </w:tc>
        <w:tc>
          <w:tcPr>
            <w:tcW w:w="3119" w:type="dxa"/>
            <w:vAlign w:val="center"/>
          </w:tcPr>
          <w:p w14:paraId="771BBECF" w14:textId="77777777" w:rsidR="00052DB7" w:rsidRPr="002462B2"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62B2">
              <w:rPr>
                <w:sz w:val="20"/>
                <w:szCs w:val="20"/>
              </w:rPr>
              <w:t>336 254</w:t>
            </w:r>
          </w:p>
        </w:tc>
      </w:tr>
      <w:tr w:rsidR="00052DB7" w14:paraId="34FCC5F4"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45171DE4" w14:textId="77777777" w:rsidR="00052DB7" w:rsidRPr="002462B2" w:rsidRDefault="00052DB7" w:rsidP="00AD7202">
            <w:pPr>
              <w:rPr>
                <w:sz w:val="20"/>
                <w:szCs w:val="20"/>
              </w:rPr>
            </w:pPr>
            <w:r w:rsidRPr="002462B2">
              <w:rPr>
                <w:sz w:val="20"/>
                <w:szCs w:val="20"/>
              </w:rPr>
              <w:t>Cukrzyca E10-E14</w:t>
            </w:r>
          </w:p>
        </w:tc>
        <w:tc>
          <w:tcPr>
            <w:tcW w:w="3119" w:type="dxa"/>
            <w:vAlign w:val="center"/>
          </w:tcPr>
          <w:p w14:paraId="22E293F7" w14:textId="77777777" w:rsidR="00052DB7" w:rsidRPr="002462B2"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2B2">
              <w:rPr>
                <w:sz w:val="20"/>
                <w:szCs w:val="20"/>
              </w:rPr>
              <w:t>778519</w:t>
            </w:r>
          </w:p>
        </w:tc>
        <w:tc>
          <w:tcPr>
            <w:tcW w:w="3119" w:type="dxa"/>
            <w:vAlign w:val="center"/>
          </w:tcPr>
          <w:p w14:paraId="69531FED" w14:textId="77777777" w:rsidR="00052DB7" w:rsidRPr="002462B2"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2B2">
              <w:rPr>
                <w:sz w:val="20"/>
                <w:szCs w:val="20"/>
              </w:rPr>
              <w:t>725 120</w:t>
            </w:r>
          </w:p>
        </w:tc>
      </w:tr>
      <w:tr w:rsidR="00052DB7" w14:paraId="67B3DAEB" w14:textId="77777777" w:rsidTr="00AD7202">
        <w:tc>
          <w:tcPr>
            <w:cnfStyle w:val="001000000000" w:firstRow="0" w:lastRow="0" w:firstColumn="1" w:lastColumn="0" w:oddVBand="0" w:evenVBand="0" w:oddHBand="0" w:evenHBand="0" w:firstRowFirstColumn="0" w:firstRowLastColumn="0" w:lastRowFirstColumn="0" w:lastRowLastColumn="0"/>
            <w:tcW w:w="3118" w:type="dxa"/>
          </w:tcPr>
          <w:p w14:paraId="6042E8F9" w14:textId="77777777" w:rsidR="00052DB7" w:rsidRPr="002462B2" w:rsidRDefault="00052DB7" w:rsidP="00AD7202">
            <w:pPr>
              <w:rPr>
                <w:sz w:val="20"/>
                <w:szCs w:val="20"/>
              </w:rPr>
            </w:pPr>
            <w:r w:rsidRPr="002462B2">
              <w:rPr>
                <w:sz w:val="20"/>
                <w:szCs w:val="20"/>
              </w:rPr>
              <w:t>Niedożywienie E40-E46</w:t>
            </w:r>
          </w:p>
        </w:tc>
        <w:tc>
          <w:tcPr>
            <w:tcW w:w="3119" w:type="dxa"/>
            <w:vAlign w:val="center"/>
          </w:tcPr>
          <w:p w14:paraId="01F06F4E" w14:textId="77777777" w:rsidR="00052DB7" w:rsidRPr="002462B2"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62B2">
              <w:rPr>
                <w:sz w:val="20"/>
                <w:szCs w:val="20"/>
              </w:rPr>
              <w:t>5 457</w:t>
            </w:r>
          </w:p>
        </w:tc>
        <w:tc>
          <w:tcPr>
            <w:tcW w:w="3119" w:type="dxa"/>
            <w:vAlign w:val="center"/>
          </w:tcPr>
          <w:p w14:paraId="7FEAA473" w14:textId="77777777" w:rsidR="00052DB7" w:rsidRPr="002462B2"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62B2">
              <w:rPr>
                <w:sz w:val="20"/>
                <w:szCs w:val="20"/>
              </w:rPr>
              <w:t>3 764</w:t>
            </w:r>
          </w:p>
        </w:tc>
      </w:tr>
      <w:tr w:rsidR="00052DB7" w14:paraId="63F3D98E"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79E265F9" w14:textId="77777777" w:rsidR="00052DB7" w:rsidRPr="002462B2" w:rsidRDefault="00052DB7" w:rsidP="00AD7202">
            <w:pPr>
              <w:rPr>
                <w:sz w:val="20"/>
                <w:szCs w:val="20"/>
              </w:rPr>
            </w:pPr>
            <w:r w:rsidRPr="002462B2">
              <w:rPr>
                <w:sz w:val="20"/>
                <w:szCs w:val="20"/>
              </w:rPr>
              <w:t>Zaburzenia odżywiania F50</w:t>
            </w:r>
          </w:p>
        </w:tc>
        <w:tc>
          <w:tcPr>
            <w:tcW w:w="3119" w:type="dxa"/>
            <w:vAlign w:val="center"/>
          </w:tcPr>
          <w:p w14:paraId="7D6F0447" w14:textId="77777777" w:rsidR="00052DB7" w:rsidRPr="002462B2"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2B2">
              <w:rPr>
                <w:sz w:val="20"/>
                <w:szCs w:val="20"/>
              </w:rPr>
              <w:t>6 367</w:t>
            </w:r>
          </w:p>
        </w:tc>
        <w:tc>
          <w:tcPr>
            <w:tcW w:w="3119" w:type="dxa"/>
            <w:vAlign w:val="center"/>
          </w:tcPr>
          <w:p w14:paraId="27041DB1" w14:textId="77777777" w:rsidR="00052DB7" w:rsidRPr="002462B2"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2B2">
              <w:rPr>
                <w:sz w:val="20"/>
                <w:szCs w:val="20"/>
              </w:rPr>
              <w:t>4 032</w:t>
            </w:r>
          </w:p>
        </w:tc>
      </w:tr>
      <w:tr w:rsidR="00052DB7" w14:paraId="11142457" w14:textId="77777777" w:rsidTr="00AD7202">
        <w:tc>
          <w:tcPr>
            <w:cnfStyle w:val="001000000000" w:firstRow="0" w:lastRow="0" w:firstColumn="1" w:lastColumn="0" w:oddVBand="0" w:evenVBand="0" w:oddHBand="0" w:evenHBand="0" w:firstRowFirstColumn="0" w:firstRowLastColumn="0" w:lastRowFirstColumn="0" w:lastRowLastColumn="0"/>
            <w:tcW w:w="3118" w:type="dxa"/>
          </w:tcPr>
          <w:p w14:paraId="1CEDF6A7" w14:textId="77777777" w:rsidR="00052DB7" w:rsidRPr="002462B2" w:rsidRDefault="00052DB7" w:rsidP="00AD7202">
            <w:pPr>
              <w:rPr>
                <w:sz w:val="20"/>
                <w:szCs w:val="20"/>
              </w:rPr>
            </w:pPr>
            <w:r w:rsidRPr="002462B2">
              <w:rPr>
                <w:sz w:val="20"/>
                <w:szCs w:val="20"/>
              </w:rPr>
              <w:t>Otyłość E65-E68</w:t>
            </w:r>
          </w:p>
        </w:tc>
        <w:tc>
          <w:tcPr>
            <w:tcW w:w="3119" w:type="dxa"/>
            <w:vAlign w:val="center"/>
          </w:tcPr>
          <w:p w14:paraId="701C24E1" w14:textId="77777777" w:rsidR="00052DB7" w:rsidRPr="002462B2"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62B2">
              <w:rPr>
                <w:sz w:val="20"/>
                <w:szCs w:val="20"/>
              </w:rPr>
              <w:t>117 834</w:t>
            </w:r>
          </w:p>
        </w:tc>
        <w:tc>
          <w:tcPr>
            <w:tcW w:w="3119" w:type="dxa"/>
            <w:vAlign w:val="center"/>
          </w:tcPr>
          <w:p w14:paraId="02BFBF22" w14:textId="77777777" w:rsidR="00052DB7" w:rsidRPr="002462B2"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62B2">
              <w:rPr>
                <w:sz w:val="20"/>
                <w:szCs w:val="20"/>
              </w:rPr>
              <w:t>113 692</w:t>
            </w:r>
          </w:p>
        </w:tc>
      </w:tr>
      <w:tr w:rsidR="00052DB7" w14:paraId="73A10A9F"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4CC2DECC" w14:textId="77777777" w:rsidR="00052DB7" w:rsidRPr="002462B2" w:rsidRDefault="00052DB7" w:rsidP="00AD7202">
            <w:pPr>
              <w:rPr>
                <w:sz w:val="20"/>
                <w:szCs w:val="20"/>
              </w:rPr>
            </w:pPr>
            <w:r w:rsidRPr="002462B2">
              <w:rPr>
                <w:sz w:val="20"/>
                <w:szCs w:val="20"/>
              </w:rPr>
              <w:t>Niedokrwistość D50-D64</w:t>
            </w:r>
          </w:p>
        </w:tc>
        <w:tc>
          <w:tcPr>
            <w:tcW w:w="3119" w:type="dxa"/>
            <w:vAlign w:val="center"/>
          </w:tcPr>
          <w:p w14:paraId="6AEA03A3" w14:textId="77777777" w:rsidR="00052DB7" w:rsidRPr="002462B2"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2B2">
              <w:rPr>
                <w:sz w:val="20"/>
                <w:szCs w:val="20"/>
              </w:rPr>
              <w:t>116 027</w:t>
            </w:r>
          </w:p>
        </w:tc>
        <w:tc>
          <w:tcPr>
            <w:tcW w:w="3119" w:type="dxa"/>
            <w:vAlign w:val="center"/>
          </w:tcPr>
          <w:p w14:paraId="2E9A61A7" w14:textId="77777777" w:rsidR="00052DB7" w:rsidRPr="002462B2"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2B2">
              <w:rPr>
                <w:sz w:val="20"/>
                <w:szCs w:val="20"/>
              </w:rPr>
              <w:t>101 116</w:t>
            </w:r>
          </w:p>
        </w:tc>
      </w:tr>
      <w:tr w:rsidR="00052DB7" w14:paraId="513586A0" w14:textId="77777777" w:rsidTr="00AD7202">
        <w:tc>
          <w:tcPr>
            <w:cnfStyle w:val="001000000000" w:firstRow="0" w:lastRow="0" w:firstColumn="1" w:lastColumn="0" w:oddVBand="0" w:evenVBand="0" w:oddHBand="0" w:evenHBand="0" w:firstRowFirstColumn="0" w:firstRowLastColumn="0" w:lastRowFirstColumn="0" w:lastRowLastColumn="0"/>
            <w:tcW w:w="3118" w:type="dxa"/>
          </w:tcPr>
          <w:p w14:paraId="0421767E" w14:textId="77777777" w:rsidR="00052DB7" w:rsidRPr="002462B2" w:rsidRDefault="00052DB7" w:rsidP="00AD7202">
            <w:pPr>
              <w:rPr>
                <w:sz w:val="20"/>
                <w:szCs w:val="20"/>
              </w:rPr>
            </w:pPr>
            <w:r w:rsidRPr="002462B2">
              <w:rPr>
                <w:sz w:val="20"/>
                <w:szCs w:val="20"/>
              </w:rPr>
              <w:t>Choroby obwodowego układu nerwowego</w:t>
            </w:r>
            <w:r>
              <w:rPr>
                <w:sz w:val="20"/>
                <w:szCs w:val="20"/>
              </w:rPr>
              <w:t xml:space="preserve"> G50-G59</w:t>
            </w:r>
          </w:p>
        </w:tc>
        <w:tc>
          <w:tcPr>
            <w:tcW w:w="3119" w:type="dxa"/>
            <w:vAlign w:val="center"/>
          </w:tcPr>
          <w:p w14:paraId="12CB75A6" w14:textId="77777777" w:rsidR="00052DB7" w:rsidRPr="002462B2"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62B2">
              <w:rPr>
                <w:sz w:val="20"/>
                <w:szCs w:val="20"/>
              </w:rPr>
              <w:t>441 996</w:t>
            </w:r>
          </w:p>
        </w:tc>
        <w:tc>
          <w:tcPr>
            <w:tcW w:w="3119" w:type="dxa"/>
            <w:vAlign w:val="center"/>
          </w:tcPr>
          <w:p w14:paraId="226D2BC9" w14:textId="77777777" w:rsidR="00052DB7" w:rsidRPr="002462B2"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62B2">
              <w:rPr>
                <w:sz w:val="20"/>
                <w:szCs w:val="20"/>
              </w:rPr>
              <w:t>398 556</w:t>
            </w:r>
          </w:p>
        </w:tc>
      </w:tr>
      <w:tr w:rsidR="00052DB7" w14:paraId="122D4E71"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0D7A8258" w14:textId="77777777" w:rsidR="00052DB7" w:rsidRPr="002462B2" w:rsidRDefault="00052DB7" w:rsidP="00AD7202">
            <w:pPr>
              <w:rPr>
                <w:sz w:val="20"/>
                <w:szCs w:val="20"/>
              </w:rPr>
            </w:pPr>
            <w:r w:rsidRPr="002462B2">
              <w:rPr>
                <w:sz w:val="20"/>
                <w:szCs w:val="20"/>
              </w:rPr>
              <w:t>Choroby układu krążenia I00-I99</w:t>
            </w:r>
          </w:p>
        </w:tc>
        <w:tc>
          <w:tcPr>
            <w:tcW w:w="3119" w:type="dxa"/>
            <w:vAlign w:val="center"/>
          </w:tcPr>
          <w:p w14:paraId="2FE711C2" w14:textId="77777777" w:rsidR="00052DB7" w:rsidRPr="002462B2"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2B2">
              <w:rPr>
                <w:sz w:val="20"/>
                <w:szCs w:val="20"/>
              </w:rPr>
              <w:t>2 895 850</w:t>
            </w:r>
          </w:p>
        </w:tc>
        <w:tc>
          <w:tcPr>
            <w:tcW w:w="3119" w:type="dxa"/>
            <w:vAlign w:val="center"/>
          </w:tcPr>
          <w:p w14:paraId="4EA10443" w14:textId="77777777" w:rsidR="00052DB7" w:rsidRPr="002462B2"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2B2">
              <w:rPr>
                <w:sz w:val="20"/>
                <w:szCs w:val="20"/>
              </w:rPr>
              <w:t>2 638 101</w:t>
            </w:r>
          </w:p>
        </w:tc>
      </w:tr>
      <w:tr w:rsidR="00052DB7" w14:paraId="44E95027" w14:textId="77777777" w:rsidTr="00AD7202">
        <w:tc>
          <w:tcPr>
            <w:cnfStyle w:val="001000000000" w:firstRow="0" w:lastRow="0" w:firstColumn="1" w:lastColumn="0" w:oddVBand="0" w:evenVBand="0" w:oddHBand="0" w:evenHBand="0" w:firstRowFirstColumn="0" w:firstRowLastColumn="0" w:lastRowFirstColumn="0" w:lastRowLastColumn="0"/>
            <w:tcW w:w="3118" w:type="dxa"/>
          </w:tcPr>
          <w:p w14:paraId="6F26FF31" w14:textId="77777777" w:rsidR="00052DB7" w:rsidRPr="002462B2" w:rsidRDefault="00052DB7" w:rsidP="00AD7202">
            <w:pPr>
              <w:jc w:val="left"/>
              <w:rPr>
                <w:sz w:val="20"/>
                <w:szCs w:val="20"/>
              </w:rPr>
            </w:pPr>
            <w:r w:rsidRPr="002462B2">
              <w:rPr>
                <w:sz w:val="20"/>
                <w:szCs w:val="20"/>
              </w:rPr>
              <w:lastRenderedPageBreak/>
              <w:t xml:space="preserve">Przebyty zawał serca I25.2 wśród osób z wiersza powyżej, </w:t>
            </w:r>
            <w:r>
              <w:rPr>
                <w:sz w:val="20"/>
                <w:szCs w:val="20"/>
              </w:rPr>
              <w:t xml:space="preserve">                  </w:t>
            </w:r>
            <w:r w:rsidRPr="002462B2">
              <w:rPr>
                <w:sz w:val="20"/>
                <w:szCs w:val="20"/>
              </w:rPr>
              <w:t>tj. z rozpoznaną niedokrwienną chorobą serca I20-I25</w:t>
            </w:r>
          </w:p>
        </w:tc>
        <w:tc>
          <w:tcPr>
            <w:tcW w:w="3119" w:type="dxa"/>
            <w:vAlign w:val="center"/>
          </w:tcPr>
          <w:p w14:paraId="4618F934" w14:textId="77777777" w:rsidR="00052DB7" w:rsidRPr="002462B2"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62B2">
              <w:rPr>
                <w:sz w:val="20"/>
                <w:szCs w:val="20"/>
              </w:rPr>
              <w:t>66 056</w:t>
            </w:r>
          </w:p>
        </w:tc>
        <w:tc>
          <w:tcPr>
            <w:tcW w:w="3119" w:type="dxa"/>
            <w:vAlign w:val="center"/>
          </w:tcPr>
          <w:p w14:paraId="471D2A37" w14:textId="77777777" w:rsidR="00052DB7" w:rsidRPr="002462B2"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62B2">
              <w:rPr>
                <w:sz w:val="20"/>
                <w:szCs w:val="20"/>
              </w:rPr>
              <w:t>59 900</w:t>
            </w:r>
          </w:p>
        </w:tc>
      </w:tr>
      <w:tr w:rsidR="00052DB7" w14:paraId="422D9A8B"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45B4CFA5" w14:textId="77777777" w:rsidR="00052DB7" w:rsidRPr="002462B2" w:rsidRDefault="00052DB7" w:rsidP="00AD7202">
            <w:pPr>
              <w:rPr>
                <w:sz w:val="20"/>
                <w:szCs w:val="20"/>
              </w:rPr>
            </w:pPr>
            <w:r w:rsidRPr="002462B2">
              <w:rPr>
                <w:sz w:val="20"/>
                <w:szCs w:val="20"/>
              </w:rPr>
              <w:t>Przewlekły nieżyt oskrzeli, dychawica oskrzelowa J40-J47</w:t>
            </w:r>
          </w:p>
        </w:tc>
        <w:tc>
          <w:tcPr>
            <w:tcW w:w="3119" w:type="dxa"/>
            <w:vAlign w:val="center"/>
          </w:tcPr>
          <w:p w14:paraId="448EC0DC" w14:textId="77777777" w:rsidR="00052DB7" w:rsidRPr="002462B2"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2B2">
              <w:rPr>
                <w:sz w:val="20"/>
                <w:szCs w:val="20"/>
              </w:rPr>
              <w:t>375 848</w:t>
            </w:r>
          </w:p>
        </w:tc>
        <w:tc>
          <w:tcPr>
            <w:tcW w:w="3119" w:type="dxa"/>
            <w:vAlign w:val="center"/>
          </w:tcPr>
          <w:p w14:paraId="3389A28C" w14:textId="77777777" w:rsidR="00052DB7" w:rsidRPr="002462B2"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2B2">
              <w:rPr>
                <w:sz w:val="20"/>
                <w:szCs w:val="20"/>
              </w:rPr>
              <w:t>339 942</w:t>
            </w:r>
          </w:p>
        </w:tc>
      </w:tr>
      <w:tr w:rsidR="00052DB7" w14:paraId="09C7A5A7" w14:textId="77777777" w:rsidTr="00AD7202">
        <w:tc>
          <w:tcPr>
            <w:cnfStyle w:val="001000000000" w:firstRow="0" w:lastRow="0" w:firstColumn="1" w:lastColumn="0" w:oddVBand="0" w:evenVBand="0" w:oddHBand="0" w:evenHBand="0" w:firstRowFirstColumn="0" w:firstRowLastColumn="0" w:lastRowFirstColumn="0" w:lastRowLastColumn="0"/>
            <w:tcW w:w="3118" w:type="dxa"/>
          </w:tcPr>
          <w:p w14:paraId="6A8E9D7C" w14:textId="77777777" w:rsidR="00052DB7" w:rsidRPr="002462B2" w:rsidRDefault="00052DB7" w:rsidP="00AD7202">
            <w:pPr>
              <w:rPr>
                <w:sz w:val="20"/>
                <w:szCs w:val="20"/>
              </w:rPr>
            </w:pPr>
            <w:r w:rsidRPr="002462B2">
              <w:rPr>
                <w:sz w:val="20"/>
                <w:szCs w:val="20"/>
              </w:rPr>
              <w:t>Przewlekłe choroby układu trawiennego K25-</w:t>
            </w:r>
            <w:r>
              <w:rPr>
                <w:sz w:val="20"/>
                <w:szCs w:val="20"/>
              </w:rPr>
              <w:t>K23</w:t>
            </w:r>
          </w:p>
        </w:tc>
        <w:tc>
          <w:tcPr>
            <w:tcW w:w="3119" w:type="dxa"/>
            <w:vAlign w:val="center"/>
          </w:tcPr>
          <w:p w14:paraId="7C3C99D3" w14:textId="77777777" w:rsidR="00052DB7" w:rsidRPr="002462B2"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62B2">
              <w:rPr>
                <w:sz w:val="20"/>
                <w:szCs w:val="20"/>
              </w:rPr>
              <w:t>629 505</w:t>
            </w:r>
          </w:p>
        </w:tc>
        <w:tc>
          <w:tcPr>
            <w:tcW w:w="3119" w:type="dxa"/>
            <w:vAlign w:val="center"/>
          </w:tcPr>
          <w:p w14:paraId="3BE6368D" w14:textId="77777777" w:rsidR="00052DB7" w:rsidRPr="002462B2"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2462B2">
              <w:rPr>
                <w:sz w:val="20"/>
                <w:szCs w:val="20"/>
              </w:rPr>
              <w:t>586 045</w:t>
            </w:r>
          </w:p>
        </w:tc>
      </w:tr>
      <w:tr w:rsidR="00052DB7" w14:paraId="6E6B0AC0"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4B2AB6C2" w14:textId="77777777" w:rsidR="00052DB7" w:rsidRPr="002462B2" w:rsidRDefault="00052DB7" w:rsidP="00AD7202">
            <w:pPr>
              <w:rPr>
                <w:sz w:val="20"/>
                <w:szCs w:val="20"/>
              </w:rPr>
            </w:pPr>
            <w:r>
              <w:rPr>
                <w:sz w:val="20"/>
                <w:szCs w:val="20"/>
              </w:rPr>
              <w:t>Choroby układu mięśniowo-kostnego i tkanki łącznej                       M00-M99</w:t>
            </w:r>
          </w:p>
        </w:tc>
        <w:tc>
          <w:tcPr>
            <w:tcW w:w="3119" w:type="dxa"/>
            <w:vAlign w:val="center"/>
          </w:tcPr>
          <w:p w14:paraId="40B20811" w14:textId="77777777" w:rsidR="00052DB7" w:rsidRPr="002462B2"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2B2">
              <w:rPr>
                <w:sz w:val="20"/>
                <w:szCs w:val="20"/>
              </w:rPr>
              <w:t>1 361 871</w:t>
            </w:r>
          </w:p>
        </w:tc>
        <w:tc>
          <w:tcPr>
            <w:tcW w:w="3119" w:type="dxa"/>
            <w:vAlign w:val="center"/>
          </w:tcPr>
          <w:p w14:paraId="08EC5AFB" w14:textId="77777777" w:rsidR="00052DB7" w:rsidRPr="002462B2"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2462B2">
              <w:rPr>
                <w:sz w:val="20"/>
                <w:szCs w:val="20"/>
              </w:rPr>
              <w:t>1 230 865</w:t>
            </w:r>
          </w:p>
        </w:tc>
      </w:tr>
      <w:tr w:rsidR="00052DB7" w14:paraId="7DCB294D" w14:textId="77777777" w:rsidTr="00AD7202">
        <w:tc>
          <w:tcPr>
            <w:cnfStyle w:val="001000000000" w:firstRow="0" w:lastRow="0" w:firstColumn="1" w:lastColumn="0" w:oddVBand="0" w:evenVBand="0" w:oddHBand="0" w:evenHBand="0" w:firstRowFirstColumn="0" w:firstRowLastColumn="0" w:lastRowFirstColumn="0" w:lastRowLastColumn="0"/>
            <w:tcW w:w="3118" w:type="dxa"/>
          </w:tcPr>
          <w:p w14:paraId="1B88511A" w14:textId="77777777" w:rsidR="00052DB7" w:rsidRDefault="00052DB7" w:rsidP="00AD7202">
            <w:pPr>
              <w:rPr>
                <w:sz w:val="20"/>
                <w:szCs w:val="20"/>
              </w:rPr>
            </w:pPr>
            <w:r>
              <w:rPr>
                <w:sz w:val="20"/>
                <w:szCs w:val="20"/>
              </w:rPr>
              <w:t>Pacjenci z innymi schorzeniami wymagający opieki czynnej</w:t>
            </w:r>
          </w:p>
        </w:tc>
        <w:tc>
          <w:tcPr>
            <w:tcW w:w="3119" w:type="dxa"/>
            <w:vAlign w:val="center"/>
          </w:tcPr>
          <w:p w14:paraId="579C14E8" w14:textId="77777777" w:rsidR="00052DB7" w:rsidRPr="002462B2"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447 583</w:t>
            </w:r>
          </w:p>
        </w:tc>
        <w:tc>
          <w:tcPr>
            <w:tcW w:w="3119" w:type="dxa"/>
            <w:vAlign w:val="center"/>
          </w:tcPr>
          <w:p w14:paraId="19DAE68B" w14:textId="77777777" w:rsidR="00052DB7" w:rsidRPr="002462B2"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475 213</w:t>
            </w:r>
          </w:p>
        </w:tc>
      </w:tr>
    </w:tbl>
    <w:p w14:paraId="75FC61C3" w14:textId="77777777" w:rsidR="00052DB7" w:rsidRPr="00534246" w:rsidRDefault="00052DB7" w:rsidP="00052DB7">
      <w:pPr>
        <w:spacing w:after="120"/>
        <w:rPr>
          <w:rFonts w:cs="Times New Roman"/>
          <w:b/>
          <w:bCs/>
          <w:spacing w:val="-10"/>
          <w:kern w:val="20"/>
          <w:sz w:val="22"/>
        </w:rPr>
      </w:pPr>
      <w:r w:rsidRPr="00534246">
        <w:rPr>
          <w:rFonts w:cs="Times New Roman"/>
          <w:b/>
          <w:bCs/>
          <w:spacing w:val="-10"/>
          <w:kern w:val="20"/>
          <w:sz w:val="22"/>
        </w:rPr>
        <w:t>Źródło: Dane Ministerstwa Zdrowia.</w:t>
      </w:r>
    </w:p>
    <w:p w14:paraId="6E3F5A2B" w14:textId="77777777" w:rsidR="00052DB7" w:rsidRDefault="00052DB7" w:rsidP="00052DB7"/>
    <w:p w14:paraId="0F7305DB" w14:textId="34F92D28" w:rsidR="00052DB7" w:rsidRPr="002874FF" w:rsidRDefault="00052DB7" w:rsidP="00052DB7">
      <w:r w:rsidRPr="002874FF">
        <w:t xml:space="preserve">Zgodnie z </w:t>
      </w:r>
      <w:r w:rsidR="003908E2">
        <w:t>obowiązującymi przepisami</w:t>
      </w:r>
      <w:r w:rsidRPr="002874FF">
        <w:t xml:space="preserve">, świadczenia udzielone przez lekarza </w:t>
      </w:r>
      <w:r w:rsidR="003908E2">
        <w:t>podstawowej opieki zdrowotnej</w:t>
      </w:r>
      <w:r w:rsidRPr="002874FF">
        <w:t xml:space="preserve"> finansowane są na podstawie rocznej stawki </w:t>
      </w:r>
      <w:proofErr w:type="spellStart"/>
      <w:r w:rsidRPr="002874FF">
        <w:t>kapitacyjnej</w:t>
      </w:r>
      <w:proofErr w:type="spellEnd"/>
      <w:r w:rsidR="003908E2">
        <w:rPr>
          <w:rStyle w:val="Odwoanieprzypisudolnego"/>
        </w:rPr>
        <w:footnoteReference w:id="13"/>
      </w:r>
      <w:r w:rsidRPr="002874FF">
        <w:t>. W stosunku do świadczeniobiorcy zadeklarowanego do</w:t>
      </w:r>
      <w:r w:rsidR="003908E2">
        <w:t xml:space="preserve"> </w:t>
      </w:r>
      <w:r w:rsidRPr="002874FF">
        <w:t xml:space="preserve">lekarza </w:t>
      </w:r>
      <w:r w:rsidR="003908E2">
        <w:t>podstawowej opieki zdrowotnej</w:t>
      </w:r>
      <w:r w:rsidRPr="002874FF">
        <w:t xml:space="preserve">, stawka </w:t>
      </w:r>
      <w:proofErr w:type="spellStart"/>
      <w:r w:rsidRPr="002874FF">
        <w:t>kapitacyjna</w:t>
      </w:r>
      <w:proofErr w:type="spellEnd"/>
      <w:r w:rsidRPr="002874FF">
        <w:t xml:space="preserve"> korygowana jest z zastosowaniem współczynnika odpowiedniego do grupy wiekowej świadczeniobiorcy albo charakteru miejsca pobytu świadczeniobiorcy, to jest w odniesieniu m.in. do osób w wieku:</w:t>
      </w:r>
    </w:p>
    <w:p w14:paraId="4AB45B21" w14:textId="77777777" w:rsidR="00052DB7" w:rsidRDefault="00052DB7" w:rsidP="00FE70E3">
      <w:pPr>
        <w:pStyle w:val="Akapitzlist"/>
        <w:numPr>
          <w:ilvl w:val="0"/>
          <w:numId w:val="68"/>
        </w:numPr>
      </w:pPr>
      <w:r w:rsidRPr="002874FF">
        <w:t>od 66. do 75. roku życia - współczynnik 2,7;</w:t>
      </w:r>
    </w:p>
    <w:p w14:paraId="0418E027" w14:textId="77777777" w:rsidR="00052DB7" w:rsidRPr="002874FF" w:rsidRDefault="00052DB7" w:rsidP="00FE70E3">
      <w:pPr>
        <w:pStyle w:val="Akapitzlist"/>
        <w:numPr>
          <w:ilvl w:val="0"/>
          <w:numId w:val="68"/>
        </w:numPr>
      </w:pPr>
      <w:r w:rsidRPr="002874FF">
        <w:t>powyżej 75. roku życia - współczynnik 3,1.</w:t>
      </w:r>
    </w:p>
    <w:p w14:paraId="3F867414" w14:textId="77777777" w:rsidR="00534246" w:rsidRDefault="00534246" w:rsidP="00052DB7"/>
    <w:p w14:paraId="495BDF81" w14:textId="0E35201F" w:rsidR="00052DB7" w:rsidRDefault="00052DB7" w:rsidP="00052DB7">
      <w:r w:rsidRPr="002874FF">
        <w:t xml:space="preserve">Podobnie wygląda sytuacja w przypadku świadczeń udzielanych przez pielęgniarkę </w:t>
      </w:r>
      <w:r w:rsidR="003908E2">
        <w:t>podstawowej opieki zdrowotnej</w:t>
      </w:r>
      <w:r w:rsidRPr="002874FF">
        <w:t xml:space="preserve">. </w:t>
      </w:r>
      <w:r w:rsidR="003908E2">
        <w:t>P</w:t>
      </w:r>
      <w:r w:rsidRPr="002874FF">
        <w:t>ielęgniarka za świadczenia realizowane na rzecz osoby w wieku powyżej 65. roku życia otrzymuje 2-krotnie wyższe wynagrodzenie</w:t>
      </w:r>
      <w:r w:rsidR="003908E2">
        <w:rPr>
          <w:rStyle w:val="Odwoanieprzypisudolnego"/>
        </w:rPr>
        <w:footnoteReference w:id="14"/>
      </w:r>
      <w:r w:rsidRPr="002874FF">
        <w:t>.</w:t>
      </w:r>
    </w:p>
    <w:p w14:paraId="649A3F90" w14:textId="77777777" w:rsidR="00052DB7" w:rsidRDefault="00052DB7" w:rsidP="00052DB7"/>
    <w:p w14:paraId="0C856024" w14:textId="563CF62B" w:rsidR="00052DB7" w:rsidRDefault="00052DB7" w:rsidP="00052DB7">
      <w:pPr>
        <w:pStyle w:val="Legenda"/>
        <w:keepNext/>
        <w:rPr>
          <w:rFonts w:cs="Times New Roman"/>
          <w:b/>
          <w:i w:val="0"/>
          <w:color w:val="auto"/>
          <w:sz w:val="24"/>
        </w:rPr>
      </w:pPr>
      <w:r w:rsidRPr="00E86941">
        <w:rPr>
          <w:rFonts w:cs="Times New Roman"/>
          <w:b/>
          <w:i w:val="0"/>
          <w:color w:val="auto"/>
          <w:sz w:val="24"/>
        </w:rPr>
        <w:t>Tabe</w:t>
      </w:r>
      <w:r>
        <w:rPr>
          <w:rFonts w:cs="Times New Roman"/>
          <w:b/>
          <w:i w:val="0"/>
          <w:color w:val="auto"/>
          <w:sz w:val="24"/>
        </w:rPr>
        <w:t xml:space="preserve">la </w:t>
      </w:r>
      <w:r w:rsidR="003908E2">
        <w:rPr>
          <w:rFonts w:cs="Times New Roman"/>
          <w:b/>
          <w:i w:val="0"/>
          <w:color w:val="auto"/>
          <w:sz w:val="24"/>
        </w:rPr>
        <w:t>14</w:t>
      </w:r>
      <w:r w:rsidR="00EE73AF">
        <w:rPr>
          <w:rFonts w:cs="Times New Roman"/>
          <w:b/>
          <w:i w:val="0"/>
          <w:color w:val="auto"/>
          <w:sz w:val="24"/>
        </w:rPr>
        <w:t>.</w:t>
      </w:r>
      <w:r w:rsidRPr="00E86941">
        <w:rPr>
          <w:rFonts w:cs="Times New Roman"/>
          <w:b/>
          <w:i w:val="0"/>
          <w:color w:val="auto"/>
          <w:sz w:val="24"/>
        </w:rPr>
        <w:t xml:space="preserve"> </w:t>
      </w:r>
      <w:r>
        <w:rPr>
          <w:rFonts w:cs="Times New Roman"/>
          <w:b/>
          <w:i w:val="0"/>
          <w:color w:val="auto"/>
          <w:sz w:val="24"/>
        </w:rPr>
        <w:t>Świadczenia</w:t>
      </w:r>
      <w:r w:rsidRPr="001D4B59">
        <w:rPr>
          <w:rFonts w:cs="Times New Roman"/>
          <w:b/>
          <w:i w:val="0"/>
          <w:color w:val="auto"/>
          <w:sz w:val="24"/>
        </w:rPr>
        <w:t xml:space="preserve"> z zakresu podstawow</w:t>
      </w:r>
      <w:r>
        <w:rPr>
          <w:rFonts w:cs="Times New Roman"/>
          <w:b/>
          <w:i w:val="0"/>
          <w:color w:val="auto"/>
          <w:sz w:val="24"/>
        </w:rPr>
        <w:t>ej opieki zdrowotnej udzielone</w:t>
      </w:r>
      <w:r w:rsidRPr="001D4B59">
        <w:rPr>
          <w:rFonts w:cs="Times New Roman"/>
          <w:b/>
          <w:i w:val="0"/>
          <w:color w:val="auto"/>
          <w:sz w:val="24"/>
        </w:rPr>
        <w:t xml:space="preserve"> osobom starszym w 2020 r.</w:t>
      </w:r>
    </w:p>
    <w:tbl>
      <w:tblPr>
        <w:tblStyle w:val="Tabelasiatki4akcent2"/>
        <w:tblW w:w="0" w:type="auto"/>
        <w:jc w:val="center"/>
        <w:tblLook w:val="04A0" w:firstRow="1" w:lastRow="0" w:firstColumn="1" w:lastColumn="0" w:noHBand="0" w:noVBand="1"/>
      </w:tblPr>
      <w:tblGrid>
        <w:gridCol w:w="3118"/>
        <w:gridCol w:w="3119"/>
        <w:gridCol w:w="3119"/>
      </w:tblGrid>
      <w:tr w:rsidR="00052DB7" w:rsidRPr="001D4B59" w14:paraId="6A0D6949" w14:textId="77777777" w:rsidTr="00AD72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vAlign w:val="center"/>
          </w:tcPr>
          <w:p w14:paraId="73C5FCF9" w14:textId="77777777" w:rsidR="00052DB7" w:rsidRPr="001D4B59" w:rsidRDefault="00052DB7" w:rsidP="00AD7202">
            <w:pPr>
              <w:jc w:val="center"/>
              <w:rPr>
                <w:color w:val="auto"/>
                <w:sz w:val="20"/>
                <w:szCs w:val="20"/>
              </w:rPr>
            </w:pPr>
            <w:r w:rsidRPr="001D4B59">
              <w:rPr>
                <w:color w:val="auto"/>
                <w:sz w:val="20"/>
                <w:szCs w:val="20"/>
              </w:rPr>
              <w:t>Grupa</w:t>
            </w:r>
          </w:p>
          <w:p w14:paraId="0D86C9A2" w14:textId="77777777" w:rsidR="00052DB7" w:rsidRPr="001D4B59" w:rsidRDefault="00052DB7" w:rsidP="00AD7202">
            <w:pPr>
              <w:jc w:val="center"/>
              <w:rPr>
                <w:color w:val="auto"/>
                <w:sz w:val="20"/>
                <w:szCs w:val="20"/>
              </w:rPr>
            </w:pPr>
            <w:r w:rsidRPr="001D4B59">
              <w:rPr>
                <w:color w:val="auto"/>
                <w:sz w:val="20"/>
                <w:szCs w:val="20"/>
              </w:rPr>
              <w:t>świadczeniobiorców</w:t>
            </w:r>
          </w:p>
        </w:tc>
        <w:tc>
          <w:tcPr>
            <w:tcW w:w="3119" w:type="dxa"/>
            <w:vAlign w:val="center"/>
          </w:tcPr>
          <w:p w14:paraId="06F1F1FE" w14:textId="77777777" w:rsidR="00052DB7" w:rsidRPr="001D4B59" w:rsidRDefault="00052DB7" w:rsidP="00AD7202">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1D4B59">
              <w:rPr>
                <w:color w:val="auto"/>
                <w:sz w:val="20"/>
                <w:szCs w:val="20"/>
              </w:rPr>
              <w:t>Koszt świadczeń w 2020 r.</w:t>
            </w:r>
          </w:p>
        </w:tc>
        <w:tc>
          <w:tcPr>
            <w:tcW w:w="3119" w:type="dxa"/>
            <w:vAlign w:val="center"/>
          </w:tcPr>
          <w:p w14:paraId="0ADD6236" w14:textId="77777777" w:rsidR="00052DB7" w:rsidRPr="001D4B59" w:rsidRDefault="00052DB7" w:rsidP="00AD7202">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1D4B59">
              <w:rPr>
                <w:color w:val="auto"/>
                <w:sz w:val="20"/>
                <w:szCs w:val="20"/>
              </w:rPr>
              <w:t>Średniomiesięczna populacja świadczeniobiorców uwzględnionych                                     w rozliczeniu 2020 r.</w:t>
            </w:r>
          </w:p>
        </w:tc>
      </w:tr>
      <w:tr w:rsidR="00052DB7" w:rsidRPr="001D4B59" w14:paraId="024ACE99" w14:textId="77777777" w:rsidTr="00AD72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6" w:type="dxa"/>
            <w:gridSpan w:val="3"/>
          </w:tcPr>
          <w:p w14:paraId="1F8D1427" w14:textId="77777777" w:rsidR="00052DB7" w:rsidRPr="001D4B59" w:rsidRDefault="00052DB7" w:rsidP="00AD7202">
            <w:pPr>
              <w:jc w:val="center"/>
              <w:rPr>
                <w:sz w:val="20"/>
                <w:szCs w:val="20"/>
              </w:rPr>
            </w:pPr>
            <w:r w:rsidRPr="001D4B59">
              <w:rPr>
                <w:sz w:val="20"/>
                <w:szCs w:val="20"/>
              </w:rPr>
              <w:t>Świadczenia lekarza POZ</w:t>
            </w:r>
          </w:p>
        </w:tc>
      </w:tr>
      <w:tr w:rsidR="00052DB7" w:rsidRPr="001D4B59" w14:paraId="7EB98C98" w14:textId="77777777" w:rsidTr="00AD7202">
        <w:trPr>
          <w:jc w:val="center"/>
        </w:trPr>
        <w:tc>
          <w:tcPr>
            <w:cnfStyle w:val="001000000000" w:firstRow="0" w:lastRow="0" w:firstColumn="1" w:lastColumn="0" w:oddVBand="0" w:evenVBand="0" w:oddHBand="0" w:evenHBand="0" w:firstRowFirstColumn="0" w:firstRowLastColumn="0" w:lastRowFirstColumn="0" w:lastRowLastColumn="0"/>
            <w:tcW w:w="3118" w:type="dxa"/>
          </w:tcPr>
          <w:p w14:paraId="0AE4806D" w14:textId="77777777" w:rsidR="00052DB7" w:rsidRPr="001D4B59" w:rsidRDefault="00052DB7" w:rsidP="00AD7202">
            <w:pPr>
              <w:rPr>
                <w:sz w:val="20"/>
                <w:szCs w:val="20"/>
              </w:rPr>
            </w:pPr>
            <w:r w:rsidRPr="001D4B59">
              <w:rPr>
                <w:sz w:val="20"/>
                <w:szCs w:val="20"/>
              </w:rPr>
              <w:t>grupa 66 - 75 r.ż.</w:t>
            </w:r>
          </w:p>
        </w:tc>
        <w:tc>
          <w:tcPr>
            <w:tcW w:w="3119" w:type="dxa"/>
          </w:tcPr>
          <w:p w14:paraId="7B1F9BF4" w14:textId="77777777" w:rsidR="00052DB7" w:rsidRPr="001D4B59"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1D4B59">
              <w:rPr>
                <w:sz w:val="20"/>
                <w:szCs w:val="20"/>
              </w:rPr>
              <w:t>1 415 810 301 zł</w:t>
            </w:r>
          </w:p>
        </w:tc>
        <w:tc>
          <w:tcPr>
            <w:tcW w:w="3119" w:type="dxa"/>
          </w:tcPr>
          <w:p w14:paraId="06AEE5FB" w14:textId="77777777" w:rsidR="00052DB7" w:rsidRPr="001D4B59" w:rsidRDefault="00052DB7" w:rsidP="00AD7202">
            <w:pPr>
              <w:jc w:val="center"/>
              <w:cnfStyle w:val="000000000000" w:firstRow="0" w:lastRow="0" w:firstColumn="0" w:lastColumn="0" w:oddVBand="0" w:evenVBand="0" w:oddHBand="0" w:evenHBand="0" w:firstRowFirstColumn="0" w:firstRowLastColumn="0" w:lastRowFirstColumn="0" w:lastRowLastColumn="0"/>
              <w:rPr>
                <w:sz w:val="20"/>
                <w:szCs w:val="20"/>
              </w:rPr>
            </w:pPr>
            <w:r w:rsidRPr="001D4B59">
              <w:rPr>
                <w:sz w:val="20"/>
                <w:szCs w:val="20"/>
              </w:rPr>
              <w:t>7 978 359</w:t>
            </w:r>
          </w:p>
        </w:tc>
      </w:tr>
      <w:tr w:rsidR="00052DB7" w:rsidRPr="001D4B59" w14:paraId="624CFC8B" w14:textId="77777777" w:rsidTr="00AD72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tcPr>
          <w:p w14:paraId="2F53AF30" w14:textId="77777777" w:rsidR="00052DB7" w:rsidRPr="001D4B59" w:rsidRDefault="00052DB7" w:rsidP="00AD7202">
            <w:pPr>
              <w:rPr>
                <w:sz w:val="20"/>
                <w:szCs w:val="20"/>
              </w:rPr>
            </w:pPr>
            <w:r w:rsidRPr="001D4B59">
              <w:rPr>
                <w:sz w:val="20"/>
                <w:szCs w:val="20"/>
              </w:rPr>
              <w:t>grupa powyżej 75 r.ż.</w:t>
            </w:r>
          </w:p>
        </w:tc>
        <w:tc>
          <w:tcPr>
            <w:tcW w:w="3119" w:type="dxa"/>
          </w:tcPr>
          <w:p w14:paraId="3874839A" w14:textId="77777777" w:rsidR="00052DB7" w:rsidRPr="001D4B59"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D4B59">
              <w:rPr>
                <w:sz w:val="20"/>
                <w:szCs w:val="20"/>
              </w:rPr>
              <w:t>1 160 208 274,92 zł</w:t>
            </w:r>
          </w:p>
        </w:tc>
        <w:tc>
          <w:tcPr>
            <w:tcW w:w="3119" w:type="dxa"/>
          </w:tcPr>
          <w:p w14:paraId="68E98981" w14:textId="77777777" w:rsidR="00052DB7" w:rsidRPr="001D4B59"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D4B59">
              <w:rPr>
                <w:sz w:val="20"/>
                <w:szCs w:val="20"/>
              </w:rPr>
              <w:t>2 372 985</w:t>
            </w:r>
          </w:p>
        </w:tc>
      </w:tr>
      <w:tr w:rsidR="00052DB7" w:rsidRPr="001D4B59" w14:paraId="7FEC984C" w14:textId="77777777" w:rsidTr="00AD7202">
        <w:trPr>
          <w:jc w:val="center"/>
        </w:trPr>
        <w:tc>
          <w:tcPr>
            <w:cnfStyle w:val="001000000000" w:firstRow="0" w:lastRow="0" w:firstColumn="1" w:lastColumn="0" w:oddVBand="0" w:evenVBand="0" w:oddHBand="0" w:evenHBand="0" w:firstRowFirstColumn="0" w:firstRowLastColumn="0" w:lastRowFirstColumn="0" w:lastRowLastColumn="0"/>
            <w:tcW w:w="9356" w:type="dxa"/>
            <w:gridSpan w:val="3"/>
          </w:tcPr>
          <w:p w14:paraId="3E8142CD" w14:textId="77777777" w:rsidR="00052DB7" w:rsidRPr="001D4B59" w:rsidRDefault="00052DB7" w:rsidP="00AD7202">
            <w:pPr>
              <w:jc w:val="center"/>
              <w:rPr>
                <w:sz w:val="20"/>
                <w:szCs w:val="20"/>
              </w:rPr>
            </w:pPr>
            <w:r w:rsidRPr="001D4B59">
              <w:rPr>
                <w:sz w:val="20"/>
                <w:szCs w:val="20"/>
              </w:rPr>
              <w:t>Świadczenia pielęgniarki POZ</w:t>
            </w:r>
          </w:p>
        </w:tc>
      </w:tr>
      <w:tr w:rsidR="00052DB7" w:rsidRPr="001D4B59" w14:paraId="6FFA7AD4" w14:textId="77777777" w:rsidTr="00AD72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tcPr>
          <w:p w14:paraId="329B960B" w14:textId="77777777" w:rsidR="00052DB7" w:rsidRPr="001D4B59" w:rsidRDefault="00052DB7" w:rsidP="00AD7202">
            <w:pPr>
              <w:rPr>
                <w:sz w:val="20"/>
                <w:szCs w:val="20"/>
              </w:rPr>
            </w:pPr>
            <w:r w:rsidRPr="001D4B59">
              <w:rPr>
                <w:sz w:val="20"/>
                <w:szCs w:val="20"/>
              </w:rPr>
              <w:t>grupa powyżej 65 r.ż.</w:t>
            </w:r>
          </w:p>
        </w:tc>
        <w:tc>
          <w:tcPr>
            <w:tcW w:w="3119" w:type="dxa"/>
          </w:tcPr>
          <w:p w14:paraId="15D7F658" w14:textId="77777777" w:rsidR="00052DB7" w:rsidRPr="001D4B59"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D4B59">
              <w:rPr>
                <w:sz w:val="20"/>
                <w:szCs w:val="20"/>
              </w:rPr>
              <w:t>487 687 834 zł</w:t>
            </w:r>
          </w:p>
        </w:tc>
        <w:tc>
          <w:tcPr>
            <w:tcW w:w="3119" w:type="dxa"/>
          </w:tcPr>
          <w:p w14:paraId="19125959" w14:textId="77777777" w:rsidR="00052DB7" w:rsidRPr="001D4B59" w:rsidRDefault="00052DB7" w:rsidP="00AD720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D4B59">
              <w:rPr>
                <w:sz w:val="20"/>
                <w:szCs w:val="20"/>
              </w:rPr>
              <w:t>5 840 965</w:t>
            </w:r>
          </w:p>
        </w:tc>
      </w:tr>
    </w:tbl>
    <w:p w14:paraId="77470C80" w14:textId="77777777" w:rsidR="00052DB7" w:rsidRPr="003908E2" w:rsidRDefault="00052DB7" w:rsidP="00052DB7">
      <w:pPr>
        <w:spacing w:after="120"/>
        <w:rPr>
          <w:rFonts w:cs="Times New Roman"/>
          <w:b/>
          <w:bCs/>
          <w:spacing w:val="-10"/>
          <w:kern w:val="20"/>
          <w:sz w:val="22"/>
        </w:rPr>
      </w:pPr>
      <w:r w:rsidRPr="003908E2">
        <w:rPr>
          <w:rFonts w:cs="Times New Roman"/>
          <w:b/>
          <w:bCs/>
          <w:spacing w:val="-10"/>
          <w:kern w:val="20"/>
          <w:sz w:val="22"/>
        </w:rPr>
        <w:t>Źródło: Dane Ministerstwa Zdrowia.</w:t>
      </w:r>
    </w:p>
    <w:p w14:paraId="7BB78382" w14:textId="77777777" w:rsidR="00052DB7" w:rsidRPr="001D4B59" w:rsidRDefault="00052DB7" w:rsidP="00052DB7">
      <w:pPr>
        <w:rPr>
          <w:sz w:val="20"/>
          <w:szCs w:val="20"/>
        </w:rPr>
      </w:pPr>
    </w:p>
    <w:p w14:paraId="4A3CF98D" w14:textId="77777777" w:rsidR="00052DB7" w:rsidRPr="001D4B59" w:rsidRDefault="00052DB7" w:rsidP="00052DB7">
      <w:pPr>
        <w:rPr>
          <w:b/>
        </w:rPr>
      </w:pPr>
      <w:r w:rsidRPr="001D4B59">
        <w:rPr>
          <w:b/>
        </w:rPr>
        <w:t>Opieka geriatryczna</w:t>
      </w:r>
    </w:p>
    <w:p w14:paraId="203E82A5" w14:textId="77777777" w:rsidR="00052DB7" w:rsidRDefault="00052DB7" w:rsidP="00052DB7">
      <w:r w:rsidRPr="001D4B59">
        <w:t xml:space="preserve">Geriatria to specjalistyczna dziedzina medycyny, która zajmuje się zdrowiem i chorobami oraz opieką i pomocą osobom w podeszłym wieku . Opieka geriatryczna sprawowana jest m.in. na oddziałach geriatrycznych, które realizują całościową, całodobową opiekę medyczną nad chorymi </w:t>
      </w:r>
      <w:r w:rsidRPr="001D4B59">
        <w:lastRenderedPageBreak/>
        <w:t>w wieku starszym. W przedmiotowych oddziałach hospitalizowani są pacjenci w ostrych stanach chorobowych, z chorobami przewlekłymi, bądź też w celach diagnostycznych. Głównym celem pobytu w oddziale jest: poprawa stanu zdrowia oraz stanu funkcjonalno-czynnościowego osoby objętej hospitalizacją. Leczenie geriatryczne pozwala przywrócić choremu, w miarę możliwości, dobrostan fizyczny, psychiczny i społeczny.</w:t>
      </w:r>
    </w:p>
    <w:p w14:paraId="1926C76A" w14:textId="77777777" w:rsidR="00052DB7" w:rsidRDefault="00052DB7" w:rsidP="00052DB7"/>
    <w:p w14:paraId="7FBCEE51" w14:textId="44A201D5" w:rsidR="00052DB7" w:rsidRDefault="00052DB7" w:rsidP="00052DB7">
      <w:pPr>
        <w:rPr>
          <w:b/>
          <w:bCs/>
        </w:rPr>
      </w:pPr>
      <w:r w:rsidRPr="00DD59BD">
        <w:rPr>
          <w:b/>
          <w:bCs/>
        </w:rPr>
        <w:t xml:space="preserve">Tabela </w:t>
      </w:r>
      <w:r w:rsidR="003908E2">
        <w:rPr>
          <w:b/>
          <w:bCs/>
        </w:rPr>
        <w:t>15</w:t>
      </w:r>
      <w:r w:rsidR="00EE73AF">
        <w:rPr>
          <w:b/>
          <w:bCs/>
        </w:rPr>
        <w:t>.</w:t>
      </w:r>
      <w:r w:rsidRPr="00DD59BD">
        <w:rPr>
          <w:b/>
          <w:bCs/>
        </w:rPr>
        <w:t xml:space="preserve"> </w:t>
      </w:r>
      <w:r w:rsidRPr="008F016E">
        <w:rPr>
          <w:b/>
          <w:bCs/>
        </w:rPr>
        <w:t>Liczba świadczeniodawców oraz liczba i wartość rozliczonych świadczeń</w:t>
      </w:r>
    </w:p>
    <w:tbl>
      <w:tblPr>
        <w:tblStyle w:val="Tabelasiatki4akcent2"/>
        <w:tblW w:w="0" w:type="auto"/>
        <w:tblLook w:val="04A0" w:firstRow="1" w:lastRow="0" w:firstColumn="1" w:lastColumn="0" w:noHBand="0" w:noVBand="1"/>
      </w:tblPr>
      <w:tblGrid>
        <w:gridCol w:w="2858"/>
        <w:gridCol w:w="1256"/>
        <w:gridCol w:w="3111"/>
        <w:gridCol w:w="2126"/>
      </w:tblGrid>
      <w:tr w:rsidR="00052DB7" w14:paraId="636E3C38" w14:textId="77777777" w:rsidTr="00AD7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tcPr>
          <w:p w14:paraId="0E0F9E34" w14:textId="77777777" w:rsidR="00052DB7" w:rsidRPr="003908E2" w:rsidRDefault="00052DB7" w:rsidP="00AD7202">
            <w:pPr>
              <w:rPr>
                <w:color w:val="auto"/>
                <w:sz w:val="20"/>
                <w:szCs w:val="20"/>
              </w:rPr>
            </w:pPr>
            <w:r w:rsidRPr="003908E2">
              <w:rPr>
                <w:color w:val="auto"/>
                <w:sz w:val="20"/>
                <w:szCs w:val="20"/>
              </w:rPr>
              <w:t>Rodzaj świadczenia</w:t>
            </w:r>
          </w:p>
        </w:tc>
        <w:tc>
          <w:tcPr>
            <w:tcW w:w="1256" w:type="dxa"/>
          </w:tcPr>
          <w:p w14:paraId="0834DF46" w14:textId="77777777" w:rsidR="00052DB7" w:rsidRPr="003908E2" w:rsidRDefault="00052DB7" w:rsidP="00AD7202">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3908E2">
              <w:rPr>
                <w:color w:val="auto"/>
                <w:sz w:val="20"/>
                <w:szCs w:val="20"/>
              </w:rPr>
              <w:t>Liczba świadczeń</w:t>
            </w:r>
          </w:p>
        </w:tc>
        <w:tc>
          <w:tcPr>
            <w:tcW w:w="3111" w:type="dxa"/>
          </w:tcPr>
          <w:p w14:paraId="6F66449D" w14:textId="77777777" w:rsidR="00052DB7" w:rsidRPr="003908E2" w:rsidRDefault="00052DB7" w:rsidP="00AD7202">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3908E2">
              <w:rPr>
                <w:color w:val="auto"/>
                <w:sz w:val="20"/>
                <w:szCs w:val="20"/>
              </w:rPr>
              <w:t>Wartość rozliczonych świadczeń</w:t>
            </w:r>
          </w:p>
        </w:tc>
        <w:tc>
          <w:tcPr>
            <w:tcW w:w="2126" w:type="dxa"/>
          </w:tcPr>
          <w:p w14:paraId="4163201D" w14:textId="77777777" w:rsidR="00052DB7" w:rsidRPr="003908E2" w:rsidRDefault="00052DB7" w:rsidP="00AD7202">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3908E2">
              <w:rPr>
                <w:color w:val="auto"/>
                <w:sz w:val="20"/>
                <w:szCs w:val="20"/>
              </w:rPr>
              <w:t>Liczba</w:t>
            </w:r>
          </w:p>
          <w:p w14:paraId="12D3D3BA" w14:textId="77777777" w:rsidR="00052DB7" w:rsidRPr="003908E2" w:rsidRDefault="00052DB7" w:rsidP="00AD7202">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3908E2">
              <w:rPr>
                <w:color w:val="auto"/>
                <w:sz w:val="20"/>
                <w:szCs w:val="20"/>
              </w:rPr>
              <w:t>świadczeniodawców</w:t>
            </w:r>
          </w:p>
        </w:tc>
      </w:tr>
      <w:tr w:rsidR="00052DB7" w14:paraId="10C61667"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8" w:type="dxa"/>
          </w:tcPr>
          <w:p w14:paraId="17090C49" w14:textId="77777777" w:rsidR="00052DB7" w:rsidRPr="003908E2" w:rsidRDefault="00052DB7" w:rsidP="00AD7202">
            <w:pPr>
              <w:rPr>
                <w:b w:val="0"/>
                <w:bCs w:val="0"/>
                <w:sz w:val="20"/>
                <w:szCs w:val="20"/>
              </w:rPr>
            </w:pPr>
            <w:r w:rsidRPr="003908E2">
              <w:rPr>
                <w:b w:val="0"/>
                <w:bCs w:val="0"/>
                <w:sz w:val="20"/>
                <w:szCs w:val="20"/>
              </w:rPr>
              <w:t>Świadczenia udzielone w zakresie geriatria-hospitalizacja (hospitalizacje)</w:t>
            </w:r>
          </w:p>
        </w:tc>
        <w:tc>
          <w:tcPr>
            <w:tcW w:w="1256" w:type="dxa"/>
          </w:tcPr>
          <w:p w14:paraId="5128FB20" w14:textId="77777777" w:rsidR="00052DB7" w:rsidRPr="003908E2" w:rsidRDefault="00052DB7" w:rsidP="00AD7202">
            <w:pPr>
              <w:cnfStyle w:val="000000100000" w:firstRow="0" w:lastRow="0" w:firstColumn="0" w:lastColumn="0" w:oddVBand="0" w:evenVBand="0" w:oddHBand="1" w:evenHBand="0" w:firstRowFirstColumn="0" w:firstRowLastColumn="0" w:lastRowFirstColumn="0" w:lastRowLastColumn="0"/>
              <w:rPr>
                <w:b/>
                <w:bCs/>
                <w:sz w:val="20"/>
                <w:szCs w:val="20"/>
              </w:rPr>
            </w:pPr>
            <w:r w:rsidRPr="003908E2">
              <w:rPr>
                <w:sz w:val="20"/>
                <w:szCs w:val="20"/>
              </w:rPr>
              <w:t>20 626</w:t>
            </w:r>
          </w:p>
        </w:tc>
        <w:tc>
          <w:tcPr>
            <w:tcW w:w="3111" w:type="dxa"/>
          </w:tcPr>
          <w:p w14:paraId="2C36D3B7" w14:textId="77777777" w:rsidR="00052DB7" w:rsidRPr="003908E2" w:rsidRDefault="00052DB7" w:rsidP="00AD7202">
            <w:pPr>
              <w:cnfStyle w:val="000000100000" w:firstRow="0" w:lastRow="0" w:firstColumn="0" w:lastColumn="0" w:oddVBand="0" w:evenVBand="0" w:oddHBand="1" w:evenHBand="0" w:firstRowFirstColumn="0" w:firstRowLastColumn="0" w:lastRowFirstColumn="0" w:lastRowLastColumn="0"/>
              <w:rPr>
                <w:b/>
                <w:bCs/>
                <w:sz w:val="20"/>
                <w:szCs w:val="20"/>
              </w:rPr>
            </w:pPr>
            <w:r w:rsidRPr="003908E2">
              <w:rPr>
                <w:sz w:val="20"/>
                <w:szCs w:val="20"/>
              </w:rPr>
              <w:t>84 724 304,45 zł</w:t>
            </w:r>
          </w:p>
        </w:tc>
        <w:tc>
          <w:tcPr>
            <w:tcW w:w="2126" w:type="dxa"/>
          </w:tcPr>
          <w:p w14:paraId="4E64EC32" w14:textId="77777777" w:rsidR="00052DB7" w:rsidRPr="003908E2" w:rsidRDefault="00052DB7" w:rsidP="00AD7202">
            <w:pPr>
              <w:cnfStyle w:val="000000100000" w:firstRow="0" w:lastRow="0" w:firstColumn="0" w:lastColumn="0" w:oddVBand="0" w:evenVBand="0" w:oddHBand="1" w:evenHBand="0" w:firstRowFirstColumn="0" w:firstRowLastColumn="0" w:lastRowFirstColumn="0" w:lastRowLastColumn="0"/>
              <w:rPr>
                <w:b/>
                <w:bCs/>
                <w:sz w:val="20"/>
                <w:szCs w:val="20"/>
              </w:rPr>
            </w:pPr>
            <w:r w:rsidRPr="003908E2">
              <w:rPr>
                <w:sz w:val="20"/>
                <w:szCs w:val="20"/>
              </w:rPr>
              <w:t>57</w:t>
            </w:r>
          </w:p>
        </w:tc>
      </w:tr>
      <w:tr w:rsidR="00052DB7" w14:paraId="41E392F0" w14:textId="77777777" w:rsidTr="00AD7202">
        <w:tc>
          <w:tcPr>
            <w:cnfStyle w:val="001000000000" w:firstRow="0" w:lastRow="0" w:firstColumn="1" w:lastColumn="0" w:oddVBand="0" w:evenVBand="0" w:oddHBand="0" w:evenHBand="0" w:firstRowFirstColumn="0" w:firstRowLastColumn="0" w:lastRowFirstColumn="0" w:lastRowLastColumn="0"/>
            <w:tcW w:w="2858" w:type="dxa"/>
          </w:tcPr>
          <w:p w14:paraId="1A5637E6" w14:textId="77777777" w:rsidR="00052DB7" w:rsidRPr="003908E2" w:rsidRDefault="00052DB7" w:rsidP="00AD7202">
            <w:pPr>
              <w:rPr>
                <w:b w:val="0"/>
                <w:bCs w:val="0"/>
                <w:sz w:val="20"/>
                <w:szCs w:val="20"/>
              </w:rPr>
            </w:pPr>
            <w:r w:rsidRPr="003908E2">
              <w:rPr>
                <w:sz w:val="20"/>
                <w:szCs w:val="20"/>
              </w:rPr>
              <w:t>Świadczenia udzielone w poradniach geriatrycznych</w:t>
            </w:r>
          </w:p>
        </w:tc>
        <w:tc>
          <w:tcPr>
            <w:tcW w:w="1256" w:type="dxa"/>
          </w:tcPr>
          <w:p w14:paraId="78AB3B28" w14:textId="77777777" w:rsidR="00052DB7" w:rsidRPr="003908E2" w:rsidRDefault="00052DB7" w:rsidP="00AD7202">
            <w:pPr>
              <w:cnfStyle w:val="000000000000" w:firstRow="0" w:lastRow="0" w:firstColumn="0" w:lastColumn="0" w:oddVBand="0" w:evenVBand="0" w:oddHBand="0" w:evenHBand="0" w:firstRowFirstColumn="0" w:firstRowLastColumn="0" w:lastRowFirstColumn="0" w:lastRowLastColumn="0"/>
              <w:rPr>
                <w:b/>
                <w:bCs/>
                <w:sz w:val="20"/>
                <w:szCs w:val="20"/>
              </w:rPr>
            </w:pPr>
            <w:r w:rsidRPr="003908E2">
              <w:rPr>
                <w:sz w:val="20"/>
                <w:szCs w:val="20"/>
              </w:rPr>
              <w:t>58 746</w:t>
            </w:r>
          </w:p>
        </w:tc>
        <w:tc>
          <w:tcPr>
            <w:tcW w:w="3111" w:type="dxa"/>
          </w:tcPr>
          <w:p w14:paraId="5C096E1B" w14:textId="77777777" w:rsidR="00052DB7" w:rsidRPr="003908E2" w:rsidRDefault="00052DB7" w:rsidP="00AD7202">
            <w:pPr>
              <w:cnfStyle w:val="000000000000" w:firstRow="0" w:lastRow="0" w:firstColumn="0" w:lastColumn="0" w:oddVBand="0" w:evenVBand="0" w:oddHBand="0" w:evenHBand="0" w:firstRowFirstColumn="0" w:firstRowLastColumn="0" w:lastRowFirstColumn="0" w:lastRowLastColumn="0"/>
              <w:rPr>
                <w:b/>
                <w:bCs/>
                <w:sz w:val="20"/>
                <w:szCs w:val="20"/>
              </w:rPr>
            </w:pPr>
            <w:r w:rsidRPr="003908E2">
              <w:rPr>
                <w:sz w:val="20"/>
                <w:szCs w:val="20"/>
              </w:rPr>
              <w:t>3 012 462 zł</w:t>
            </w:r>
          </w:p>
        </w:tc>
        <w:tc>
          <w:tcPr>
            <w:tcW w:w="2126" w:type="dxa"/>
          </w:tcPr>
          <w:p w14:paraId="70D1F652" w14:textId="77777777" w:rsidR="00052DB7" w:rsidRPr="003908E2" w:rsidRDefault="00052DB7" w:rsidP="00AD7202">
            <w:pPr>
              <w:cnfStyle w:val="000000000000" w:firstRow="0" w:lastRow="0" w:firstColumn="0" w:lastColumn="0" w:oddVBand="0" w:evenVBand="0" w:oddHBand="0" w:evenHBand="0" w:firstRowFirstColumn="0" w:firstRowLastColumn="0" w:lastRowFirstColumn="0" w:lastRowLastColumn="0"/>
              <w:rPr>
                <w:b/>
                <w:bCs/>
                <w:sz w:val="20"/>
                <w:szCs w:val="20"/>
              </w:rPr>
            </w:pPr>
            <w:r w:rsidRPr="003908E2">
              <w:rPr>
                <w:sz w:val="20"/>
                <w:szCs w:val="20"/>
              </w:rPr>
              <w:t>96</w:t>
            </w:r>
          </w:p>
        </w:tc>
      </w:tr>
    </w:tbl>
    <w:p w14:paraId="5288D16F" w14:textId="77777777" w:rsidR="00052DB7" w:rsidRDefault="00052DB7" w:rsidP="00052DB7">
      <w:pPr>
        <w:rPr>
          <w:b/>
          <w:bCs/>
        </w:rPr>
      </w:pPr>
      <w:r w:rsidRPr="003908E2">
        <w:rPr>
          <w:b/>
          <w:bCs/>
          <w:sz w:val="22"/>
        </w:rPr>
        <w:t>Źródło: Dane Narodowego Funduszu Zdrowia</w:t>
      </w:r>
      <w:r w:rsidRPr="00280529">
        <w:rPr>
          <w:b/>
          <w:bCs/>
        </w:rPr>
        <w:t>.</w:t>
      </w:r>
    </w:p>
    <w:p w14:paraId="65D77DC4" w14:textId="77777777" w:rsidR="00052DB7" w:rsidRDefault="00052DB7" w:rsidP="00052DB7"/>
    <w:p w14:paraId="1700BE5E" w14:textId="77777777" w:rsidR="00052DB7" w:rsidRDefault="00052DB7" w:rsidP="00052DB7">
      <w:r>
        <w:t>Zgodnie z danymi z Rejestru Podmiotów Wykonujących Działalność Leczniczą, według stanu</w:t>
      </w:r>
    </w:p>
    <w:p w14:paraId="1293E0C9" w14:textId="56463950" w:rsidR="00052DB7" w:rsidRDefault="00052DB7" w:rsidP="00052DB7">
      <w:r>
        <w:t>na 31</w:t>
      </w:r>
      <w:r w:rsidR="00406414">
        <w:t xml:space="preserve"> grudnia </w:t>
      </w:r>
      <w:r>
        <w:t>2020 r., w szpitalach funkcjonowało 58 oddziałów geriatrycznych, które dysponowały 1190 łóżkami.</w:t>
      </w:r>
    </w:p>
    <w:p w14:paraId="4E23412E" w14:textId="77777777" w:rsidR="00052DB7" w:rsidRDefault="00052DB7" w:rsidP="00052DB7"/>
    <w:p w14:paraId="39886A76" w14:textId="77777777" w:rsidR="00052DB7" w:rsidRPr="001D4B59" w:rsidRDefault="00052DB7" w:rsidP="00052DB7">
      <w:pPr>
        <w:rPr>
          <w:b/>
        </w:rPr>
      </w:pPr>
      <w:r w:rsidRPr="001D4B59">
        <w:rPr>
          <w:b/>
        </w:rPr>
        <w:t>Opieka długoterminowa</w:t>
      </w:r>
    </w:p>
    <w:p w14:paraId="41690829" w14:textId="77777777" w:rsidR="00052DB7" w:rsidRDefault="00052DB7" w:rsidP="00052DB7">
      <w:r>
        <w:t xml:space="preserve">Opieka długoterminowa Opiekę długoterminową definiuje się jako zakres usług udzielanych osobom z ograniczoną fizyczną, psychiczną lub poznawczą zdolnością funkcjonowania, na skutek czego osoby te przez dłuższy czas stają się zależne od pomocy w podstawowych aktywnościach życia codziennego. Opiekę tę można traktować jako całokształt działań medycznych i społecznych polegających na świadczeniu długotrwałej opieki pielęgniarskiej, rehabilitacji, świadczeń terapeutycznych i usług pielęgnacyjno- opiekuńczych oraz kontynuacji leczenia farmakologicznego i dietetycznego osobom przewlekle chorym i niesamodzielnym, które nie wymagają hospitalizacji w warunkach oddziału szpitalnego. Opieka ta może być udzielana przez opiekunów formalnych (personel medyczny i pracowników pomocy społecznej) lub opiekunów nieformalnych (rodzinę, bliskich, wolontariuszy). </w:t>
      </w:r>
    </w:p>
    <w:p w14:paraId="756AD7D2" w14:textId="77777777" w:rsidR="00052DB7" w:rsidRDefault="00052DB7" w:rsidP="00052DB7"/>
    <w:p w14:paraId="1EE685B5" w14:textId="77777777" w:rsidR="00052DB7" w:rsidRDefault="00052DB7" w:rsidP="00052DB7">
      <w:r>
        <w:t>W Polsce pod pojęciem opieki długoterminowej zwykło się rozumieć korzystanie z systemu opieki zdrowotnej (co odzwierciedla również formalne nazewnictwo systemu świadczeń gwarantowanych, gdyż jedynie świadczenia pielęgnacyjne i opiekuńcze w systemie ochrony zdrowia są udzielane jako świadczenia opieki długoterminowej, natomiast świadczenia opiekuńcze udzielane w ramach systemu pomocy społecznej przyjmują formalnie inną nazwę, stosownie do ich rodzaju i zakresu).</w:t>
      </w:r>
    </w:p>
    <w:p w14:paraId="0CA43252" w14:textId="77777777" w:rsidR="00052DB7" w:rsidRDefault="00052DB7" w:rsidP="00052DB7"/>
    <w:p w14:paraId="122B24CC" w14:textId="77777777" w:rsidR="00052DB7" w:rsidRDefault="00052DB7" w:rsidP="00052DB7">
      <w:r>
        <w:t xml:space="preserve">Opieka długoterminowa w ramach systemu ochrony zdrowia dedykowana jest osobom przewlekle chorym, których stan zdrowia nie wymaga leczenia w warunkach ostrego oddziału szpitalnego, natomiast powoduje występowanie poważnych deficytów w samoopiece i </w:t>
      </w:r>
      <w:proofErr w:type="spellStart"/>
      <w:r>
        <w:t>samopielęgnacji</w:t>
      </w:r>
      <w:proofErr w:type="spellEnd"/>
      <w:r>
        <w:t xml:space="preserve">, uniemożliwiając niezależne, samodzielne funkcjonowanie. </w:t>
      </w:r>
    </w:p>
    <w:p w14:paraId="1C2F51A5" w14:textId="143CFA18" w:rsidR="00052DB7" w:rsidRDefault="00052DB7" w:rsidP="00052DB7">
      <w:r>
        <w:t>Świadczenia pielęgnacyjne i opiekuńcze w ramach opieki długoterminowej są udzielane w</w:t>
      </w:r>
      <w:r w:rsidR="003908E2">
        <w:t> </w:t>
      </w:r>
      <w:r>
        <w:t>warunkach:</w:t>
      </w:r>
    </w:p>
    <w:p w14:paraId="5E5BEEDF" w14:textId="77777777" w:rsidR="00052DB7" w:rsidRDefault="00052DB7" w:rsidP="00FE70E3">
      <w:pPr>
        <w:pStyle w:val="Akapitzlist"/>
        <w:numPr>
          <w:ilvl w:val="0"/>
          <w:numId w:val="69"/>
        </w:numPr>
      </w:pPr>
      <w:r>
        <w:t>stacjonarnych - w zakładach opiekuńczo-leczniczych (ZOL) i zakładach pielęgnacyjno- opiekuńczych (ZPO);</w:t>
      </w:r>
    </w:p>
    <w:p w14:paraId="07E7C93E" w14:textId="77777777" w:rsidR="00052DB7" w:rsidRDefault="00052DB7" w:rsidP="00FE70E3">
      <w:pPr>
        <w:pStyle w:val="Akapitzlist"/>
        <w:numPr>
          <w:ilvl w:val="0"/>
          <w:numId w:val="69"/>
        </w:numPr>
      </w:pPr>
      <w:r>
        <w:lastRenderedPageBreak/>
        <w:t xml:space="preserve">domowych - przez pielęgniarki opieki długoterminowej i zespół długoterminowej opieki domowej. </w:t>
      </w:r>
    </w:p>
    <w:p w14:paraId="4C1E7A4A" w14:textId="77777777" w:rsidR="003908E2" w:rsidRDefault="003908E2" w:rsidP="00052DB7"/>
    <w:p w14:paraId="621FF609" w14:textId="5F118D79" w:rsidR="00052DB7" w:rsidRDefault="00052DB7" w:rsidP="00052DB7">
      <w:r>
        <w:t>Zgodnie z danymi z Rejestru Podmiotów Wykonujących Działalność Leczniczą, według stanu na</w:t>
      </w:r>
      <w:r w:rsidR="003908E2">
        <w:t> </w:t>
      </w:r>
      <w:r>
        <w:t>31</w:t>
      </w:r>
      <w:r w:rsidR="00406414">
        <w:t xml:space="preserve"> grudnia</w:t>
      </w:r>
      <w:r>
        <w:t>2020 r. funkcjonowało 758 zakładów opiekuńczo-leczniczych</w:t>
      </w:r>
    </w:p>
    <w:p w14:paraId="7F2E9F0B" w14:textId="77777777" w:rsidR="00052DB7" w:rsidRDefault="00052DB7" w:rsidP="00052DB7"/>
    <w:p w14:paraId="3A9858CA" w14:textId="41FE48CD" w:rsidR="00052DB7" w:rsidRDefault="00052DB7" w:rsidP="00052DB7">
      <w:r>
        <w:t>W 2020 r. świadczenia na rzecz pacjentów 60+ z zakresu świadczeń pielęgnacyjnych i</w:t>
      </w:r>
      <w:r w:rsidR="003908E2">
        <w:t> </w:t>
      </w:r>
      <w:r>
        <w:t>opiekuńczych realizowało 1 443 unikalnych świadczeniodawców. Ze świadczeń w ww. zakresie w ramach NFZ skorzystało 108 tys. pacjentów, z czego 91,5 tys. stanowili pacjenci w wieku 65</w:t>
      </w:r>
      <w:r w:rsidR="003908E2">
        <w:t> </w:t>
      </w:r>
      <w:r>
        <w:t>lat i więcej.</w:t>
      </w:r>
    </w:p>
    <w:p w14:paraId="01931787" w14:textId="77777777" w:rsidR="00052DB7" w:rsidRDefault="00052DB7" w:rsidP="00052DB7"/>
    <w:p w14:paraId="54178531" w14:textId="4F79035F" w:rsidR="00052DB7" w:rsidRDefault="00052DB7" w:rsidP="00052DB7">
      <w:r>
        <w:t>W 2020 r</w:t>
      </w:r>
      <w:r w:rsidR="00A16DFD">
        <w:t>.</w:t>
      </w:r>
      <w:r>
        <w:t xml:space="preserve"> przeprowadzono 1,91 mln wizyt pielęgniarki opieki długoterminowej domowej, z</w:t>
      </w:r>
      <w:r w:rsidR="003908E2">
        <w:t> </w:t>
      </w:r>
      <w:r>
        <w:t>czego 1,61 mln wizyt (84,2%) udzielono pacjentom w wieku 65+ (0,52 mln wizyt dotyczyło pacjentów w grupie wiekowej 65-79 lat, a 1,09 mln wizyt pacjentów w grupie wiekowej 80+).</w:t>
      </w:r>
      <w:r w:rsidR="003908E2">
        <w:t xml:space="preserve"> </w:t>
      </w:r>
      <w:r>
        <w:t>Wartość sfinansowanych świadczeń pielęgniarskiej opieki długoterminowej domowej udzielonych osobom powyżej 60 r.ż</w:t>
      </w:r>
      <w:r w:rsidR="00A16DFD">
        <w:t>.</w:t>
      </w:r>
      <w:r>
        <w:t xml:space="preserve"> sukcesywnie wzrasta, co obrazuje poniższa tabela.</w:t>
      </w:r>
    </w:p>
    <w:p w14:paraId="255D8407" w14:textId="77777777" w:rsidR="00052DB7" w:rsidRDefault="00052DB7" w:rsidP="00052DB7"/>
    <w:p w14:paraId="0F9EB5E5" w14:textId="77777777" w:rsidR="00052DB7" w:rsidRPr="001D4B59" w:rsidRDefault="00052DB7" w:rsidP="00052DB7">
      <w:pPr>
        <w:rPr>
          <w:b/>
        </w:rPr>
      </w:pPr>
      <w:r w:rsidRPr="001D4B59">
        <w:rPr>
          <w:b/>
        </w:rPr>
        <w:t>Opieka paliatywna i hospicyjna</w:t>
      </w:r>
    </w:p>
    <w:p w14:paraId="56B4D241" w14:textId="77777777" w:rsidR="00052DB7" w:rsidRDefault="00052DB7" w:rsidP="00052DB7">
      <w:r>
        <w:t>Opieka paliatywna i hospicyjna to wszechstronna, całościowa opieka i leczenie objawowe pacjentów chorujących na nieuleczalne, niepoddające się leczeniu przyczynowemu, postępujące, ograniczające życie choroby. Opieka ta jest ukierunkowana na poprawę jakości życia, ma na celu zapobieganie bólowi i innym objawom somatycznym oraz ich uśmierzanie, łagodzenie cierpień psychicznych, duchowych i socjalnych. Świadczenia gwarantowane przysługują świadczeniobiorcom chorującym na nieuleczalne, postępujące, ograniczające życie choroby nowotworowe i nienowotworowe.</w:t>
      </w:r>
    </w:p>
    <w:p w14:paraId="2F31331B" w14:textId="4230DF9C" w:rsidR="003908E2" w:rsidRDefault="00052DB7" w:rsidP="00052DB7">
      <w:r>
        <w:t xml:space="preserve"> </w:t>
      </w:r>
    </w:p>
    <w:p w14:paraId="0F7D7CC5" w14:textId="77777777" w:rsidR="00052DB7" w:rsidRDefault="00052DB7" w:rsidP="00052DB7">
      <w:r>
        <w:t>Świadczenia gwarantowane w ramach opieki paliatywnej i hospicyjnej osobom starszym są udzielane w warunkach:</w:t>
      </w:r>
    </w:p>
    <w:p w14:paraId="5C285214" w14:textId="77777777" w:rsidR="00052DB7" w:rsidRDefault="00052DB7" w:rsidP="00FE70E3">
      <w:pPr>
        <w:pStyle w:val="Akapitzlist"/>
        <w:numPr>
          <w:ilvl w:val="0"/>
          <w:numId w:val="70"/>
        </w:numPr>
      </w:pPr>
      <w:r>
        <w:t>stacjonarnych - w hospicjach domowym i oddziałach medycyny paliatywnej;</w:t>
      </w:r>
    </w:p>
    <w:p w14:paraId="11E1B22B" w14:textId="77777777" w:rsidR="00052DB7" w:rsidRDefault="00052DB7" w:rsidP="00FE70E3">
      <w:pPr>
        <w:pStyle w:val="Akapitzlist"/>
        <w:numPr>
          <w:ilvl w:val="0"/>
          <w:numId w:val="70"/>
        </w:numPr>
      </w:pPr>
      <w:r>
        <w:t>ambulatoryjnych - w poradni medycyny paliatywnej;</w:t>
      </w:r>
    </w:p>
    <w:p w14:paraId="1A7CDA7D" w14:textId="77777777" w:rsidR="00052DB7" w:rsidRDefault="00052DB7" w:rsidP="00FE70E3">
      <w:pPr>
        <w:pStyle w:val="Akapitzlist"/>
        <w:numPr>
          <w:ilvl w:val="0"/>
          <w:numId w:val="70"/>
        </w:numPr>
      </w:pPr>
      <w:r>
        <w:t>domowych - w ramach hospicjum domowego przez zespół medycyny paliatywnej.</w:t>
      </w:r>
    </w:p>
    <w:p w14:paraId="4296A92A" w14:textId="255EF31A" w:rsidR="00052DB7" w:rsidRDefault="00052DB7" w:rsidP="00052DB7"/>
    <w:p w14:paraId="28E48DC5" w14:textId="61D58233" w:rsidR="00052DB7" w:rsidRDefault="00052DB7" w:rsidP="00052DB7">
      <w:pPr>
        <w:rPr>
          <w:b/>
          <w:bCs/>
        </w:rPr>
      </w:pPr>
      <w:r w:rsidRPr="00DD59BD">
        <w:rPr>
          <w:b/>
          <w:bCs/>
        </w:rPr>
        <w:t xml:space="preserve">Tabela </w:t>
      </w:r>
      <w:r w:rsidR="003908E2">
        <w:rPr>
          <w:b/>
          <w:bCs/>
        </w:rPr>
        <w:t>16</w:t>
      </w:r>
      <w:r w:rsidR="00EE73AF">
        <w:rPr>
          <w:b/>
          <w:bCs/>
        </w:rPr>
        <w:t>.</w:t>
      </w:r>
      <w:r w:rsidRPr="00DD59BD">
        <w:rPr>
          <w:b/>
          <w:bCs/>
        </w:rPr>
        <w:t xml:space="preserve"> </w:t>
      </w:r>
      <w:r w:rsidRPr="008F016E">
        <w:rPr>
          <w:b/>
          <w:bCs/>
        </w:rPr>
        <w:t>Struktura demograficzna pacjentów w opiece paliatywno-hospicyjnej w 2020 r</w:t>
      </w:r>
      <w:r w:rsidR="003908E2">
        <w:rPr>
          <w:b/>
          <w:bCs/>
        </w:rPr>
        <w:t>.</w:t>
      </w:r>
    </w:p>
    <w:tbl>
      <w:tblPr>
        <w:tblStyle w:val="Tabelasiatki5ciemnaakcent2"/>
        <w:tblW w:w="0" w:type="auto"/>
        <w:tblLook w:val="04A0" w:firstRow="1" w:lastRow="0" w:firstColumn="1" w:lastColumn="0" w:noHBand="0" w:noVBand="1"/>
      </w:tblPr>
      <w:tblGrid>
        <w:gridCol w:w="1871"/>
        <w:gridCol w:w="1871"/>
        <w:gridCol w:w="1871"/>
        <w:gridCol w:w="1871"/>
        <w:gridCol w:w="1872"/>
      </w:tblGrid>
      <w:tr w:rsidR="00052DB7" w:rsidRPr="00E57580" w14:paraId="144E9C42" w14:textId="77777777" w:rsidTr="00F042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dxa"/>
            <w:vAlign w:val="center"/>
          </w:tcPr>
          <w:p w14:paraId="631F8C6A" w14:textId="77777777" w:rsidR="00052DB7" w:rsidRPr="00E57580" w:rsidRDefault="00052DB7" w:rsidP="00F04221">
            <w:pPr>
              <w:jc w:val="center"/>
              <w:rPr>
                <w:b w:val="0"/>
                <w:bCs w:val="0"/>
                <w:color w:val="auto"/>
                <w:sz w:val="20"/>
                <w:szCs w:val="20"/>
              </w:rPr>
            </w:pPr>
            <w:r w:rsidRPr="00E57580">
              <w:rPr>
                <w:color w:val="auto"/>
                <w:sz w:val="20"/>
                <w:szCs w:val="20"/>
              </w:rPr>
              <w:t>Przedziały wiekowe</w:t>
            </w:r>
          </w:p>
        </w:tc>
        <w:tc>
          <w:tcPr>
            <w:tcW w:w="1871" w:type="dxa"/>
            <w:vAlign w:val="center"/>
          </w:tcPr>
          <w:p w14:paraId="4C5AB425" w14:textId="77777777" w:rsidR="00052DB7" w:rsidRPr="00E57580" w:rsidRDefault="00052DB7" w:rsidP="00F04221">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57580">
              <w:rPr>
                <w:color w:val="auto"/>
                <w:sz w:val="20"/>
                <w:szCs w:val="20"/>
              </w:rPr>
              <w:t>Liczba pacjentów w OPH [tys.]</w:t>
            </w:r>
          </w:p>
        </w:tc>
        <w:tc>
          <w:tcPr>
            <w:tcW w:w="1871" w:type="dxa"/>
            <w:vAlign w:val="center"/>
          </w:tcPr>
          <w:p w14:paraId="4EBDD006" w14:textId="77777777" w:rsidR="00052DB7" w:rsidRPr="00E57580" w:rsidRDefault="00052DB7" w:rsidP="00F04221">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57580">
              <w:rPr>
                <w:color w:val="auto"/>
                <w:sz w:val="20"/>
                <w:szCs w:val="20"/>
              </w:rPr>
              <w:t>Liczba pacjentów w opiece stacjonarnej [tys.]</w:t>
            </w:r>
          </w:p>
        </w:tc>
        <w:tc>
          <w:tcPr>
            <w:tcW w:w="1871" w:type="dxa"/>
            <w:vAlign w:val="center"/>
          </w:tcPr>
          <w:p w14:paraId="62E25530" w14:textId="77777777" w:rsidR="00052DB7" w:rsidRPr="00E57580" w:rsidRDefault="00052DB7" w:rsidP="00F04221">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57580">
              <w:rPr>
                <w:color w:val="auto"/>
                <w:sz w:val="20"/>
                <w:szCs w:val="20"/>
              </w:rPr>
              <w:t>Liczba pacjentów w opiece ambulatoryjnej [tys.]</w:t>
            </w:r>
          </w:p>
        </w:tc>
        <w:tc>
          <w:tcPr>
            <w:tcW w:w="1872" w:type="dxa"/>
            <w:vAlign w:val="center"/>
          </w:tcPr>
          <w:p w14:paraId="1FEAF891" w14:textId="77777777" w:rsidR="00052DB7" w:rsidRPr="00E57580" w:rsidRDefault="00052DB7" w:rsidP="00F04221">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57580">
              <w:rPr>
                <w:color w:val="auto"/>
                <w:sz w:val="20"/>
                <w:szCs w:val="20"/>
              </w:rPr>
              <w:t>Liczba pacjentów w opiece domowej [tys.]</w:t>
            </w:r>
          </w:p>
        </w:tc>
      </w:tr>
      <w:tr w:rsidR="00052DB7" w:rsidRPr="00E57580" w14:paraId="0FAA3FB2" w14:textId="77777777" w:rsidTr="00F04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dxa"/>
            <w:vAlign w:val="center"/>
          </w:tcPr>
          <w:p w14:paraId="26CD51B1" w14:textId="77777777" w:rsidR="00052DB7" w:rsidRPr="00E57580" w:rsidRDefault="00052DB7" w:rsidP="00F04221">
            <w:pPr>
              <w:jc w:val="center"/>
              <w:rPr>
                <w:b w:val="0"/>
                <w:bCs w:val="0"/>
                <w:color w:val="auto"/>
                <w:sz w:val="20"/>
                <w:szCs w:val="20"/>
              </w:rPr>
            </w:pPr>
            <w:r w:rsidRPr="00E57580">
              <w:rPr>
                <w:color w:val="auto"/>
                <w:sz w:val="20"/>
                <w:szCs w:val="20"/>
              </w:rPr>
              <w:t>&lt;18</w:t>
            </w:r>
          </w:p>
        </w:tc>
        <w:tc>
          <w:tcPr>
            <w:tcW w:w="1871" w:type="dxa"/>
            <w:vAlign w:val="center"/>
          </w:tcPr>
          <w:p w14:paraId="2DC3B23E" w14:textId="77777777" w:rsidR="00052DB7" w:rsidRPr="00E57580" w:rsidRDefault="00052DB7" w:rsidP="00F0422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57580">
              <w:rPr>
                <w:b/>
                <w:bCs/>
                <w:sz w:val="20"/>
                <w:szCs w:val="20"/>
              </w:rPr>
              <w:t>1,9</w:t>
            </w:r>
          </w:p>
        </w:tc>
        <w:tc>
          <w:tcPr>
            <w:tcW w:w="1871" w:type="dxa"/>
            <w:vAlign w:val="center"/>
          </w:tcPr>
          <w:p w14:paraId="4799BE2E" w14:textId="77777777" w:rsidR="00052DB7" w:rsidRPr="00E57580" w:rsidRDefault="00052DB7" w:rsidP="00F0422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57580">
              <w:rPr>
                <w:b/>
                <w:bCs/>
                <w:sz w:val="20"/>
                <w:szCs w:val="20"/>
              </w:rPr>
              <w:t>0,1</w:t>
            </w:r>
          </w:p>
        </w:tc>
        <w:tc>
          <w:tcPr>
            <w:tcW w:w="1871" w:type="dxa"/>
            <w:vAlign w:val="center"/>
          </w:tcPr>
          <w:p w14:paraId="7021B364" w14:textId="77777777" w:rsidR="00052DB7" w:rsidRPr="00E57580" w:rsidRDefault="00052DB7" w:rsidP="00F0422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57580">
              <w:rPr>
                <w:b/>
                <w:bCs/>
                <w:sz w:val="20"/>
                <w:szCs w:val="20"/>
              </w:rPr>
              <w:t>0,0</w:t>
            </w:r>
          </w:p>
        </w:tc>
        <w:tc>
          <w:tcPr>
            <w:tcW w:w="1872" w:type="dxa"/>
            <w:vAlign w:val="center"/>
          </w:tcPr>
          <w:p w14:paraId="57EBE482" w14:textId="77777777" w:rsidR="00052DB7" w:rsidRPr="00E57580" w:rsidRDefault="00052DB7" w:rsidP="00F0422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57580">
              <w:rPr>
                <w:b/>
                <w:bCs/>
                <w:sz w:val="20"/>
                <w:szCs w:val="20"/>
              </w:rPr>
              <w:t>1,9</w:t>
            </w:r>
          </w:p>
        </w:tc>
      </w:tr>
      <w:tr w:rsidR="00052DB7" w:rsidRPr="00E57580" w14:paraId="091E898E" w14:textId="77777777" w:rsidTr="00F04221">
        <w:tc>
          <w:tcPr>
            <w:cnfStyle w:val="001000000000" w:firstRow="0" w:lastRow="0" w:firstColumn="1" w:lastColumn="0" w:oddVBand="0" w:evenVBand="0" w:oddHBand="0" w:evenHBand="0" w:firstRowFirstColumn="0" w:firstRowLastColumn="0" w:lastRowFirstColumn="0" w:lastRowLastColumn="0"/>
            <w:tcW w:w="1871" w:type="dxa"/>
            <w:vAlign w:val="center"/>
          </w:tcPr>
          <w:p w14:paraId="115A5BCB" w14:textId="77777777" w:rsidR="00052DB7" w:rsidRPr="00E57580" w:rsidRDefault="00052DB7" w:rsidP="00F04221">
            <w:pPr>
              <w:jc w:val="center"/>
              <w:rPr>
                <w:b w:val="0"/>
                <w:bCs w:val="0"/>
                <w:color w:val="auto"/>
                <w:sz w:val="20"/>
                <w:szCs w:val="20"/>
              </w:rPr>
            </w:pPr>
            <w:r w:rsidRPr="00E57580">
              <w:rPr>
                <w:color w:val="auto"/>
                <w:sz w:val="20"/>
                <w:szCs w:val="20"/>
              </w:rPr>
              <w:t>18-39</w:t>
            </w:r>
          </w:p>
        </w:tc>
        <w:tc>
          <w:tcPr>
            <w:tcW w:w="1871" w:type="dxa"/>
            <w:vAlign w:val="center"/>
          </w:tcPr>
          <w:p w14:paraId="52804333" w14:textId="77777777" w:rsidR="00052DB7" w:rsidRPr="00E57580" w:rsidRDefault="00052DB7" w:rsidP="00F04221">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E57580">
              <w:rPr>
                <w:b/>
                <w:bCs/>
                <w:sz w:val="20"/>
                <w:szCs w:val="20"/>
              </w:rPr>
              <w:t>1,7</w:t>
            </w:r>
          </w:p>
        </w:tc>
        <w:tc>
          <w:tcPr>
            <w:tcW w:w="1871" w:type="dxa"/>
            <w:vAlign w:val="center"/>
          </w:tcPr>
          <w:p w14:paraId="1D9EEE2C" w14:textId="77777777" w:rsidR="00052DB7" w:rsidRPr="00E57580" w:rsidRDefault="00052DB7" w:rsidP="00F04221">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E57580">
              <w:rPr>
                <w:b/>
                <w:bCs/>
                <w:sz w:val="20"/>
                <w:szCs w:val="20"/>
              </w:rPr>
              <w:t>0,3</w:t>
            </w:r>
          </w:p>
        </w:tc>
        <w:tc>
          <w:tcPr>
            <w:tcW w:w="1871" w:type="dxa"/>
            <w:vAlign w:val="center"/>
          </w:tcPr>
          <w:p w14:paraId="7523BE03" w14:textId="77777777" w:rsidR="00052DB7" w:rsidRPr="00E57580" w:rsidRDefault="00052DB7" w:rsidP="00F04221">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E57580">
              <w:rPr>
                <w:b/>
                <w:bCs/>
                <w:sz w:val="20"/>
                <w:szCs w:val="20"/>
              </w:rPr>
              <w:t>0,2</w:t>
            </w:r>
          </w:p>
        </w:tc>
        <w:tc>
          <w:tcPr>
            <w:tcW w:w="1872" w:type="dxa"/>
            <w:vAlign w:val="center"/>
          </w:tcPr>
          <w:p w14:paraId="773D637C" w14:textId="77777777" w:rsidR="00052DB7" w:rsidRPr="00E57580" w:rsidRDefault="00052DB7" w:rsidP="00F04221">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E57580">
              <w:rPr>
                <w:b/>
                <w:bCs/>
                <w:sz w:val="20"/>
                <w:szCs w:val="20"/>
              </w:rPr>
              <w:t>1,4</w:t>
            </w:r>
          </w:p>
        </w:tc>
      </w:tr>
      <w:tr w:rsidR="00052DB7" w:rsidRPr="00E57580" w14:paraId="2D5FE203" w14:textId="77777777" w:rsidTr="00F04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dxa"/>
            <w:vAlign w:val="center"/>
          </w:tcPr>
          <w:p w14:paraId="738FC9A6" w14:textId="77777777" w:rsidR="00052DB7" w:rsidRPr="00E57580" w:rsidRDefault="00052DB7" w:rsidP="00F04221">
            <w:pPr>
              <w:jc w:val="center"/>
              <w:rPr>
                <w:b w:val="0"/>
                <w:bCs w:val="0"/>
                <w:color w:val="auto"/>
                <w:sz w:val="20"/>
                <w:szCs w:val="20"/>
              </w:rPr>
            </w:pPr>
            <w:r w:rsidRPr="00E57580">
              <w:rPr>
                <w:color w:val="auto"/>
                <w:sz w:val="20"/>
                <w:szCs w:val="20"/>
              </w:rPr>
              <w:t>40-64</w:t>
            </w:r>
          </w:p>
        </w:tc>
        <w:tc>
          <w:tcPr>
            <w:tcW w:w="1871" w:type="dxa"/>
            <w:vAlign w:val="center"/>
          </w:tcPr>
          <w:p w14:paraId="6E37E6EE" w14:textId="77777777" w:rsidR="00052DB7" w:rsidRPr="00E57580" w:rsidRDefault="00052DB7" w:rsidP="00F0422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57580">
              <w:rPr>
                <w:b/>
                <w:bCs/>
                <w:sz w:val="20"/>
                <w:szCs w:val="20"/>
              </w:rPr>
              <w:t>20,4</w:t>
            </w:r>
          </w:p>
        </w:tc>
        <w:tc>
          <w:tcPr>
            <w:tcW w:w="1871" w:type="dxa"/>
            <w:vAlign w:val="center"/>
          </w:tcPr>
          <w:p w14:paraId="71A31B97" w14:textId="77777777" w:rsidR="00052DB7" w:rsidRPr="00E57580" w:rsidRDefault="00052DB7" w:rsidP="00F0422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57580">
              <w:rPr>
                <w:b/>
                <w:bCs/>
                <w:sz w:val="20"/>
                <w:szCs w:val="20"/>
              </w:rPr>
              <w:t>6,8</w:t>
            </w:r>
          </w:p>
        </w:tc>
        <w:tc>
          <w:tcPr>
            <w:tcW w:w="1871" w:type="dxa"/>
            <w:vAlign w:val="center"/>
          </w:tcPr>
          <w:p w14:paraId="196655B0" w14:textId="77777777" w:rsidR="00052DB7" w:rsidRPr="00E57580" w:rsidRDefault="00052DB7" w:rsidP="00F0422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57580">
              <w:rPr>
                <w:b/>
                <w:bCs/>
                <w:sz w:val="20"/>
                <w:szCs w:val="20"/>
              </w:rPr>
              <w:t>3,6</w:t>
            </w:r>
          </w:p>
        </w:tc>
        <w:tc>
          <w:tcPr>
            <w:tcW w:w="1872" w:type="dxa"/>
            <w:vAlign w:val="center"/>
          </w:tcPr>
          <w:p w14:paraId="05F1EEB9" w14:textId="77777777" w:rsidR="00052DB7" w:rsidRPr="00E57580" w:rsidRDefault="00052DB7" w:rsidP="00F0422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57580">
              <w:rPr>
                <w:b/>
                <w:bCs/>
                <w:sz w:val="20"/>
                <w:szCs w:val="20"/>
              </w:rPr>
              <w:t>13,3</w:t>
            </w:r>
          </w:p>
        </w:tc>
      </w:tr>
      <w:tr w:rsidR="00052DB7" w:rsidRPr="00E57580" w14:paraId="55D503D6" w14:textId="77777777" w:rsidTr="00F04221">
        <w:tc>
          <w:tcPr>
            <w:cnfStyle w:val="001000000000" w:firstRow="0" w:lastRow="0" w:firstColumn="1" w:lastColumn="0" w:oddVBand="0" w:evenVBand="0" w:oddHBand="0" w:evenHBand="0" w:firstRowFirstColumn="0" w:firstRowLastColumn="0" w:lastRowFirstColumn="0" w:lastRowLastColumn="0"/>
            <w:tcW w:w="1871" w:type="dxa"/>
            <w:vAlign w:val="center"/>
          </w:tcPr>
          <w:p w14:paraId="526E4669" w14:textId="77777777" w:rsidR="00052DB7" w:rsidRPr="00E57580" w:rsidRDefault="00052DB7" w:rsidP="00F04221">
            <w:pPr>
              <w:jc w:val="center"/>
              <w:rPr>
                <w:b w:val="0"/>
                <w:bCs w:val="0"/>
                <w:color w:val="auto"/>
                <w:sz w:val="20"/>
                <w:szCs w:val="20"/>
              </w:rPr>
            </w:pPr>
            <w:r w:rsidRPr="00E57580">
              <w:rPr>
                <w:color w:val="auto"/>
                <w:sz w:val="20"/>
                <w:szCs w:val="20"/>
              </w:rPr>
              <w:t>65-79</w:t>
            </w:r>
          </w:p>
        </w:tc>
        <w:tc>
          <w:tcPr>
            <w:tcW w:w="1871" w:type="dxa"/>
            <w:vAlign w:val="center"/>
          </w:tcPr>
          <w:p w14:paraId="6B900242" w14:textId="77777777" w:rsidR="00052DB7" w:rsidRPr="00E57580" w:rsidRDefault="00052DB7" w:rsidP="00F04221">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E57580">
              <w:rPr>
                <w:b/>
                <w:bCs/>
                <w:sz w:val="20"/>
                <w:szCs w:val="20"/>
              </w:rPr>
              <w:t>41,3</w:t>
            </w:r>
          </w:p>
        </w:tc>
        <w:tc>
          <w:tcPr>
            <w:tcW w:w="1871" w:type="dxa"/>
            <w:vAlign w:val="center"/>
          </w:tcPr>
          <w:p w14:paraId="0EB38F32" w14:textId="77777777" w:rsidR="00052DB7" w:rsidRPr="00E57580" w:rsidRDefault="00052DB7" w:rsidP="00F04221">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E57580">
              <w:rPr>
                <w:b/>
                <w:bCs/>
                <w:sz w:val="20"/>
                <w:szCs w:val="20"/>
              </w:rPr>
              <w:t>13,6</w:t>
            </w:r>
          </w:p>
        </w:tc>
        <w:tc>
          <w:tcPr>
            <w:tcW w:w="1871" w:type="dxa"/>
            <w:vAlign w:val="center"/>
          </w:tcPr>
          <w:p w14:paraId="19893653" w14:textId="77777777" w:rsidR="00052DB7" w:rsidRPr="00E57580" w:rsidRDefault="00052DB7" w:rsidP="00F04221">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E57580">
              <w:rPr>
                <w:b/>
                <w:bCs/>
                <w:sz w:val="20"/>
                <w:szCs w:val="20"/>
              </w:rPr>
              <w:t>5,9</w:t>
            </w:r>
          </w:p>
        </w:tc>
        <w:tc>
          <w:tcPr>
            <w:tcW w:w="1872" w:type="dxa"/>
            <w:vAlign w:val="center"/>
          </w:tcPr>
          <w:p w14:paraId="3FF5DABB" w14:textId="77777777" w:rsidR="00052DB7" w:rsidRPr="00E57580" w:rsidRDefault="00052DB7" w:rsidP="00F04221">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E57580">
              <w:rPr>
                <w:b/>
                <w:bCs/>
                <w:sz w:val="20"/>
                <w:szCs w:val="20"/>
              </w:rPr>
              <w:t>28,3</w:t>
            </w:r>
          </w:p>
        </w:tc>
      </w:tr>
      <w:tr w:rsidR="00052DB7" w:rsidRPr="00E57580" w14:paraId="42DD1EDB" w14:textId="77777777" w:rsidTr="00F04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dxa"/>
            <w:vAlign w:val="center"/>
          </w:tcPr>
          <w:p w14:paraId="680102A7" w14:textId="77777777" w:rsidR="00052DB7" w:rsidRPr="00E57580" w:rsidRDefault="00052DB7" w:rsidP="00F04221">
            <w:pPr>
              <w:jc w:val="center"/>
              <w:rPr>
                <w:b w:val="0"/>
                <w:bCs w:val="0"/>
                <w:color w:val="auto"/>
                <w:sz w:val="20"/>
                <w:szCs w:val="20"/>
              </w:rPr>
            </w:pPr>
            <w:r w:rsidRPr="00E57580">
              <w:rPr>
                <w:color w:val="auto"/>
                <w:sz w:val="20"/>
                <w:szCs w:val="20"/>
              </w:rPr>
              <w:t>80+</w:t>
            </w:r>
          </w:p>
        </w:tc>
        <w:tc>
          <w:tcPr>
            <w:tcW w:w="1871" w:type="dxa"/>
            <w:vAlign w:val="center"/>
          </w:tcPr>
          <w:p w14:paraId="09CFBFAD" w14:textId="77777777" w:rsidR="00052DB7" w:rsidRPr="00E57580" w:rsidRDefault="00052DB7" w:rsidP="00F0422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57580">
              <w:rPr>
                <w:b/>
                <w:bCs/>
                <w:sz w:val="20"/>
                <w:szCs w:val="20"/>
              </w:rPr>
              <w:t>25,4</w:t>
            </w:r>
          </w:p>
        </w:tc>
        <w:tc>
          <w:tcPr>
            <w:tcW w:w="1871" w:type="dxa"/>
            <w:vAlign w:val="center"/>
          </w:tcPr>
          <w:p w14:paraId="01F8FEC2" w14:textId="77777777" w:rsidR="00052DB7" w:rsidRPr="00E57580" w:rsidRDefault="00052DB7" w:rsidP="00F0422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57580">
              <w:rPr>
                <w:b/>
                <w:bCs/>
                <w:sz w:val="20"/>
                <w:szCs w:val="20"/>
              </w:rPr>
              <w:t>9,5</w:t>
            </w:r>
          </w:p>
        </w:tc>
        <w:tc>
          <w:tcPr>
            <w:tcW w:w="1871" w:type="dxa"/>
            <w:vAlign w:val="center"/>
          </w:tcPr>
          <w:p w14:paraId="485200B6" w14:textId="77777777" w:rsidR="00052DB7" w:rsidRPr="00E57580" w:rsidRDefault="00052DB7" w:rsidP="00F0422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57580">
              <w:rPr>
                <w:b/>
                <w:bCs/>
                <w:sz w:val="20"/>
                <w:szCs w:val="20"/>
              </w:rPr>
              <w:t>2,3</w:t>
            </w:r>
          </w:p>
        </w:tc>
        <w:tc>
          <w:tcPr>
            <w:tcW w:w="1872" w:type="dxa"/>
            <w:vAlign w:val="center"/>
          </w:tcPr>
          <w:p w14:paraId="0CF234B8" w14:textId="77777777" w:rsidR="00052DB7" w:rsidRPr="00E57580" w:rsidRDefault="00052DB7" w:rsidP="00F04221">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E57580">
              <w:rPr>
                <w:b/>
                <w:bCs/>
                <w:sz w:val="20"/>
                <w:szCs w:val="20"/>
              </w:rPr>
              <w:t>16,7</w:t>
            </w:r>
          </w:p>
        </w:tc>
      </w:tr>
    </w:tbl>
    <w:p w14:paraId="37F59140" w14:textId="77777777" w:rsidR="00052DB7" w:rsidRPr="003908E2" w:rsidRDefault="00052DB7" w:rsidP="00052DB7">
      <w:pPr>
        <w:rPr>
          <w:b/>
          <w:bCs/>
          <w:sz w:val="22"/>
        </w:rPr>
      </w:pPr>
      <w:r w:rsidRPr="003908E2">
        <w:rPr>
          <w:b/>
          <w:bCs/>
          <w:sz w:val="22"/>
        </w:rPr>
        <w:t xml:space="preserve">Źródło: Dane Ministerstwa Zdrowia - opracowanie </w:t>
      </w:r>
      <w:proofErr w:type="spellStart"/>
      <w:r w:rsidRPr="003908E2">
        <w:rPr>
          <w:b/>
          <w:bCs/>
          <w:sz w:val="22"/>
        </w:rPr>
        <w:t>DAiS</w:t>
      </w:r>
      <w:proofErr w:type="spellEnd"/>
      <w:r w:rsidRPr="003908E2">
        <w:rPr>
          <w:b/>
          <w:bCs/>
          <w:sz w:val="22"/>
        </w:rPr>
        <w:t xml:space="preserve"> na podstawie danych z NFZ.</w:t>
      </w:r>
    </w:p>
    <w:p w14:paraId="62D207FC" w14:textId="34F70FDB" w:rsidR="00052DB7" w:rsidRDefault="00052DB7" w:rsidP="00052DB7"/>
    <w:p w14:paraId="0A485C3F" w14:textId="77777777" w:rsidR="008470A9" w:rsidRDefault="008470A9" w:rsidP="008470A9">
      <w:r>
        <w:t>Zgodnie z danymi z Rejestru Podmiotów Wykonujących Działalność Leczniczą, według stanu na 31 grudnia 2020 r. funkcjonowały:</w:t>
      </w:r>
    </w:p>
    <w:p w14:paraId="7368660A" w14:textId="77777777" w:rsidR="008470A9" w:rsidRDefault="008470A9" w:rsidP="008470A9">
      <w:pPr>
        <w:pStyle w:val="Akapitzlist"/>
        <w:numPr>
          <w:ilvl w:val="0"/>
          <w:numId w:val="220"/>
        </w:numPr>
      </w:pPr>
      <w:r>
        <w:t>124 hospicja stacjonarne  z liczbą łóżek wynoszącą 2 592;</w:t>
      </w:r>
    </w:p>
    <w:p w14:paraId="5F3B39B9" w14:textId="77777777" w:rsidR="008470A9" w:rsidRDefault="008470A9" w:rsidP="008470A9">
      <w:pPr>
        <w:pStyle w:val="Akapitzlist"/>
        <w:numPr>
          <w:ilvl w:val="0"/>
          <w:numId w:val="220"/>
        </w:numPr>
      </w:pPr>
      <w:r>
        <w:lastRenderedPageBreak/>
        <w:t>12 dzienne ośrodki opieki paliatywnej lub hospicyjnej  z liczbą miejsc dziennych równą 96;</w:t>
      </w:r>
    </w:p>
    <w:p w14:paraId="052804ED" w14:textId="7FFE70D3" w:rsidR="008470A9" w:rsidRDefault="008470A9" w:rsidP="008470A9">
      <w:pPr>
        <w:pStyle w:val="Akapitzlist"/>
        <w:numPr>
          <w:ilvl w:val="0"/>
          <w:numId w:val="220"/>
        </w:numPr>
      </w:pPr>
      <w:r>
        <w:t>778 hospicja domowe.</w:t>
      </w:r>
    </w:p>
    <w:p w14:paraId="642BFBE4" w14:textId="77777777" w:rsidR="008470A9" w:rsidRDefault="008470A9" w:rsidP="00052DB7"/>
    <w:p w14:paraId="2E89302E" w14:textId="77777777" w:rsidR="00052DB7" w:rsidRPr="001D4B59" w:rsidRDefault="00052DB7" w:rsidP="00052DB7">
      <w:pPr>
        <w:rPr>
          <w:b/>
        </w:rPr>
      </w:pPr>
      <w:r w:rsidRPr="001D4B59">
        <w:rPr>
          <w:b/>
        </w:rPr>
        <w:t>Rehabilitacja</w:t>
      </w:r>
    </w:p>
    <w:p w14:paraId="600A222F" w14:textId="280DD1F3" w:rsidR="00052DB7" w:rsidRDefault="00052DB7" w:rsidP="00052DB7">
      <w:r>
        <w:t>Świadczenia rehabilitacyjne w ramach powszechnego ubezpieczenia finansowane i realizowane są w oparciu o rozporządzenie Ministra Zdrowia z zakresu rehabilitacji leczniczej</w:t>
      </w:r>
      <w:r>
        <w:rPr>
          <w:rStyle w:val="Odwoanieprzypisudolnego"/>
        </w:rPr>
        <w:footnoteReference w:id="15"/>
      </w:r>
      <w:r>
        <w:t>. Wykaz świadczeń w nim zawartych obejmuje świadczenia ambulatoryjne i stacjonarne. W systemie nie są realizowane świadczenia dedykowane wyłącznie osobom starszym - świadczeniobiorcy, w</w:t>
      </w:r>
      <w:r w:rsidR="003908E2">
        <w:t> </w:t>
      </w:r>
      <w:r>
        <w:t>zależności od aktualnego stanu zdrowia, korzystają z rehabilitacji na zasadach ogólnych.</w:t>
      </w:r>
    </w:p>
    <w:p w14:paraId="5C9A9298" w14:textId="77777777" w:rsidR="003908E2" w:rsidRDefault="003908E2" w:rsidP="00052DB7"/>
    <w:p w14:paraId="7FCE5E3B" w14:textId="023B2E0E" w:rsidR="00052DB7" w:rsidRDefault="00052DB7" w:rsidP="00052DB7">
      <w:r>
        <w:t>Świadczeniami z zakresu rehabilitacji leczniczej mogą być objęci pacjenci z bardzo szerokim i</w:t>
      </w:r>
      <w:r w:rsidR="003908E2">
        <w:t> </w:t>
      </w:r>
      <w:r>
        <w:t>różnorodnym spektrum zaburzeń i dysfunkcji (ortopedycznych, reumatologicznych, neurologicznych, onkologicznych itp.).</w:t>
      </w:r>
    </w:p>
    <w:p w14:paraId="2B01F29F" w14:textId="77777777" w:rsidR="00052DB7" w:rsidRDefault="00052DB7" w:rsidP="00052DB7"/>
    <w:p w14:paraId="04C59AE7" w14:textId="2C34C69C" w:rsidR="00052DB7" w:rsidRDefault="00052DB7" w:rsidP="00052DB7">
      <w:pPr>
        <w:rPr>
          <w:b/>
          <w:bCs/>
        </w:rPr>
      </w:pPr>
      <w:r w:rsidRPr="00DD59BD">
        <w:rPr>
          <w:b/>
          <w:bCs/>
        </w:rPr>
        <w:t xml:space="preserve">Tabela </w:t>
      </w:r>
      <w:r w:rsidR="003908E2">
        <w:rPr>
          <w:b/>
          <w:bCs/>
        </w:rPr>
        <w:t>17</w:t>
      </w:r>
      <w:r w:rsidR="00EE73AF">
        <w:rPr>
          <w:b/>
          <w:bCs/>
        </w:rPr>
        <w:t>.</w:t>
      </w:r>
      <w:r w:rsidRPr="00DD59BD">
        <w:rPr>
          <w:b/>
          <w:bCs/>
        </w:rPr>
        <w:t xml:space="preserve"> Liczba i wartość rozliczonych świadczeń udzielonych osobom powyżej 60 r.ż. w</w:t>
      </w:r>
      <w:r>
        <w:rPr>
          <w:b/>
          <w:bCs/>
        </w:rPr>
        <w:t> </w:t>
      </w:r>
      <w:r w:rsidRPr="00DD59BD">
        <w:rPr>
          <w:b/>
          <w:bCs/>
        </w:rPr>
        <w:t>rodzaju REH</w:t>
      </w:r>
      <w:r>
        <w:rPr>
          <w:b/>
          <w:bCs/>
        </w:rPr>
        <w:t xml:space="preserve"> w 2020 r.</w:t>
      </w:r>
    </w:p>
    <w:tbl>
      <w:tblPr>
        <w:tblStyle w:val="Tabelasiatki4akcent2"/>
        <w:tblW w:w="0" w:type="auto"/>
        <w:tblLook w:val="04A0" w:firstRow="1" w:lastRow="0" w:firstColumn="1" w:lastColumn="0" w:noHBand="0" w:noVBand="1"/>
      </w:tblPr>
      <w:tblGrid>
        <w:gridCol w:w="4678"/>
        <w:gridCol w:w="4678"/>
      </w:tblGrid>
      <w:tr w:rsidR="00052DB7" w14:paraId="09854A89" w14:textId="77777777" w:rsidTr="00AD7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2BD43AEE" w14:textId="77777777" w:rsidR="00052DB7" w:rsidRPr="00DD59BD" w:rsidRDefault="00052DB7" w:rsidP="00AD7202">
            <w:pPr>
              <w:jc w:val="center"/>
              <w:rPr>
                <w:b w:val="0"/>
                <w:bCs w:val="0"/>
                <w:color w:val="auto"/>
              </w:rPr>
            </w:pPr>
            <w:r w:rsidRPr="00DD59BD">
              <w:rPr>
                <w:color w:val="auto"/>
              </w:rPr>
              <w:t>Liczba świadczeń</w:t>
            </w:r>
          </w:p>
        </w:tc>
        <w:tc>
          <w:tcPr>
            <w:tcW w:w="4678" w:type="dxa"/>
          </w:tcPr>
          <w:p w14:paraId="07E579FB" w14:textId="77777777" w:rsidR="00052DB7" w:rsidRPr="00DD59BD" w:rsidRDefault="00052DB7" w:rsidP="00AD7202">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D59BD">
              <w:rPr>
                <w:color w:val="auto"/>
              </w:rPr>
              <w:t>Wartość rozliczonych świadczeń (w zł)</w:t>
            </w:r>
          </w:p>
        </w:tc>
      </w:tr>
      <w:tr w:rsidR="00052DB7" w14:paraId="50DEFD14"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59890DA9" w14:textId="77777777" w:rsidR="00052DB7" w:rsidRPr="007F1292" w:rsidRDefault="00052DB7" w:rsidP="00AD7202">
            <w:pPr>
              <w:jc w:val="center"/>
              <w:rPr>
                <w:b w:val="0"/>
                <w:bCs w:val="0"/>
              </w:rPr>
            </w:pPr>
            <w:r w:rsidRPr="007F1292">
              <w:rPr>
                <w:b w:val="0"/>
                <w:bCs w:val="0"/>
              </w:rPr>
              <w:t>19 816 884</w:t>
            </w:r>
          </w:p>
        </w:tc>
        <w:tc>
          <w:tcPr>
            <w:tcW w:w="4678" w:type="dxa"/>
          </w:tcPr>
          <w:p w14:paraId="79DDE675" w14:textId="77777777" w:rsidR="00052DB7" w:rsidRPr="007F1292" w:rsidRDefault="00052DB7" w:rsidP="00AD7202">
            <w:pPr>
              <w:jc w:val="center"/>
              <w:cnfStyle w:val="000000100000" w:firstRow="0" w:lastRow="0" w:firstColumn="0" w:lastColumn="0" w:oddVBand="0" w:evenVBand="0" w:oddHBand="1" w:evenHBand="0" w:firstRowFirstColumn="0" w:firstRowLastColumn="0" w:lastRowFirstColumn="0" w:lastRowLastColumn="0"/>
            </w:pPr>
            <w:r w:rsidRPr="007F1292">
              <w:t>1 439 768 834,42</w:t>
            </w:r>
          </w:p>
        </w:tc>
      </w:tr>
    </w:tbl>
    <w:p w14:paraId="159FDBBC" w14:textId="77777777" w:rsidR="00052DB7" w:rsidRPr="003908E2" w:rsidRDefault="00052DB7" w:rsidP="00052DB7">
      <w:pPr>
        <w:rPr>
          <w:b/>
          <w:bCs/>
          <w:sz w:val="22"/>
        </w:rPr>
      </w:pPr>
      <w:r w:rsidRPr="003908E2">
        <w:rPr>
          <w:b/>
          <w:bCs/>
          <w:sz w:val="22"/>
        </w:rPr>
        <w:t>Źródło: Dane Ministerstwa Zdrowia.</w:t>
      </w:r>
    </w:p>
    <w:p w14:paraId="38E69E88" w14:textId="151BE047" w:rsidR="00F04221" w:rsidRDefault="00F04221" w:rsidP="00052DB7"/>
    <w:p w14:paraId="6DC859AD" w14:textId="6AF5C2CF" w:rsidR="00052DB7" w:rsidRDefault="00052DB7" w:rsidP="00052DB7">
      <w:r>
        <w:t>W zależności od stanu zdrowia świadczeniobiorcy lekarz kierujący, wystawiając skierowanie decyduje w ramach jakiego zakresu prowadzona ma być rehabilitacja. Wpływ na dostępność do</w:t>
      </w:r>
      <w:r w:rsidR="003908E2">
        <w:t> </w:t>
      </w:r>
      <w:r>
        <w:t>rehabilitacji ma kolejka oczekujących na tego rodzaju świadczenia.</w:t>
      </w:r>
    </w:p>
    <w:p w14:paraId="3A254379" w14:textId="77777777" w:rsidR="00052DB7" w:rsidRDefault="00052DB7" w:rsidP="00052DB7"/>
    <w:p w14:paraId="429A5C16" w14:textId="154DD918" w:rsidR="00052DB7" w:rsidRDefault="00052DB7" w:rsidP="00052DB7">
      <w:pPr>
        <w:rPr>
          <w:b/>
          <w:bCs/>
        </w:rPr>
      </w:pPr>
      <w:r w:rsidRPr="00DD59BD">
        <w:rPr>
          <w:b/>
          <w:bCs/>
        </w:rPr>
        <w:t xml:space="preserve">Tabela </w:t>
      </w:r>
      <w:r w:rsidR="003908E2">
        <w:rPr>
          <w:b/>
          <w:bCs/>
        </w:rPr>
        <w:t>18</w:t>
      </w:r>
      <w:r w:rsidR="00EE73AF">
        <w:rPr>
          <w:b/>
          <w:bCs/>
        </w:rPr>
        <w:t>.</w:t>
      </w:r>
      <w:r w:rsidRPr="00DD59BD">
        <w:rPr>
          <w:b/>
          <w:bCs/>
        </w:rPr>
        <w:t xml:space="preserve"> Najczęstsze rozpoznania ICD:10 wśród osób powyżej 60 r.ż., którym udzielone zostały</w:t>
      </w:r>
      <w:r>
        <w:rPr>
          <w:b/>
          <w:bCs/>
        </w:rPr>
        <w:t xml:space="preserve"> </w:t>
      </w:r>
      <w:r w:rsidRPr="00DD59BD">
        <w:rPr>
          <w:b/>
          <w:bCs/>
        </w:rPr>
        <w:t xml:space="preserve">świadczenia w rodzaju rehabilitacja lecznicza </w:t>
      </w:r>
      <w:r>
        <w:rPr>
          <w:b/>
          <w:bCs/>
        </w:rPr>
        <w:t>w 2020 r.</w:t>
      </w:r>
    </w:p>
    <w:tbl>
      <w:tblPr>
        <w:tblStyle w:val="Tabelasiatki4akcent2"/>
        <w:tblW w:w="0" w:type="auto"/>
        <w:tblLook w:val="04A0" w:firstRow="1" w:lastRow="0" w:firstColumn="1" w:lastColumn="0" w:noHBand="0" w:noVBand="1"/>
      </w:tblPr>
      <w:tblGrid>
        <w:gridCol w:w="4957"/>
        <w:gridCol w:w="1842"/>
        <w:gridCol w:w="2557"/>
      </w:tblGrid>
      <w:tr w:rsidR="00052DB7" w14:paraId="2D0A4D00" w14:textId="77777777" w:rsidTr="00AD7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6CB9DBF" w14:textId="77777777" w:rsidR="00052DB7" w:rsidRPr="003908E2" w:rsidRDefault="00052DB7" w:rsidP="00AD7202">
            <w:pPr>
              <w:rPr>
                <w:b w:val="0"/>
                <w:bCs w:val="0"/>
                <w:color w:val="auto"/>
                <w:sz w:val="20"/>
                <w:szCs w:val="20"/>
              </w:rPr>
            </w:pPr>
            <w:r w:rsidRPr="003908E2">
              <w:rPr>
                <w:color w:val="auto"/>
                <w:sz w:val="20"/>
                <w:szCs w:val="20"/>
              </w:rPr>
              <w:t>Rozpoznanie główne ICD10</w:t>
            </w:r>
          </w:p>
        </w:tc>
        <w:tc>
          <w:tcPr>
            <w:tcW w:w="1842" w:type="dxa"/>
          </w:tcPr>
          <w:p w14:paraId="3C6F757D" w14:textId="77777777" w:rsidR="00052DB7" w:rsidRPr="003908E2" w:rsidRDefault="00052DB7" w:rsidP="00AD7202">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3908E2">
              <w:rPr>
                <w:color w:val="auto"/>
                <w:sz w:val="20"/>
                <w:szCs w:val="20"/>
              </w:rPr>
              <w:t>Liczba świadczeń</w:t>
            </w:r>
          </w:p>
        </w:tc>
        <w:tc>
          <w:tcPr>
            <w:tcW w:w="2557" w:type="dxa"/>
          </w:tcPr>
          <w:p w14:paraId="1AFB12BB" w14:textId="77777777" w:rsidR="00052DB7" w:rsidRPr="003908E2" w:rsidRDefault="00052DB7" w:rsidP="00AD7202">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3908E2">
              <w:rPr>
                <w:color w:val="auto"/>
                <w:sz w:val="20"/>
                <w:szCs w:val="20"/>
              </w:rPr>
              <w:t>Wartość rozliczonych świadczeń (w zł)</w:t>
            </w:r>
          </w:p>
        </w:tc>
      </w:tr>
      <w:tr w:rsidR="00052DB7" w14:paraId="50E32586"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F38D442" w14:textId="77777777" w:rsidR="00052DB7" w:rsidRPr="003908E2" w:rsidRDefault="00052DB7" w:rsidP="00AD7202">
            <w:pPr>
              <w:rPr>
                <w:b w:val="0"/>
                <w:bCs w:val="0"/>
                <w:sz w:val="20"/>
                <w:szCs w:val="20"/>
              </w:rPr>
            </w:pPr>
            <w:r w:rsidRPr="003908E2">
              <w:rPr>
                <w:sz w:val="20"/>
                <w:szCs w:val="20"/>
              </w:rPr>
              <w:t>M47 - ZMIANY ZWYRODNIENIOWE KRĘGOSŁUPA</w:t>
            </w:r>
          </w:p>
        </w:tc>
        <w:tc>
          <w:tcPr>
            <w:tcW w:w="1842" w:type="dxa"/>
          </w:tcPr>
          <w:p w14:paraId="4233F152" w14:textId="77777777" w:rsidR="00052DB7" w:rsidRPr="003908E2" w:rsidRDefault="00052DB7" w:rsidP="00AD7202">
            <w:pPr>
              <w:cnfStyle w:val="000000100000" w:firstRow="0" w:lastRow="0" w:firstColumn="0" w:lastColumn="0" w:oddVBand="0" w:evenVBand="0" w:oddHBand="1" w:evenHBand="0" w:firstRowFirstColumn="0" w:firstRowLastColumn="0" w:lastRowFirstColumn="0" w:lastRowLastColumn="0"/>
              <w:rPr>
                <w:b/>
                <w:bCs/>
                <w:sz w:val="20"/>
                <w:szCs w:val="20"/>
              </w:rPr>
            </w:pPr>
            <w:r w:rsidRPr="003908E2">
              <w:rPr>
                <w:sz w:val="20"/>
                <w:szCs w:val="20"/>
              </w:rPr>
              <w:t>2 797 683</w:t>
            </w:r>
          </w:p>
        </w:tc>
        <w:tc>
          <w:tcPr>
            <w:tcW w:w="2557" w:type="dxa"/>
          </w:tcPr>
          <w:p w14:paraId="5DBDAEAE" w14:textId="77777777" w:rsidR="00052DB7" w:rsidRPr="003908E2" w:rsidRDefault="00052DB7" w:rsidP="00AD7202">
            <w:pPr>
              <w:cnfStyle w:val="000000100000" w:firstRow="0" w:lastRow="0" w:firstColumn="0" w:lastColumn="0" w:oddVBand="0" w:evenVBand="0" w:oddHBand="1" w:evenHBand="0" w:firstRowFirstColumn="0" w:firstRowLastColumn="0" w:lastRowFirstColumn="0" w:lastRowLastColumn="0"/>
              <w:rPr>
                <w:b/>
                <w:bCs/>
                <w:sz w:val="20"/>
                <w:szCs w:val="20"/>
              </w:rPr>
            </w:pPr>
            <w:r w:rsidRPr="003908E2">
              <w:rPr>
                <w:sz w:val="20"/>
                <w:szCs w:val="20"/>
              </w:rPr>
              <w:t>92 707 120,07</w:t>
            </w:r>
          </w:p>
        </w:tc>
      </w:tr>
      <w:tr w:rsidR="00052DB7" w14:paraId="07B9EA7E" w14:textId="77777777" w:rsidTr="00AD7202">
        <w:tc>
          <w:tcPr>
            <w:cnfStyle w:val="001000000000" w:firstRow="0" w:lastRow="0" w:firstColumn="1" w:lastColumn="0" w:oddVBand="0" w:evenVBand="0" w:oddHBand="0" w:evenHBand="0" w:firstRowFirstColumn="0" w:firstRowLastColumn="0" w:lastRowFirstColumn="0" w:lastRowLastColumn="0"/>
            <w:tcW w:w="4957" w:type="dxa"/>
          </w:tcPr>
          <w:p w14:paraId="35235721" w14:textId="77777777" w:rsidR="00052DB7" w:rsidRPr="003908E2" w:rsidRDefault="00052DB7" w:rsidP="00AD7202">
            <w:pPr>
              <w:rPr>
                <w:b w:val="0"/>
                <w:bCs w:val="0"/>
                <w:sz w:val="20"/>
                <w:szCs w:val="20"/>
              </w:rPr>
            </w:pPr>
            <w:r w:rsidRPr="003908E2">
              <w:rPr>
                <w:sz w:val="20"/>
                <w:szCs w:val="20"/>
              </w:rPr>
              <w:t>M15 - ZWYRODNIENIA WIELOSTAWOWE</w:t>
            </w:r>
          </w:p>
        </w:tc>
        <w:tc>
          <w:tcPr>
            <w:tcW w:w="1842" w:type="dxa"/>
          </w:tcPr>
          <w:p w14:paraId="27D25179" w14:textId="77777777" w:rsidR="00052DB7" w:rsidRPr="003908E2" w:rsidRDefault="00052DB7" w:rsidP="00AD7202">
            <w:pPr>
              <w:cnfStyle w:val="000000000000" w:firstRow="0" w:lastRow="0" w:firstColumn="0" w:lastColumn="0" w:oddVBand="0" w:evenVBand="0" w:oddHBand="0" w:evenHBand="0" w:firstRowFirstColumn="0" w:firstRowLastColumn="0" w:lastRowFirstColumn="0" w:lastRowLastColumn="0"/>
              <w:rPr>
                <w:b/>
                <w:bCs/>
                <w:sz w:val="20"/>
                <w:szCs w:val="20"/>
              </w:rPr>
            </w:pPr>
            <w:r w:rsidRPr="003908E2">
              <w:rPr>
                <w:sz w:val="20"/>
                <w:szCs w:val="20"/>
              </w:rPr>
              <w:t>2396711</w:t>
            </w:r>
          </w:p>
        </w:tc>
        <w:tc>
          <w:tcPr>
            <w:tcW w:w="2557" w:type="dxa"/>
          </w:tcPr>
          <w:p w14:paraId="4A8C698C" w14:textId="77777777" w:rsidR="00052DB7" w:rsidRPr="003908E2" w:rsidRDefault="00052DB7" w:rsidP="00AD7202">
            <w:pPr>
              <w:cnfStyle w:val="000000000000" w:firstRow="0" w:lastRow="0" w:firstColumn="0" w:lastColumn="0" w:oddVBand="0" w:evenVBand="0" w:oddHBand="0" w:evenHBand="0" w:firstRowFirstColumn="0" w:firstRowLastColumn="0" w:lastRowFirstColumn="0" w:lastRowLastColumn="0"/>
              <w:rPr>
                <w:b/>
                <w:bCs/>
                <w:sz w:val="20"/>
                <w:szCs w:val="20"/>
              </w:rPr>
            </w:pPr>
            <w:r w:rsidRPr="003908E2">
              <w:rPr>
                <w:sz w:val="20"/>
                <w:szCs w:val="20"/>
              </w:rPr>
              <w:t>85 220 588,76</w:t>
            </w:r>
          </w:p>
        </w:tc>
      </w:tr>
      <w:tr w:rsidR="00052DB7" w14:paraId="58F57DEE"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26593F5" w14:textId="77777777" w:rsidR="00052DB7" w:rsidRPr="003908E2" w:rsidRDefault="00052DB7" w:rsidP="00AD7202">
            <w:pPr>
              <w:rPr>
                <w:b w:val="0"/>
                <w:bCs w:val="0"/>
                <w:sz w:val="20"/>
                <w:szCs w:val="20"/>
              </w:rPr>
            </w:pPr>
            <w:r w:rsidRPr="003908E2">
              <w:rPr>
                <w:sz w:val="20"/>
                <w:szCs w:val="20"/>
              </w:rPr>
              <w:t>M17 - CHOROBA ZWYRODNIENIOWA STAWÓW KOLANOWYCH /GONARTROZA/</w:t>
            </w:r>
          </w:p>
        </w:tc>
        <w:tc>
          <w:tcPr>
            <w:tcW w:w="1842" w:type="dxa"/>
          </w:tcPr>
          <w:p w14:paraId="0DE9C99E" w14:textId="77777777" w:rsidR="00052DB7" w:rsidRPr="003908E2" w:rsidRDefault="00052DB7" w:rsidP="00AD7202">
            <w:pPr>
              <w:cnfStyle w:val="000000100000" w:firstRow="0" w:lastRow="0" w:firstColumn="0" w:lastColumn="0" w:oddVBand="0" w:evenVBand="0" w:oddHBand="1" w:evenHBand="0" w:firstRowFirstColumn="0" w:firstRowLastColumn="0" w:lastRowFirstColumn="0" w:lastRowLastColumn="0"/>
              <w:rPr>
                <w:b/>
                <w:bCs/>
                <w:sz w:val="20"/>
                <w:szCs w:val="20"/>
              </w:rPr>
            </w:pPr>
            <w:r w:rsidRPr="003908E2">
              <w:rPr>
                <w:sz w:val="20"/>
                <w:szCs w:val="20"/>
              </w:rPr>
              <w:t>1 325 658</w:t>
            </w:r>
          </w:p>
        </w:tc>
        <w:tc>
          <w:tcPr>
            <w:tcW w:w="2557" w:type="dxa"/>
          </w:tcPr>
          <w:p w14:paraId="5CE85AF0" w14:textId="77777777" w:rsidR="00052DB7" w:rsidRPr="003908E2" w:rsidRDefault="00052DB7" w:rsidP="00AD7202">
            <w:pPr>
              <w:cnfStyle w:val="000000100000" w:firstRow="0" w:lastRow="0" w:firstColumn="0" w:lastColumn="0" w:oddVBand="0" w:evenVBand="0" w:oddHBand="1" w:evenHBand="0" w:firstRowFirstColumn="0" w:firstRowLastColumn="0" w:lastRowFirstColumn="0" w:lastRowLastColumn="0"/>
              <w:rPr>
                <w:b/>
                <w:bCs/>
                <w:sz w:val="20"/>
                <w:szCs w:val="20"/>
              </w:rPr>
            </w:pPr>
            <w:r w:rsidRPr="003908E2">
              <w:rPr>
                <w:sz w:val="20"/>
                <w:szCs w:val="20"/>
              </w:rPr>
              <w:t>52 657 182,14</w:t>
            </w:r>
          </w:p>
        </w:tc>
      </w:tr>
      <w:tr w:rsidR="00052DB7" w14:paraId="5222E352" w14:textId="77777777" w:rsidTr="00AD7202">
        <w:tc>
          <w:tcPr>
            <w:cnfStyle w:val="001000000000" w:firstRow="0" w:lastRow="0" w:firstColumn="1" w:lastColumn="0" w:oddVBand="0" w:evenVBand="0" w:oddHBand="0" w:evenHBand="0" w:firstRowFirstColumn="0" w:firstRowLastColumn="0" w:lastRowFirstColumn="0" w:lastRowLastColumn="0"/>
            <w:tcW w:w="4957" w:type="dxa"/>
          </w:tcPr>
          <w:p w14:paraId="5CECFE02" w14:textId="77777777" w:rsidR="00052DB7" w:rsidRPr="003908E2" w:rsidRDefault="00052DB7" w:rsidP="00AD7202">
            <w:pPr>
              <w:rPr>
                <w:b w:val="0"/>
                <w:bCs w:val="0"/>
                <w:sz w:val="20"/>
                <w:szCs w:val="20"/>
              </w:rPr>
            </w:pPr>
            <w:r w:rsidRPr="003908E2">
              <w:rPr>
                <w:sz w:val="20"/>
                <w:szCs w:val="20"/>
              </w:rPr>
              <w:t>G54 - ZABURZENIA KORZENI NERWÓW RDZENIOWYCH I SPLOTÓW NERWOWYCH</w:t>
            </w:r>
          </w:p>
        </w:tc>
        <w:tc>
          <w:tcPr>
            <w:tcW w:w="1842" w:type="dxa"/>
          </w:tcPr>
          <w:p w14:paraId="0AD977CF" w14:textId="77777777" w:rsidR="00052DB7" w:rsidRPr="003908E2" w:rsidRDefault="00052DB7" w:rsidP="00AD7202">
            <w:pPr>
              <w:cnfStyle w:val="000000000000" w:firstRow="0" w:lastRow="0" w:firstColumn="0" w:lastColumn="0" w:oddVBand="0" w:evenVBand="0" w:oddHBand="0" w:evenHBand="0" w:firstRowFirstColumn="0" w:firstRowLastColumn="0" w:lastRowFirstColumn="0" w:lastRowLastColumn="0"/>
              <w:rPr>
                <w:b/>
                <w:bCs/>
                <w:sz w:val="20"/>
                <w:szCs w:val="20"/>
              </w:rPr>
            </w:pPr>
            <w:r w:rsidRPr="003908E2">
              <w:rPr>
                <w:sz w:val="20"/>
                <w:szCs w:val="20"/>
              </w:rPr>
              <w:t>902 453</w:t>
            </w:r>
          </w:p>
        </w:tc>
        <w:tc>
          <w:tcPr>
            <w:tcW w:w="2557" w:type="dxa"/>
          </w:tcPr>
          <w:p w14:paraId="53D5F4F3" w14:textId="77777777" w:rsidR="00052DB7" w:rsidRPr="003908E2" w:rsidRDefault="00052DB7" w:rsidP="00AD7202">
            <w:pPr>
              <w:cnfStyle w:val="000000000000" w:firstRow="0" w:lastRow="0" w:firstColumn="0" w:lastColumn="0" w:oddVBand="0" w:evenVBand="0" w:oddHBand="0" w:evenHBand="0" w:firstRowFirstColumn="0" w:firstRowLastColumn="0" w:lastRowFirstColumn="0" w:lastRowLastColumn="0"/>
              <w:rPr>
                <w:b/>
                <w:bCs/>
                <w:sz w:val="20"/>
                <w:szCs w:val="20"/>
              </w:rPr>
            </w:pPr>
            <w:r w:rsidRPr="003908E2">
              <w:rPr>
                <w:sz w:val="20"/>
                <w:szCs w:val="20"/>
              </w:rPr>
              <w:t>29 838 614,16</w:t>
            </w:r>
          </w:p>
        </w:tc>
      </w:tr>
    </w:tbl>
    <w:p w14:paraId="1F77A0D9" w14:textId="77777777" w:rsidR="00052DB7" w:rsidRPr="003908E2" w:rsidRDefault="00052DB7" w:rsidP="00052DB7">
      <w:pPr>
        <w:rPr>
          <w:b/>
          <w:bCs/>
          <w:sz w:val="22"/>
        </w:rPr>
      </w:pPr>
      <w:r w:rsidRPr="003908E2">
        <w:rPr>
          <w:b/>
          <w:bCs/>
          <w:sz w:val="22"/>
        </w:rPr>
        <w:t>Źródło: Dane Ministerstwa Zdrowia.</w:t>
      </w:r>
    </w:p>
    <w:p w14:paraId="4B62796D" w14:textId="77777777" w:rsidR="00052DB7" w:rsidRDefault="00052DB7" w:rsidP="00052DB7"/>
    <w:p w14:paraId="1BD92736" w14:textId="11EC2520" w:rsidR="00052DB7" w:rsidRDefault="00052DB7" w:rsidP="00052DB7">
      <w:r>
        <w:t>W Polsce w 2020 r</w:t>
      </w:r>
      <w:r w:rsidR="00A16DFD">
        <w:t>.</w:t>
      </w:r>
      <w:r>
        <w:t xml:space="preserve"> ze świadczeń z zakresu rehabilitacji leczniczej w ramach NFZ skorzystało</w:t>
      </w:r>
    </w:p>
    <w:p w14:paraId="74C20992" w14:textId="77777777" w:rsidR="00052DB7" w:rsidRDefault="00052DB7" w:rsidP="00052DB7">
      <w:r>
        <w:t>1,06 mln pacjentów w wieku 65 lat i więcej, dla których zrealizowano łącznie 53 mln świadczeń</w:t>
      </w:r>
      <w:r>
        <w:rPr>
          <w:rStyle w:val="Odwoanieprzypisudolnego"/>
        </w:rPr>
        <w:footnoteReference w:id="16"/>
      </w:r>
      <w:r>
        <w:t>.</w:t>
      </w:r>
    </w:p>
    <w:p w14:paraId="52F626C4" w14:textId="77777777" w:rsidR="00052DB7" w:rsidRDefault="00052DB7" w:rsidP="00052DB7">
      <w:r>
        <w:t>Najczęściej sprawozdanymi świadczeniami dla osób starszych były:</w:t>
      </w:r>
    </w:p>
    <w:p w14:paraId="483A0971" w14:textId="77777777" w:rsidR="00052DB7" w:rsidRDefault="00052DB7" w:rsidP="00FE70E3">
      <w:pPr>
        <w:pStyle w:val="Akapitzlist"/>
        <w:numPr>
          <w:ilvl w:val="0"/>
          <w:numId w:val="72"/>
        </w:numPr>
      </w:pPr>
      <w:r>
        <w:t>Laseroterapia punktowa (4,9 mln świadczeń),</w:t>
      </w:r>
    </w:p>
    <w:p w14:paraId="7588FE87" w14:textId="77777777" w:rsidR="00052DB7" w:rsidRDefault="00052DB7" w:rsidP="00FE70E3">
      <w:pPr>
        <w:pStyle w:val="Akapitzlist"/>
        <w:numPr>
          <w:ilvl w:val="0"/>
          <w:numId w:val="72"/>
        </w:numPr>
      </w:pPr>
      <w:r>
        <w:t>Impulsowe pole magnetyczne niskiej częstotliwości (3,3 mln),</w:t>
      </w:r>
    </w:p>
    <w:p w14:paraId="23997004" w14:textId="77777777" w:rsidR="00052DB7" w:rsidRDefault="00052DB7" w:rsidP="00FE70E3">
      <w:pPr>
        <w:pStyle w:val="Akapitzlist"/>
        <w:numPr>
          <w:ilvl w:val="0"/>
          <w:numId w:val="72"/>
        </w:numPr>
      </w:pPr>
      <w:r>
        <w:t>Krioterapia miejscowa (pary azotu) (3,2 mln),</w:t>
      </w:r>
    </w:p>
    <w:p w14:paraId="506AFD61" w14:textId="77777777" w:rsidR="00052DB7" w:rsidRDefault="00052DB7" w:rsidP="00FE70E3">
      <w:pPr>
        <w:pStyle w:val="Akapitzlist"/>
        <w:numPr>
          <w:ilvl w:val="0"/>
          <w:numId w:val="72"/>
        </w:numPr>
      </w:pPr>
      <w:r>
        <w:lastRenderedPageBreak/>
        <w:t xml:space="preserve">Indywidualna praca z pacjentem (np. ćwiczenia bierne, </w:t>
      </w:r>
      <w:proofErr w:type="spellStart"/>
      <w:r>
        <w:t>czynno</w:t>
      </w:r>
      <w:proofErr w:type="spellEnd"/>
      <w:r>
        <w:t>-bierne, ćwiczenia według metod neurofizjologicznych) - nie mniej niż 30 min (3,1 mln) oraz</w:t>
      </w:r>
    </w:p>
    <w:p w14:paraId="54D7CF90" w14:textId="0EF1A07E" w:rsidR="003908E2" w:rsidRDefault="00052DB7" w:rsidP="00FE70E3">
      <w:pPr>
        <w:pStyle w:val="Akapitzlist"/>
        <w:numPr>
          <w:ilvl w:val="0"/>
          <w:numId w:val="72"/>
        </w:numPr>
      </w:pPr>
      <w:r>
        <w:t>Ultradźwięki miejscowe (2,8 mln).</w:t>
      </w:r>
      <w:r>
        <w:cr/>
      </w:r>
    </w:p>
    <w:p w14:paraId="1A365E92" w14:textId="77777777" w:rsidR="003908E2" w:rsidRPr="00BA012C" w:rsidRDefault="003908E2" w:rsidP="003908E2">
      <w:pPr>
        <w:rPr>
          <w:b/>
        </w:rPr>
      </w:pPr>
      <w:r w:rsidRPr="00BA012C">
        <w:rPr>
          <w:b/>
        </w:rPr>
        <w:t>Opieka psychiatryczna</w:t>
      </w:r>
    </w:p>
    <w:p w14:paraId="32D6BDBD" w14:textId="2B58FFB0" w:rsidR="003908E2" w:rsidRDefault="003908E2" w:rsidP="003908E2">
      <w:r w:rsidRPr="00BA012C">
        <w:t>W poniższej tabeli przedstawiono dane</w:t>
      </w:r>
      <w:r>
        <w:t xml:space="preserve"> dotyczące świadczeń z zakresu opieki psychiatrycznej, które zostały udzielone osobom po 60. roku życia w 2020 r.</w:t>
      </w:r>
    </w:p>
    <w:p w14:paraId="7339C610" w14:textId="77777777" w:rsidR="003908E2" w:rsidRDefault="003908E2" w:rsidP="003908E2"/>
    <w:p w14:paraId="0A703BD1" w14:textId="3C01C468" w:rsidR="003908E2" w:rsidRDefault="003908E2" w:rsidP="003908E2">
      <w:pPr>
        <w:rPr>
          <w:b/>
          <w:bCs/>
        </w:rPr>
      </w:pPr>
      <w:r w:rsidRPr="00280529">
        <w:rPr>
          <w:b/>
          <w:bCs/>
        </w:rPr>
        <w:t xml:space="preserve">Tabela </w:t>
      </w:r>
      <w:r w:rsidR="00B0618D">
        <w:rPr>
          <w:b/>
          <w:bCs/>
        </w:rPr>
        <w:t>19</w:t>
      </w:r>
      <w:r w:rsidR="00EE73AF">
        <w:rPr>
          <w:b/>
          <w:bCs/>
        </w:rPr>
        <w:t>.</w:t>
      </w:r>
      <w:r w:rsidRPr="00280529">
        <w:rPr>
          <w:b/>
          <w:bCs/>
        </w:rPr>
        <w:t xml:space="preserve"> Świadczenia udzielone osobom po 60 r.ż. na oddziałach psychogeriatrycznych </w:t>
      </w:r>
    </w:p>
    <w:tbl>
      <w:tblPr>
        <w:tblStyle w:val="Tabelasiatki5ciemnaakcent2"/>
        <w:tblW w:w="0" w:type="auto"/>
        <w:tblLook w:val="04A0" w:firstRow="1" w:lastRow="0" w:firstColumn="1" w:lastColumn="0" w:noHBand="0" w:noVBand="1"/>
      </w:tblPr>
      <w:tblGrid>
        <w:gridCol w:w="3118"/>
        <w:gridCol w:w="3119"/>
        <w:gridCol w:w="3119"/>
      </w:tblGrid>
      <w:tr w:rsidR="003908E2" w:rsidRPr="00280529" w14:paraId="5D66C5C7" w14:textId="77777777" w:rsidTr="00AD7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0EB378E7" w14:textId="77777777" w:rsidR="003908E2" w:rsidRPr="003908E2" w:rsidRDefault="003908E2" w:rsidP="00AD7202">
            <w:pPr>
              <w:jc w:val="center"/>
              <w:rPr>
                <w:b w:val="0"/>
                <w:bCs w:val="0"/>
                <w:color w:val="auto"/>
                <w:sz w:val="20"/>
                <w:szCs w:val="20"/>
              </w:rPr>
            </w:pPr>
            <w:r w:rsidRPr="003908E2">
              <w:rPr>
                <w:color w:val="auto"/>
                <w:sz w:val="20"/>
                <w:szCs w:val="20"/>
              </w:rPr>
              <w:t>Zakres</w:t>
            </w:r>
          </w:p>
        </w:tc>
        <w:tc>
          <w:tcPr>
            <w:tcW w:w="3119" w:type="dxa"/>
          </w:tcPr>
          <w:p w14:paraId="1631DD55" w14:textId="77777777" w:rsidR="003908E2" w:rsidRPr="003908E2" w:rsidRDefault="003908E2" w:rsidP="00AD7202">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3908E2">
              <w:rPr>
                <w:color w:val="auto"/>
                <w:sz w:val="20"/>
                <w:szCs w:val="20"/>
              </w:rPr>
              <w:t>Liczba świadczeń (kontraktów)</w:t>
            </w:r>
          </w:p>
        </w:tc>
        <w:tc>
          <w:tcPr>
            <w:tcW w:w="3119" w:type="dxa"/>
          </w:tcPr>
          <w:p w14:paraId="1204CE30" w14:textId="77777777" w:rsidR="003908E2" w:rsidRPr="003908E2" w:rsidRDefault="003908E2" w:rsidP="00AD7202">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3908E2">
              <w:rPr>
                <w:color w:val="auto"/>
                <w:sz w:val="20"/>
                <w:szCs w:val="20"/>
              </w:rPr>
              <w:t>Wartość rozliczonych świadczeń (w zł)</w:t>
            </w:r>
          </w:p>
        </w:tc>
      </w:tr>
      <w:tr w:rsidR="003908E2" w:rsidRPr="00280529" w14:paraId="39C10A51" w14:textId="77777777" w:rsidTr="0084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4ABE41ED" w14:textId="77777777" w:rsidR="003908E2" w:rsidRPr="003908E2" w:rsidRDefault="003908E2" w:rsidP="00AD7202">
            <w:pPr>
              <w:jc w:val="center"/>
              <w:rPr>
                <w:b w:val="0"/>
                <w:bCs w:val="0"/>
                <w:color w:val="auto"/>
                <w:sz w:val="20"/>
                <w:szCs w:val="20"/>
              </w:rPr>
            </w:pPr>
            <w:r w:rsidRPr="003908E2">
              <w:rPr>
                <w:color w:val="auto"/>
                <w:sz w:val="20"/>
                <w:szCs w:val="20"/>
              </w:rPr>
              <w:t>Świadczenia dzienne psychiatryczne geriatryczne</w:t>
            </w:r>
          </w:p>
        </w:tc>
        <w:tc>
          <w:tcPr>
            <w:tcW w:w="3119" w:type="dxa"/>
            <w:vAlign w:val="center"/>
          </w:tcPr>
          <w:p w14:paraId="7FF40ABE" w14:textId="77777777" w:rsidR="003908E2" w:rsidRPr="003908E2" w:rsidRDefault="003908E2" w:rsidP="008470A9">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3908E2">
              <w:rPr>
                <w:sz w:val="20"/>
                <w:szCs w:val="20"/>
              </w:rPr>
              <w:t>25 216</w:t>
            </w:r>
          </w:p>
        </w:tc>
        <w:tc>
          <w:tcPr>
            <w:tcW w:w="3119" w:type="dxa"/>
            <w:vAlign w:val="center"/>
          </w:tcPr>
          <w:p w14:paraId="504D1F92" w14:textId="77777777" w:rsidR="003908E2" w:rsidRPr="003908E2" w:rsidRDefault="003908E2" w:rsidP="008470A9">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3908E2">
              <w:rPr>
                <w:sz w:val="20"/>
                <w:szCs w:val="20"/>
              </w:rPr>
              <w:t>6 837 645,51</w:t>
            </w:r>
          </w:p>
        </w:tc>
      </w:tr>
      <w:tr w:rsidR="003908E2" w:rsidRPr="00280529" w14:paraId="7DF4C1CA" w14:textId="77777777" w:rsidTr="008470A9">
        <w:tc>
          <w:tcPr>
            <w:cnfStyle w:val="001000000000" w:firstRow="0" w:lastRow="0" w:firstColumn="1" w:lastColumn="0" w:oddVBand="0" w:evenVBand="0" w:oddHBand="0" w:evenHBand="0" w:firstRowFirstColumn="0" w:firstRowLastColumn="0" w:lastRowFirstColumn="0" w:lastRowLastColumn="0"/>
            <w:tcW w:w="3118" w:type="dxa"/>
          </w:tcPr>
          <w:p w14:paraId="3DB59CF1" w14:textId="77777777" w:rsidR="003908E2" w:rsidRPr="003908E2" w:rsidRDefault="003908E2" w:rsidP="00AD7202">
            <w:pPr>
              <w:jc w:val="center"/>
              <w:rPr>
                <w:b w:val="0"/>
                <w:bCs w:val="0"/>
                <w:color w:val="auto"/>
                <w:sz w:val="20"/>
                <w:szCs w:val="20"/>
              </w:rPr>
            </w:pPr>
            <w:r w:rsidRPr="003908E2">
              <w:rPr>
                <w:color w:val="auto"/>
                <w:sz w:val="20"/>
                <w:szCs w:val="20"/>
              </w:rPr>
              <w:t>Świadczenia psychogeriatryczne</w:t>
            </w:r>
          </w:p>
        </w:tc>
        <w:tc>
          <w:tcPr>
            <w:tcW w:w="3119" w:type="dxa"/>
            <w:vAlign w:val="center"/>
          </w:tcPr>
          <w:p w14:paraId="7B52A961" w14:textId="77777777" w:rsidR="003908E2" w:rsidRPr="003908E2" w:rsidRDefault="003908E2" w:rsidP="008470A9">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908E2">
              <w:rPr>
                <w:sz w:val="20"/>
                <w:szCs w:val="20"/>
              </w:rPr>
              <w:t>7 799</w:t>
            </w:r>
          </w:p>
        </w:tc>
        <w:tc>
          <w:tcPr>
            <w:tcW w:w="3119" w:type="dxa"/>
            <w:vAlign w:val="center"/>
          </w:tcPr>
          <w:p w14:paraId="2D38FAA8" w14:textId="77777777" w:rsidR="003908E2" w:rsidRPr="003908E2" w:rsidRDefault="003908E2" w:rsidP="008470A9">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908E2">
              <w:rPr>
                <w:sz w:val="20"/>
                <w:szCs w:val="20"/>
              </w:rPr>
              <w:t>42 371 944,44</w:t>
            </w:r>
          </w:p>
        </w:tc>
      </w:tr>
      <w:tr w:rsidR="003908E2" w:rsidRPr="00280529" w14:paraId="4EE4CC09" w14:textId="77777777" w:rsidTr="0084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31BB5C84" w14:textId="77777777" w:rsidR="003908E2" w:rsidRPr="003908E2" w:rsidRDefault="003908E2" w:rsidP="00AD7202">
            <w:pPr>
              <w:jc w:val="center"/>
              <w:rPr>
                <w:b w:val="0"/>
                <w:bCs w:val="0"/>
                <w:color w:val="auto"/>
                <w:sz w:val="20"/>
                <w:szCs w:val="20"/>
              </w:rPr>
            </w:pPr>
            <w:r w:rsidRPr="003908E2">
              <w:rPr>
                <w:color w:val="auto"/>
                <w:sz w:val="20"/>
                <w:szCs w:val="20"/>
              </w:rPr>
              <w:t>Świadczenia pielęgnacyjno-opiekuńcze psychiatryczne dla dorosłych</w:t>
            </w:r>
          </w:p>
        </w:tc>
        <w:tc>
          <w:tcPr>
            <w:tcW w:w="3119" w:type="dxa"/>
            <w:vAlign w:val="center"/>
          </w:tcPr>
          <w:p w14:paraId="7BD910C9" w14:textId="77777777" w:rsidR="003908E2" w:rsidRPr="003908E2" w:rsidRDefault="003908E2" w:rsidP="008470A9">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3908E2">
              <w:rPr>
                <w:sz w:val="20"/>
                <w:szCs w:val="20"/>
              </w:rPr>
              <w:t>375</w:t>
            </w:r>
          </w:p>
        </w:tc>
        <w:tc>
          <w:tcPr>
            <w:tcW w:w="3119" w:type="dxa"/>
            <w:vAlign w:val="center"/>
          </w:tcPr>
          <w:p w14:paraId="5165F13F" w14:textId="77777777" w:rsidR="003908E2" w:rsidRPr="003908E2" w:rsidRDefault="003908E2" w:rsidP="008470A9">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3908E2">
              <w:rPr>
                <w:sz w:val="20"/>
                <w:szCs w:val="20"/>
              </w:rPr>
              <w:t>9 890 336,30</w:t>
            </w:r>
          </w:p>
        </w:tc>
      </w:tr>
      <w:tr w:rsidR="003908E2" w:rsidRPr="00280529" w14:paraId="563105FC" w14:textId="77777777" w:rsidTr="008470A9">
        <w:tc>
          <w:tcPr>
            <w:cnfStyle w:val="001000000000" w:firstRow="0" w:lastRow="0" w:firstColumn="1" w:lastColumn="0" w:oddVBand="0" w:evenVBand="0" w:oddHBand="0" w:evenHBand="0" w:firstRowFirstColumn="0" w:firstRowLastColumn="0" w:lastRowFirstColumn="0" w:lastRowLastColumn="0"/>
            <w:tcW w:w="3118" w:type="dxa"/>
          </w:tcPr>
          <w:p w14:paraId="3A74606B" w14:textId="77777777" w:rsidR="003908E2" w:rsidRPr="003908E2" w:rsidRDefault="003908E2" w:rsidP="00AD7202">
            <w:pPr>
              <w:jc w:val="center"/>
              <w:rPr>
                <w:b w:val="0"/>
                <w:bCs w:val="0"/>
                <w:color w:val="auto"/>
                <w:sz w:val="20"/>
                <w:szCs w:val="20"/>
              </w:rPr>
            </w:pPr>
            <w:r w:rsidRPr="003908E2">
              <w:rPr>
                <w:color w:val="auto"/>
                <w:sz w:val="20"/>
                <w:szCs w:val="20"/>
              </w:rPr>
              <w:t>Świadczenia opiekuńczo-lecznicze psychiatryczne dla dorosłych</w:t>
            </w:r>
          </w:p>
        </w:tc>
        <w:tc>
          <w:tcPr>
            <w:tcW w:w="3119" w:type="dxa"/>
            <w:vAlign w:val="center"/>
          </w:tcPr>
          <w:p w14:paraId="1DA3B8F9" w14:textId="77777777" w:rsidR="003908E2" w:rsidRPr="003908E2" w:rsidRDefault="003908E2" w:rsidP="008470A9">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908E2">
              <w:rPr>
                <w:sz w:val="20"/>
                <w:szCs w:val="20"/>
              </w:rPr>
              <w:t>13 282</w:t>
            </w:r>
          </w:p>
        </w:tc>
        <w:tc>
          <w:tcPr>
            <w:tcW w:w="3119" w:type="dxa"/>
            <w:vAlign w:val="center"/>
          </w:tcPr>
          <w:p w14:paraId="2CFBE29A" w14:textId="77777777" w:rsidR="003908E2" w:rsidRPr="003908E2" w:rsidRDefault="003908E2" w:rsidP="008470A9">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908E2">
              <w:rPr>
                <w:sz w:val="20"/>
                <w:szCs w:val="20"/>
              </w:rPr>
              <w:t>125 573 715,52</w:t>
            </w:r>
          </w:p>
        </w:tc>
      </w:tr>
    </w:tbl>
    <w:p w14:paraId="31BF7ECC" w14:textId="77777777" w:rsidR="003908E2" w:rsidRPr="003908E2" w:rsidRDefault="003908E2" w:rsidP="003908E2">
      <w:pPr>
        <w:rPr>
          <w:b/>
          <w:bCs/>
          <w:sz w:val="22"/>
        </w:rPr>
      </w:pPr>
      <w:r w:rsidRPr="003908E2">
        <w:rPr>
          <w:b/>
          <w:bCs/>
          <w:sz w:val="22"/>
        </w:rPr>
        <w:t>Źródło: Dane Ministerstwa Zdrowia.</w:t>
      </w:r>
    </w:p>
    <w:p w14:paraId="28C6B5B9" w14:textId="4D7AED14" w:rsidR="00052DB7" w:rsidRPr="002F183A" w:rsidRDefault="00052DB7" w:rsidP="00052DB7"/>
    <w:p w14:paraId="735B39AC" w14:textId="1055CC38" w:rsidR="003215CC" w:rsidRDefault="003215CC" w:rsidP="003215CC">
      <w:pPr>
        <w:rPr>
          <w:rFonts w:cs="Times New Roman"/>
        </w:rPr>
      </w:pPr>
      <w:r w:rsidRPr="005E3859">
        <w:rPr>
          <w:rFonts w:cs="Times New Roman"/>
        </w:rPr>
        <w:t>W 20</w:t>
      </w:r>
      <w:r>
        <w:rPr>
          <w:rFonts w:cs="Times New Roman"/>
        </w:rPr>
        <w:t>20</w:t>
      </w:r>
      <w:r w:rsidRPr="005E3859">
        <w:rPr>
          <w:rFonts w:cs="Times New Roman"/>
        </w:rPr>
        <w:t xml:space="preserve"> r. </w:t>
      </w:r>
      <w:r>
        <w:rPr>
          <w:rFonts w:cs="Times New Roman"/>
        </w:rPr>
        <w:t xml:space="preserve">z systemu państwowego ratownictwa medycznego skorzystało 2 763 947 osób, z czego 1 341 676 stanowiły osoby starsze (ponad 48%). Pomimo spadku liczby udzielonych świadczeń w porównaniu z 2019 r. (odpowiednio o 356 455 ogółem i 73 710 w przypadku osób starszych) to o 3 p. </w:t>
      </w:r>
      <w:r w:rsidR="00406414">
        <w:rPr>
          <w:rFonts w:cs="Times New Roman"/>
        </w:rPr>
        <w:t>%</w:t>
      </w:r>
      <w:r>
        <w:rPr>
          <w:rFonts w:cs="Times New Roman"/>
        </w:rPr>
        <w:t xml:space="preserve"> zwiększył się odsetek seniorów korzystających z udzielanego wsparcia.</w:t>
      </w:r>
    </w:p>
    <w:p w14:paraId="40F690BF" w14:textId="77777777" w:rsidR="00392F2F" w:rsidRDefault="00392F2F" w:rsidP="00392F2F">
      <w:pPr>
        <w:rPr>
          <w:color w:val="FF0000"/>
        </w:rPr>
      </w:pPr>
    </w:p>
    <w:p w14:paraId="4E1BBFA2" w14:textId="21AADB57" w:rsidR="003215CC" w:rsidRPr="00392F2F" w:rsidRDefault="003215CC" w:rsidP="003215CC">
      <w:pPr>
        <w:pStyle w:val="Legenda"/>
        <w:keepNext/>
        <w:jc w:val="left"/>
        <w:rPr>
          <w:rFonts w:cs="Times New Roman"/>
          <w:b/>
          <w:i w:val="0"/>
          <w:color w:val="auto"/>
          <w:sz w:val="24"/>
        </w:rPr>
      </w:pPr>
      <w:bookmarkStart w:id="31" w:name="_Toc49171408"/>
      <w:r w:rsidRPr="00392F2F">
        <w:rPr>
          <w:rFonts w:cs="Times New Roman"/>
          <w:b/>
          <w:i w:val="0"/>
          <w:color w:val="auto"/>
          <w:sz w:val="24"/>
        </w:rPr>
        <w:t xml:space="preserve">Tabela </w:t>
      </w:r>
      <w:r w:rsidR="008470A9">
        <w:rPr>
          <w:rFonts w:cs="Times New Roman"/>
          <w:b/>
          <w:i w:val="0"/>
          <w:color w:val="auto"/>
          <w:sz w:val="24"/>
        </w:rPr>
        <w:t>20</w:t>
      </w:r>
      <w:r w:rsidR="00EE73AF">
        <w:rPr>
          <w:rFonts w:cs="Times New Roman"/>
          <w:b/>
          <w:i w:val="0"/>
          <w:color w:val="auto"/>
          <w:sz w:val="24"/>
        </w:rPr>
        <w:t>.</w:t>
      </w:r>
      <w:r w:rsidRPr="00392F2F">
        <w:rPr>
          <w:rFonts w:cs="Times New Roman"/>
          <w:b/>
          <w:i w:val="0"/>
          <w:color w:val="auto"/>
          <w:sz w:val="24"/>
        </w:rPr>
        <w:t xml:space="preserve"> Struktura porad ambulatoryjnej opieki zdrowotnej w 2020 r.</w:t>
      </w:r>
    </w:p>
    <w:tbl>
      <w:tblPr>
        <w:tblStyle w:val="Tabelasiatki5ciemnaakcent2"/>
        <w:tblW w:w="9018" w:type="dxa"/>
        <w:tblLook w:val="04A0" w:firstRow="1" w:lastRow="0" w:firstColumn="1" w:lastColumn="0" w:noHBand="0" w:noVBand="1"/>
      </w:tblPr>
      <w:tblGrid>
        <w:gridCol w:w="4038"/>
        <w:gridCol w:w="1660"/>
        <w:gridCol w:w="1660"/>
        <w:gridCol w:w="1660"/>
      </w:tblGrid>
      <w:tr w:rsidR="003215CC" w:rsidRPr="00BA4E97" w14:paraId="76CE3DD1" w14:textId="77777777" w:rsidTr="00AD720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38" w:type="dxa"/>
            <w:vMerge w:val="restart"/>
            <w:hideMark/>
          </w:tcPr>
          <w:p w14:paraId="1993984C" w14:textId="77777777" w:rsidR="003215CC" w:rsidRPr="00BA4E97" w:rsidRDefault="003215CC" w:rsidP="00AD7202">
            <w:pPr>
              <w:spacing w:line="240" w:lineRule="auto"/>
              <w:jc w:val="center"/>
              <w:rPr>
                <w:rFonts w:eastAsia="Times New Roman" w:cs="Times New Roman"/>
                <w:b w:val="0"/>
                <w:color w:val="auto"/>
                <w:sz w:val="20"/>
                <w:szCs w:val="20"/>
                <w:lang w:eastAsia="pl-PL"/>
              </w:rPr>
            </w:pPr>
            <w:r w:rsidRPr="00BA4E97">
              <w:rPr>
                <w:rFonts w:eastAsia="Times New Roman" w:cs="Times New Roman"/>
                <w:color w:val="auto"/>
                <w:sz w:val="20"/>
                <w:szCs w:val="20"/>
                <w:lang w:eastAsia="pl-PL"/>
              </w:rPr>
              <w:t>Wyszczególnienie</w:t>
            </w:r>
          </w:p>
        </w:tc>
        <w:tc>
          <w:tcPr>
            <w:tcW w:w="1660" w:type="dxa"/>
            <w:vMerge w:val="restart"/>
            <w:noWrap/>
            <w:hideMark/>
          </w:tcPr>
          <w:p w14:paraId="4E466B68" w14:textId="77777777" w:rsidR="003215CC" w:rsidRPr="00BA4E97" w:rsidRDefault="003215CC"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BA4E97">
              <w:rPr>
                <w:rFonts w:eastAsia="Times New Roman" w:cs="Times New Roman"/>
                <w:color w:val="auto"/>
                <w:sz w:val="20"/>
                <w:szCs w:val="20"/>
                <w:lang w:eastAsia="pl-PL"/>
              </w:rPr>
              <w:t>Ogółem</w:t>
            </w:r>
          </w:p>
        </w:tc>
        <w:tc>
          <w:tcPr>
            <w:tcW w:w="3320" w:type="dxa"/>
            <w:gridSpan w:val="2"/>
            <w:hideMark/>
          </w:tcPr>
          <w:p w14:paraId="7E935FC6" w14:textId="77777777" w:rsidR="003215CC" w:rsidRPr="00BA4E97" w:rsidRDefault="003215CC"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BA4E97">
              <w:rPr>
                <w:rFonts w:eastAsia="Times New Roman" w:cs="Times New Roman"/>
                <w:color w:val="auto"/>
                <w:sz w:val="20"/>
                <w:szCs w:val="20"/>
                <w:lang w:eastAsia="pl-PL"/>
              </w:rPr>
              <w:t>Z ogółem w wieku</w:t>
            </w:r>
          </w:p>
        </w:tc>
      </w:tr>
      <w:tr w:rsidR="003215CC" w:rsidRPr="00BA4E97" w14:paraId="682EF0B7"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38" w:type="dxa"/>
            <w:vMerge/>
            <w:hideMark/>
          </w:tcPr>
          <w:p w14:paraId="612663C0" w14:textId="77777777" w:rsidR="003215CC" w:rsidRPr="00BA4E97" w:rsidRDefault="003215CC" w:rsidP="00AD7202">
            <w:pPr>
              <w:spacing w:line="240" w:lineRule="auto"/>
              <w:jc w:val="center"/>
              <w:rPr>
                <w:rFonts w:eastAsia="Times New Roman" w:cs="Times New Roman"/>
                <w:b w:val="0"/>
                <w:color w:val="auto"/>
                <w:sz w:val="20"/>
                <w:szCs w:val="20"/>
                <w:lang w:eastAsia="pl-PL"/>
              </w:rPr>
            </w:pPr>
          </w:p>
        </w:tc>
        <w:tc>
          <w:tcPr>
            <w:tcW w:w="1660" w:type="dxa"/>
            <w:vMerge/>
            <w:hideMark/>
          </w:tcPr>
          <w:p w14:paraId="18CD9B16" w14:textId="77777777" w:rsidR="003215CC" w:rsidRPr="00BA4E97"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660" w:type="dxa"/>
            <w:shd w:val="clear" w:color="auto" w:fill="ED7D31" w:themeFill="accent2"/>
            <w:hideMark/>
          </w:tcPr>
          <w:p w14:paraId="22C368C5" w14:textId="77777777" w:rsidR="003215CC" w:rsidRPr="00BA4E97"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BA4E97">
              <w:rPr>
                <w:rFonts w:eastAsia="Times New Roman" w:cs="Times New Roman"/>
                <w:b/>
                <w:sz w:val="20"/>
                <w:szCs w:val="20"/>
                <w:lang w:eastAsia="pl-PL"/>
              </w:rPr>
              <w:t>65 lat i więcej</w:t>
            </w:r>
          </w:p>
        </w:tc>
        <w:tc>
          <w:tcPr>
            <w:tcW w:w="1660" w:type="dxa"/>
            <w:shd w:val="clear" w:color="auto" w:fill="ED7D31" w:themeFill="accent2"/>
            <w:noWrap/>
            <w:hideMark/>
          </w:tcPr>
          <w:p w14:paraId="3D9715DF" w14:textId="77777777" w:rsidR="003215CC" w:rsidRPr="00BA4E97"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BA4E97">
              <w:rPr>
                <w:rFonts w:eastAsia="Times New Roman" w:cs="Times New Roman"/>
                <w:b/>
                <w:sz w:val="20"/>
                <w:szCs w:val="20"/>
                <w:lang w:eastAsia="pl-PL"/>
              </w:rPr>
              <w:t>0-64 lata</w:t>
            </w:r>
          </w:p>
        </w:tc>
      </w:tr>
      <w:tr w:rsidR="003215CC" w:rsidRPr="00BA4E97" w14:paraId="343A70E9" w14:textId="77777777" w:rsidTr="00AD7202">
        <w:trPr>
          <w:trHeight w:val="600"/>
        </w:trPr>
        <w:tc>
          <w:tcPr>
            <w:cnfStyle w:val="001000000000" w:firstRow="0" w:lastRow="0" w:firstColumn="1" w:lastColumn="0" w:oddVBand="0" w:evenVBand="0" w:oddHBand="0" w:evenHBand="0" w:firstRowFirstColumn="0" w:firstRowLastColumn="0" w:lastRowFirstColumn="0" w:lastRowLastColumn="0"/>
            <w:tcW w:w="4038" w:type="dxa"/>
            <w:hideMark/>
          </w:tcPr>
          <w:p w14:paraId="6BD57B1D" w14:textId="77777777" w:rsidR="003215CC" w:rsidRPr="00BA4E97" w:rsidRDefault="003215CC" w:rsidP="00AD7202">
            <w:pPr>
              <w:spacing w:line="240" w:lineRule="auto"/>
              <w:rPr>
                <w:rFonts w:eastAsia="Times New Roman" w:cs="Times New Roman"/>
                <w:b w:val="0"/>
                <w:color w:val="auto"/>
                <w:sz w:val="20"/>
                <w:szCs w:val="20"/>
                <w:lang w:eastAsia="pl-PL"/>
              </w:rPr>
            </w:pPr>
            <w:r w:rsidRPr="00BA4E97">
              <w:rPr>
                <w:rFonts w:eastAsia="Times New Roman" w:cs="Times New Roman"/>
                <w:color w:val="auto"/>
                <w:sz w:val="20"/>
                <w:szCs w:val="20"/>
                <w:lang w:eastAsia="pl-PL"/>
              </w:rPr>
              <w:t xml:space="preserve">Osoby, którym udzielono świadczeń w ramach systemu PRM na miejscu zdarzenia </w:t>
            </w:r>
          </w:p>
        </w:tc>
        <w:tc>
          <w:tcPr>
            <w:tcW w:w="1660" w:type="dxa"/>
            <w:noWrap/>
            <w:hideMark/>
          </w:tcPr>
          <w:p w14:paraId="77E0F12E" w14:textId="77777777" w:rsidR="003215CC" w:rsidRPr="00BA4E97"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A4E97">
              <w:rPr>
                <w:sz w:val="20"/>
                <w:szCs w:val="20"/>
              </w:rPr>
              <w:t>2 763 947</w:t>
            </w:r>
          </w:p>
        </w:tc>
        <w:tc>
          <w:tcPr>
            <w:tcW w:w="1660" w:type="dxa"/>
            <w:noWrap/>
            <w:hideMark/>
          </w:tcPr>
          <w:p w14:paraId="0B91766A" w14:textId="77777777" w:rsidR="003215CC" w:rsidRPr="00BA4E97"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A4E97">
              <w:rPr>
                <w:sz w:val="20"/>
                <w:szCs w:val="20"/>
              </w:rPr>
              <w:t>1 341 676</w:t>
            </w:r>
          </w:p>
        </w:tc>
        <w:tc>
          <w:tcPr>
            <w:tcW w:w="1660" w:type="dxa"/>
            <w:noWrap/>
            <w:hideMark/>
          </w:tcPr>
          <w:p w14:paraId="667867FE" w14:textId="77777777" w:rsidR="003215CC" w:rsidRPr="00BA4E97"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A4E97">
              <w:rPr>
                <w:sz w:val="20"/>
                <w:szCs w:val="20"/>
              </w:rPr>
              <w:t>1 422 271</w:t>
            </w:r>
          </w:p>
        </w:tc>
      </w:tr>
      <w:tr w:rsidR="003215CC" w:rsidRPr="00BA4E97" w14:paraId="30C70325" w14:textId="77777777" w:rsidTr="00AD720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038" w:type="dxa"/>
            <w:hideMark/>
          </w:tcPr>
          <w:p w14:paraId="410A7B3A" w14:textId="77777777" w:rsidR="003215CC" w:rsidRPr="00BA4E97" w:rsidRDefault="003215CC" w:rsidP="00AD7202">
            <w:pPr>
              <w:spacing w:line="240" w:lineRule="auto"/>
              <w:rPr>
                <w:rFonts w:eastAsia="Times New Roman" w:cs="Times New Roman"/>
                <w:b w:val="0"/>
                <w:color w:val="auto"/>
                <w:sz w:val="20"/>
                <w:szCs w:val="20"/>
                <w:lang w:eastAsia="pl-PL"/>
              </w:rPr>
            </w:pPr>
            <w:r w:rsidRPr="00BA4E97">
              <w:rPr>
                <w:rFonts w:eastAsia="Times New Roman" w:cs="Times New Roman"/>
                <w:color w:val="auto"/>
                <w:sz w:val="20"/>
                <w:szCs w:val="20"/>
                <w:lang w:eastAsia="pl-PL"/>
              </w:rPr>
              <w:t>Osoby, którym udzielono świadczeń w ramach systemu PRM na miejscu zdarzenia na 1 tys. ludności w danym wieku</w:t>
            </w:r>
          </w:p>
        </w:tc>
        <w:tc>
          <w:tcPr>
            <w:tcW w:w="1660" w:type="dxa"/>
            <w:noWrap/>
            <w:hideMark/>
          </w:tcPr>
          <w:p w14:paraId="4A263F14" w14:textId="77777777" w:rsidR="003215CC" w:rsidRPr="00BA4E97"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A4E97">
              <w:rPr>
                <w:sz w:val="20"/>
                <w:szCs w:val="20"/>
              </w:rPr>
              <w:t>72,1</w:t>
            </w:r>
          </w:p>
        </w:tc>
        <w:tc>
          <w:tcPr>
            <w:tcW w:w="1660" w:type="dxa"/>
            <w:noWrap/>
            <w:hideMark/>
          </w:tcPr>
          <w:p w14:paraId="384EC865" w14:textId="77777777" w:rsidR="003215CC" w:rsidRPr="00BA4E97"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A4E97">
              <w:rPr>
                <w:sz w:val="20"/>
                <w:szCs w:val="20"/>
              </w:rPr>
              <w:t>190,1</w:t>
            </w:r>
          </w:p>
        </w:tc>
        <w:tc>
          <w:tcPr>
            <w:tcW w:w="1660" w:type="dxa"/>
            <w:noWrap/>
            <w:hideMark/>
          </w:tcPr>
          <w:p w14:paraId="416A9445" w14:textId="77777777" w:rsidR="003215CC" w:rsidRPr="00BA4E97"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A4E97">
              <w:rPr>
                <w:sz w:val="20"/>
                <w:szCs w:val="20"/>
              </w:rPr>
              <w:t>45,4</w:t>
            </w:r>
          </w:p>
        </w:tc>
      </w:tr>
      <w:tr w:rsidR="003215CC" w:rsidRPr="00BA4E97" w14:paraId="3AFCB803" w14:textId="77777777" w:rsidTr="00AD7202">
        <w:trPr>
          <w:trHeight w:val="600"/>
        </w:trPr>
        <w:tc>
          <w:tcPr>
            <w:cnfStyle w:val="001000000000" w:firstRow="0" w:lastRow="0" w:firstColumn="1" w:lastColumn="0" w:oddVBand="0" w:evenVBand="0" w:oddHBand="0" w:evenHBand="0" w:firstRowFirstColumn="0" w:firstRowLastColumn="0" w:lastRowFirstColumn="0" w:lastRowLastColumn="0"/>
            <w:tcW w:w="4038" w:type="dxa"/>
            <w:hideMark/>
          </w:tcPr>
          <w:p w14:paraId="5DD06161" w14:textId="77777777" w:rsidR="003215CC" w:rsidRPr="00BA4E97" w:rsidRDefault="003215CC" w:rsidP="00AD7202">
            <w:pPr>
              <w:spacing w:line="240" w:lineRule="auto"/>
              <w:rPr>
                <w:rFonts w:eastAsia="Times New Roman" w:cs="Times New Roman"/>
                <w:b w:val="0"/>
                <w:color w:val="auto"/>
                <w:sz w:val="20"/>
                <w:szCs w:val="20"/>
                <w:lang w:eastAsia="pl-PL"/>
              </w:rPr>
            </w:pPr>
            <w:r w:rsidRPr="00BA4E97">
              <w:rPr>
                <w:rFonts w:eastAsia="Times New Roman" w:cs="Times New Roman"/>
                <w:color w:val="auto"/>
                <w:sz w:val="20"/>
                <w:szCs w:val="20"/>
                <w:lang w:eastAsia="pl-PL"/>
              </w:rPr>
              <w:t xml:space="preserve">Osoby, którym udzielono świadczeń w izbie przyjęć i SOR w trybie ambulatoryjnym </w:t>
            </w:r>
          </w:p>
        </w:tc>
        <w:tc>
          <w:tcPr>
            <w:tcW w:w="1660" w:type="dxa"/>
            <w:noWrap/>
            <w:hideMark/>
          </w:tcPr>
          <w:p w14:paraId="1E34B642" w14:textId="77777777" w:rsidR="003215CC" w:rsidRPr="00BA4E97"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A4E97">
              <w:rPr>
                <w:sz w:val="20"/>
                <w:szCs w:val="20"/>
              </w:rPr>
              <w:t>100,0</w:t>
            </w:r>
          </w:p>
        </w:tc>
        <w:tc>
          <w:tcPr>
            <w:tcW w:w="1660" w:type="dxa"/>
            <w:noWrap/>
            <w:hideMark/>
          </w:tcPr>
          <w:p w14:paraId="6740CAA8" w14:textId="77777777" w:rsidR="003215CC" w:rsidRPr="00BA4E97"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A4E97">
              <w:rPr>
                <w:sz w:val="20"/>
                <w:szCs w:val="20"/>
              </w:rPr>
              <w:t>48,5</w:t>
            </w:r>
          </w:p>
        </w:tc>
        <w:tc>
          <w:tcPr>
            <w:tcW w:w="1660" w:type="dxa"/>
            <w:noWrap/>
            <w:hideMark/>
          </w:tcPr>
          <w:p w14:paraId="3BAB7037" w14:textId="77777777" w:rsidR="003215CC" w:rsidRPr="00BA4E97"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A4E97">
              <w:rPr>
                <w:sz w:val="20"/>
                <w:szCs w:val="20"/>
              </w:rPr>
              <w:t>51,5</w:t>
            </w:r>
          </w:p>
        </w:tc>
      </w:tr>
      <w:tr w:rsidR="003215CC" w:rsidRPr="00BA4E97" w14:paraId="1292052A" w14:textId="77777777" w:rsidTr="00AD7202">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038" w:type="dxa"/>
            <w:hideMark/>
          </w:tcPr>
          <w:p w14:paraId="0C2C1041" w14:textId="77777777" w:rsidR="003215CC" w:rsidRPr="00BA4E97" w:rsidRDefault="003215CC" w:rsidP="00AD7202">
            <w:pPr>
              <w:spacing w:line="240" w:lineRule="auto"/>
              <w:rPr>
                <w:rFonts w:eastAsia="Times New Roman" w:cs="Times New Roman"/>
                <w:b w:val="0"/>
                <w:color w:val="auto"/>
                <w:sz w:val="20"/>
                <w:szCs w:val="20"/>
                <w:lang w:eastAsia="pl-PL"/>
              </w:rPr>
            </w:pPr>
            <w:r w:rsidRPr="00BA4E97">
              <w:rPr>
                <w:rFonts w:eastAsia="Times New Roman" w:cs="Times New Roman"/>
                <w:color w:val="auto"/>
                <w:sz w:val="20"/>
                <w:szCs w:val="20"/>
                <w:lang w:eastAsia="pl-PL"/>
              </w:rPr>
              <w:t>Osoby, którym udzielono świadczeń w izbie przyjęć i SOR w trybie ambulatoryjnym na 1 tys. ludności w danym wieku</w:t>
            </w:r>
          </w:p>
        </w:tc>
        <w:tc>
          <w:tcPr>
            <w:tcW w:w="1660" w:type="dxa"/>
            <w:noWrap/>
            <w:hideMark/>
          </w:tcPr>
          <w:p w14:paraId="117833D4" w14:textId="77777777" w:rsidR="003215CC" w:rsidRPr="00BA4E97"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A4E97">
              <w:rPr>
                <w:sz w:val="20"/>
                <w:szCs w:val="20"/>
              </w:rPr>
              <w:t>3 247 578</w:t>
            </w:r>
          </w:p>
        </w:tc>
        <w:tc>
          <w:tcPr>
            <w:tcW w:w="1660" w:type="dxa"/>
            <w:noWrap/>
            <w:hideMark/>
          </w:tcPr>
          <w:p w14:paraId="4B6917EB" w14:textId="77777777" w:rsidR="003215CC" w:rsidRPr="00BA4E97"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A4E97">
              <w:rPr>
                <w:sz w:val="20"/>
                <w:szCs w:val="20"/>
              </w:rPr>
              <w:t>828 731</w:t>
            </w:r>
          </w:p>
        </w:tc>
        <w:tc>
          <w:tcPr>
            <w:tcW w:w="1660" w:type="dxa"/>
            <w:noWrap/>
            <w:hideMark/>
          </w:tcPr>
          <w:p w14:paraId="19C76C4A" w14:textId="77777777" w:rsidR="003215CC" w:rsidRPr="00BA4E97"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A4E97">
              <w:rPr>
                <w:sz w:val="20"/>
                <w:szCs w:val="20"/>
              </w:rPr>
              <w:t>2 418 847</w:t>
            </w:r>
          </w:p>
        </w:tc>
      </w:tr>
    </w:tbl>
    <w:p w14:paraId="06DCCB2B" w14:textId="25393082" w:rsidR="003215CC" w:rsidRPr="00BA4E97" w:rsidRDefault="003215CC" w:rsidP="003215CC">
      <w:pPr>
        <w:jc w:val="left"/>
        <w:rPr>
          <w:rFonts w:cs="Times New Roman"/>
          <w:b/>
          <w:sz w:val="22"/>
        </w:rPr>
      </w:pPr>
      <w:r w:rsidRPr="00BA4E97">
        <w:rPr>
          <w:rFonts w:cs="Times New Roman"/>
          <w:b/>
          <w:sz w:val="22"/>
        </w:rPr>
        <w:t xml:space="preserve">Źródło: </w:t>
      </w:r>
      <w:r>
        <w:rPr>
          <w:rFonts w:cs="Times New Roman"/>
          <w:b/>
          <w:sz w:val="22"/>
        </w:rPr>
        <w:t xml:space="preserve">Badanie </w:t>
      </w:r>
      <w:r w:rsidRPr="00BA4E97">
        <w:rPr>
          <w:rFonts w:cs="Times New Roman"/>
          <w:b/>
          <w:sz w:val="22"/>
        </w:rPr>
        <w:t>GUS (formularz ZD</w:t>
      </w:r>
      <w:r>
        <w:rPr>
          <w:rFonts w:cs="Times New Roman"/>
          <w:b/>
          <w:sz w:val="22"/>
        </w:rPr>
        <w:t>-4</w:t>
      </w:r>
      <w:r w:rsidRPr="00BA4E97">
        <w:rPr>
          <w:rFonts w:cs="Times New Roman"/>
          <w:b/>
          <w:sz w:val="22"/>
        </w:rPr>
        <w:t>)</w:t>
      </w:r>
      <w:r>
        <w:rPr>
          <w:rFonts w:cs="Times New Roman"/>
          <w:b/>
          <w:sz w:val="22"/>
        </w:rPr>
        <w:t>.</w:t>
      </w:r>
    </w:p>
    <w:bookmarkEnd w:id="31"/>
    <w:p w14:paraId="5F6AD8DB" w14:textId="3F7862C8" w:rsidR="003215CC" w:rsidRDefault="003215CC" w:rsidP="003215CC">
      <w:pPr>
        <w:rPr>
          <w:rFonts w:cs="Times New Roman"/>
        </w:rPr>
      </w:pPr>
    </w:p>
    <w:p w14:paraId="0746488F" w14:textId="0F7E6A32" w:rsidR="008470A9" w:rsidRPr="00BA012C" w:rsidRDefault="008470A9" w:rsidP="008470A9">
      <w:pPr>
        <w:rPr>
          <w:b/>
        </w:rPr>
      </w:pPr>
      <w:r w:rsidRPr="00BA012C">
        <w:rPr>
          <w:b/>
        </w:rPr>
        <w:t>Zaopatrzenie w wyroby medyczne</w:t>
      </w:r>
    </w:p>
    <w:p w14:paraId="1ACD3BAC" w14:textId="1ADA6863" w:rsidR="00340F91" w:rsidRDefault="008470A9" w:rsidP="008470A9">
      <w:r>
        <w:t xml:space="preserve">W poniższej tabeli </w:t>
      </w:r>
      <w:r w:rsidRPr="00BA012C">
        <w:t xml:space="preserve">przedstawiono dane liczbowe na temat zaopatrzenia w wyroby medyczne wydawane na zlecenie </w:t>
      </w:r>
      <w:r w:rsidR="00340F91">
        <w:t>dla osób powyżej 60. roku życia</w:t>
      </w:r>
    </w:p>
    <w:p w14:paraId="47E36EAA" w14:textId="207BAE06" w:rsidR="00340F91" w:rsidRDefault="00340F91" w:rsidP="008470A9"/>
    <w:p w14:paraId="43CFD8B9" w14:textId="32FE1F3C" w:rsidR="00340F91" w:rsidRDefault="00340F91" w:rsidP="008470A9"/>
    <w:p w14:paraId="5A01008F" w14:textId="0B3C3F6F" w:rsidR="00340F91" w:rsidRDefault="00340F91" w:rsidP="008470A9"/>
    <w:p w14:paraId="215A4D08" w14:textId="6CCF84EF" w:rsidR="00340F91" w:rsidRDefault="00340F91" w:rsidP="008470A9"/>
    <w:p w14:paraId="702BC27A" w14:textId="77777777" w:rsidR="00340F91" w:rsidRPr="00340F91" w:rsidRDefault="00340F91" w:rsidP="008470A9"/>
    <w:p w14:paraId="79364CFE" w14:textId="70308FF4" w:rsidR="008470A9" w:rsidRDefault="008470A9" w:rsidP="008470A9">
      <w:pPr>
        <w:rPr>
          <w:b/>
          <w:bCs/>
        </w:rPr>
      </w:pPr>
      <w:r w:rsidRPr="00280529">
        <w:rPr>
          <w:b/>
          <w:bCs/>
        </w:rPr>
        <w:lastRenderedPageBreak/>
        <w:t xml:space="preserve">Tabela </w:t>
      </w:r>
      <w:r w:rsidR="00340F91">
        <w:rPr>
          <w:b/>
          <w:bCs/>
        </w:rPr>
        <w:t>21</w:t>
      </w:r>
      <w:r w:rsidR="00EE73AF">
        <w:rPr>
          <w:b/>
          <w:bCs/>
        </w:rPr>
        <w:t>.</w:t>
      </w:r>
      <w:r w:rsidRPr="00280529">
        <w:rPr>
          <w:b/>
          <w:bCs/>
        </w:rPr>
        <w:t xml:space="preserve"> Zaopatrzenie w wyroby medyczne wydawane na zlecenie pacjentów</w:t>
      </w:r>
    </w:p>
    <w:tbl>
      <w:tblPr>
        <w:tblStyle w:val="Tabelasiatki4akcent2"/>
        <w:tblW w:w="0" w:type="auto"/>
        <w:tblLook w:val="04A0" w:firstRow="1" w:lastRow="0" w:firstColumn="1" w:lastColumn="0" w:noHBand="0" w:noVBand="1"/>
      </w:tblPr>
      <w:tblGrid>
        <w:gridCol w:w="2339"/>
        <w:gridCol w:w="2339"/>
        <w:gridCol w:w="2339"/>
        <w:gridCol w:w="2339"/>
      </w:tblGrid>
      <w:tr w:rsidR="008470A9" w14:paraId="66FFB310" w14:textId="77777777" w:rsidTr="0084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333496D3" w14:textId="77777777" w:rsidR="008470A9" w:rsidRPr="003908E2" w:rsidRDefault="008470A9" w:rsidP="008470A9">
            <w:pPr>
              <w:rPr>
                <w:color w:val="auto"/>
                <w:sz w:val="20"/>
                <w:szCs w:val="20"/>
              </w:rPr>
            </w:pPr>
            <w:r w:rsidRPr="003908E2">
              <w:rPr>
                <w:color w:val="auto"/>
                <w:sz w:val="20"/>
                <w:szCs w:val="20"/>
              </w:rPr>
              <w:t>Grupa</w:t>
            </w:r>
            <w:r w:rsidRPr="003908E2">
              <w:rPr>
                <w:color w:val="auto"/>
                <w:sz w:val="20"/>
                <w:szCs w:val="20"/>
              </w:rPr>
              <w:tab/>
            </w:r>
          </w:p>
        </w:tc>
        <w:tc>
          <w:tcPr>
            <w:tcW w:w="2339" w:type="dxa"/>
          </w:tcPr>
          <w:p w14:paraId="038ADB85" w14:textId="77777777" w:rsidR="008470A9" w:rsidRPr="003908E2" w:rsidRDefault="008470A9" w:rsidP="008470A9">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908E2">
              <w:rPr>
                <w:color w:val="auto"/>
                <w:sz w:val="20"/>
                <w:szCs w:val="20"/>
              </w:rPr>
              <w:t>Liczba pacjentów</w:t>
            </w:r>
          </w:p>
        </w:tc>
        <w:tc>
          <w:tcPr>
            <w:tcW w:w="2339" w:type="dxa"/>
          </w:tcPr>
          <w:p w14:paraId="01144002" w14:textId="77777777" w:rsidR="008470A9" w:rsidRPr="003908E2" w:rsidRDefault="008470A9" w:rsidP="008470A9">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908E2">
              <w:rPr>
                <w:color w:val="auto"/>
                <w:sz w:val="20"/>
                <w:szCs w:val="20"/>
              </w:rPr>
              <w:t>Liczba wyrobów</w:t>
            </w:r>
          </w:p>
        </w:tc>
        <w:tc>
          <w:tcPr>
            <w:tcW w:w="2339" w:type="dxa"/>
          </w:tcPr>
          <w:p w14:paraId="00E8332B" w14:textId="77777777" w:rsidR="008470A9" w:rsidRPr="003908E2" w:rsidRDefault="008470A9" w:rsidP="008470A9">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908E2">
              <w:rPr>
                <w:color w:val="auto"/>
                <w:sz w:val="20"/>
                <w:szCs w:val="20"/>
              </w:rPr>
              <w:t>Wartość rozliczonych wyrobów (w zł)</w:t>
            </w:r>
          </w:p>
        </w:tc>
      </w:tr>
      <w:tr w:rsidR="008470A9" w14:paraId="4E715934" w14:textId="77777777" w:rsidTr="0084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7A856C39" w14:textId="77777777" w:rsidR="008470A9" w:rsidRPr="003908E2" w:rsidRDefault="008470A9" w:rsidP="008470A9">
            <w:pPr>
              <w:rPr>
                <w:b w:val="0"/>
                <w:bCs w:val="0"/>
                <w:sz w:val="20"/>
                <w:szCs w:val="20"/>
              </w:rPr>
            </w:pPr>
            <w:r w:rsidRPr="003908E2">
              <w:rPr>
                <w:b w:val="0"/>
                <w:bCs w:val="0"/>
                <w:sz w:val="20"/>
                <w:szCs w:val="20"/>
              </w:rPr>
              <w:t>Pacjenci ogółem</w:t>
            </w:r>
          </w:p>
        </w:tc>
        <w:tc>
          <w:tcPr>
            <w:tcW w:w="2339" w:type="dxa"/>
            <w:vAlign w:val="center"/>
          </w:tcPr>
          <w:p w14:paraId="6B95BE84" w14:textId="77777777" w:rsidR="008470A9" w:rsidRPr="003908E2" w:rsidRDefault="008470A9" w:rsidP="008470A9">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3908E2">
              <w:rPr>
                <w:sz w:val="20"/>
                <w:szCs w:val="20"/>
              </w:rPr>
              <w:t>1 625 320</w:t>
            </w:r>
          </w:p>
        </w:tc>
        <w:tc>
          <w:tcPr>
            <w:tcW w:w="2339" w:type="dxa"/>
            <w:vAlign w:val="center"/>
          </w:tcPr>
          <w:p w14:paraId="6ABAB8E0" w14:textId="77777777" w:rsidR="008470A9" w:rsidRPr="003908E2" w:rsidRDefault="008470A9" w:rsidP="008470A9">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3908E2">
              <w:rPr>
                <w:sz w:val="20"/>
                <w:szCs w:val="20"/>
              </w:rPr>
              <w:t>337 589 649</w:t>
            </w:r>
          </w:p>
        </w:tc>
        <w:tc>
          <w:tcPr>
            <w:tcW w:w="2339" w:type="dxa"/>
            <w:vAlign w:val="center"/>
          </w:tcPr>
          <w:p w14:paraId="18534B02" w14:textId="77777777" w:rsidR="008470A9" w:rsidRPr="003908E2" w:rsidRDefault="008470A9" w:rsidP="008470A9">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3908E2">
              <w:rPr>
                <w:sz w:val="20"/>
                <w:szCs w:val="20"/>
              </w:rPr>
              <w:t>1 233 894 665</w:t>
            </w:r>
          </w:p>
        </w:tc>
      </w:tr>
      <w:tr w:rsidR="008470A9" w14:paraId="729258AD" w14:textId="77777777" w:rsidTr="008470A9">
        <w:tc>
          <w:tcPr>
            <w:cnfStyle w:val="001000000000" w:firstRow="0" w:lastRow="0" w:firstColumn="1" w:lastColumn="0" w:oddVBand="0" w:evenVBand="0" w:oddHBand="0" w:evenHBand="0" w:firstRowFirstColumn="0" w:firstRowLastColumn="0" w:lastRowFirstColumn="0" w:lastRowLastColumn="0"/>
            <w:tcW w:w="2339" w:type="dxa"/>
          </w:tcPr>
          <w:p w14:paraId="6D77F2AF" w14:textId="77777777" w:rsidR="008470A9" w:rsidRPr="003908E2" w:rsidRDefault="008470A9" w:rsidP="008470A9">
            <w:pPr>
              <w:rPr>
                <w:b w:val="0"/>
                <w:bCs w:val="0"/>
                <w:sz w:val="20"/>
                <w:szCs w:val="20"/>
              </w:rPr>
            </w:pPr>
            <w:r w:rsidRPr="003908E2">
              <w:rPr>
                <w:b w:val="0"/>
                <w:bCs w:val="0"/>
                <w:sz w:val="20"/>
                <w:szCs w:val="20"/>
              </w:rPr>
              <w:t>W tym pacjenci w wieku 60 lat i więcej</w:t>
            </w:r>
          </w:p>
        </w:tc>
        <w:tc>
          <w:tcPr>
            <w:tcW w:w="2339" w:type="dxa"/>
            <w:vAlign w:val="center"/>
          </w:tcPr>
          <w:p w14:paraId="2DA618C3" w14:textId="77777777" w:rsidR="008470A9" w:rsidRPr="003908E2" w:rsidRDefault="008470A9" w:rsidP="008470A9">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908E2">
              <w:rPr>
                <w:sz w:val="20"/>
                <w:szCs w:val="20"/>
              </w:rPr>
              <w:t>1 015 723</w:t>
            </w:r>
          </w:p>
        </w:tc>
        <w:tc>
          <w:tcPr>
            <w:tcW w:w="2339" w:type="dxa"/>
            <w:vAlign w:val="center"/>
          </w:tcPr>
          <w:p w14:paraId="5810CDF9" w14:textId="77777777" w:rsidR="008470A9" w:rsidRPr="003908E2" w:rsidRDefault="008470A9" w:rsidP="008470A9">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908E2">
              <w:rPr>
                <w:sz w:val="20"/>
                <w:szCs w:val="20"/>
              </w:rPr>
              <w:t>266 380 217</w:t>
            </w:r>
          </w:p>
        </w:tc>
        <w:tc>
          <w:tcPr>
            <w:tcW w:w="2339" w:type="dxa"/>
            <w:vAlign w:val="center"/>
          </w:tcPr>
          <w:p w14:paraId="17BAC132" w14:textId="77777777" w:rsidR="008470A9" w:rsidRPr="003908E2" w:rsidRDefault="008470A9" w:rsidP="008470A9">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908E2">
              <w:rPr>
                <w:sz w:val="20"/>
                <w:szCs w:val="20"/>
              </w:rPr>
              <w:t>784 483 024</w:t>
            </w:r>
          </w:p>
        </w:tc>
      </w:tr>
    </w:tbl>
    <w:p w14:paraId="7360E9EB" w14:textId="77777777" w:rsidR="008470A9" w:rsidRPr="003908E2" w:rsidRDefault="008470A9" w:rsidP="008470A9">
      <w:pPr>
        <w:rPr>
          <w:b/>
          <w:bCs/>
          <w:sz w:val="22"/>
        </w:rPr>
      </w:pPr>
      <w:r w:rsidRPr="00280529">
        <w:rPr>
          <w:b/>
          <w:bCs/>
        </w:rPr>
        <w:t xml:space="preserve"> </w:t>
      </w:r>
      <w:r w:rsidRPr="003908E2">
        <w:rPr>
          <w:b/>
          <w:bCs/>
          <w:sz w:val="22"/>
        </w:rPr>
        <w:t>Źródło: Dane Ministerstwa Zdrowia.</w:t>
      </w:r>
    </w:p>
    <w:p w14:paraId="1B4E607F" w14:textId="77777777" w:rsidR="008470A9" w:rsidRDefault="008470A9" w:rsidP="003215CC">
      <w:pPr>
        <w:rPr>
          <w:rFonts w:cs="Times New Roman"/>
        </w:rPr>
      </w:pPr>
    </w:p>
    <w:p w14:paraId="1E32D8C6" w14:textId="77777777" w:rsidR="00340F91" w:rsidRDefault="00340F91" w:rsidP="00340F91">
      <w:pPr>
        <w:rPr>
          <w:rFonts w:cs="Times New Roman"/>
        </w:rPr>
      </w:pPr>
      <w:r w:rsidRPr="00F34442">
        <w:rPr>
          <w:rFonts w:cs="Times New Roman"/>
        </w:rPr>
        <w:t>W 20</w:t>
      </w:r>
      <w:r>
        <w:rPr>
          <w:rFonts w:cs="Times New Roman"/>
        </w:rPr>
        <w:t>20</w:t>
      </w:r>
      <w:r w:rsidRPr="00F34442">
        <w:rPr>
          <w:rFonts w:cs="Times New Roman"/>
        </w:rPr>
        <w:t xml:space="preserve"> r. z lecznictwa uzdrowiskowego w trybie stacjonarnym skorzystało ponad 808 tys. osób. Prawie połowę (47,2%) kuracjuszy stanowiły osoby w wieku 65 lat i więcej</w:t>
      </w:r>
      <w:r>
        <w:rPr>
          <w:rFonts w:cs="Times New Roman"/>
        </w:rPr>
        <w:t>.</w:t>
      </w:r>
    </w:p>
    <w:p w14:paraId="5D807E6B" w14:textId="77777777" w:rsidR="003215CC" w:rsidRDefault="003215CC" w:rsidP="003215CC">
      <w:pPr>
        <w:rPr>
          <w:rFonts w:cs="Times New Roman"/>
        </w:rPr>
      </w:pPr>
    </w:p>
    <w:p w14:paraId="5E17E32A" w14:textId="22C70594" w:rsidR="00C271AD" w:rsidRPr="00F34442" w:rsidRDefault="00C271AD" w:rsidP="00C271AD">
      <w:pPr>
        <w:pStyle w:val="Legenda"/>
        <w:keepNext/>
        <w:jc w:val="left"/>
        <w:rPr>
          <w:rFonts w:cs="Times New Roman"/>
          <w:b/>
          <w:i w:val="0"/>
          <w:color w:val="auto"/>
          <w:sz w:val="24"/>
        </w:rPr>
      </w:pPr>
      <w:r w:rsidRPr="00392F2F">
        <w:rPr>
          <w:rFonts w:cs="Times New Roman"/>
          <w:b/>
          <w:i w:val="0"/>
          <w:color w:val="auto"/>
          <w:sz w:val="24"/>
        </w:rPr>
        <w:t xml:space="preserve">Tabela </w:t>
      </w:r>
      <w:r>
        <w:rPr>
          <w:rFonts w:cs="Times New Roman"/>
          <w:b/>
          <w:i w:val="0"/>
          <w:color w:val="auto"/>
          <w:sz w:val="24"/>
        </w:rPr>
        <w:t>2</w:t>
      </w:r>
      <w:r w:rsidR="008428AF">
        <w:rPr>
          <w:rFonts w:cs="Times New Roman"/>
          <w:b/>
          <w:i w:val="0"/>
          <w:color w:val="auto"/>
          <w:sz w:val="24"/>
        </w:rPr>
        <w:t>2</w:t>
      </w:r>
      <w:r w:rsidR="00EE73AF">
        <w:rPr>
          <w:rFonts w:cs="Times New Roman"/>
          <w:b/>
          <w:i w:val="0"/>
          <w:color w:val="auto"/>
          <w:sz w:val="24"/>
        </w:rPr>
        <w:t>.</w:t>
      </w:r>
      <w:r w:rsidRPr="00392F2F">
        <w:rPr>
          <w:rFonts w:cs="Times New Roman"/>
          <w:b/>
          <w:i w:val="0"/>
          <w:color w:val="auto"/>
          <w:sz w:val="24"/>
        </w:rPr>
        <w:t xml:space="preserve"> </w:t>
      </w:r>
      <w:r w:rsidRPr="00C271AD">
        <w:rPr>
          <w:rFonts w:cs="Times New Roman"/>
          <w:b/>
          <w:i w:val="0"/>
          <w:color w:val="auto"/>
          <w:sz w:val="24"/>
        </w:rPr>
        <w:t>Kuracjusze lecznictwa uzdrowiskowego leczeni w trybie stacjonarnym</w:t>
      </w:r>
    </w:p>
    <w:tbl>
      <w:tblPr>
        <w:tblStyle w:val="Tabelasiatki5ciemnaakcent2"/>
        <w:tblW w:w="8900" w:type="dxa"/>
        <w:tblLook w:val="04A0" w:firstRow="1" w:lastRow="0" w:firstColumn="1" w:lastColumn="0" w:noHBand="0" w:noVBand="1"/>
      </w:tblPr>
      <w:tblGrid>
        <w:gridCol w:w="4880"/>
        <w:gridCol w:w="1340"/>
        <w:gridCol w:w="1340"/>
        <w:gridCol w:w="1340"/>
      </w:tblGrid>
      <w:tr w:rsidR="00C271AD" w:rsidRPr="00C271AD" w14:paraId="0A45295F" w14:textId="77777777" w:rsidTr="00C271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80" w:type="dxa"/>
            <w:vMerge w:val="restart"/>
            <w:hideMark/>
          </w:tcPr>
          <w:p w14:paraId="22D23BBC" w14:textId="77777777" w:rsidR="003215CC" w:rsidRPr="00F34442" w:rsidRDefault="003215CC" w:rsidP="00AD7202">
            <w:pPr>
              <w:spacing w:line="240" w:lineRule="auto"/>
              <w:jc w:val="center"/>
              <w:rPr>
                <w:rFonts w:eastAsia="Times New Roman" w:cs="Times New Roman"/>
                <w:color w:val="auto"/>
                <w:sz w:val="20"/>
                <w:szCs w:val="20"/>
                <w:lang w:eastAsia="pl-PL"/>
              </w:rPr>
            </w:pPr>
            <w:r w:rsidRPr="00F34442">
              <w:rPr>
                <w:rFonts w:eastAsia="Times New Roman" w:cs="Times New Roman"/>
                <w:color w:val="auto"/>
                <w:sz w:val="20"/>
                <w:szCs w:val="20"/>
                <w:lang w:eastAsia="pl-PL"/>
              </w:rPr>
              <w:t>Wyszczególnienie</w:t>
            </w:r>
          </w:p>
        </w:tc>
        <w:tc>
          <w:tcPr>
            <w:tcW w:w="1340" w:type="dxa"/>
            <w:vMerge w:val="restart"/>
            <w:noWrap/>
            <w:hideMark/>
          </w:tcPr>
          <w:p w14:paraId="764A615A" w14:textId="77777777" w:rsidR="003215CC" w:rsidRPr="00F34442" w:rsidRDefault="003215CC"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F34442">
              <w:rPr>
                <w:rFonts w:eastAsia="Times New Roman" w:cs="Times New Roman"/>
                <w:color w:val="auto"/>
                <w:sz w:val="20"/>
                <w:szCs w:val="20"/>
                <w:lang w:eastAsia="pl-PL"/>
              </w:rPr>
              <w:t>Ogółem</w:t>
            </w:r>
          </w:p>
        </w:tc>
        <w:tc>
          <w:tcPr>
            <w:tcW w:w="2680" w:type="dxa"/>
            <w:gridSpan w:val="2"/>
            <w:hideMark/>
          </w:tcPr>
          <w:p w14:paraId="1E85B388" w14:textId="77777777" w:rsidR="003215CC" w:rsidRPr="00F34442" w:rsidRDefault="003215CC"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F34442">
              <w:rPr>
                <w:rFonts w:eastAsia="Times New Roman" w:cs="Times New Roman"/>
                <w:color w:val="auto"/>
                <w:sz w:val="20"/>
                <w:szCs w:val="20"/>
                <w:lang w:eastAsia="pl-PL"/>
              </w:rPr>
              <w:t>Z ogółem w wieku</w:t>
            </w:r>
          </w:p>
        </w:tc>
      </w:tr>
      <w:tr w:rsidR="00C271AD" w:rsidRPr="00C271AD" w14:paraId="5D53C877" w14:textId="77777777" w:rsidTr="00C271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80" w:type="dxa"/>
            <w:vMerge/>
            <w:hideMark/>
          </w:tcPr>
          <w:p w14:paraId="1A50E77F" w14:textId="77777777" w:rsidR="003215CC" w:rsidRPr="00F34442" w:rsidRDefault="003215CC" w:rsidP="00AD7202">
            <w:pPr>
              <w:spacing w:line="240" w:lineRule="auto"/>
              <w:jc w:val="center"/>
              <w:rPr>
                <w:rFonts w:eastAsia="Times New Roman" w:cs="Times New Roman"/>
                <w:color w:val="auto"/>
                <w:sz w:val="20"/>
                <w:szCs w:val="20"/>
                <w:lang w:eastAsia="pl-PL"/>
              </w:rPr>
            </w:pPr>
          </w:p>
        </w:tc>
        <w:tc>
          <w:tcPr>
            <w:tcW w:w="1340" w:type="dxa"/>
            <w:vMerge/>
            <w:hideMark/>
          </w:tcPr>
          <w:p w14:paraId="2CCDBFA4" w14:textId="77777777" w:rsidR="003215CC" w:rsidRPr="00F34442"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40" w:type="dxa"/>
            <w:hideMark/>
          </w:tcPr>
          <w:p w14:paraId="6C3DBB83" w14:textId="77777777" w:rsidR="003215CC" w:rsidRPr="00F34442"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34442">
              <w:rPr>
                <w:rFonts w:eastAsia="Times New Roman" w:cs="Times New Roman"/>
                <w:b/>
                <w:sz w:val="20"/>
                <w:szCs w:val="20"/>
                <w:lang w:eastAsia="pl-PL"/>
              </w:rPr>
              <w:t>65 lat i więcej</w:t>
            </w:r>
          </w:p>
        </w:tc>
        <w:tc>
          <w:tcPr>
            <w:tcW w:w="1340" w:type="dxa"/>
            <w:noWrap/>
            <w:hideMark/>
          </w:tcPr>
          <w:p w14:paraId="174F6EA1" w14:textId="77777777" w:rsidR="003215CC" w:rsidRPr="00F34442"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34442">
              <w:rPr>
                <w:rFonts w:eastAsia="Times New Roman" w:cs="Times New Roman"/>
                <w:b/>
                <w:sz w:val="20"/>
                <w:szCs w:val="20"/>
                <w:lang w:eastAsia="pl-PL"/>
              </w:rPr>
              <w:t>0-64 lata</w:t>
            </w:r>
          </w:p>
        </w:tc>
      </w:tr>
      <w:tr w:rsidR="00C271AD" w:rsidRPr="00C271AD" w14:paraId="0F6A8270" w14:textId="77777777" w:rsidTr="00C271AD">
        <w:trPr>
          <w:trHeight w:val="300"/>
        </w:trPr>
        <w:tc>
          <w:tcPr>
            <w:cnfStyle w:val="001000000000" w:firstRow="0" w:lastRow="0" w:firstColumn="1" w:lastColumn="0" w:oddVBand="0" w:evenVBand="0" w:oddHBand="0" w:evenHBand="0" w:firstRowFirstColumn="0" w:firstRowLastColumn="0" w:lastRowFirstColumn="0" w:lastRowLastColumn="0"/>
            <w:tcW w:w="4880" w:type="dxa"/>
            <w:hideMark/>
          </w:tcPr>
          <w:p w14:paraId="723E5CFC" w14:textId="77777777" w:rsidR="00C271AD" w:rsidRPr="00F34442" w:rsidRDefault="00C271AD" w:rsidP="00C271AD">
            <w:pPr>
              <w:spacing w:line="240" w:lineRule="auto"/>
              <w:jc w:val="left"/>
              <w:rPr>
                <w:rFonts w:eastAsia="Times New Roman" w:cs="Times New Roman"/>
                <w:color w:val="auto"/>
                <w:sz w:val="20"/>
                <w:szCs w:val="20"/>
                <w:lang w:eastAsia="pl-PL"/>
              </w:rPr>
            </w:pPr>
            <w:r w:rsidRPr="00F34442">
              <w:rPr>
                <w:rFonts w:eastAsia="Times New Roman" w:cs="Times New Roman"/>
                <w:color w:val="auto"/>
                <w:sz w:val="20"/>
                <w:szCs w:val="20"/>
                <w:lang w:eastAsia="pl-PL"/>
              </w:rPr>
              <w:t>Kuracjusze</w:t>
            </w:r>
          </w:p>
        </w:tc>
        <w:tc>
          <w:tcPr>
            <w:tcW w:w="1340" w:type="dxa"/>
            <w:noWrap/>
            <w:hideMark/>
          </w:tcPr>
          <w:p w14:paraId="5D8234FE" w14:textId="5AC3B6DD" w:rsidR="00C271AD" w:rsidRPr="00F34442" w:rsidRDefault="00C271AD" w:rsidP="00C271A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271AD">
              <w:rPr>
                <w:sz w:val="20"/>
                <w:szCs w:val="20"/>
              </w:rPr>
              <w:t>407 330</w:t>
            </w:r>
          </w:p>
        </w:tc>
        <w:tc>
          <w:tcPr>
            <w:tcW w:w="1340" w:type="dxa"/>
            <w:noWrap/>
            <w:hideMark/>
          </w:tcPr>
          <w:p w14:paraId="6737E171" w14:textId="59CD4D96" w:rsidR="00C271AD" w:rsidRPr="00F34442" w:rsidRDefault="00C271AD" w:rsidP="00C271A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271AD">
              <w:rPr>
                <w:sz w:val="20"/>
                <w:szCs w:val="20"/>
              </w:rPr>
              <w:t>187 312</w:t>
            </w:r>
          </w:p>
        </w:tc>
        <w:tc>
          <w:tcPr>
            <w:tcW w:w="1340" w:type="dxa"/>
            <w:noWrap/>
            <w:hideMark/>
          </w:tcPr>
          <w:p w14:paraId="65D09ED7" w14:textId="3FE6DFB8" w:rsidR="00C271AD" w:rsidRPr="00F34442" w:rsidRDefault="00C271AD" w:rsidP="00C271A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271AD">
              <w:rPr>
                <w:sz w:val="20"/>
                <w:szCs w:val="20"/>
              </w:rPr>
              <w:t>220 018</w:t>
            </w:r>
          </w:p>
        </w:tc>
      </w:tr>
      <w:tr w:rsidR="00C271AD" w:rsidRPr="00C271AD" w14:paraId="636B4EF2" w14:textId="77777777" w:rsidTr="00C271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80" w:type="dxa"/>
            <w:noWrap/>
            <w:hideMark/>
          </w:tcPr>
          <w:p w14:paraId="041ABE7C" w14:textId="77777777" w:rsidR="00C271AD" w:rsidRPr="00F34442" w:rsidRDefault="00C271AD" w:rsidP="00C271AD">
            <w:pPr>
              <w:spacing w:line="240" w:lineRule="auto"/>
              <w:jc w:val="left"/>
              <w:rPr>
                <w:rFonts w:eastAsia="Times New Roman" w:cs="Times New Roman"/>
                <w:color w:val="auto"/>
                <w:sz w:val="20"/>
                <w:szCs w:val="20"/>
                <w:lang w:eastAsia="pl-PL"/>
              </w:rPr>
            </w:pPr>
            <w:r w:rsidRPr="00F34442">
              <w:rPr>
                <w:rFonts w:eastAsia="Times New Roman" w:cs="Times New Roman"/>
                <w:color w:val="auto"/>
                <w:sz w:val="20"/>
                <w:szCs w:val="20"/>
                <w:lang w:eastAsia="pl-PL"/>
              </w:rPr>
              <w:t>Struktura wieku kuracjuszy w %</w:t>
            </w:r>
          </w:p>
        </w:tc>
        <w:tc>
          <w:tcPr>
            <w:tcW w:w="1340" w:type="dxa"/>
            <w:noWrap/>
            <w:hideMark/>
          </w:tcPr>
          <w:p w14:paraId="110A4C94" w14:textId="7836A4B6" w:rsidR="00C271AD" w:rsidRPr="00F34442" w:rsidRDefault="00C271AD" w:rsidP="00C271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271AD">
              <w:rPr>
                <w:sz w:val="20"/>
                <w:szCs w:val="20"/>
              </w:rPr>
              <w:t>100</w:t>
            </w:r>
          </w:p>
        </w:tc>
        <w:tc>
          <w:tcPr>
            <w:tcW w:w="1340" w:type="dxa"/>
            <w:noWrap/>
            <w:hideMark/>
          </w:tcPr>
          <w:p w14:paraId="53287FB7" w14:textId="056A77F5" w:rsidR="00C271AD" w:rsidRPr="00F34442" w:rsidRDefault="00C271AD" w:rsidP="00C271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271AD">
              <w:rPr>
                <w:sz w:val="20"/>
                <w:szCs w:val="20"/>
              </w:rPr>
              <w:t>46,0</w:t>
            </w:r>
          </w:p>
        </w:tc>
        <w:tc>
          <w:tcPr>
            <w:tcW w:w="1340" w:type="dxa"/>
            <w:noWrap/>
            <w:hideMark/>
          </w:tcPr>
          <w:p w14:paraId="53B860ED" w14:textId="77943695" w:rsidR="00C271AD" w:rsidRPr="00F34442" w:rsidRDefault="00C271AD" w:rsidP="00C271A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271AD">
              <w:rPr>
                <w:sz w:val="20"/>
                <w:szCs w:val="20"/>
              </w:rPr>
              <w:t>54,0</w:t>
            </w:r>
          </w:p>
        </w:tc>
      </w:tr>
      <w:tr w:rsidR="00C271AD" w:rsidRPr="00C271AD" w14:paraId="64EDDFF4" w14:textId="77777777" w:rsidTr="00C271AD">
        <w:trPr>
          <w:trHeight w:val="300"/>
        </w:trPr>
        <w:tc>
          <w:tcPr>
            <w:cnfStyle w:val="001000000000" w:firstRow="0" w:lastRow="0" w:firstColumn="1" w:lastColumn="0" w:oddVBand="0" w:evenVBand="0" w:oddHBand="0" w:evenHBand="0" w:firstRowFirstColumn="0" w:firstRowLastColumn="0" w:lastRowFirstColumn="0" w:lastRowLastColumn="0"/>
            <w:tcW w:w="4880" w:type="dxa"/>
            <w:hideMark/>
          </w:tcPr>
          <w:p w14:paraId="26C07481" w14:textId="77777777" w:rsidR="00C271AD" w:rsidRPr="00F34442" w:rsidRDefault="00C271AD" w:rsidP="00C271AD">
            <w:pPr>
              <w:spacing w:line="240" w:lineRule="auto"/>
              <w:jc w:val="left"/>
              <w:rPr>
                <w:rFonts w:eastAsia="Times New Roman" w:cs="Times New Roman"/>
                <w:color w:val="auto"/>
                <w:sz w:val="20"/>
                <w:szCs w:val="20"/>
                <w:lang w:eastAsia="pl-PL"/>
              </w:rPr>
            </w:pPr>
            <w:r w:rsidRPr="00F34442">
              <w:rPr>
                <w:rFonts w:eastAsia="Times New Roman" w:cs="Times New Roman"/>
                <w:color w:val="auto"/>
                <w:sz w:val="20"/>
                <w:szCs w:val="20"/>
                <w:lang w:eastAsia="pl-PL"/>
              </w:rPr>
              <w:t>Kuracjusze w % ludności danej grupy wieku</w:t>
            </w:r>
          </w:p>
        </w:tc>
        <w:tc>
          <w:tcPr>
            <w:tcW w:w="1340" w:type="dxa"/>
            <w:noWrap/>
            <w:hideMark/>
          </w:tcPr>
          <w:p w14:paraId="4042437E" w14:textId="4D3668FA" w:rsidR="00C271AD" w:rsidRPr="00F34442" w:rsidRDefault="00C271AD" w:rsidP="00C271A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271AD">
              <w:rPr>
                <w:sz w:val="20"/>
                <w:szCs w:val="20"/>
              </w:rPr>
              <w:t>1,1</w:t>
            </w:r>
          </w:p>
        </w:tc>
        <w:tc>
          <w:tcPr>
            <w:tcW w:w="1340" w:type="dxa"/>
            <w:noWrap/>
            <w:hideMark/>
          </w:tcPr>
          <w:p w14:paraId="49240F51" w14:textId="54AD9582" w:rsidR="00C271AD" w:rsidRPr="00F34442" w:rsidRDefault="00C271AD" w:rsidP="00C271A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271AD">
              <w:rPr>
                <w:sz w:val="20"/>
                <w:szCs w:val="20"/>
              </w:rPr>
              <w:t>2,7</w:t>
            </w:r>
          </w:p>
        </w:tc>
        <w:tc>
          <w:tcPr>
            <w:tcW w:w="1340" w:type="dxa"/>
            <w:noWrap/>
            <w:hideMark/>
          </w:tcPr>
          <w:p w14:paraId="076C6867" w14:textId="12638895" w:rsidR="00C271AD" w:rsidRPr="00F34442" w:rsidRDefault="00C271AD" w:rsidP="00C271A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271AD">
              <w:rPr>
                <w:sz w:val="20"/>
                <w:szCs w:val="20"/>
              </w:rPr>
              <w:t>0,7</w:t>
            </w:r>
          </w:p>
        </w:tc>
      </w:tr>
    </w:tbl>
    <w:p w14:paraId="14B577BF" w14:textId="1D928624" w:rsidR="003215CC" w:rsidRPr="00F34442" w:rsidRDefault="003215CC" w:rsidP="003215CC">
      <w:pPr>
        <w:jc w:val="left"/>
        <w:rPr>
          <w:rFonts w:cs="Times New Roman"/>
          <w:b/>
          <w:sz w:val="22"/>
        </w:rPr>
      </w:pPr>
      <w:r w:rsidRPr="00F34442">
        <w:rPr>
          <w:rFonts w:cs="Times New Roman"/>
          <w:b/>
          <w:sz w:val="22"/>
        </w:rPr>
        <w:t>Źródło:  Badanie GUS i MSWiA  (formularz ZD-2 i MSW-45)</w:t>
      </w:r>
      <w:r w:rsidR="003F388C">
        <w:rPr>
          <w:rFonts w:cs="Times New Roman"/>
          <w:b/>
          <w:sz w:val="22"/>
        </w:rPr>
        <w:t>.</w:t>
      </w:r>
    </w:p>
    <w:p w14:paraId="10BFA7A4" w14:textId="77777777" w:rsidR="003215CC" w:rsidRPr="00F34442" w:rsidRDefault="003215CC" w:rsidP="003215CC">
      <w:pPr>
        <w:jc w:val="left"/>
        <w:rPr>
          <w:rFonts w:asciiTheme="minorHAnsi" w:hAnsiTheme="minorHAnsi"/>
          <w:sz w:val="22"/>
        </w:rPr>
      </w:pPr>
    </w:p>
    <w:p w14:paraId="238EFC79" w14:textId="1228D1A2" w:rsidR="003215CC" w:rsidRPr="00F34442" w:rsidRDefault="003215CC" w:rsidP="003215CC">
      <w:pPr>
        <w:rPr>
          <w:rFonts w:cs="Times New Roman"/>
        </w:rPr>
      </w:pPr>
      <w:r w:rsidRPr="00F34442">
        <w:rPr>
          <w:rFonts w:cs="Times New Roman"/>
        </w:rPr>
        <w:t>W 20</w:t>
      </w:r>
      <w:r w:rsidR="00C271AD">
        <w:rPr>
          <w:rFonts w:cs="Times New Roman"/>
        </w:rPr>
        <w:t>20</w:t>
      </w:r>
      <w:r w:rsidRPr="00F34442">
        <w:rPr>
          <w:rFonts w:cs="Times New Roman"/>
        </w:rPr>
        <w:t xml:space="preserve"> r. z lecznictwa uzdrowiskowego w trybie stacjonarnym skorzystało ponad </w:t>
      </w:r>
      <w:r w:rsidR="00C271AD">
        <w:rPr>
          <w:rFonts w:cs="Times New Roman"/>
        </w:rPr>
        <w:t>407</w:t>
      </w:r>
      <w:r w:rsidRPr="00F34442">
        <w:rPr>
          <w:rFonts w:cs="Times New Roman"/>
        </w:rPr>
        <w:t xml:space="preserve"> tys. osób. Prawie połowę (4</w:t>
      </w:r>
      <w:r w:rsidR="00C271AD">
        <w:rPr>
          <w:rFonts w:cs="Times New Roman"/>
        </w:rPr>
        <w:t xml:space="preserve">6 </w:t>
      </w:r>
      <w:r w:rsidRPr="00F34442">
        <w:rPr>
          <w:rFonts w:cs="Times New Roman"/>
        </w:rPr>
        <w:t xml:space="preserve">%) kuracjuszy stanowiły osoby w wieku 65 lat i więcej. </w:t>
      </w:r>
    </w:p>
    <w:p w14:paraId="4771BE3B" w14:textId="695D724B" w:rsidR="003215CC" w:rsidRPr="0092226B" w:rsidRDefault="003215CC" w:rsidP="00392F2F">
      <w:pPr>
        <w:rPr>
          <w:color w:val="FF0000"/>
        </w:rPr>
        <w:sectPr w:rsidR="003215CC" w:rsidRPr="0092226B" w:rsidSect="00E1300F">
          <w:pgSz w:w="11909" w:h="16838"/>
          <w:pgMar w:top="1137" w:right="1250" w:bottom="1132" w:left="1293" w:header="0" w:footer="567" w:gutter="0"/>
          <w:cols w:space="720"/>
          <w:noEndnote/>
          <w:docGrid w:linePitch="360"/>
        </w:sectPr>
      </w:pPr>
    </w:p>
    <w:p w14:paraId="719BB147" w14:textId="42F9E87E" w:rsidR="00392F2F" w:rsidRPr="00392F2F" w:rsidRDefault="00392F2F" w:rsidP="00C020FD">
      <w:pPr>
        <w:pStyle w:val="Legenda"/>
        <w:keepNext/>
        <w:jc w:val="left"/>
        <w:rPr>
          <w:rFonts w:cs="Times New Roman"/>
          <w:b/>
          <w:i w:val="0"/>
          <w:color w:val="auto"/>
          <w:sz w:val="24"/>
        </w:rPr>
      </w:pPr>
      <w:bookmarkStart w:id="32" w:name="_Toc49171404"/>
      <w:r w:rsidRPr="00392F2F">
        <w:rPr>
          <w:rFonts w:cs="Times New Roman"/>
          <w:b/>
          <w:i w:val="0"/>
          <w:color w:val="auto"/>
          <w:sz w:val="24"/>
        </w:rPr>
        <w:lastRenderedPageBreak/>
        <w:t xml:space="preserve">Tabela </w:t>
      </w:r>
      <w:r w:rsidR="00007806">
        <w:rPr>
          <w:rFonts w:cs="Times New Roman"/>
          <w:b/>
          <w:i w:val="0"/>
          <w:color w:val="auto"/>
          <w:sz w:val="24"/>
        </w:rPr>
        <w:t>2</w:t>
      </w:r>
      <w:r w:rsidR="003215CC">
        <w:rPr>
          <w:rFonts w:cs="Times New Roman"/>
          <w:b/>
          <w:i w:val="0"/>
          <w:color w:val="auto"/>
          <w:sz w:val="24"/>
        </w:rPr>
        <w:t>3</w:t>
      </w:r>
      <w:r w:rsidR="00EE73AF">
        <w:rPr>
          <w:rFonts w:cs="Times New Roman"/>
          <w:b/>
          <w:i w:val="0"/>
          <w:color w:val="auto"/>
          <w:sz w:val="24"/>
        </w:rPr>
        <w:t>.</w:t>
      </w:r>
      <w:r w:rsidRPr="00392F2F">
        <w:rPr>
          <w:rFonts w:cs="Times New Roman"/>
          <w:b/>
          <w:i w:val="0"/>
          <w:color w:val="auto"/>
          <w:sz w:val="24"/>
        </w:rPr>
        <w:t xml:space="preserve"> Ambulatoryjna opieka zdrowotna w 2020 r.</w:t>
      </w:r>
      <w:bookmarkEnd w:id="32"/>
    </w:p>
    <w:tbl>
      <w:tblPr>
        <w:tblStyle w:val="Tabelasiatki5ciemnaakcent2"/>
        <w:tblW w:w="12753" w:type="dxa"/>
        <w:tblLook w:val="04A0" w:firstRow="1" w:lastRow="0" w:firstColumn="1" w:lastColumn="0" w:noHBand="0" w:noVBand="1"/>
      </w:tblPr>
      <w:tblGrid>
        <w:gridCol w:w="1980"/>
        <w:gridCol w:w="1276"/>
        <w:gridCol w:w="1275"/>
        <w:gridCol w:w="1134"/>
        <w:gridCol w:w="1134"/>
        <w:gridCol w:w="1134"/>
        <w:gridCol w:w="1134"/>
        <w:gridCol w:w="1276"/>
        <w:gridCol w:w="1276"/>
        <w:gridCol w:w="1134"/>
      </w:tblGrid>
      <w:tr w:rsidR="00392F2F" w:rsidRPr="00392F2F" w14:paraId="119A2A98" w14:textId="77777777" w:rsidTr="00C020FD">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980" w:type="dxa"/>
            <w:vMerge w:val="restart"/>
            <w:hideMark/>
          </w:tcPr>
          <w:p w14:paraId="7CECD472" w14:textId="77777777" w:rsidR="00392F2F" w:rsidRPr="00392F2F" w:rsidRDefault="00392F2F" w:rsidP="00C020FD">
            <w:pPr>
              <w:spacing w:line="240" w:lineRule="auto"/>
              <w:jc w:val="left"/>
              <w:rPr>
                <w:rFonts w:eastAsia="Times New Roman" w:cs="Times New Roman"/>
                <w:b w:val="0"/>
                <w:color w:val="auto"/>
                <w:sz w:val="19"/>
                <w:szCs w:val="19"/>
                <w:lang w:eastAsia="pl-PL"/>
              </w:rPr>
            </w:pPr>
            <w:r w:rsidRPr="00392F2F">
              <w:rPr>
                <w:rFonts w:eastAsia="Times New Roman" w:cs="Times New Roman"/>
                <w:color w:val="auto"/>
                <w:sz w:val="19"/>
                <w:szCs w:val="19"/>
                <w:lang w:eastAsia="pl-PL"/>
              </w:rPr>
              <w:t>Wyszczególnienie</w:t>
            </w:r>
          </w:p>
        </w:tc>
        <w:tc>
          <w:tcPr>
            <w:tcW w:w="3685" w:type="dxa"/>
            <w:gridSpan w:val="3"/>
            <w:hideMark/>
          </w:tcPr>
          <w:p w14:paraId="249F09BC" w14:textId="77777777" w:rsidR="00392F2F" w:rsidRPr="00392F2F" w:rsidRDefault="00392F2F" w:rsidP="00C020FD">
            <w:pPr>
              <w:spacing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19"/>
                <w:szCs w:val="19"/>
                <w:lang w:eastAsia="pl-PL"/>
              </w:rPr>
            </w:pPr>
            <w:r w:rsidRPr="00392F2F">
              <w:rPr>
                <w:rFonts w:eastAsia="Times New Roman" w:cs="Times New Roman"/>
                <w:color w:val="auto"/>
                <w:sz w:val="19"/>
                <w:szCs w:val="19"/>
                <w:lang w:eastAsia="pl-PL"/>
              </w:rPr>
              <w:t>Ogółem</w:t>
            </w:r>
          </w:p>
        </w:tc>
        <w:tc>
          <w:tcPr>
            <w:tcW w:w="3402" w:type="dxa"/>
            <w:gridSpan w:val="3"/>
            <w:hideMark/>
          </w:tcPr>
          <w:p w14:paraId="04452F91" w14:textId="77777777" w:rsidR="00392F2F" w:rsidRPr="00392F2F" w:rsidRDefault="00392F2F" w:rsidP="00C020FD">
            <w:pPr>
              <w:spacing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19"/>
                <w:szCs w:val="19"/>
                <w:lang w:eastAsia="pl-PL"/>
              </w:rPr>
            </w:pPr>
            <w:r w:rsidRPr="00392F2F">
              <w:rPr>
                <w:rFonts w:eastAsia="Times New Roman" w:cs="Times New Roman"/>
                <w:color w:val="auto"/>
                <w:sz w:val="19"/>
                <w:szCs w:val="19"/>
                <w:lang w:eastAsia="pl-PL"/>
              </w:rPr>
              <w:t>Osoby w wieku 65 lat i więcej</w:t>
            </w:r>
          </w:p>
        </w:tc>
        <w:tc>
          <w:tcPr>
            <w:tcW w:w="3686" w:type="dxa"/>
            <w:gridSpan w:val="3"/>
            <w:hideMark/>
          </w:tcPr>
          <w:p w14:paraId="6D3E7EFA" w14:textId="77777777" w:rsidR="00392F2F" w:rsidRPr="00392F2F" w:rsidRDefault="00392F2F" w:rsidP="00C020FD">
            <w:pPr>
              <w:spacing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19"/>
                <w:szCs w:val="19"/>
                <w:lang w:eastAsia="pl-PL"/>
              </w:rPr>
            </w:pPr>
            <w:r w:rsidRPr="00392F2F">
              <w:rPr>
                <w:rFonts w:eastAsia="Times New Roman" w:cs="Times New Roman"/>
                <w:color w:val="auto"/>
                <w:sz w:val="19"/>
                <w:szCs w:val="19"/>
                <w:lang w:eastAsia="pl-PL"/>
              </w:rPr>
              <w:t>Osoby w wieku 0-64 lata</w:t>
            </w:r>
          </w:p>
        </w:tc>
      </w:tr>
      <w:tr w:rsidR="00392F2F" w:rsidRPr="00392F2F" w14:paraId="15F54C0D" w14:textId="77777777" w:rsidTr="00C020FD">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980" w:type="dxa"/>
            <w:vMerge/>
            <w:hideMark/>
          </w:tcPr>
          <w:p w14:paraId="6260C0BD" w14:textId="77777777" w:rsidR="00392F2F" w:rsidRPr="00392F2F" w:rsidRDefault="00392F2F" w:rsidP="00C020FD">
            <w:pPr>
              <w:spacing w:line="240" w:lineRule="auto"/>
              <w:jc w:val="left"/>
              <w:rPr>
                <w:rFonts w:eastAsia="Times New Roman" w:cs="Times New Roman"/>
                <w:b w:val="0"/>
                <w:color w:val="auto"/>
                <w:sz w:val="19"/>
                <w:szCs w:val="19"/>
                <w:lang w:eastAsia="pl-PL"/>
              </w:rPr>
            </w:pPr>
          </w:p>
        </w:tc>
        <w:tc>
          <w:tcPr>
            <w:tcW w:w="1276" w:type="dxa"/>
            <w:shd w:val="clear" w:color="auto" w:fill="ED7D31" w:themeFill="accent2"/>
            <w:hideMark/>
          </w:tcPr>
          <w:p w14:paraId="34CF035A"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ogółem</w:t>
            </w:r>
          </w:p>
        </w:tc>
        <w:tc>
          <w:tcPr>
            <w:tcW w:w="1275" w:type="dxa"/>
            <w:shd w:val="clear" w:color="auto" w:fill="ED7D31" w:themeFill="accent2"/>
            <w:hideMark/>
          </w:tcPr>
          <w:p w14:paraId="04C074BB"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miasta</w:t>
            </w:r>
          </w:p>
        </w:tc>
        <w:tc>
          <w:tcPr>
            <w:tcW w:w="1134" w:type="dxa"/>
            <w:shd w:val="clear" w:color="auto" w:fill="ED7D31" w:themeFill="accent2"/>
            <w:hideMark/>
          </w:tcPr>
          <w:p w14:paraId="664AE606"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wieś</w:t>
            </w:r>
          </w:p>
        </w:tc>
        <w:tc>
          <w:tcPr>
            <w:tcW w:w="1134" w:type="dxa"/>
            <w:shd w:val="clear" w:color="auto" w:fill="ED7D31" w:themeFill="accent2"/>
            <w:hideMark/>
          </w:tcPr>
          <w:p w14:paraId="626767F1"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razem</w:t>
            </w:r>
          </w:p>
        </w:tc>
        <w:tc>
          <w:tcPr>
            <w:tcW w:w="1134" w:type="dxa"/>
            <w:shd w:val="clear" w:color="auto" w:fill="ED7D31" w:themeFill="accent2"/>
            <w:hideMark/>
          </w:tcPr>
          <w:p w14:paraId="340B7ABE"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miasta</w:t>
            </w:r>
          </w:p>
        </w:tc>
        <w:tc>
          <w:tcPr>
            <w:tcW w:w="1134" w:type="dxa"/>
            <w:shd w:val="clear" w:color="auto" w:fill="ED7D31" w:themeFill="accent2"/>
            <w:hideMark/>
          </w:tcPr>
          <w:p w14:paraId="37709DF8"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wieś</w:t>
            </w:r>
          </w:p>
        </w:tc>
        <w:tc>
          <w:tcPr>
            <w:tcW w:w="1276" w:type="dxa"/>
            <w:shd w:val="clear" w:color="auto" w:fill="ED7D31" w:themeFill="accent2"/>
            <w:hideMark/>
          </w:tcPr>
          <w:p w14:paraId="76690FDA"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razem</w:t>
            </w:r>
          </w:p>
        </w:tc>
        <w:tc>
          <w:tcPr>
            <w:tcW w:w="1276" w:type="dxa"/>
            <w:shd w:val="clear" w:color="auto" w:fill="ED7D31" w:themeFill="accent2"/>
            <w:hideMark/>
          </w:tcPr>
          <w:p w14:paraId="37921974"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miasta</w:t>
            </w:r>
          </w:p>
        </w:tc>
        <w:tc>
          <w:tcPr>
            <w:tcW w:w="1134" w:type="dxa"/>
            <w:shd w:val="clear" w:color="auto" w:fill="ED7D31" w:themeFill="accent2"/>
            <w:hideMark/>
          </w:tcPr>
          <w:p w14:paraId="7AE74955"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wieś</w:t>
            </w:r>
          </w:p>
        </w:tc>
      </w:tr>
      <w:tr w:rsidR="00392F2F" w:rsidRPr="00392F2F" w14:paraId="148A2D16" w14:textId="77777777" w:rsidTr="00C020FD">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E734019" w14:textId="77777777" w:rsidR="00392F2F" w:rsidRPr="00392F2F" w:rsidRDefault="00392F2F" w:rsidP="00C020FD">
            <w:pPr>
              <w:spacing w:line="240" w:lineRule="auto"/>
              <w:jc w:val="left"/>
              <w:rPr>
                <w:rFonts w:eastAsia="Times New Roman" w:cs="Times New Roman"/>
                <w:b w:val="0"/>
                <w:bCs w:val="0"/>
                <w:color w:val="auto"/>
                <w:sz w:val="19"/>
                <w:szCs w:val="19"/>
                <w:lang w:eastAsia="pl-PL"/>
              </w:rPr>
            </w:pPr>
            <w:r w:rsidRPr="00392F2F">
              <w:rPr>
                <w:rFonts w:eastAsia="Times New Roman" w:cs="Times New Roman"/>
                <w:color w:val="auto"/>
                <w:sz w:val="19"/>
                <w:szCs w:val="19"/>
                <w:lang w:eastAsia="pl-PL"/>
              </w:rPr>
              <w:t xml:space="preserve">Porady </w:t>
            </w:r>
            <w:proofErr w:type="spellStart"/>
            <w:r w:rsidRPr="00392F2F">
              <w:rPr>
                <w:rFonts w:eastAsia="Times New Roman" w:cs="Times New Roman"/>
                <w:color w:val="auto"/>
                <w:sz w:val="19"/>
                <w:szCs w:val="19"/>
                <w:lang w:eastAsia="pl-PL"/>
              </w:rPr>
              <w:t>ogółem</w:t>
            </w:r>
            <w:r w:rsidRPr="00392F2F">
              <w:rPr>
                <w:rFonts w:eastAsia="Times New Roman" w:cs="Times New Roman"/>
                <w:i/>
                <w:iCs/>
                <w:color w:val="auto"/>
                <w:sz w:val="19"/>
                <w:szCs w:val="19"/>
                <w:vertAlign w:val="superscript"/>
                <w:lang w:eastAsia="pl-PL"/>
              </w:rPr>
              <w:t>a</w:t>
            </w:r>
            <w:proofErr w:type="spellEnd"/>
          </w:p>
        </w:tc>
        <w:tc>
          <w:tcPr>
            <w:tcW w:w="1276" w:type="dxa"/>
            <w:noWrap/>
            <w:hideMark/>
          </w:tcPr>
          <w:p w14:paraId="266EF3D2"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283 104 312</w:t>
            </w:r>
          </w:p>
        </w:tc>
        <w:tc>
          <w:tcPr>
            <w:tcW w:w="1275" w:type="dxa"/>
            <w:noWrap/>
            <w:hideMark/>
          </w:tcPr>
          <w:p w14:paraId="098C9922"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240 422 496</w:t>
            </w:r>
          </w:p>
        </w:tc>
        <w:tc>
          <w:tcPr>
            <w:tcW w:w="1134" w:type="dxa"/>
            <w:noWrap/>
            <w:hideMark/>
          </w:tcPr>
          <w:p w14:paraId="71DB58A8"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42 681 816</w:t>
            </w:r>
          </w:p>
        </w:tc>
        <w:tc>
          <w:tcPr>
            <w:tcW w:w="1134" w:type="dxa"/>
            <w:noWrap/>
            <w:hideMark/>
          </w:tcPr>
          <w:p w14:paraId="06E524CA"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89 767 851</w:t>
            </w:r>
          </w:p>
        </w:tc>
        <w:tc>
          <w:tcPr>
            <w:tcW w:w="1134" w:type="dxa"/>
            <w:noWrap/>
            <w:hideMark/>
          </w:tcPr>
          <w:p w14:paraId="1FC10152"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75 674 601</w:t>
            </w:r>
          </w:p>
        </w:tc>
        <w:tc>
          <w:tcPr>
            <w:tcW w:w="1134" w:type="dxa"/>
            <w:noWrap/>
            <w:hideMark/>
          </w:tcPr>
          <w:p w14:paraId="4A5C7982"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14 093 250</w:t>
            </w:r>
          </w:p>
        </w:tc>
        <w:tc>
          <w:tcPr>
            <w:tcW w:w="1276" w:type="dxa"/>
            <w:noWrap/>
            <w:hideMark/>
          </w:tcPr>
          <w:p w14:paraId="58AE5E72"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193 336 461</w:t>
            </w:r>
          </w:p>
        </w:tc>
        <w:tc>
          <w:tcPr>
            <w:tcW w:w="1276" w:type="dxa"/>
            <w:noWrap/>
            <w:hideMark/>
          </w:tcPr>
          <w:p w14:paraId="346A1CAC"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164 747 895</w:t>
            </w:r>
          </w:p>
        </w:tc>
        <w:tc>
          <w:tcPr>
            <w:tcW w:w="1134" w:type="dxa"/>
            <w:noWrap/>
            <w:hideMark/>
          </w:tcPr>
          <w:p w14:paraId="65DAC37B"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28 588 566</w:t>
            </w:r>
          </w:p>
        </w:tc>
      </w:tr>
      <w:tr w:rsidR="00392F2F" w:rsidRPr="00392F2F" w14:paraId="3937A033" w14:textId="77777777" w:rsidTr="00C020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14:paraId="13F071F2" w14:textId="77777777" w:rsidR="00392F2F" w:rsidRPr="00392F2F" w:rsidRDefault="00392F2F" w:rsidP="00C020FD">
            <w:pPr>
              <w:spacing w:line="240" w:lineRule="auto"/>
              <w:jc w:val="left"/>
              <w:rPr>
                <w:rFonts w:eastAsia="Times New Roman" w:cs="Times New Roman"/>
                <w:b w:val="0"/>
                <w:color w:val="auto"/>
                <w:sz w:val="19"/>
                <w:szCs w:val="19"/>
                <w:lang w:eastAsia="pl-PL"/>
              </w:rPr>
            </w:pPr>
            <w:r w:rsidRPr="00392F2F">
              <w:rPr>
                <w:rFonts w:eastAsia="Times New Roman" w:cs="Times New Roman"/>
                <w:color w:val="auto"/>
                <w:sz w:val="19"/>
                <w:szCs w:val="19"/>
                <w:lang w:eastAsia="pl-PL"/>
              </w:rPr>
              <w:t>podstawowej opieki zdrowotnej (POZ)</w:t>
            </w:r>
          </w:p>
        </w:tc>
        <w:tc>
          <w:tcPr>
            <w:tcW w:w="1276" w:type="dxa"/>
            <w:hideMark/>
          </w:tcPr>
          <w:p w14:paraId="0A50194C"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156 171 210</w:t>
            </w:r>
          </w:p>
        </w:tc>
        <w:tc>
          <w:tcPr>
            <w:tcW w:w="1275" w:type="dxa"/>
            <w:hideMark/>
          </w:tcPr>
          <w:p w14:paraId="3DE73DEB"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119 984 195</w:t>
            </w:r>
          </w:p>
        </w:tc>
        <w:tc>
          <w:tcPr>
            <w:tcW w:w="1134" w:type="dxa"/>
            <w:noWrap/>
            <w:hideMark/>
          </w:tcPr>
          <w:p w14:paraId="6B3F3AE2"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36 187 015</w:t>
            </w:r>
          </w:p>
        </w:tc>
        <w:tc>
          <w:tcPr>
            <w:tcW w:w="1134" w:type="dxa"/>
            <w:noWrap/>
            <w:hideMark/>
          </w:tcPr>
          <w:p w14:paraId="73C2DA1F"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56 196 237</w:t>
            </w:r>
          </w:p>
        </w:tc>
        <w:tc>
          <w:tcPr>
            <w:tcW w:w="1134" w:type="dxa"/>
            <w:noWrap/>
            <w:hideMark/>
          </w:tcPr>
          <w:p w14:paraId="1536D85E"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43 327 307</w:t>
            </w:r>
          </w:p>
        </w:tc>
        <w:tc>
          <w:tcPr>
            <w:tcW w:w="1134" w:type="dxa"/>
            <w:noWrap/>
            <w:hideMark/>
          </w:tcPr>
          <w:p w14:paraId="7417406C"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12 868 930</w:t>
            </w:r>
          </w:p>
        </w:tc>
        <w:tc>
          <w:tcPr>
            <w:tcW w:w="1276" w:type="dxa"/>
            <w:noWrap/>
            <w:hideMark/>
          </w:tcPr>
          <w:p w14:paraId="3B0F6ADE"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99 974 973</w:t>
            </w:r>
          </w:p>
        </w:tc>
        <w:tc>
          <w:tcPr>
            <w:tcW w:w="1276" w:type="dxa"/>
            <w:noWrap/>
            <w:hideMark/>
          </w:tcPr>
          <w:p w14:paraId="59839566"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76 656 888</w:t>
            </w:r>
          </w:p>
        </w:tc>
        <w:tc>
          <w:tcPr>
            <w:tcW w:w="1134" w:type="dxa"/>
            <w:noWrap/>
            <w:hideMark/>
          </w:tcPr>
          <w:p w14:paraId="28074039"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23 318 085</w:t>
            </w:r>
          </w:p>
        </w:tc>
      </w:tr>
      <w:tr w:rsidR="00392F2F" w:rsidRPr="00392F2F" w14:paraId="12985EB0" w14:textId="77777777" w:rsidTr="00C020FD">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14:paraId="2609A809" w14:textId="77777777" w:rsidR="00392F2F" w:rsidRPr="00392F2F" w:rsidRDefault="00392F2F" w:rsidP="00C020FD">
            <w:pPr>
              <w:spacing w:line="240" w:lineRule="auto"/>
              <w:jc w:val="left"/>
              <w:rPr>
                <w:rFonts w:eastAsia="Times New Roman" w:cs="Times New Roman"/>
                <w:b w:val="0"/>
                <w:color w:val="auto"/>
                <w:sz w:val="19"/>
                <w:szCs w:val="19"/>
                <w:lang w:eastAsia="pl-PL"/>
              </w:rPr>
            </w:pPr>
            <w:r w:rsidRPr="00392F2F">
              <w:rPr>
                <w:rFonts w:eastAsia="Times New Roman" w:cs="Times New Roman"/>
                <w:color w:val="auto"/>
                <w:sz w:val="19"/>
                <w:szCs w:val="19"/>
                <w:lang w:eastAsia="pl-PL"/>
              </w:rPr>
              <w:t>specjalistyczne lekarskie (AOS)</w:t>
            </w:r>
          </w:p>
        </w:tc>
        <w:tc>
          <w:tcPr>
            <w:tcW w:w="1276" w:type="dxa"/>
            <w:noWrap/>
            <w:hideMark/>
          </w:tcPr>
          <w:p w14:paraId="5B801D23"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100 456 490</w:t>
            </w:r>
          </w:p>
        </w:tc>
        <w:tc>
          <w:tcPr>
            <w:tcW w:w="1275" w:type="dxa"/>
            <w:noWrap/>
            <w:hideMark/>
          </w:tcPr>
          <w:p w14:paraId="5CEAA693"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97 643 843</w:t>
            </w:r>
          </w:p>
        </w:tc>
        <w:tc>
          <w:tcPr>
            <w:tcW w:w="1134" w:type="dxa"/>
            <w:noWrap/>
            <w:hideMark/>
          </w:tcPr>
          <w:p w14:paraId="31052D98"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2 812 647</w:t>
            </w:r>
          </w:p>
        </w:tc>
        <w:tc>
          <w:tcPr>
            <w:tcW w:w="1134" w:type="dxa"/>
            <w:noWrap/>
            <w:hideMark/>
          </w:tcPr>
          <w:p w14:paraId="2EB2F20B"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29 397 986</w:t>
            </w:r>
          </w:p>
        </w:tc>
        <w:tc>
          <w:tcPr>
            <w:tcW w:w="1134" w:type="dxa"/>
            <w:noWrap/>
            <w:hideMark/>
          </w:tcPr>
          <w:p w14:paraId="21FC50F6"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28 716 647</w:t>
            </w:r>
          </w:p>
        </w:tc>
        <w:tc>
          <w:tcPr>
            <w:tcW w:w="1134" w:type="dxa"/>
            <w:noWrap/>
            <w:hideMark/>
          </w:tcPr>
          <w:p w14:paraId="67BAB359"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681 339</w:t>
            </w:r>
          </w:p>
        </w:tc>
        <w:tc>
          <w:tcPr>
            <w:tcW w:w="1276" w:type="dxa"/>
            <w:noWrap/>
            <w:hideMark/>
          </w:tcPr>
          <w:p w14:paraId="007F5034"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71 058 504</w:t>
            </w:r>
          </w:p>
        </w:tc>
        <w:tc>
          <w:tcPr>
            <w:tcW w:w="1276" w:type="dxa"/>
            <w:noWrap/>
            <w:hideMark/>
          </w:tcPr>
          <w:p w14:paraId="2F347976"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68 927 196</w:t>
            </w:r>
          </w:p>
        </w:tc>
        <w:tc>
          <w:tcPr>
            <w:tcW w:w="1134" w:type="dxa"/>
            <w:noWrap/>
            <w:hideMark/>
          </w:tcPr>
          <w:p w14:paraId="0B2481E8"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2 131 308</w:t>
            </w:r>
          </w:p>
        </w:tc>
      </w:tr>
      <w:tr w:rsidR="00392F2F" w:rsidRPr="00392F2F" w14:paraId="58698F81" w14:textId="77777777" w:rsidTr="00C020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14:paraId="7A754702" w14:textId="77777777" w:rsidR="00392F2F" w:rsidRPr="00392F2F" w:rsidRDefault="00392F2F" w:rsidP="00C020FD">
            <w:pPr>
              <w:spacing w:line="240" w:lineRule="auto"/>
              <w:jc w:val="left"/>
              <w:rPr>
                <w:rFonts w:eastAsia="Times New Roman" w:cs="Times New Roman"/>
                <w:b w:val="0"/>
                <w:color w:val="auto"/>
                <w:sz w:val="19"/>
                <w:szCs w:val="19"/>
                <w:lang w:eastAsia="pl-PL"/>
              </w:rPr>
            </w:pPr>
            <w:r w:rsidRPr="00392F2F">
              <w:rPr>
                <w:rFonts w:eastAsia="Times New Roman" w:cs="Times New Roman"/>
                <w:color w:val="auto"/>
                <w:sz w:val="19"/>
                <w:szCs w:val="19"/>
                <w:lang w:eastAsia="pl-PL"/>
              </w:rPr>
              <w:t>stomatologiczne</w:t>
            </w:r>
          </w:p>
        </w:tc>
        <w:tc>
          <w:tcPr>
            <w:tcW w:w="1276" w:type="dxa"/>
            <w:noWrap/>
            <w:hideMark/>
          </w:tcPr>
          <w:p w14:paraId="003221B6"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26 476 612</w:t>
            </w:r>
          </w:p>
        </w:tc>
        <w:tc>
          <w:tcPr>
            <w:tcW w:w="1275" w:type="dxa"/>
            <w:noWrap/>
            <w:hideMark/>
          </w:tcPr>
          <w:p w14:paraId="1E43F64C"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22 794 458</w:t>
            </w:r>
          </w:p>
        </w:tc>
        <w:tc>
          <w:tcPr>
            <w:tcW w:w="1134" w:type="dxa"/>
            <w:noWrap/>
            <w:hideMark/>
          </w:tcPr>
          <w:p w14:paraId="304C7769"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3 682 154</w:t>
            </w:r>
          </w:p>
        </w:tc>
        <w:tc>
          <w:tcPr>
            <w:tcW w:w="1134" w:type="dxa"/>
            <w:noWrap/>
            <w:hideMark/>
          </w:tcPr>
          <w:p w14:paraId="008DC90C"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4 173 628</w:t>
            </w:r>
          </w:p>
        </w:tc>
        <w:tc>
          <w:tcPr>
            <w:tcW w:w="1134" w:type="dxa"/>
            <w:noWrap/>
            <w:hideMark/>
          </w:tcPr>
          <w:p w14:paraId="5A6672ED"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3 630 647</w:t>
            </w:r>
          </w:p>
        </w:tc>
        <w:tc>
          <w:tcPr>
            <w:tcW w:w="1134" w:type="dxa"/>
            <w:noWrap/>
            <w:hideMark/>
          </w:tcPr>
          <w:p w14:paraId="2753D653"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542 981</w:t>
            </w:r>
          </w:p>
        </w:tc>
        <w:tc>
          <w:tcPr>
            <w:tcW w:w="1276" w:type="dxa"/>
            <w:noWrap/>
            <w:hideMark/>
          </w:tcPr>
          <w:p w14:paraId="5652067E"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22 302 984</w:t>
            </w:r>
          </w:p>
        </w:tc>
        <w:tc>
          <w:tcPr>
            <w:tcW w:w="1276" w:type="dxa"/>
            <w:noWrap/>
            <w:hideMark/>
          </w:tcPr>
          <w:p w14:paraId="23CFEF89"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19 163 811</w:t>
            </w:r>
          </w:p>
        </w:tc>
        <w:tc>
          <w:tcPr>
            <w:tcW w:w="1134" w:type="dxa"/>
            <w:noWrap/>
            <w:hideMark/>
          </w:tcPr>
          <w:p w14:paraId="7B25137D"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3 139 173</w:t>
            </w:r>
          </w:p>
        </w:tc>
      </w:tr>
      <w:tr w:rsidR="00392F2F" w:rsidRPr="00392F2F" w14:paraId="22204B03" w14:textId="77777777" w:rsidTr="00C020FD">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14:paraId="64B333AF" w14:textId="4351E875" w:rsidR="00392F2F" w:rsidRPr="00392F2F" w:rsidRDefault="00392F2F" w:rsidP="00C020FD">
            <w:pPr>
              <w:spacing w:line="240" w:lineRule="auto"/>
              <w:jc w:val="left"/>
              <w:rPr>
                <w:rFonts w:eastAsia="Times New Roman" w:cs="Times New Roman"/>
                <w:b w:val="0"/>
                <w:bCs w:val="0"/>
                <w:color w:val="auto"/>
                <w:sz w:val="19"/>
                <w:szCs w:val="19"/>
                <w:lang w:eastAsia="pl-PL"/>
              </w:rPr>
            </w:pPr>
            <w:r w:rsidRPr="00392F2F">
              <w:rPr>
                <w:rFonts w:eastAsia="Times New Roman" w:cs="Times New Roman"/>
                <w:color w:val="auto"/>
                <w:sz w:val="19"/>
                <w:szCs w:val="19"/>
                <w:lang w:eastAsia="pl-PL"/>
              </w:rPr>
              <w:t>Przeciętna liczba porad na 1 osobę</w:t>
            </w:r>
          </w:p>
        </w:tc>
        <w:tc>
          <w:tcPr>
            <w:tcW w:w="1276" w:type="dxa"/>
            <w:noWrap/>
            <w:hideMark/>
          </w:tcPr>
          <w:p w14:paraId="49D2A906"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7,4</w:t>
            </w:r>
          </w:p>
        </w:tc>
        <w:tc>
          <w:tcPr>
            <w:tcW w:w="1275" w:type="dxa"/>
            <w:noWrap/>
            <w:hideMark/>
          </w:tcPr>
          <w:p w14:paraId="31AB2CF6"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10,5</w:t>
            </w:r>
          </w:p>
        </w:tc>
        <w:tc>
          <w:tcPr>
            <w:tcW w:w="1134" w:type="dxa"/>
            <w:noWrap/>
            <w:hideMark/>
          </w:tcPr>
          <w:p w14:paraId="0EE8B4C8"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2,8</w:t>
            </w:r>
          </w:p>
        </w:tc>
        <w:tc>
          <w:tcPr>
            <w:tcW w:w="1134" w:type="dxa"/>
            <w:noWrap/>
            <w:hideMark/>
          </w:tcPr>
          <w:p w14:paraId="106C2737"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12,7</w:t>
            </w:r>
          </w:p>
        </w:tc>
        <w:tc>
          <w:tcPr>
            <w:tcW w:w="1134" w:type="dxa"/>
            <w:noWrap/>
            <w:hideMark/>
          </w:tcPr>
          <w:p w14:paraId="20291231"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16,3</w:t>
            </w:r>
          </w:p>
        </w:tc>
        <w:tc>
          <w:tcPr>
            <w:tcW w:w="1134" w:type="dxa"/>
            <w:noWrap/>
            <w:hideMark/>
          </w:tcPr>
          <w:p w14:paraId="62ABB7E4"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5,9</w:t>
            </w:r>
          </w:p>
        </w:tc>
        <w:tc>
          <w:tcPr>
            <w:tcW w:w="1276" w:type="dxa"/>
            <w:noWrap/>
            <w:hideMark/>
          </w:tcPr>
          <w:p w14:paraId="70BA9AB7"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6,2</w:t>
            </w:r>
          </w:p>
        </w:tc>
        <w:tc>
          <w:tcPr>
            <w:tcW w:w="1276" w:type="dxa"/>
            <w:noWrap/>
            <w:hideMark/>
          </w:tcPr>
          <w:p w14:paraId="41CE461B"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9,0</w:t>
            </w:r>
          </w:p>
        </w:tc>
        <w:tc>
          <w:tcPr>
            <w:tcW w:w="1134" w:type="dxa"/>
            <w:noWrap/>
            <w:hideMark/>
          </w:tcPr>
          <w:p w14:paraId="21645BBE"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2,2</w:t>
            </w:r>
          </w:p>
        </w:tc>
      </w:tr>
      <w:tr w:rsidR="00392F2F" w:rsidRPr="00392F2F" w14:paraId="097F4918" w14:textId="77777777" w:rsidTr="00C020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14:paraId="4BEA7467" w14:textId="77777777" w:rsidR="00392F2F" w:rsidRPr="00392F2F" w:rsidRDefault="00392F2F" w:rsidP="00C020FD">
            <w:pPr>
              <w:spacing w:line="240" w:lineRule="auto"/>
              <w:jc w:val="left"/>
              <w:rPr>
                <w:rFonts w:eastAsia="Times New Roman" w:cs="Times New Roman"/>
                <w:b w:val="0"/>
                <w:color w:val="auto"/>
                <w:sz w:val="19"/>
                <w:szCs w:val="19"/>
                <w:lang w:eastAsia="pl-PL"/>
              </w:rPr>
            </w:pPr>
            <w:r w:rsidRPr="00392F2F">
              <w:rPr>
                <w:rFonts w:eastAsia="Times New Roman" w:cs="Times New Roman"/>
                <w:color w:val="auto"/>
                <w:sz w:val="19"/>
                <w:szCs w:val="19"/>
                <w:lang w:eastAsia="pl-PL"/>
              </w:rPr>
              <w:t>podstawowej opieki zdrowotnej (POZ)</w:t>
            </w:r>
          </w:p>
        </w:tc>
        <w:tc>
          <w:tcPr>
            <w:tcW w:w="1276" w:type="dxa"/>
            <w:noWrap/>
            <w:hideMark/>
          </w:tcPr>
          <w:p w14:paraId="7C8063BD"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4,1</w:t>
            </w:r>
          </w:p>
        </w:tc>
        <w:tc>
          <w:tcPr>
            <w:tcW w:w="1275" w:type="dxa"/>
            <w:noWrap/>
            <w:hideMark/>
          </w:tcPr>
          <w:p w14:paraId="647F3F12"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5,2</w:t>
            </w:r>
          </w:p>
        </w:tc>
        <w:tc>
          <w:tcPr>
            <w:tcW w:w="1134" w:type="dxa"/>
            <w:noWrap/>
            <w:hideMark/>
          </w:tcPr>
          <w:p w14:paraId="00A387A9"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2,4</w:t>
            </w:r>
          </w:p>
        </w:tc>
        <w:tc>
          <w:tcPr>
            <w:tcW w:w="1134" w:type="dxa"/>
            <w:noWrap/>
            <w:hideMark/>
          </w:tcPr>
          <w:p w14:paraId="1C980403"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8,0</w:t>
            </w:r>
          </w:p>
        </w:tc>
        <w:tc>
          <w:tcPr>
            <w:tcW w:w="1134" w:type="dxa"/>
            <w:noWrap/>
            <w:hideMark/>
          </w:tcPr>
          <w:p w14:paraId="0EDEA19D"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9,3</w:t>
            </w:r>
          </w:p>
        </w:tc>
        <w:tc>
          <w:tcPr>
            <w:tcW w:w="1134" w:type="dxa"/>
            <w:noWrap/>
            <w:hideMark/>
          </w:tcPr>
          <w:p w14:paraId="0DEABDB2"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5,3</w:t>
            </w:r>
          </w:p>
        </w:tc>
        <w:tc>
          <w:tcPr>
            <w:tcW w:w="1276" w:type="dxa"/>
            <w:noWrap/>
            <w:hideMark/>
          </w:tcPr>
          <w:p w14:paraId="017C1399"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3,2</w:t>
            </w:r>
          </w:p>
        </w:tc>
        <w:tc>
          <w:tcPr>
            <w:tcW w:w="1276" w:type="dxa"/>
            <w:noWrap/>
            <w:hideMark/>
          </w:tcPr>
          <w:p w14:paraId="100879B6"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4,2</w:t>
            </w:r>
          </w:p>
        </w:tc>
        <w:tc>
          <w:tcPr>
            <w:tcW w:w="1134" w:type="dxa"/>
            <w:noWrap/>
            <w:hideMark/>
          </w:tcPr>
          <w:p w14:paraId="303201E4"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1,8</w:t>
            </w:r>
          </w:p>
        </w:tc>
      </w:tr>
      <w:tr w:rsidR="00392F2F" w:rsidRPr="00392F2F" w14:paraId="07B5F802" w14:textId="77777777" w:rsidTr="00C020FD">
        <w:trPr>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14:paraId="7323D936" w14:textId="77777777" w:rsidR="00392F2F" w:rsidRPr="00392F2F" w:rsidRDefault="00392F2F" w:rsidP="00C020FD">
            <w:pPr>
              <w:spacing w:line="240" w:lineRule="auto"/>
              <w:jc w:val="left"/>
              <w:rPr>
                <w:rFonts w:eastAsia="Times New Roman" w:cs="Times New Roman"/>
                <w:b w:val="0"/>
                <w:color w:val="auto"/>
                <w:sz w:val="19"/>
                <w:szCs w:val="19"/>
                <w:lang w:eastAsia="pl-PL"/>
              </w:rPr>
            </w:pPr>
            <w:r w:rsidRPr="00392F2F">
              <w:rPr>
                <w:rFonts w:eastAsia="Times New Roman" w:cs="Times New Roman"/>
                <w:color w:val="auto"/>
                <w:sz w:val="19"/>
                <w:szCs w:val="19"/>
                <w:lang w:eastAsia="pl-PL"/>
              </w:rPr>
              <w:t>specjalistyczne lekarskie (AOS)</w:t>
            </w:r>
          </w:p>
        </w:tc>
        <w:tc>
          <w:tcPr>
            <w:tcW w:w="1276" w:type="dxa"/>
            <w:noWrap/>
            <w:hideMark/>
          </w:tcPr>
          <w:p w14:paraId="4150CF00"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2,6</w:t>
            </w:r>
          </w:p>
        </w:tc>
        <w:tc>
          <w:tcPr>
            <w:tcW w:w="1275" w:type="dxa"/>
            <w:noWrap/>
            <w:hideMark/>
          </w:tcPr>
          <w:p w14:paraId="5421F982"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4,2</w:t>
            </w:r>
          </w:p>
        </w:tc>
        <w:tc>
          <w:tcPr>
            <w:tcW w:w="1134" w:type="dxa"/>
            <w:noWrap/>
            <w:hideMark/>
          </w:tcPr>
          <w:p w14:paraId="366DC725"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0,2</w:t>
            </w:r>
          </w:p>
        </w:tc>
        <w:tc>
          <w:tcPr>
            <w:tcW w:w="1134" w:type="dxa"/>
            <w:noWrap/>
            <w:hideMark/>
          </w:tcPr>
          <w:p w14:paraId="2C7DA4E5"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4,2</w:t>
            </w:r>
          </w:p>
        </w:tc>
        <w:tc>
          <w:tcPr>
            <w:tcW w:w="1134" w:type="dxa"/>
            <w:noWrap/>
            <w:hideMark/>
          </w:tcPr>
          <w:p w14:paraId="6B2B9F7C"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6,2</w:t>
            </w:r>
          </w:p>
        </w:tc>
        <w:tc>
          <w:tcPr>
            <w:tcW w:w="1134" w:type="dxa"/>
            <w:noWrap/>
            <w:hideMark/>
          </w:tcPr>
          <w:p w14:paraId="03923E07"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0,3</w:t>
            </w:r>
          </w:p>
        </w:tc>
        <w:tc>
          <w:tcPr>
            <w:tcW w:w="1276" w:type="dxa"/>
            <w:noWrap/>
            <w:hideMark/>
          </w:tcPr>
          <w:p w14:paraId="1C624E43"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2,3</w:t>
            </w:r>
          </w:p>
        </w:tc>
        <w:tc>
          <w:tcPr>
            <w:tcW w:w="1276" w:type="dxa"/>
            <w:noWrap/>
            <w:hideMark/>
          </w:tcPr>
          <w:p w14:paraId="02613144"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3,8</w:t>
            </w:r>
          </w:p>
        </w:tc>
        <w:tc>
          <w:tcPr>
            <w:tcW w:w="1134" w:type="dxa"/>
            <w:noWrap/>
            <w:hideMark/>
          </w:tcPr>
          <w:p w14:paraId="65ABB7C5"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0,2</w:t>
            </w:r>
          </w:p>
        </w:tc>
      </w:tr>
      <w:tr w:rsidR="00392F2F" w:rsidRPr="00392F2F" w14:paraId="6F727762" w14:textId="77777777" w:rsidTr="00C020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hideMark/>
          </w:tcPr>
          <w:p w14:paraId="6AF81D5F" w14:textId="77777777" w:rsidR="00392F2F" w:rsidRPr="00392F2F" w:rsidRDefault="00392F2F" w:rsidP="00C020FD">
            <w:pPr>
              <w:spacing w:line="240" w:lineRule="auto"/>
              <w:jc w:val="left"/>
              <w:rPr>
                <w:rFonts w:eastAsia="Times New Roman" w:cs="Times New Roman"/>
                <w:b w:val="0"/>
                <w:color w:val="auto"/>
                <w:sz w:val="19"/>
                <w:szCs w:val="19"/>
                <w:lang w:eastAsia="pl-PL"/>
              </w:rPr>
            </w:pPr>
            <w:r w:rsidRPr="00392F2F">
              <w:rPr>
                <w:rFonts w:eastAsia="Times New Roman" w:cs="Times New Roman"/>
                <w:color w:val="auto"/>
                <w:sz w:val="19"/>
                <w:szCs w:val="19"/>
                <w:lang w:eastAsia="pl-PL"/>
              </w:rPr>
              <w:t>stomatologiczne</w:t>
            </w:r>
          </w:p>
        </w:tc>
        <w:tc>
          <w:tcPr>
            <w:tcW w:w="1276" w:type="dxa"/>
            <w:noWrap/>
            <w:hideMark/>
          </w:tcPr>
          <w:p w14:paraId="4B8BABA3"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0,7</w:t>
            </w:r>
          </w:p>
        </w:tc>
        <w:tc>
          <w:tcPr>
            <w:tcW w:w="1275" w:type="dxa"/>
            <w:noWrap/>
            <w:hideMark/>
          </w:tcPr>
          <w:p w14:paraId="48447C3C"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1,0</w:t>
            </w:r>
          </w:p>
        </w:tc>
        <w:tc>
          <w:tcPr>
            <w:tcW w:w="1134" w:type="dxa"/>
            <w:noWrap/>
            <w:hideMark/>
          </w:tcPr>
          <w:p w14:paraId="065ED27B"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0,2</w:t>
            </w:r>
          </w:p>
        </w:tc>
        <w:tc>
          <w:tcPr>
            <w:tcW w:w="1134" w:type="dxa"/>
            <w:noWrap/>
            <w:hideMark/>
          </w:tcPr>
          <w:p w14:paraId="7EBD7380"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0,6</w:t>
            </w:r>
          </w:p>
        </w:tc>
        <w:tc>
          <w:tcPr>
            <w:tcW w:w="1134" w:type="dxa"/>
            <w:noWrap/>
            <w:hideMark/>
          </w:tcPr>
          <w:p w14:paraId="4504E5E4"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0,8</w:t>
            </w:r>
          </w:p>
        </w:tc>
        <w:tc>
          <w:tcPr>
            <w:tcW w:w="1134" w:type="dxa"/>
            <w:noWrap/>
            <w:hideMark/>
          </w:tcPr>
          <w:p w14:paraId="67F44759"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0,2</w:t>
            </w:r>
          </w:p>
        </w:tc>
        <w:tc>
          <w:tcPr>
            <w:tcW w:w="1276" w:type="dxa"/>
            <w:noWrap/>
            <w:hideMark/>
          </w:tcPr>
          <w:p w14:paraId="21621446"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0,7</w:t>
            </w:r>
          </w:p>
        </w:tc>
        <w:tc>
          <w:tcPr>
            <w:tcW w:w="1276" w:type="dxa"/>
            <w:noWrap/>
            <w:hideMark/>
          </w:tcPr>
          <w:p w14:paraId="4AB08D55"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1,0</w:t>
            </w:r>
          </w:p>
        </w:tc>
        <w:tc>
          <w:tcPr>
            <w:tcW w:w="1134" w:type="dxa"/>
            <w:noWrap/>
            <w:hideMark/>
          </w:tcPr>
          <w:p w14:paraId="722ACFCA"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0,2</w:t>
            </w:r>
          </w:p>
        </w:tc>
      </w:tr>
    </w:tbl>
    <w:p w14:paraId="155AE650" w14:textId="77777777" w:rsidR="00392F2F" w:rsidRPr="00BA4E97" w:rsidRDefault="00392F2F" w:rsidP="00C020FD">
      <w:pPr>
        <w:jc w:val="left"/>
        <w:rPr>
          <w:rFonts w:cs="Times New Roman"/>
          <w:b/>
          <w:sz w:val="22"/>
        </w:rPr>
      </w:pPr>
      <w:r w:rsidRPr="00BA4E97">
        <w:rPr>
          <w:rFonts w:cs="Times New Roman"/>
          <w:b/>
          <w:sz w:val="22"/>
        </w:rPr>
        <w:t>a łącznie z poradami nocnej i świątecznej opieki zdrowotnej, bez porad udzielonych w izbach przyjęć szpitali ogólnych</w:t>
      </w:r>
    </w:p>
    <w:p w14:paraId="5B423A57" w14:textId="338C046D" w:rsidR="00392F2F" w:rsidRPr="00BA4E97" w:rsidRDefault="00392F2F" w:rsidP="00C020FD">
      <w:pPr>
        <w:jc w:val="left"/>
        <w:rPr>
          <w:rFonts w:cs="Times New Roman"/>
          <w:b/>
          <w:sz w:val="22"/>
        </w:rPr>
      </w:pPr>
      <w:r w:rsidRPr="00BA4E97">
        <w:rPr>
          <w:rFonts w:cs="Times New Roman"/>
          <w:b/>
          <w:sz w:val="22"/>
        </w:rPr>
        <w:t>Źródło: Sprawozdanie z ambulatoryjnej opieki zdrowotnej, GUS (formularz ZD3)</w:t>
      </w:r>
      <w:r w:rsidR="003F388C">
        <w:rPr>
          <w:rFonts w:cs="Times New Roman"/>
          <w:b/>
          <w:sz w:val="22"/>
        </w:rPr>
        <w:t>.</w:t>
      </w:r>
    </w:p>
    <w:p w14:paraId="16C50D0D" w14:textId="77777777" w:rsidR="00392F2F" w:rsidRPr="00392F2F" w:rsidRDefault="00392F2F" w:rsidP="00C020FD">
      <w:pPr>
        <w:jc w:val="left"/>
        <w:rPr>
          <w:rFonts w:cs="Times New Roman"/>
          <w:b/>
        </w:rPr>
      </w:pPr>
    </w:p>
    <w:p w14:paraId="20925F5A" w14:textId="7A5737F5" w:rsidR="00392F2F" w:rsidRPr="00392F2F" w:rsidRDefault="00392F2F" w:rsidP="00C020FD">
      <w:pPr>
        <w:pStyle w:val="Legenda"/>
        <w:keepNext/>
        <w:jc w:val="left"/>
        <w:rPr>
          <w:rFonts w:cs="Times New Roman"/>
          <w:b/>
          <w:i w:val="0"/>
          <w:color w:val="auto"/>
          <w:sz w:val="24"/>
        </w:rPr>
      </w:pPr>
      <w:bookmarkStart w:id="33" w:name="_Toc49171405"/>
      <w:r w:rsidRPr="00392F2F">
        <w:rPr>
          <w:rFonts w:cs="Times New Roman"/>
          <w:b/>
          <w:i w:val="0"/>
          <w:color w:val="auto"/>
          <w:sz w:val="24"/>
        </w:rPr>
        <w:t xml:space="preserve">Tabela </w:t>
      </w:r>
      <w:r w:rsidR="00007806">
        <w:rPr>
          <w:rFonts w:cs="Times New Roman"/>
          <w:b/>
          <w:i w:val="0"/>
          <w:color w:val="auto"/>
          <w:sz w:val="24"/>
        </w:rPr>
        <w:t>2</w:t>
      </w:r>
      <w:r w:rsidR="003215CC">
        <w:rPr>
          <w:rFonts w:cs="Times New Roman"/>
          <w:b/>
          <w:i w:val="0"/>
          <w:color w:val="auto"/>
          <w:sz w:val="24"/>
        </w:rPr>
        <w:t>4</w:t>
      </w:r>
      <w:r w:rsidR="00EE73AF">
        <w:rPr>
          <w:rFonts w:cs="Times New Roman"/>
          <w:b/>
          <w:i w:val="0"/>
          <w:color w:val="auto"/>
          <w:sz w:val="24"/>
        </w:rPr>
        <w:t>.</w:t>
      </w:r>
      <w:r w:rsidRPr="00392F2F">
        <w:rPr>
          <w:rFonts w:cs="Times New Roman"/>
          <w:b/>
          <w:i w:val="0"/>
          <w:color w:val="auto"/>
          <w:sz w:val="24"/>
        </w:rPr>
        <w:t xml:space="preserve"> Struktura porad ambulatoryjnej opieki zdrowotnej w 2020 r.</w:t>
      </w:r>
      <w:bookmarkEnd w:id="33"/>
    </w:p>
    <w:tbl>
      <w:tblPr>
        <w:tblStyle w:val="Tabelasiatki4akcent21"/>
        <w:tblW w:w="12763" w:type="dxa"/>
        <w:tblLook w:val="04A0" w:firstRow="1" w:lastRow="0" w:firstColumn="1" w:lastColumn="0" w:noHBand="0" w:noVBand="1"/>
      </w:tblPr>
      <w:tblGrid>
        <w:gridCol w:w="3017"/>
        <w:gridCol w:w="958"/>
        <w:gridCol w:w="1134"/>
        <w:gridCol w:w="992"/>
        <w:gridCol w:w="1134"/>
        <w:gridCol w:w="992"/>
        <w:gridCol w:w="709"/>
        <w:gridCol w:w="1276"/>
        <w:gridCol w:w="992"/>
        <w:gridCol w:w="1559"/>
      </w:tblGrid>
      <w:tr w:rsidR="00392F2F" w:rsidRPr="00392F2F" w14:paraId="3B3E1108" w14:textId="77777777" w:rsidTr="00C020FD">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3017" w:type="dxa"/>
            <w:vMerge w:val="restart"/>
            <w:hideMark/>
          </w:tcPr>
          <w:p w14:paraId="2A60B8F1" w14:textId="77777777" w:rsidR="00392F2F" w:rsidRPr="00392F2F" w:rsidRDefault="00392F2F" w:rsidP="00C020FD">
            <w:pPr>
              <w:spacing w:line="240" w:lineRule="auto"/>
              <w:jc w:val="left"/>
              <w:rPr>
                <w:rFonts w:eastAsia="Times New Roman" w:cs="Times New Roman"/>
                <w:b w:val="0"/>
                <w:color w:val="auto"/>
                <w:sz w:val="19"/>
                <w:szCs w:val="19"/>
                <w:lang w:eastAsia="pl-PL"/>
              </w:rPr>
            </w:pPr>
            <w:r w:rsidRPr="00392F2F">
              <w:rPr>
                <w:rFonts w:eastAsia="Times New Roman" w:cs="Times New Roman"/>
                <w:color w:val="auto"/>
                <w:sz w:val="19"/>
                <w:szCs w:val="19"/>
                <w:lang w:eastAsia="pl-PL"/>
              </w:rPr>
              <w:t>Wyszczególnienie</w:t>
            </w:r>
          </w:p>
        </w:tc>
        <w:tc>
          <w:tcPr>
            <w:tcW w:w="3084" w:type="dxa"/>
            <w:gridSpan w:val="3"/>
            <w:hideMark/>
          </w:tcPr>
          <w:p w14:paraId="5BA3C6B2" w14:textId="77777777" w:rsidR="00392F2F" w:rsidRPr="00392F2F" w:rsidRDefault="00392F2F" w:rsidP="00C020FD">
            <w:pPr>
              <w:spacing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19"/>
                <w:szCs w:val="19"/>
                <w:lang w:eastAsia="pl-PL"/>
              </w:rPr>
            </w:pPr>
            <w:r w:rsidRPr="00392F2F">
              <w:rPr>
                <w:rFonts w:eastAsia="Times New Roman" w:cs="Times New Roman"/>
                <w:color w:val="auto"/>
                <w:sz w:val="19"/>
                <w:szCs w:val="19"/>
                <w:lang w:eastAsia="pl-PL"/>
              </w:rPr>
              <w:t>Ogółem</w:t>
            </w:r>
          </w:p>
        </w:tc>
        <w:tc>
          <w:tcPr>
            <w:tcW w:w="2835" w:type="dxa"/>
            <w:gridSpan w:val="3"/>
            <w:hideMark/>
          </w:tcPr>
          <w:p w14:paraId="350A9001" w14:textId="77777777" w:rsidR="00392F2F" w:rsidRPr="00392F2F" w:rsidRDefault="00392F2F" w:rsidP="00C020FD">
            <w:pPr>
              <w:spacing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19"/>
                <w:szCs w:val="19"/>
                <w:lang w:eastAsia="pl-PL"/>
              </w:rPr>
            </w:pPr>
            <w:r w:rsidRPr="00392F2F">
              <w:rPr>
                <w:rFonts w:eastAsia="Times New Roman" w:cs="Times New Roman"/>
                <w:color w:val="auto"/>
                <w:sz w:val="19"/>
                <w:szCs w:val="19"/>
                <w:lang w:eastAsia="pl-PL"/>
              </w:rPr>
              <w:t>Osoby w wieku 65 lat i więcej</w:t>
            </w:r>
          </w:p>
        </w:tc>
        <w:tc>
          <w:tcPr>
            <w:tcW w:w="3827" w:type="dxa"/>
            <w:gridSpan w:val="3"/>
            <w:hideMark/>
          </w:tcPr>
          <w:p w14:paraId="71433B12" w14:textId="77777777" w:rsidR="00392F2F" w:rsidRPr="00392F2F" w:rsidRDefault="00392F2F" w:rsidP="00C020FD">
            <w:pPr>
              <w:spacing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19"/>
                <w:szCs w:val="19"/>
                <w:lang w:eastAsia="pl-PL"/>
              </w:rPr>
            </w:pPr>
            <w:r w:rsidRPr="00392F2F">
              <w:rPr>
                <w:rFonts w:eastAsia="Times New Roman" w:cs="Times New Roman"/>
                <w:color w:val="auto"/>
                <w:sz w:val="19"/>
                <w:szCs w:val="19"/>
                <w:lang w:eastAsia="pl-PL"/>
              </w:rPr>
              <w:t>Osoby w wieku 0-64 lata</w:t>
            </w:r>
          </w:p>
        </w:tc>
      </w:tr>
      <w:tr w:rsidR="00392F2F" w:rsidRPr="00392F2F" w14:paraId="1C3706CD" w14:textId="77777777" w:rsidTr="00C020FD">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017" w:type="dxa"/>
            <w:vMerge/>
            <w:hideMark/>
          </w:tcPr>
          <w:p w14:paraId="57204489" w14:textId="77777777" w:rsidR="00392F2F" w:rsidRPr="00392F2F" w:rsidRDefault="00392F2F" w:rsidP="00C020FD">
            <w:pPr>
              <w:spacing w:line="240" w:lineRule="auto"/>
              <w:jc w:val="left"/>
              <w:rPr>
                <w:rFonts w:eastAsia="Times New Roman" w:cs="Times New Roman"/>
                <w:b w:val="0"/>
                <w:sz w:val="19"/>
                <w:szCs w:val="19"/>
                <w:lang w:eastAsia="pl-PL"/>
              </w:rPr>
            </w:pPr>
          </w:p>
        </w:tc>
        <w:tc>
          <w:tcPr>
            <w:tcW w:w="958" w:type="dxa"/>
            <w:vMerge w:val="restart"/>
            <w:shd w:val="clear" w:color="auto" w:fill="ED7D31" w:themeFill="accent2"/>
            <w:hideMark/>
          </w:tcPr>
          <w:p w14:paraId="0BF21370"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ogółem</w:t>
            </w:r>
          </w:p>
        </w:tc>
        <w:tc>
          <w:tcPr>
            <w:tcW w:w="1134" w:type="dxa"/>
            <w:vMerge w:val="restart"/>
            <w:shd w:val="clear" w:color="auto" w:fill="ED7D31" w:themeFill="accent2"/>
            <w:hideMark/>
          </w:tcPr>
          <w:p w14:paraId="60E07718"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miasta</w:t>
            </w:r>
          </w:p>
        </w:tc>
        <w:tc>
          <w:tcPr>
            <w:tcW w:w="992" w:type="dxa"/>
            <w:vMerge w:val="restart"/>
            <w:shd w:val="clear" w:color="auto" w:fill="ED7D31" w:themeFill="accent2"/>
            <w:hideMark/>
          </w:tcPr>
          <w:p w14:paraId="1E45B188"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wieś</w:t>
            </w:r>
          </w:p>
        </w:tc>
        <w:tc>
          <w:tcPr>
            <w:tcW w:w="1134" w:type="dxa"/>
            <w:shd w:val="clear" w:color="auto" w:fill="ED7D31" w:themeFill="accent2"/>
            <w:hideMark/>
          </w:tcPr>
          <w:p w14:paraId="72B871C4"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razem</w:t>
            </w:r>
          </w:p>
        </w:tc>
        <w:tc>
          <w:tcPr>
            <w:tcW w:w="992" w:type="dxa"/>
            <w:shd w:val="clear" w:color="auto" w:fill="ED7D31" w:themeFill="accent2"/>
            <w:hideMark/>
          </w:tcPr>
          <w:p w14:paraId="28F1515C"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miasta</w:t>
            </w:r>
          </w:p>
        </w:tc>
        <w:tc>
          <w:tcPr>
            <w:tcW w:w="709" w:type="dxa"/>
            <w:shd w:val="clear" w:color="auto" w:fill="ED7D31" w:themeFill="accent2"/>
            <w:hideMark/>
          </w:tcPr>
          <w:p w14:paraId="4CCAF24A"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wieś</w:t>
            </w:r>
          </w:p>
        </w:tc>
        <w:tc>
          <w:tcPr>
            <w:tcW w:w="1276" w:type="dxa"/>
            <w:shd w:val="clear" w:color="auto" w:fill="ED7D31" w:themeFill="accent2"/>
            <w:hideMark/>
          </w:tcPr>
          <w:p w14:paraId="20BDDFBF"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razem</w:t>
            </w:r>
          </w:p>
        </w:tc>
        <w:tc>
          <w:tcPr>
            <w:tcW w:w="992" w:type="dxa"/>
            <w:shd w:val="clear" w:color="auto" w:fill="ED7D31" w:themeFill="accent2"/>
            <w:hideMark/>
          </w:tcPr>
          <w:p w14:paraId="2F3D5437"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miasta</w:t>
            </w:r>
          </w:p>
        </w:tc>
        <w:tc>
          <w:tcPr>
            <w:tcW w:w="1559" w:type="dxa"/>
            <w:shd w:val="clear" w:color="auto" w:fill="ED7D31" w:themeFill="accent2"/>
            <w:hideMark/>
          </w:tcPr>
          <w:p w14:paraId="5ED493CD"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wieś</w:t>
            </w:r>
          </w:p>
        </w:tc>
      </w:tr>
      <w:tr w:rsidR="00392F2F" w:rsidRPr="00392F2F" w14:paraId="51F95650" w14:textId="77777777" w:rsidTr="00C020FD">
        <w:trPr>
          <w:trHeight w:val="371"/>
        </w:trPr>
        <w:tc>
          <w:tcPr>
            <w:cnfStyle w:val="001000000000" w:firstRow="0" w:lastRow="0" w:firstColumn="1" w:lastColumn="0" w:oddVBand="0" w:evenVBand="0" w:oddHBand="0" w:evenHBand="0" w:firstRowFirstColumn="0" w:firstRowLastColumn="0" w:lastRowFirstColumn="0" w:lastRowLastColumn="0"/>
            <w:tcW w:w="3017" w:type="dxa"/>
            <w:vMerge/>
            <w:hideMark/>
          </w:tcPr>
          <w:p w14:paraId="060CAC76" w14:textId="77777777" w:rsidR="00392F2F" w:rsidRPr="00392F2F" w:rsidRDefault="00392F2F" w:rsidP="00C020FD">
            <w:pPr>
              <w:spacing w:line="240" w:lineRule="auto"/>
              <w:jc w:val="left"/>
              <w:rPr>
                <w:rFonts w:eastAsia="Times New Roman" w:cs="Times New Roman"/>
                <w:b w:val="0"/>
                <w:sz w:val="19"/>
                <w:szCs w:val="19"/>
                <w:lang w:eastAsia="pl-PL"/>
              </w:rPr>
            </w:pPr>
          </w:p>
        </w:tc>
        <w:tc>
          <w:tcPr>
            <w:tcW w:w="958" w:type="dxa"/>
            <w:vMerge/>
            <w:shd w:val="clear" w:color="auto" w:fill="ED7D31" w:themeFill="accent2"/>
            <w:hideMark/>
          </w:tcPr>
          <w:p w14:paraId="2F40D102"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sz w:val="19"/>
                <w:szCs w:val="19"/>
                <w:lang w:eastAsia="pl-PL"/>
              </w:rPr>
            </w:pPr>
          </w:p>
        </w:tc>
        <w:tc>
          <w:tcPr>
            <w:tcW w:w="1134" w:type="dxa"/>
            <w:vMerge/>
            <w:shd w:val="clear" w:color="auto" w:fill="ED7D31" w:themeFill="accent2"/>
            <w:hideMark/>
          </w:tcPr>
          <w:p w14:paraId="649EFEA9"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sz w:val="19"/>
                <w:szCs w:val="19"/>
                <w:lang w:eastAsia="pl-PL"/>
              </w:rPr>
            </w:pPr>
          </w:p>
        </w:tc>
        <w:tc>
          <w:tcPr>
            <w:tcW w:w="992" w:type="dxa"/>
            <w:vMerge/>
            <w:shd w:val="clear" w:color="auto" w:fill="ED7D31" w:themeFill="accent2"/>
            <w:hideMark/>
          </w:tcPr>
          <w:p w14:paraId="429C776E"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sz w:val="19"/>
                <w:szCs w:val="19"/>
                <w:lang w:eastAsia="pl-PL"/>
              </w:rPr>
            </w:pPr>
          </w:p>
        </w:tc>
        <w:tc>
          <w:tcPr>
            <w:tcW w:w="1134" w:type="dxa"/>
            <w:shd w:val="clear" w:color="auto" w:fill="ED7D31" w:themeFill="accent2"/>
            <w:hideMark/>
          </w:tcPr>
          <w:p w14:paraId="079E8F3B"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ogółem = 100</w:t>
            </w:r>
          </w:p>
        </w:tc>
        <w:tc>
          <w:tcPr>
            <w:tcW w:w="1701" w:type="dxa"/>
            <w:gridSpan w:val="2"/>
            <w:shd w:val="clear" w:color="auto" w:fill="ED7D31" w:themeFill="accent2"/>
            <w:hideMark/>
          </w:tcPr>
          <w:p w14:paraId="68E97CDC"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razem = 100</w:t>
            </w:r>
          </w:p>
        </w:tc>
        <w:tc>
          <w:tcPr>
            <w:tcW w:w="1276" w:type="dxa"/>
            <w:shd w:val="clear" w:color="auto" w:fill="ED7D31" w:themeFill="accent2"/>
            <w:hideMark/>
          </w:tcPr>
          <w:p w14:paraId="6067E720"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ogółem = 100</w:t>
            </w:r>
          </w:p>
        </w:tc>
        <w:tc>
          <w:tcPr>
            <w:tcW w:w="2551" w:type="dxa"/>
            <w:gridSpan w:val="2"/>
            <w:shd w:val="clear" w:color="auto" w:fill="ED7D31" w:themeFill="accent2"/>
            <w:hideMark/>
          </w:tcPr>
          <w:p w14:paraId="0D1AA359"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razem = 100</w:t>
            </w:r>
          </w:p>
        </w:tc>
      </w:tr>
      <w:tr w:rsidR="00392F2F" w:rsidRPr="00392F2F" w14:paraId="7BD821D5" w14:textId="77777777" w:rsidTr="00C020FD">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3017" w:type="dxa"/>
            <w:vMerge/>
            <w:hideMark/>
          </w:tcPr>
          <w:p w14:paraId="657111C1" w14:textId="77777777" w:rsidR="00392F2F" w:rsidRPr="00392F2F" w:rsidRDefault="00392F2F" w:rsidP="00C020FD">
            <w:pPr>
              <w:spacing w:line="240" w:lineRule="auto"/>
              <w:jc w:val="left"/>
              <w:rPr>
                <w:rFonts w:eastAsia="Times New Roman" w:cs="Times New Roman"/>
                <w:b w:val="0"/>
                <w:sz w:val="19"/>
                <w:szCs w:val="19"/>
                <w:lang w:eastAsia="pl-PL"/>
              </w:rPr>
            </w:pPr>
          </w:p>
        </w:tc>
        <w:tc>
          <w:tcPr>
            <w:tcW w:w="9746" w:type="dxa"/>
            <w:gridSpan w:val="9"/>
            <w:shd w:val="clear" w:color="auto" w:fill="ED7D31" w:themeFill="accent2"/>
            <w:hideMark/>
          </w:tcPr>
          <w:p w14:paraId="3DC2F906"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sz w:val="19"/>
                <w:szCs w:val="19"/>
                <w:lang w:eastAsia="pl-PL"/>
              </w:rPr>
            </w:pPr>
            <w:r w:rsidRPr="00392F2F">
              <w:rPr>
                <w:rFonts w:eastAsia="Times New Roman" w:cs="Times New Roman"/>
                <w:b/>
                <w:sz w:val="19"/>
                <w:szCs w:val="19"/>
                <w:lang w:eastAsia="pl-PL"/>
              </w:rPr>
              <w:t>w %</w:t>
            </w:r>
          </w:p>
        </w:tc>
      </w:tr>
      <w:tr w:rsidR="00392F2F" w:rsidRPr="00392F2F" w14:paraId="3A927436" w14:textId="77777777" w:rsidTr="00C020FD">
        <w:trPr>
          <w:trHeight w:val="300"/>
        </w:trPr>
        <w:tc>
          <w:tcPr>
            <w:cnfStyle w:val="001000000000" w:firstRow="0" w:lastRow="0" w:firstColumn="1" w:lastColumn="0" w:oddVBand="0" w:evenVBand="0" w:oddHBand="0" w:evenHBand="0" w:firstRowFirstColumn="0" w:firstRowLastColumn="0" w:lastRowFirstColumn="0" w:lastRowLastColumn="0"/>
            <w:tcW w:w="3017" w:type="dxa"/>
            <w:noWrap/>
            <w:hideMark/>
          </w:tcPr>
          <w:p w14:paraId="2D96F399" w14:textId="77777777" w:rsidR="00392F2F" w:rsidRPr="00392F2F" w:rsidRDefault="00392F2F" w:rsidP="00C020FD">
            <w:pPr>
              <w:spacing w:line="240" w:lineRule="auto"/>
              <w:jc w:val="left"/>
              <w:rPr>
                <w:rFonts w:eastAsia="Times New Roman" w:cs="Times New Roman"/>
                <w:b w:val="0"/>
                <w:bCs w:val="0"/>
                <w:sz w:val="19"/>
                <w:szCs w:val="19"/>
                <w:lang w:eastAsia="pl-PL"/>
              </w:rPr>
            </w:pPr>
            <w:r w:rsidRPr="00392F2F">
              <w:rPr>
                <w:rFonts w:eastAsia="Times New Roman" w:cs="Times New Roman"/>
                <w:sz w:val="19"/>
                <w:szCs w:val="19"/>
                <w:lang w:eastAsia="pl-PL"/>
              </w:rPr>
              <w:t xml:space="preserve">Porady </w:t>
            </w:r>
            <w:proofErr w:type="spellStart"/>
            <w:r w:rsidRPr="00392F2F">
              <w:rPr>
                <w:rFonts w:eastAsia="Times New Roman" w:cs="Times New Roman"/>
                <w:sz w:val="19"/>
                <w:szCs w:val="19"/>
                <w:lang w:eastAsia="pl-PL"/>
              </w:rPr>
              <w:t>ogółem</w:t>
            </w:r>
            <w:r w:rsidRPr="00392F2F">
              <w:rPr>
                <w:rFonts w:eastAsia="Times New Roman" w:cs="Times New Roman"/>
                <w:i/>
                <w:iCs/>
                <w:sz w:val="19"/>
                <w:szCs w:val="19"/>
                <w:vertAlign w:val="superscript"/>
                <w:lang w:eastAsia="pl-PL"/>
              </w:rPr>
              <w:t>a</w:t>
            </w:r>
            <w:proofErr w:type="spellEnd"/>
          </w:p>
        </w:tc>
        <w:tc>
          <w:tcPr>
            <w:tcW w:w="958" w:type="dxa"/>
            <w:noWrap/>
            <w:hideMark/>
          </w:tcPr>
          <w:p w14:paraId="130BFAF1"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100,0</w:t>
            </w:r>
          </w:p>
        </w:tc>
        <w:tc>
          <w:tcPr>
            <w:tcW w:w="1134" w:type="dxa"/>
            <w:noWrap/>
            <w:hideMark/>
          </w:tcPr>
          <w:p w14:paraId="4DA6B888"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84,9</w:t>
            </w:r>
          </w:p>
        </w:tc>
        <w:tc>
          <w:tcPr>
            <w:tcW w:w="992" w:type="dxa"/>
            <w:noWrap/>
            <w:hideMark/>
          </w:tcPr>
          <w:p w14:paraId="1002101A"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15,1</w:t>
            </w:r>
          </w:p>
        </w:tc>
        <w:tc>
          <w:tcPr>
            <w:tcW w:w="1134" w:type="dxa"/>
            <w:noWrap/>
            <w:hideMark/>
          </w:tcPr>
          <w:p w14:paraId="3A306EFE"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31,7</w:t>
            </w:r>
          </w:p>
        </w:tc>
        <w:tc>
          <w:tcPr>
            <w:tcW w:w="992" w:type="dxa"/>
            <w:noWrap/>
            <w:hideMark/>
          </w:tcPr>
          <w:p w14:paraId="6F1ECCEE"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84,3</w:t>
            </w:r>
          </w:p>
        </w:tc>
        <w:tc>
          <w:tcPr>
            <w:tcW w:w="709" w:type="dxa"/>
            <w:noWrap/>
            <w:hideMark/>
          </w:tcPr>
          <w:p w14:paraId="0BA8AB51"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15,7</w:t>
            </w:r>
          </w:p>
        </w:tc>
        <w:tc>
          <w:tcPr>
            <w:tcW w:w="1276" w:type="dxa"/>
            <w:noWrap/>
            <w:hideMark/>
          </w:tcPr>
          <w:p w14:paraId="60C108C8"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68,3</w:t>
            </w:r>
          </w:p>
        </w:tc>
        <w:tc>
          <w:tcPr>
            <w:tcW w:w="992" w:type="dxa"/>
            <w:noWrap/>
            <w:hideMark/>
          </w:tcPr>
          <w:p w14:paraId="687ACFFF"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85,2</w:t>
            </w:r>
          </w:p>
        </w:tc>
        <w:tc>
          <w:tcPr>
            <w:tcW w:w="1559" w:type="dxa"/>
            <w:noWrap/>
            <w:hideMark/>
          </w:tcPr>
          <w:p w14:paraId="4A8A66B1"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392F2F">
              <w:rPr>
                <w:rFonts w:cs="Times New Roman"/>
                <w:b/>
                <w:bCs/>
                <w:sz w:val="20"/>
                <w:szCs w:val="20"/>
              </w:rPr>
              <w:t>14,8</w:t>
            </w:r>
          </w:p>
        </w:tc>
      </w:tr>
      <w:tr w:rsidR="00392F2F" w:rsidRPr="00392F2F" w14:paraId="7D122566" w14:textId="77777777" w:rsidTr="00C020FD">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3017" w:type="dxa"/>
            <w:hideMark/>
          </w:tcPr>
          <w:p w14:paraId="1F810247" w14:textId="77777777" w:rsidR="00392F2F" w:rsidRPr="00392F2F" w:rsidRDefault="00392F2F" w:rsidP="00C020FD">
            <w:pPr>
              <w:spacing w:line="240" w:lineRule="auto"/>
              <w:jc w:val="left"/>
              <w:rPr>
                <w:rFonts w:eastAsia="Times New Roman" w:cs="Times New Roman"/>
                <w:b w:val="0"/>
                <w:sz w:val="19"/>
                <w:szCs w:val="19"/>
                <w:lang w:eastAsia="pl-PL"/>
              </w:rPr>
            </w:pPr>
            <w:r w:rsidRPr="00392F2F">
              <w:rPr>
                <w:rFonts w:eastAsia="Times New Roman" w:cs="Times New Roman"/>
                <w:sz w:val="19"/>
                <w:szCs w:val="19"/>
                <w:lang w:eastAsia="pl-PL"/>
              </w:rPr>
              <w:t>podstawowej opieki zdrowotnej (POZ)</w:t>
            </w:r>
          </w:p>
        </w:tc>
        <w:tc>
          <w:tcPr>
            <w:tcW w:w="958" w:type="dxa"/>
            <w:noWrap/>
            <w:hideMark/>
          </w:tcPr>
          <w:p w14:paraId="33411C49"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100,0</w:t>
            </w:r>
          </w:p>
        </w:tc>
        <w:tc>
          <w:tcPr>
            <w:tcW w:w="1134" w:type="dxa"/>
            <w:noWrap/>
            <w:hideMark/>
          </w:tcPr>
          <w:p w14:paraId="63E6E2BA"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76,8</w:t>
            </w:r>
          </w:p>
        </w:tc>
        <w:tc>
          <w:tcPr>
            <w:tcW w:w="992" w:type="dxa"/>
            <w:noWrap/>
            <w:hideMark/>
          </w:tcPr>
          <w:p w14:paraId="2B94DAFB"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23,2</w:t>
            </w:r>
          </w:p>
        </w:tc>
        <w:tc>
          <w:tcPr>
            <w:tcW w:w="1134" w:type="dxa"/>
            <w:noWrap/>
            <w:hideMark/>
          </w:tcPr>
          <w:p w14:paraId="08A187C2"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36,0</w:t>
            </w:r>
          </w:p>
        </w:tc>
        <w:tc>
          <w:tcPr>
            <w:tcW w:w="992" w:type="dxa"/>
            <w:noWrap/>
            <w:hideMark/>
          </w:tcPr>
          <w:p w14:paraId="37E1D646"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77,1</w:t>
            </w:r>
          </w:p>
        </w:tc>
        <w:tc>
          <w:tcPr>
            <w:tcW w:w="709" w:type="dxa"/>
            <w:noWrap/>
            <w:hideMark/>
          </w:tcPr>
          <w:p w14:paraId="6DE60921"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22,9</w:t>
            </w:r>
          </w:p>
        </w:tc>
        <w:tc>
          <w:tcPr>
            <w:tcW w:w="1276" w:type="dxa"/>
            <w:noWrap/>
            <w:hideMark/>
          </w:tcPr>
          <w:p w14:paraId="2CF91EB1"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64,0</w:t>
            </w:r>
          </w:p>
        </w:tc>
        <w:tc>
          <w:tcPr>
            <w:tcW w:w="992" w:type="dxa"/>
            <w:noWrap/>
            <w:hideMark/>
          </w:tcPr>
          <w:p w14:paraId="6C1B2EC3"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76,7</w:t>
            </w:r>
          </w:p>
        </w:tc>
        <w:tc>
          <w:tcPr>
            <w:tcW w:w="1559" w:type="dxa"/>
            <w:noWrap/>
            <w:hideMark/>
          </w:tcPr>
          <w:p w14:paraId="69DDCD19"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23,3</w:t>
            </w:r>
          </w:p>
        </w:tc>
      </w:tr>
      <w:tr w:rsidR="00392F2F" w:rsidRPr="00392F2F" w14:paraId="66BCFE4E" w14:textId="77777777" w:rsidTr="00C020FD">
        <w:trPr>
          <w:trHeight w:val="300"/>
        </w:trPr>
        <w:tc>
          <w:tcPr>
            <w:cnfStyle w:val="001000000000" w:firstRow="0" w:lastRow="0" w:firstColumn="1" w:lastColumn="0" w:oddVBand="0" w:evenVBand="0" w:oddHBand="0" w:evenHBand="0" w:firstRowFirstColumn="0" w:firstRowLastColumn="0" w:lastRowFirstColumn="0" w:lastRowLastColumn="0"/>
            <w:tcW w:w="3017" w:type="dxa"/>
            <w:hideMark/>
          </w:tcPr>
          <w:p w14:paraId="3C31BAC8" w14:textId="77777777" w:rsidR="00392F2F" w:rsidRPr="00392F2F" w:rsidRDefault="00392F2F" w:rsidP="00C020FD">
            <w:pPr>
              <w:spacing w:line="240" w:lineRule="auto"/>
              <w:jc w:val="left"/>
              <w:rPr>
                <w:rFonts w:eastAsia="Times New Roman" w:cs="Times New Roman"/>
                <w:b w:val="0"/>
                <w:sz w:val="19"/>
                <w:szCs w:val="19"/>
                <w:lang w:eastAsia="pl-PL"/>
              </w:rPr>
            </w:pPr>
            <w:r w:rsidRPr="00392F2F">
              <w:rPr>
                <w:rFonts w:eastAsia="Times New Roman" w:cs="Times New Roman"/>
                <w:sz w:val="19"/>
                <w:szCs w:val="19"/>
                <w:lang w:eastAsia="pl-PL"/>
              </w:rPr>
              <w:t>specjalistyczne lekarskie (AOS)</w:t>
            </w:r>
          </w:p>
        </w:tc>
        <w:tc>
          <w:tcPr>
            <w:tcW w:w="958" w:type="dxa"/>
            <w:noWrap/>
            <w:hideMark/>
          </w:tcPr>
          <w:p w14:paraId="5AD766E4"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100,0</w:t>
            </w:r>
          </w:p>
        </w:tc>
        <w:tc>
          <w:tcPr>
            <w:tcW w:w="1134" w:type="dxa"/>
            <w:noWrap/>
            <w:hideMark/>
          </w:tcPr>
          <w:p w14:paraId="149329AC"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97,2</w:t>
            </w:r>
          </w:p>
        </w:tc>
        <w:tc>
          <w:tcPr>
            <w:tcW w:w="992" w:type="dxa"/>
            <w:noWrap/>
            <w:hideMark/>
          </w:tcPr>
          <w:p w14:paraId="6CB27416"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2,8</w:t>
            </w:r>
          </w:p>
        </w:tc>
        <w:tc>
          <w:tcPr>
            <w:tcW w:w="1134" w:type="dxa"/>
            <w:noWrap/>
            <w:hideMark/>
          </w:tcPr>
          <w:p w14:paraId="151C7092"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29,3</w:t>
            </w:r>
          </w:p>
        </w:tc>
        <w:tc>
          <w:tcPr>
            <w:tcW w:w="992" w:type="dxa"/>
            <w:noWrap/>
            <w:hideMark/>
          </w:tcPr>
          <w:p w14:paraId="7F175F30"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97,7</w:t>
            </w:r>
          </w:p>
        </w:tc>
        <w:tc>
          <w:tcPr>
            <w:tcW w:w="709" w:type="dxa"/>
            <w:noWrap/>
            <w:hideMark/>
          </w:tcPr>
          <w:p w14:paraId="3EAB9F96"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2,3</w:t>
            </w:r>
          </w:p>
        </w:tc>
        <w:tc>
          <w:tcPr>
            <w:tcW w:w="1276" w:type="dxa"/>
            <w:noWrap/>
            <w:hideMark/>
          </w:tcPr>
          <w:p w14:paraId="59160DBD"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70,7</w:t>
            </w:r>
          </w:p>
        </w:tc>
        <w:tc>
          <w:tcPr>
            <w:tcW w:w="992" w:type="dxa"/>
            <w:noWrap/>
            <w:hideMark/>
          </w:tcPr>
          <w:p w14:paraId="3E19FA1B"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97,0</w:t>
            </w:r>
          </w:p>
        </w:tc>
        <w:tc>
          <w:tcPr>
            <w:tcW w:w="1559" w:type="dxa"/>
            <w:noWrap/>
            <w:hideMark/>
          </w:tcPr>
          <w:p w14:paraId="059CAD9C" w14:textId="77777777" w:rsidR="00392F2F" w:rsidRPr="00392F2F" w:rsidRDefault="00392F2F" w:rsidP="00C020FD">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3,0</w:t>
            </w:r>
          </w:p>
        </w:tc>
      </w:tr>
      <w:tr w:rsidR="00392F2F" w:rsidRPr="00392F2F" w14:paraId="377628E0" w14:textId="77777777" w:rsidTr="00C020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7" w:type="dxa"/>
            <w:hideMark/>
          </w:tcPr>
          <w:p w14:paraId="7B74DEDC" w14:textId="77777777" w:rsidR="00392F2F" w:rsidRPr="00392F2F" w:rsidRDefault="00392F2F" w:rsidP="00C020FD">
            <w:pPr>
              <w:spacing w:line="240" w:lineRule="auto"/>
              <w:jc w:val="left"/>
              <w:rPr>
                <w:rFonts w:eastAsia="Times New Roman" w:cs="Times New Roman"/>
                <w:b w:val="0"/>
                <w:sz w:val="19"/>
                <w:szCs w:val="19"/>
                <w:lang w:eastAsia="pl-PL"/>
              </w:rPr>
            </w:pPr>
            <w:r w:rsidRPr="00392F2F">
              <w:rPr>
                <w:rFonts w:eastAsia="Times New Roman" w:cs="Times New Roman"/>
                <w:sz w:val="19"/>
                <w:szCs w:val="19"/>
                <w:lang w:eastAsia="pl-PL"/>
              </w:rPr>
              <w:t>stomatologiczne</w:t>
            </w:r>
          </w:p>
        </w:tc>
        <w:tc>
          <w:tcPr>
            <w:tcW w:w="958" w:type="dxa"/>
            <w:noWrap/>
            <w:hideMark/>
          </w:tcPr>
          <w:p w14:paraId="4D9686AC"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100,0</w:t>
            </w:r>
          </w:p>
        </w:tc>
        <w:tc>
          <w:tcPr>
            <w:tcW w:w="1134" w:type="dxa"/>
            <w:noWrap/>
            <w:hideMark/>
          </w:tcPr>
          <w:p w14:paraId="22B94BEE"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86,1</w:t>
            </w:r>
          </w:p>
        </w:tc>
        <w:tc>
          <w:tcPr>
            <w:tcW w:w="992" w:type="dxa"/>
            <w:noWrap/>
            <w:hideMark/>
          </w:tcPr>
          <w:p w14:paraId="39A29BF7"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13,9</w:t>
            </w:r>
          </w:p>
        </w:tc>
        <w:tc>
          <w:tcPr>
            <w:tcW w:w="1134" w:type="dxa"/>
            <w:noWrap/>
            <w:hideMark/>
          </w:tcPr>
          <w:p w14:paraId="2E46168B"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15,8</w:t>
            </w:r>
          </w:p>
        </w:tc>
        <w:tc>
          <w:tcPr>
            <w:tcW w:w="992" w:type="dxa"/>
            <w:noWrap/>
            <w:hideMark/>
          </w:tcPr>
          <w:p w14:paraId="51DB94BB"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87,0</w:t>
            </w:r>
          </w:p>
        </w:tc>
        <w:tc>
          <w:tcPr>
            <w:tcW w:w="709" w:type="dxa"/>
            <w:noWrap/>
            <w:hideMark/>
          </w:tcPr>
          <w:p w14:paraId="6FE5B9A6"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13,0</w:t>
            </w:r>
          </w:p>
        </w:tc>
        <w:tc>
          <w:tcPr>
            <w:tcW w:w="1276" w:type="dxa"/>
            <w:noWrap/>
            <w:hideMark/>
          </w:tcPr>
          <w:p w14:paraId="5B100ED6"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84,2</w:t>
            </w:r>
          </w:p>
        </w:tc>
        <w:tc>
          <w:tcPr>
            <w:tcW w:w="992" w:type="dxa"/>
            <w:noWrap/>
            <w:hideMark/>
          </w:tcPr>
          <w:p w14:paraId="12161990"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85,9</w:t>
            </w:r>
          </w:p>
        </w:tc>
        <w:tc>
          <w:tcPr>
            <w:tcW w:w="1559" w:type="dxa"/>
            <w:noWrap/>
            <w:hideMark/>
          </w:tcPr>
          <w:p w14:paraId="74DF596A" w14:textId="77777777" w:rsidR="00392F2F" w:rsidRPr="00392F2F" w:rsidRDefault="00392F2F" w:rsidP="00C020FD">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392F2F">
              <w:rPr>
                <w:rFonts w:cs="Times New Roman"/>
                <w:sz w:val="20"/>
                <w:szCs w:val="20"/>
              </w:rPr>
              <w:t>14,1</w:t>
            </w:r>
          </w:p>
        </w:tc>
      </w:tr>
    </w:tbl>
    <w:p w14:paraId="4B0AEC78" w14:textId="77777777" w:rsidR="00392F2F" w:rsidRPr="00BA4E97" w:rsidRDefault="00392F2F" w:rsidP="00C020FD">
      <w:pPr>
        <w:jc w:val="left"/>
        <w:rPr>
          <w:rFonts w:cs="Times New Roman"/>
          <w:b/>
          <w:sz w:val="22"/>
        </w:rPr>
      </w:pPr>
      <w:r w:rsidRPr="00BA4E97">
        <w:rPr>
          <w:rFonts w:cs="Times New Roman"/>
          <w:b/>
          <w:sz w:val="22"/>
        </w:rPr>
        <w:t>a łącznie z poradami nocnej i świątecznej opieki zdrowotnej, bez porad udzielonych w izbach przyjęć szpitali ogólnych</w:t>
      </w:r>
    </w:p>
    <w:p w14:paraId="538F1331" w14:textId="0F42DA70" w:rsidR="00392F2F" w:rsidRPr="00BA4E97" w:rsidRDefault="00392F2F" w:rsidP="00C020FD">
      <w:pPr>
        <w:jc w:val="left"/>
        <w:rPr>
          <w:rFonts w:cs="Times New Roman"/>
          <w:b/>
          <w:sz w:val="22"/>
        </w:rPr>
      </w:pPr>
      <w:r w:rsidRPr="00BA4E97">
        <w:rPr>
          <w:rFonts w:cs="Times New Roman"/>
          <w:b/>
          <w:sz w:val="22"/>
        </w:rPr>
        <w:t>Źródło: Sprawozdanie z ambulatoryjnej opieki zdrowotnej, GUS (formularz ZD3)</w:t>
      </w:r>
      <w:r w:rsidR="00BA4E97" w:rsidRPr="00BA4E97">
        <w:rPr>
          <w:rFonts w:cs="Times New Roman"/>
          <w:b/>
          <w:sz w:val="22"/>
        </w:rPr>
        <w:t>.</w:t>
      </w:r>
    </w:p>
    <w:p w14:paraId="5CD5BDF4" w14:textId="77777777" w:rsidR="00BA4E97" w:rsidRDefault="00BA4E97" w:rsidP="00C020FD">
      <w:pPr>
        <w:jc w:val="left"/>
        <w:rPr>
          <w:rFonts w:cs="Times New Roman"/>
          <w:b/>
        </w:rPr>
      </w:pPr>
    </w:p>
    <w:p w14:paraId="7D1EA24A" w14:textId="0EE5132F" w:rsidR="00BA4E97" w:rsidRPr="00392F2F" w:rsidRDefault="00BA4E97" w:rsidP="00C020FD">
      <w:pPr>
        <w:jc w:val="left"/>
        <w:rPr>
          <w:rFonts w:cs="Times New Roman"/>
          <w:b/>
        </w:rPr>
        <w:sectPr w:rsidR="00BA4E97" w:rsidRPr="00392F2F" w:rsidSect="00EC59CC">
          <w:pgSz w:w="16838" w:h="11909" w:orient="landscape"/>
          <w:pgMar w:top="1293" w:right="1137" w:bottom="1250" w:left="1132" w:header="0" w:footer="3" w:gutter="0"/>
          <w:cols w:space="720"/>
          <w:noEndnote/>
          <w:docGrid w:linePitch="360"/>
        </w:sectPr>
      </w:pPr>
    </w:p>
    <w:p w14:paraId="70DAD944" w14:textId="77777777" w:rsidR="003215CC" w:rsidRPr="00D52F50" w:rsidRDefault="003215CC" w:rsidP="00446749">
      <w:pPr>
        <w:pStyle w:val="Nagwek3"/>
      </w:pPr>
      <w:bookmarkStart w:id="34" w:name="_Toc77513889"/>
      <w:bookmarkStart w:id="35" w:name="_Toc80523049"/>
      <w:r w:rsidRPr="002F183A">
        <w:lastRenderedPageBreak/>
        <w:t>Kadra udzielająca świadczeń zdrowotnych osobom starszym</w:t>
      </w:r>
      <w:bookmarkEnd w:id="34"/>
      <w:bookmarkEnd w:id="35"/>
    </w:p>
    <w:p w14:paraId="16CDF6FF" w14:textId="77777777" w:rsidR="003215CC" w:rsidRDefault="003215CC" w:rsidP="003215CC">
      <w:pPr>
        <w:pStyle w:val="Teksttreci0"/>
        <w:shd w:val="clear" w:color="auto" w:fill="auto"/>
        <w:spacing w:after="0" w:line="276" w:lineRule="auto"/>
        <w:ind w:firstLine="0"/>
        <w:jc w:val="both"/>
        <w:rPr>
          <w:color w:val="FF0000"/>
          <w:sz w:val="24"/>
          <w:szCs w:val="24"/>
        </w:rPr>
      </w:pPr>
    </w:p>
    <w:p w14:paraId="768960B0" w14:textId="77777777" w:rsidR="003215CC" w:rsidRPr="00D52F50" w:rsidRDefault="003215CC" w:rsidP="003215CC">
      <w:pPr>
        <w:pStyle w:val="Teksttreci0"/>
        <w:shd w:val="clear" w:color="auto" w:fill="auto"/>
        <w:spacing w:after="0" w:line="276" w:lineRule="auto"/>
        <w:ind w:firstLine="0"/>
        <w:jc w:val="both"/>
        <w:rPr>
          <w:b/>
          <w:sz w:val="24"/>
          <w:szCs w:val="24"/>
        </w:rPr>
      </w:pPr>
      <w:r w:rsidRPr="00D52F50">
        <w:rPr>
          <w:b/>
          <w:sz w:val="24"/>
          <w:szCs w:val="24"/>
        </w:rPr>
        <w:t>Lekarze geriatrzy</w:t>
      </w:r>
    </w:p>
    <w:p w14:paraId="0F4F27CB" w14:textId="46884C8C" w:rsidR="003215CC" w:rsidRDefault="003215CC" w:rsidP="003215CC">
      <w:pPr>
        <w:pStyle w:val="Teksttreci0"/>
        <w:shd w:val="clear" w:color="auto" w:fill="auto"/>
        <w:spacing w:after="0" w:line="276" w:lineRule="auto"/>
        <w:ind w:firstLine="0"/>
        <w:jc w:val="both"/>
        <w:rPr>
          <w:sz w:val="24"/>
          <w:szCs w:val="24"/>
        </w:rPr>
      </w:pPr>
      <w:r w:rsidRPr="00432294">
        <w:rPr>
          <w:sz w:val="24"/>
          <w:szCs w:val="24"/>
        </w:rPr>
        <w:t>Liczba lekarzy geriatrów pracujących według podstawowego miejsca pracy według stanu na</w:t>
      </w:r>
      <w:r w:rsidR="00446749">
        <w:rPr>
          <w:sz w:val="24"/>
          <w:szCs w:val="24"/>
        </w:rPr>
        <w:t> </w:t>
      </w:r>
      <w:r w:rsidRPr="00432294">
        <w:rPr>
          <w:sz w:val="24"/>
          <w:szCs w:val="24"/>
        </w:rPr>
        <w:t>dzień 31</w:t>
      </w:r>
      <w:r w:rsidR="00406414">
        <w:rPr>
          <w:sz w:val="24"/>
          <w:szCs w:val="24"/>
        </w:rPr>
        <w:t xml:space="preserve"> grudnia </w:t>
      </w:r>
      <w:r w:rsidRPr="00432294">
        <w:rPr>
          <w:sz w:val="24"/>
          <w:szCs w:val="24"/>
        </w:rPr>
        <w:t>2019 r. wynosiła 163</w:t>
      </w:r>
      <w:r w:rsidRPr="00432294">
        <w:rPr>
          <w:rStyle w:val="Odwoanieprzypisudolnego"/>
          <w:sz w:val="24"/>
          <w:szCs w:val="24"/>
        </w:rPr>
        <w:footnoteReference w:id="17"/>
      </w:r>
      <w:r w:rsidRPr="00432294">
        <w:rPr>
          <w:sz w:val="24"/>
          <w:szCs w:val="24"/>
        </w:rPr>
        <w:t xml:space="preserve">. Systematycznie zwiększa się jednak liczba specjalistów z zakresu geriatrii </w:t>
      </w:r>
      <w:r>
        <w:rPr>
          <w:sz w:val="24"/>
          <w:szCs w:val="24"/>
        </w:rPr>
        <w:t>co przedstawia poniższa tabela.</w:t>
      </w:r>
    </w:p>
    <w:p w14:paraId="6AB640EE" w14:textId="77777777" w:rsidR="003215CC" w:rsidRPr="00432294" w:rsidRDefault="003215CC" w:rsidP="003215CC">
      <w:pPr>
        <w:pStyle w:val="Teksttreci0"/>
        <w:shd w:val="clear" w:color="auto" w:fill="auto"/>
        <w:spacing w:after="0" w:line="276" w:lineRule="auto"/>
        <w:ind w:firstLine="0"/>
        <w:jc w:val="both"/>
        <w:rPr>
          <w:sz w:val="24"/>
          <w:szCs w:val="24"/>
        </w:rPr>
      </w:pPr>
    </w:p>
    <w:p w14:paraId="6CE5CE6A" w14:textId="7D15F3D6" w:rsidR="003215CC" w:rsidRPr="00432294" w:rsidRDefault="003215CC" w:rsidP="003215CC">
      <w:pPr>
        <w:pStyle w:val="Legenda"/>
        <w:keepNext/>
        <w:rPr>
          <w:rFonts w:cs="Times New Roman"/>
          <w:b/>
          <w:i w:val="0"/>
          <w:color w:val="auto"/>
          <w:sz w:val="24"/>
        </w:rPr>
      </w:pPr>
      <w:r w:rsidRPr="00432294">
        <w:rPr>
          <w:rFonts w:cs="Times New Roman"/>
          <w:b/>
          <w:i w:val="0"/>
          <w:color w:val="auto"/>
          <w:sz w:val="24"/>
        </w:rPr>
        <w:t xml:space="preserve">Tabela </w:t>
      </w:r>
      <w:r>
        <w:rPr>
          <w:rFonts w:cs="Times New Roman"/>
          <w:b/>
          <w:i w:val="0"/>
          <w:color w:val="auto"/>
          <w:sz w:val="24"/>
        </w:rPr>
        <w:t>25</w:t>
      </w:r>
      <w:r w:rsidR="00EE73AF">
        <w:rPr>
          <w:rFonts w:cs="Times New Roman"/>
          <w:b/>
          <w:i w:val="0"/>
          <w:color w:val="auto"/>
          <w:sz w:val="24"/>
        </w:rPr>
        <w:t>.</w:t>
      </w:r>
      <w:r w:rsidRPr="00432294">
        <w:rPr>
          <w:rFonts w:cs="Times New Roman"/>
          <w:b/>
          <w:i w:val="0"/>
          <w:color w:val="auto"/>
          <w:sz w:val="24"/>
        </w:rPr>
        <w:t xml:space="preserve"> Liczba lekarzy geriatrów wykonujących zawód</w:t>
      </w:r>
    </w:p>
    <w:tbl>
      <w:tblPr>
        <w:tblStyle w:val="Tabelasiatki4akcent21"/>
        <w:tblW w:w="9493" w:type="dxa"/>
        <w:tblLook w:val="04A0" w:firstRow="1" w:lastRow="0" w:firstColumn="1" w:lastColumn="0" w:noHBand="0" w:noVBand="1"/>
      </w:tblPr>
      <w:tblGrid>
        <w:gridCol w:w="2405"/>
        <w:gridCol w:w="2552"/>
        <w:gridCol w:w="4536"/>
      </w:tblGrid>
      <w:tr w:rsidR="003215CC" w:rsidRPr="00432294" w14:paraId="4F1C8944" w14:textId="77777777" w:rsidTr="00AD720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hideMark/>
          </w:tcPr>
          <w:p w14:paraId="472C9E2F" w14:textId="77777777" w:rsidR="003215CC" w:rsidRPr="002874FF" w:rsidRDefault="003215CC" w:rsidP="00AD7202">
            <w:pPr>
              <w:tabs>
                <w:tab w:val="left" w:pos="708"/>
              </w:tabs>
              <w:spacing w:line="240" w:lineRule="auto"/>
              <w:jc w:val="center"/>
              <w:rPr>
                <w:rFonts w:eastAsia="Times New Roman" w:cs="Times New Roman"/>
                <w:color w:val="auto"/>
                <w:sz w:val="20"/>
                <w:szCs w:val="20"/>
                <w:lang w:eastAsia="pl-PL"/>
              </w:rPr>
            </w:pPr>
            <w:r w:rsidRPr="002874FF">
              <w:rPr>
                <w:rFonts w:eastAsia="Times New Roman" w:cs="Times New Roman"/>
                <w:bCs w:val="0"/>
                <w:color w:val="auto"/>
                <w:kern w:val="24"/>
                <w:sz w:val="20"/>
                <w:szCs w:val="20"/>
                <w:lang w:eastAsia="pl-PL"/>
              </w:rPr>
              <w:t>Według stanu na:</w:t>
            </w:r>
          </w:p>
        </w:tc>
        <w:tc>
          <w:tcPr>
            <w:tcW w:w="2552" w:type="dxa"/>
            <w:hideMark/>
          </w:tcPr>
          <w:p w14:paraId="15BD5DA6" w14:textId="77777777" w:rsidR="003215CC" w:rsidRPr="002874FF" w:rsidRDefault="003215CC" w:rsidP="00AD7202">
            <w:pPr>
              <w:tabs>
                <w:tab w:val="left" w:pos="708"/>
              </w:tabs>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2874FF">
              <w:rPr>
                <w:rFonts w:eastAsia="Times New Roman" w:cs="Times New Roman"/>
                <w:bCs w:val="0"/>
                <w:color w:val="auto"/>
                <w:kern w:val="24"/>
                <w:sz w:val="20"/>
                <w:szCs w:val="20"/>
                <w:lang w:eastAsia="pl-PL"/>
              </w:rPr>
              <w:t>Dziedzina specjalizacji</w:t>
            </w:r>
          </w:p>
        </w:tc>
        <w:tc>
          <w:tcPr>
            <w:tcW w:w="4536" w:type="dxa"/>
            <w:hideMark/>
          </w:tcPr>
          <w:p w14:paraId="1CBE645A" w14:textId="77777777" w:rsidR="003215CC" w:rsidRPr="002874FF" w:rsidRDefault="003215CC" w:rsidP="00AD7202">
            <w:pPr>
              <w:tabs>
                <w:tab w:val="left" w:pos="708"/>
              </w:tabs>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2874FF">
              <w:rPr>
                <w:rFonts w:eastAsia="Times New Roman" w:cs="Times New Roman"/>
                <w:bCs w:val="0"/>
                <w:color w:val="auto"/>
                <w:kern w:val="24"/>
                <w:sz w:val="20"/>
                <w:szCs w:val="20"/>
                <w:lang w:eastAsia="pl-PL"/>
              </w:rPr>
              <w:t>Liczba specjalistów wykonujących zawód</w:t>
            </w:r>
          </w:p>
        </w:tc>
      </w:tr>
      <w:tr w:rsidR="003215CC" w:rsidRPr="00432294" w14:paraId="2E031FB6" w14:textId="77777777" w:rsidTr="00AD7202">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405" w:type="dxa"/>
            <w:hideMark/>
          </w:tcPr>
          <w:p w14:paraId="14CAD4DD" w14:textId="77777777" w:rsidR="003215CC" w:rsidRPr="00432294" w:rsidRDefault="003215CC" w:rsidP="00AD7202">
            <w:pPr>
              <w:tabs>
                <w:tab w:val="left" w:pos="708"/>
              </w:tabs>
              <w:spacing w:line="240" w:lineRule="auto"/>
              <w:jc w:val="center"/>
              <w:rPr>
                <w:rFonts w:eastAsia="Times New Roman" w:cs="Times New Roman"/>
                <w:sz w:val="20"/>
                <w:szCs w:val="20"/>
                <w:lang w:eastAsia="pl-PL"/>
              </w:rPr>
            </w:pPr>
            <w:r w:rsidRPr="00432294">
              <w:rPr>
                <w:rFonts w:eastAsia="Times New Roman" w:cs="Times New Roman"/>
                <w:b w:val="0"/>
                <w:bCs w:val="0"/>
                <w:kern w:val="24"/>
                <w:sz w:val="20"/>
                <w:szCs w:val="20"/>
                <w:lang w:eastAsia="pl-PL"/>
              </w:rPr>
              <w:t>31.12.2015</w:t>
            </w:r>
          </w:p>
        </w:tc>
        <w:tc>
          <w:tcPr>
            <w:tcW w:w="2552" w:type="dxa"/>
            <w:vMerge w:val="restart"/>
            <w:vAlign w:val="center"/>
            <w:hideMark/>
          </w:tcPr>
          <w:p w14:paraId="4454EFFC" w14:textId="77777777" w:rsidR="003215CC" w:rsidRPr="00432294" w:rsidRDefault="003215CC" w:rsidP="00AD7202">
            <w:pPr>
              <w:tabs>
                <w:tab w:val="left" w:pos="708"/>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32294">
              <w:rPr>
                <w:rFonts w:eastAsia="Times New Roman" w:cs="Times New Roman"/>
                <w:kern w:val="24"/>
                <w:sz w:val="20"/>
                <w:szCs w:val="20"/>
                <w:lang w:eastAsia="pl-PL"/>
              </w:rPr>
              <w:t>Geriatria</w:t>
            </w:r>
          </w:p>
        </w:tc>
        <w:tc>
          <w:tcPr>
            <w:tcW w:w="4536" w:type="dxa"/>
            <w:hideMark/>
          </w:tcPr>
          <w:p w14:paraId="09877E40" w14:textId="77777777" w:rsidR="003215CC" w:rsidRPr="00432294" w:rsidRDefault="003215CC" w:rsidP="00AD7202">
            <w:pPr>
              <w:tabs>
                <w:tab w:val="left" w:pos="708"/>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32294">
              <w:rPr>
                <w:rFonts w:eastAsia="Times New Roman" w:cs="Times New Roman"/>
                <w:kern w:val="24"/>
                <w:sz w:val="20"/>
                <w:szCs w:val="20"/>
                <w:lang w:eastAsia="pl-PL"/>
              </w:rPr>
              <w:t>338</w:t>
            </w:r>
          </w:p>
        </w:tc>
      </w:tr>
      <w:tr w:rsidR="003215CC" w:rsidRPr="00432294" w14:paraId="7E780E58" w14:textId="77777777" w:rsidTr="00AD7202">
        <w:trPr>
          <w:trHeight w:val="255"/>
        </w:trPr>
        <w:tc>
          <w:tcPr>
            <w:cnfStyle w:val="001000000000" w:firstRow="0" w:lastRow="0" w:firstColumn="1" w:lastColumn="0" w:oddVBand="0" w:evenVBand="0" w:oddHBand="0" w:evenHBand="0" w:firstRowFirstColumn="0" w:firstRowLastColumn="0" w:lastRowFirstColumn="0" w:lastRowLastColumn="0"/>
            <w:tcW w:w="2405" w:type="dxa"/>
            <w:hideMark/>
          </w:tcPr>
          <w:p w14:paraId="48E46760" w14:textId="77777777" w:rsidR="003215CC" w:rsidRPr="00432294" w:rsidRDefault="003215CC" w:rsidP="00AD7202">
            <w:pPr>
              <w:tabs>
                <w:tab w:val="left" w:pos="708"/>
              </w:tabs>
              <w:spacing w:line="240" w:lineRule="auto"/>
              <w:jc w:val="center"/>
              <w:rPr>
                <w:rFonts w:eastAsia="Times New Roman" w:cs="Times New Roman"/>
                <w:sz w:val="20"/>
                <w:szCs w:val="20"/>
                <w:lang w:eastAsia="pl-PL"/>
              </w:rPr>
            </w:pPr>
            <w:r w:rsidRPr="00432294">
              <w:rPr>
                <w:rFonts w:eastAsia="Times New Roman" w:cs="Times New Roman"/>
                <w:b w:val="0"/>
                <w:bCs w:val="0"/>
                <w:kern w:val="24"/>
                <w:sz w:val="20"/>
                <w:szCs w:val="20"/>
                <w:lang w:eastAsia="pl-PL"/>
              </w:rPr>
              <w:t>31.12.2019</w:t>
            </w:r>
          </w:p>
        </w:tc>
        <w:tc>
          <w:tcPr>
            <w:tcW w:w="2552" w:type="dxa"/>
            <w:vMerge/>
            <w:hideMark/>
          </w:tcPr>
          <w:p w14:paraId="7D5EBB0B" w14:textId="77777777" w:rsidR="003215CC" w:rsidRPr="00432294" w:rsidRDefault="003215CC" w:rsidP="00AD7202">
            <w:pPr>
              <w:tabs>
                <w:tab w:val="left" w:pos="708"/>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c>
          <w:tcPr>
            <w:tcW w:w="4536" w:type="dxa"/>
            <w:hideMark/>
          </w:tcPr>
          <w:p w14:paraId="363A87CA" w14:textId="77777777" w:rsidR="003215CC" w:rsidRPr="00432294" w:rsidRDefault="003215CC" w:rsidP="00AD7202">
            <w:pPr>
              <w:tabs>
                <w:tab w:val="left" w:pos="708"/>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32294">
              <w:rPr>
                <w:rFonts w:eastAsia="Times New Roman" w:cs="Times New Roman"/>
                <w:kern w:val="24"/>
                <w:sz w:val="20"/>
                <w:szCs w:val="20"/>
                <w:lang w:eastAsia="pl-PL"/>
              </w:rPr>
              <w:t>477</w:t>
            </w:r>
          </w:p>
        </w:tc>
      </w:tr>
      <w:tr w:rsidR="003215CC" w:rsidRPr="00432294" w14:paraId="2FDF94C0" w14:textId="77777777" w:rsidTr="00AD720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hideMark/>
          </w:tcPr>
          <w:p w14:paraId="5ECB4E7D" w14:textId="77777777" w:rsidR="003215CC" w:rsidRPr="00432294" w:rsidRDefault="003215CC" w:rsidP="00AD7202">
            <w:pPr>
              <w:tabs>
                <w:tab w:val="left" w:pos="708"/>
              </w:tabs>
              <w:spacing w:line="240" w:lineRule="auto"/>
              <w:jc w:val="center"/>
              <w:rPr>
                <w:rFonts w:eastAsia="Times New Roman" w:cs="Times New Roman"/>
                <w:b w:val="0"/>
                <w:bCs w:val="0"/>
                <w:kern w:val="24"/>
                <w:sz w:val="20"/>
                <w:szCs w:val="20"/>
                <w:lang w:eastAsia="pl-PL"/>
              </w:rPr>
            </w:pPr>
            <w:r w:rsidRPr="00432294">
              <w:rPr>
                <w:rFonts w:eastAsia="Times New Roman" w:cs="Times New Roman"/>
                <w:b w:val="0"/>
                <w:bCs w:val="0"/>
                <w:kern w:val="24"/>
                <w:sz w:val="20"/>
                <w:szCs w:val="20"/>
                <w:lang w:eastAsia="pl-PL"/>
              </w:rPr>
              <w:t>31.12.2020</w:t>
            </w:r>
          </w:p>
        </w:tc>
        <w:tc>
          <w:tcPr>
            <w:tcW w:w="2552" w:type="dxa"/>
            <w:vMerge/>
            <w:hideMark/>
          </w:tcPr>
          <w:p w14:paraId="388EE974" w14:textId="77777777" w:rsidR="003215CC" w:rsidRPr="00432294" w:rsidRDefault="003215CC" w:rsidP="00AD7202">
            <w:pPr>
              <w:tabs>
                <w:tab w:val="left" w:pos="708"/>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4"/>
                <w:sz w:val="20"/>
                <w:szCs w:val="20"/>
                <w:lang w:eastAsia="pl-PL"/>
              </w:rPr>
            </w:pPr>
          </w:p>
        </w:tc>
        <w:tc>
          <w:tcPr>
            <w:tcW w:w="4536" w:type="dxa"/>
            <w:hideMark/>
          </w:tcPr>
          <w:p w14:paraId="5D9ECB06" w14:textId="77777777" w:rsidR="003215CC" w:rsidRPr="00432294" w:rsidRDefault="003215CC" w:rsidP="00AD7202">
            <w:pPr>
              <w:tabs>
                <w:tab w:val="left" w:pos="708"/>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4"/>
                <w:sz w:val="20"/>
                <w:szCs w:val="20"/>
                <w:lang w:eastAsia="pl-PL"/>
              </w:rPr>
            </w:pPr>
            <w:r w:rsidRPr="00432294">
              <w:rPr>
                <w:rFonts w:eastAsia="Times New Roman" w:cs="Times New Roman"/>
                <w:kern w:val="24"/>
                <w:sz w:val="20"/>
                <w:szCs w:val="20"/>
                <w:lang w:eastAsia="pl-PL"/>
              </w:rPr>
              <w:t>509</w:t>
            </w:r>
          </w:p>
        </w:tc>
      </w:tr>
    </w:tbl>
    <w:p w14:paraId="2F5A4EFC" w14:textId="77777777" w:rsidR="003215CC" w:rsidRPr="00B0618D" w:rsidRDefault="003215CC" w:rsidP="003215CC">
      <w:pPr>
        <w:tabs>
          <w:tab w:val="left" w:pos="5400"/>
        </w:tabs>
        <w:rPr>
          <w:rFonts w:eastAsia="Times New Roman" w:cs="Times New Roman"/>
          <w:b/>
          <w:sz w:val="22"/>
          <w:lang w:eastAsia="pl-PL"/>
        </w:rPr>
      </w:pPr>
      <w:r w:rsidRPr="00B0618D">
        <w:rPr>
          <w:rFonts w:eastAsia="Times New Roman" w:cs="Times New Roman"/>
          <w:b/>
          <w:sz w:val="22"/>
          <w:lang w:eastAsia="pl-PL"/>
        </w:rPr>
        <w:t xml:space="preserve">Źródło: NIL. </w:t>
      </w:r>
    </w:p>
    <w:p w14:paraId="3694ED18" w14:textId="77777777" w:rsidR="003215CC" w:rsidRPr="00291C1A" w:rsidRDefault="003215CC" w:rsidP="003215CC">
      <w:pPr>
        <w:tabs>
          <w:tab w:val="left" w:pos="5400"/>
        </w:tabs>
        <w:rPr>
          <w:rFonts w:eastAsia="Times New Roman" w:cs="Times New Roman"/>
          <w:b/>
          <w:szCs w:val="24"/>
          <w:lang w:eastAsia="pl-PL"/>
        </w:rPr>
      </w:pPr>
    </w:p>
    <w:p w14:paraId="0A587981" w14:textId="77777777" w:rsidR="003215CC" w:rsidRPr="00432294" w:rsidRDefault="003215CC" w:rsidP="003215CC">
      <w:pPr>
        <w:tabs>
          <w:tab w:val="left" w:pos="5400"/>
        </w:tabs>
        <w:rPr>
          <w:rFonts w:cs="Times New Roman"/>
          <w:szCs w:val="24"/>
        </w:rPr>
      </w:pPr>
      <w:r w:rsidRPr="00432294">
        <w:rPr>
          <w:rFonts w:cs="Times New Roman"/>
          <w:szCs w:val="24"/>
        </w:rPr>
        <w:t>Obecnie w trakcie specjalizacji/kursów w dziedzinie geriatrii jest 139 lekarzy</w:t>
      </w:r>
      <w:r w:rsidRPr="00432294">
        <w:rPr>
          <w:rStyle w:val="Odwoanieprzypisudolnego"/>
          <w:rFonts w:cs="Times New Roman"/>
          <w:szCs w:val="24"/>
        </w:rPr>
        <w:footnoteReference w:id="18"/>
      </w:r>
      <w:r w:rsidRPr="00432294">
        <w:rPr>
          <w:rFonts w:cs="Times New Roman"/>
          <w:szCs w:val="24"/>
        </w:rPr>
        <w:t xml:space="preserve">. </w:t>
      </w:r>
    </w:p>
    <w:p w14:paraId="7F39FDC9" w14:textId="77777777" w:rsidR="003215CC" w:rsidRPr="0092226B" w:rsidRDefault="003215CC" w:rsidP="003215CC">
      <w:pPr>
        <w:tabs>
          <w:tab w:val="left" w:pos="5400"/>
        </w:tabs>
        <w:rPr>
          <w:rFonts w:eastAsia="Times New Roman" w:cs="Times New Roman"/>
          <w:b/>
          <w:color w:val="FF0000"/>
          <w:szCs w:val="24"/>
          <w:lang w:eastAsia="pl-PL"/>
        </w:rPr>
      </w:pPr>
    </w:p>
    <w:p w14:paraId="6ECA0380" w14:textId="77777777" w:rsidR="003215CC" w:rsidRPr="00D52F50" w:rsidRDefault="003215CC" w:rsidP="003215CC">
      <w:pPr>
        <w:pStyle w:val="Teksttreci0"/>
        <w:shd w:val="clear" w:color="auto" w:fill="auto"/>
        <w:spacing w:after="0" w:line="276" w:lineRule="auto"/>
        <w:ind w:firstLine="0"/>
        <w:jc w:val="both"/>
        <w:rPr>
          <w:b/>
          <w:sz w:val="24"/>
          <w:szCs w:val="24"/>
        </w:rPr>
      </w:pPr>
      <w:r>
        <w:rPr>
          <w:b/>
          <w:sz w:val="24"/>
          <w:szCs w:val="24"/>
        </w:rPr>
        <w:t>Pielęgniarki</w:t>
      </w:r>
    </w:p>
    <w:p w14:paraId="56F52C86" w14:textId="75ED6648" w:rsidR="003215CC" w:rsidRPr="00291C1A" w:rsidRDefault="003215CC" w:rsidP="00446749">
      <w:pPr>
        <w:pStyle w:val="Teksttreci0"/>
        <w:spacing w:after="0" w:line="276" w:lineRule="auto"/>
        <w:ind w:firstLine="0"/>
        <w:jc w:val="both"/>
        <w:rPr>
          <w:sz w:val="24"/>
          <w:szCs w:val="24"/>
        </w:rPr>
      </w:pPr>
      <w:r w:rsidRPr="00291C1A">
        <w:rPr>
          <w:sz w:val="24"/>
          <w:szCs w:val="24"/>
        </w:rPr>
        <w:t>Dla zabezpieczenia wysokiej jakości świadczeń opieki zdrowotnej dla osób starszych szczególne znaczenie ma nie tylko liczba pielęgniarek i położnych zatrudnionych w systemie opieki zdrowotnej, ale także posiadane kwalifikacje zawodowe. Według stanu na dzień 31</w:t>
      </w:r>
      <w:r w:rsidR="00406414">
        <w:rPr>
          <w:sz w:val="24"/>
          <w:szCs w:val="24"/>
        </w:rPr>
        <w:t xml:space="preserve"> grudnia </w:t>
      </w:r>
      <w:r w:rsidRPr="00291C1A">
        <w:rPr>
          <w:sz w:val="24"/>
          <w:szCs w:val="24"/>
        </w:rPr>
        <w:t>2019 r.</w:t>
      </w:r>
      <w:r w:rsidRPr="00291C1A">
        <w:rPr>
          <w:rStyle w:val="Odwoanieprzypisudolnego"/>
          <w:sz w:val="24"/>
          <w:szCs w:val="24"/>
        </w:rPr>
        <w:footnoteReference w:id="19"/>
      </w:r>
      <w:r w:rsidRPr="00291C1A">
        <w:rPr>
          <w:sz w:val="24"/>
          <w:szCs w:val="24"/>
        </w:rPr>
        <w:t>, liczba pielęgniarek posiadających specjalizację lub kursy specjalizacyjne, zatrudnionych według podstawowego miejsca pracy w poniżej wymienionych dziedzinach, istotnych w kontekście zachodzących zmian demograficznych wynosiła:</w:t>
      </w:r>
    </w:p>
    <w:p w14:paraId="16BA0798" w14:textId="77777777" w:rsidR="003215CC" w:rsidRPr="00291C1A" w:rsidRDefault="003215CC" w:rsidP="00FE70E3">
      <w:pPr>
        <w:pStyle w:val="Teksttreci0"/>
        <w:numPr>
          <w:ilvl w:val="0"/>
          <w:numId w:val="36"/>
        </w:numPr>
        <w:spacing w:after="0" w:line="276" w:lineRule="auto"/>
        <w:jc w:val="both"/>
        <w:rPr>
          <w:sz w:val="24"/>
          <w:szCs w:val="24"/>
        </w:rPr>
      </w:pPr>
      <w:r w:rsidRPr="00291C1A">
        <w:rPr>
          <w:sz w:val="24"/>
          <w:szCs w:val="24"/>
        </w:rPr>
        <w:t>Geriatria - 2 144;</w:t>
      </w:r>
    </w:p>
    <w:p w14:paraId="79C20FCE" w14:textId="77777777" w:rsidR="003215CC" w:rsidRPr="00291C1A" w:rsidRDefault="003215CC" w:rsidP="00FE70E3">
      <w:pPr>
        <w:pStyle w:val="Teksttreci0"/>
        <w:numPr>
          <w:ilvl w:val="0"/>
          <w:numId w:val="36"/>
        </w:numPr>
        <w:spacing w:after="0" w:line="276" w:lineRule="auto"/>
        <w:jc w:val="both"/>
        <w:rPr>
          <w:sz w:val="24"/>
          <w:szCs w:val="24"/>
        </w:rPr>
      </w:pPr>
      <w:r w:rsidRPr="00291C1A">
        <w:rPr>
          <w:sz w:val="24"/>
          <w:szCs w:val="24"/>
        </w:rPr>
        <w:t>Opieka długoterminowa - 7 351;</w:t>
      </w:r>
    </w:p>
    <w:p w14:paraId="24E55DE1" w14:textId="77777777" w:rsidR="003215CC" w:rsidRPr="00291C1A" w:rsidRDefault="003215CC" w:rsidP="00FE70E3">
      <w:pPr>
        <w:pStyle w:val="Teksttreci0"/>
        <w:numPr>
          <w:ilvl w:val="0"/>
          <w:numId w:val="36"/>
        </w:numPr>
        <w:spacing w:after="0" w:line="276" w:lineRule="auto"/>
        <w:jc w:val="both"/>
        <w:rPr>
          <w:sz w:val="24"/>
          <w:szCs w:val="24"/>
        </w:rPr>
      </w:pPr>
      <w:r w:rsidRPr="00291C1A">
        <w:rPr>
          <w:sz w:val="24"/>
          <w:szCs w:val="24"/>
        </w:rPr>
        <w:t>Opieka paliatywna - 3 014.</w:t>
      </w:r>
    </w:p>
    <w:p w14:paraId="0E4F46F3" w14:textId="77777777" w:rsidR="003215CC" w:rsidRDefault="003215CC" w:rsidP="003215CC">
      <w:pPr>
        <w:pStyle w:val="Teksttreci0"/>
        <w:shd w:val="clear" w:color="auto" w:fill="auto"/>
        <w:spacing w:after="0" w:line="276" w:lineRule="auto"/>
        <w:ind w:firstLine="0"/>
        <w:jc w:val="both"/>
        <w:rPr>
          <w:color w:val="FF0000"/>
          <w:sz w:val="24"/>
          <w:szCs w:val="24"/>
        </w:rPr>
      </w:pPr>
    </w:p>
    <w:p w14:paraId="12619353" w14:textId="77777777" w:rsidR="003215CC" w:rsidRPr="00D52F50" w:rsidRDefault="003215CC" w:rsidP="003215CC">
      <w:pPr>
        <w:pStyle w:val="Teksttreci0"/>
        <w:shd w:val="clear" w:color="auto" w:fill="auto"/>
        <w:spacing w:after="0" w:line="276" w:lineRule="auto"/>
        <w:ind w:firstLine="0"/>
        <w:jc w:val="both"/>
        <w:rPr>
          <w:b/>
          <w:sz w:val="24"/>
          <w:szCs w:val="24"/>
        </w:rPr>
      </w:pPr>
      <w:r>
        <w:rPr>
          <w:b/>
          <w:sz w:val="24"/>
          <w:szCs w:val="24"/>
        </w:rPr>
        <w:t>Opiekunowie medyczni</w:t>
      </w:r>
    </w:p>
    <w:p w14:paraId="445D8FB9" w14:textId="20F89AC9" w:rsidR="003215CC" w:rsidRDefault="003215CC" w:rsidP="003215CC">
      <w:pPr>
        <w:pStyle w:val="Teksttreci0"/>
        <w:shd w:val="clear" w:color="auto" w:fill="auto"/>
        <w:spacing w:after="0" w:line="276" w:lineRule="auto"/>
        <w:ind w:firstLine="0"/>
        <w:jc w:val="both"/>
        <w:rPr>
          <w:sz w:val="24"/>
          <w:szCs w:val="24"/>
        </w:rPr>
      </w:pPr>
      <w:r>
        <w:rPr>
          <w:sz w:val="24"/>
          <w:szCs w:val="24"/>
        </w:rPr>
        <w:t xml:space="preserve">Na koniec </w:t>
      </w:r>
      <w:r w:rsidRPr="004060B3">
        <w:rPr>
          <w:sz w:val="24"/>
          <w:szCs w:val="24"/>
        </w:rPr>
        <w:t>2020 r. 6</w:t>
      </w:r>
      <w:r>
        <w:rPr>
          <w:sz w:val="24"/>
          <w:szCs w:val="24"/>
        </w:rPr>
        <w:t xml:space="preserve"> </w:t>
      </w:r>
      <w:r w:rsidRPr="004060B3">
        <w:rPr>
          <w:sz w:val="24"/>
          <w:szCs w:val="24"/>
        </w:rPr>
        <w:t>091</w:t>
      </w:r>
      <w:r w:rsidRPr="004060B3">
        <w:rPr>
          <w:rStyle w:val="Odwoanieprzypisudolnego"/>
          <w:sz w:val="24"/>
          <w:szCs w:val="24"/>
        </w:rPr>
        <w:footnoteReference w:id="20"/>
      </w:r>
      <w:r>
        <w:rPr>
          <w:sz w:val="24"/>
          <w:szCs w:val="24"/>
        </w:rPr>
        <w:t xml:space="preserve"> </w:t>
      </w:r>
      <w:r w:rsidRPr="004060B3">
        <w:rPr>
          <w:sz w:val="24"/>
          <w:szCs w:val="24"/>
        </w:rPr>
        <w:t>opiekunów medycznych udzielało świadczeń w</w:t>
      </w:r>
      <w:r>
        <w:rPr>
          <w:sz w:val="24"/>
          <w:szCs w:val="24"/>
        </w:rPr>
        <w:t xml:space="preserve"> </w:t>
      </w:r>
      <w:r w:rsidRPr="004060B3">
        <w:rPr>
          <w:sz w:val="24"/>
          <w:szCs w:val="24"/>
        </w:rPr>
        <w:t>opiece</w:t>
      </w:r>
      <w:r>
        <w:rPr>
          <w:sz w:val="24"/>
          <w:szCs w:val="24"/>
        </w:rPr>
        <w:t xml:space="preserve"> </w:t>
      </w:r>
      <w:r w:rsidRPr="004060B3">
        <w:rPr>
          <w:sz w:val="24"/>
          <w:szCs w:val="24"/>
        </w:rPr>
        <w:t>długoterminowej. Natomiast z danych Systemu Informacji Oświatowej</w:t>
      </w:r>
      <w:r>
        <w:rPr>
          <w:sz w:val="24"/>
          <w:szCs w:val="24"/>
        </w:rPr>
        <w:t xml:space="preserve"> </w:t>
      </w:r>
      <w:r w:rsidRPr="004060B3">
        <w:rPr>
          <w:sz w:val="24"/>
          <w:szCs w:val="24"/>
        </w:rPr>
        <w:t>wynika, ż</w:t>
      </w:r>
      <w:r w:rsidR="00A16DFD">
        <w:rPr>
          <w:sz w:val="24"/>
          <w:szCs w:val="24"/>
        </w:rPr>
        <w:t>e</w:t>
      </w:r>
      <w:r w:rsidRPr="004060B3">
        <w:rPr>
          <w:sz w:val="24"/>
          <w:szCs w:val="24"/>
        </w:rPr>
        <w:t xml:space="preserve"> liczba osób realizujących kształcenie policealne w semestrze wiosennym w roku szkolnym 2019/2020 w</w:t>
      </w:r>
      <w:r w:rsidR="00446749">
        <w:rPr>
          <w:sz w:val="24"/>
          <w:szCs w:val="24"/>
        </w:rPr>
        <w:t> </w:t>
      </w:r>
      <w:r w:rsidRPr="004060B3">
        <w:rPr>
          <w:sz w:val="24"/>
          <w:szCs w:val="24"/>
        </w:rPr>
        <w:t>tym zawodzie</w:t>
      </w:r>
      <w:r>
        <w:rPr>
          <w:sz w:val="24"/>
          <w:szCs w:val="24"/>
        </w:rPr>
        <w:t xml:space="preserve"> </w:t>
      </w:r>
      <w:r w:rsidRPr="004060B3">
        <w:rPr>
          <w:sz w:val="24"/>
          <w:szCs w:val="24"/>
        </w:rPr>
        <w:t>wynosiła 16 990 słuchaczy</w:t>
      </w:r>
      <w:r>
        <w:rPr>
          <w:sz w:val="24"/>
          <w:szCs w:val="24"/>
        </w:rPr>
        <w:t>.</w:t>
      </w:r>
    </w:p>
    <w:p w14:paraId="545F8B5D" w14:textId="77777777" w:rsidR="003215CC" w:rsidRDefault="003215CC" w:rsidP="003215CC">
      <w:pPr>
        <w:pStyle w:val="Teksttreci0"/>
        <w:shd w:val="clear" w:color="auto" w:fill="auto"/>
        <w:spacing w:after="0" w:line="276" w:lineRule="auto"/>
        <w:ind w:firstLine="0"/>
        <w:jc w:val="both"/>
        <w:rPr>
          <w:color w:val="FF0000"/>
          <w:sz w:val="24"/>
          <w:szCs w:val="24"/>
        </w:rPr>
      </w:pPr>
    </w:p>
    <w:p w14:paraId="707262D9" w14:textId="77777777" w:rsidR="003215CC" w:rsidRPr="00D52F50" w:rsidRDefault="003215CC" w:rsidP="003215CC">
      <w:pPr>
        <w:pStyle w:val="Teksttreci0"/>
        <w:shd w:val="clear" w:color="auto" w:fill="auto"/>
        <w:spacing w:after="0" w:line="276" w:lineRule="auto"/>
        <w:ind w:firstLine="0"/>
        <w:jc w:val="both"/>
        <w:rPr>
          <w:b/>
          <w:sz w:val="24"/>
          <w:szCs w:val="24"/>
        </w:rPr>
      </w:pPr>
      <w:r>
        <w:rPr>
          <w:b/>
          <w:sz w:val="24"/>
          <w:szCs w:val="24"/>
        </w:rPr>
        <w:t>Fizjoterapeuci i terapeuci zajęciowi</w:t>
      </w:r>
    </w:p>
    <w:p w14:paraId="6F470688" w14:textId="6D482B64" w:rsidR="003215CC" w:rsidRPr="00354ECA" w:rsidRDefault="003215CC" w:rsidP="003215CC">
      <w:pPr>
        <w:pStyle w:val="Teksttreci0"/>
        <w:spacing w:after="0" w:line="276" w:lineRule="auto"/>
        <w:ind w:firstLine="0"/>
        <w:jc w:val="both"/>
        <w:rPr>
          <w:sz w:val="24"/>
          <w:szCs w:val="24"/>
        </w:rPr>
      </w:pPr>
      <w:r w:rsidRPr="00354ECA">
        <w:rPr>
          <w:sz w:val="24"/>
          <w:szCs w:val="24"/>
        </w:rPr>
        <w:t>Oprócz lekarzy różnych specjalności i pielęgniarek w opiekę nad osobami starszymi zaangażowani są również fizjoterapeuci. Wykonywanie zawodu fizjoterapeuty ma istotne znaczenie w</w:t>
      </w:r>
      <w:r>
        <w:rPr>
          <w:sz w:val="24"/>
          <w:szCs w:val="24"/>
        </w:rPr>
        <w:t> </w:t>
      </w:r>
      <w:r w:rsidRPr="00354ECA">
        <w:rPr>
          <w:sz w:val="24"/>
          <w:szCs w:val="24"/>
        </w:rPr>
        <w:t xml:space="preserve">szczególności w kontekście starzenia się społeczeństwa i zapewnienia właściwej </w:t>
      </w:r>
      <w:r w:rsidRPr="00354ECA">
        <w:rPr>
          <w:sz w:val="24"/>
          <w:szCs w:val="24"/>
        </w:rPr>
        <w:lastRenderedPageBreak/>
        <w:t>opieki osobom starszym tak, aby mogli oni jak najdłużej funkcjonować samodzielnie we</w:t>
      </w:r>
      <w:r w:rsidR="00446749">
        <w:rPr>
          <w:sz w:val="24"/>
          <w:szCs w:val="24"/>
        </w:rPr>
        <w:t> </w:t>
      </w:r>
      <w:r w:rsidRPr="00354ECA">
        <w:rPr>
          <w:sz w:val="24"/>
          <w:szCs w:val="24"/>
        </w:rPr>
        <w:t>własnym środowisku. Fizjoterapeuci są niezbędnym ogniwem kompleksowej, profesjonalnej i</w:t>
      </w:r>
      <w:r w:rsidR="00446749">
        <w:rPr>
          <w:sz w:val="24"/>
          <w:szCs w:val="24"/>
        </w:rPr>
        <w:t> </w:t>
      </w:r>
      <w:r w:rsidRPr="00354ECA">
        <w:rPr>
          <w:sz w:val="24"/>
          <w:szCs w:val="24"/>
        </w:rPr>
        <w:t xml:space="preserve">zespołowej opieki nad osobami starszymi. </w:t>
      </w:r>
    </w:p>
    <w:p w14:paraId="12D2783C" w14:textId="77777777" w:rsidR="003215CC" w:rsidRPr="00354ECA" w:rsidRDefault="003215CC" w:rsidP="003215CC">
      <w:pPr>
        <w:pStyle w:val="Teksttreci0"/>
        <w:spacing w:after="0" w:line="276" w:lineRule="auto"/>
        <w:ind w:firstLine="0"/>
        <w:jc w:val="both"/>
        <w:rPr>
          <w:sz w:val="24"/>
          <w:szCs w:val="24"/>
        </w:rPr>
      </w:pPr>
    </w:p>
    <w:p w14:paraId="2F5B4DC5" w14:textId="15B085D2" w:rsidR="003215CC" w:rsidRPr="00354ECA" w:rsidRDefault="003215CC" w:rsidP="003215CC">
      <w:pPr>
        <w:pStyle w:val="Teksttreci0"/>
        <w:spacing w:after="0" w:line="276" w:lineRule="auto"/>
        <w:ind w:firstLine="0"/>
        <w:jc w:val="both"/>
        <w:rPr>
          <w:sz w:val="24"/>
          <w:szCs w:val="24"/>
        </w:rPr>
      </w:pPr>
      <w:r w:rsidRPr="00354ECA">
        <w:rPr>
          <w:sz w:val="24"/>
          <w:szCs w:val="24"/>
        </w:rPr>
        <w:t>Osoby wykonujące zawód fizjoterapeuty uczestniczą w realizacji świadczeń opieki zdrowotnej finansowanych ze środków publicznych</w:t>
      </w:r>
      <w:r w:rsidR="00446749">
        <w:rPr>
          <w:sz w:val="24"/>
          <w:szCs w:val="24"/>
        </w:rPr>
        <w:t xml:space="preserve"> </w:t>
      </w:r>
      <w:r w:rsidR="00446749" w:rsidRPr="00354ECA">
        <w:rPr>
          <w:sz w:val="24"/>
          <w:szCs w:val="24"/>
        </w:rPr>
        <w:t>na mocy rozporządzenia Ministra Zdrowia z dnia 6</w:t>
      </w:r>
      <w:r w:rsidR="00446749">
        <w:rPr>
          <w:sz w:val="24"/>
          <w:szCs w:val="24"/>
        </w:rPr>
        <w:t> </w:t>
      </w:r>
      <w:r w:rsidR="00446749" w:rsidRPr="00354ECA">
        <w:rPr>
          <w:sz w:val="24"/>
          <w:szCs w:val="24"/>
        </w:rPr>
        <w:t xml:space="preserve">listopada 2013 r. w sprawie świadczeń gwarantowanych z zakresu rehabilitacji leczniczej (Dz. U. z 2021 r. poz. 265). </w:t>
      </w:r>
      <w:r w:rsidRPr="00354ECA">
        <w:rPr>
          <w:sz w:val="24"/>
          <w:szCs w:val="24"/>
        </w:rPr>
        <w:t>Świadczenia gwarantowane są realizowane w warunkach ambulatoryjnych lub domowych i obejmują m.in. fizjoterapię ambulatoryjną realizowaną przez wizytę fizjoterapeutyczną i zabieg fizjoterapeutyczny.</w:t>
      </w:r>
    </w:p>
    <w:p w14:paraId="5CC34C57" w14:textId="77777777" w:rsidR="003215CC" w:rsidRPr="00354ECA" w:rsidRDefault="003215CC" w:rsidP="003215CC">
      <w:pPr>
        <w:pStyle w:val="Teksttreci0"/>
        <w:spacing w:after="0" w:line="276" w:lineRule="auto"/>
        <w:jc w:val="both"/>
        <w:rPr>
          <w:sz w:val="24"/>
          <w:szCs w:val="24"/>
        </w:rPr>
      </w:pPr>
    </w:p>
    <w:p w14:paraId="4B549446" w14:textId="77777777" w:rsidR="003215CC" w:rsidRPr="00354ECA" w:rsidRDefault="003215CC" w:rsidP="003215CC">
      <w:pPr>
        <w:pStyle w:val="Teksttreci0"/>
        <w:shd w:val="clear" w:color="auto" w:fill="auto"/>
        <w:spacing w:after="0" w:line="276" w:lineRule="auto"/>
        <w:ind w:firstLine="0"/>
        <w:jc w:val="both"/>
        <w:rPr>
          <w:sz w:val="24"/>
          <w:szCs w:val="24"/>
        </w:rPr>
      </w:pPr>
      <w:r w:rsidRPr="00354ECA">
        <w:rPr>
          <w:sz w:val="24"/>
          <w:szCs w:val="24"/>
        </w:rPr>
        <w:t>Według najbardziej aktualnych danych przekazanych przez Ministerstwo Zdrowia 70 297 osób posiada prawo do wykonywania zawodu fizjoterapeuty</w:t>
      </w:r>
      <w:r>
        <w:rPr>
          <w:rStyle w:val="Odwoanieprzypisudolnego"/>
          <w:sz w:val="24"/>
          <w:szCs w:val="24"/>
        </w:rPr>
        <w:footnoteReference w:id="21"/>
      </w:r>
      <w:r w:rsidRPr="00354ECA">
        <w:rPr>
          <w:sz w:val="24"/>
          <w:szCs w:val="24"/>
        </w:rPr>
        <w:t>. Natomiast liczba terapeutów zajęciowych udzielających świadczeń w opiece długoterminowej według stanu na dzień 31.12.2020 wynosi 781 osób</w:t>
      </w:r>
      <w:r>
        <w:rPr>
          <w:rStyle w:val="Odwoanieprzypisudolnego"/>
          <w:sz w:val="24"/>
          <w:szCs w:val="24"/>
        </w:rPr>
        <w:footnoteReference w:id="22"/>
      </w:r>
      <w:r w:rsidRPr="00354ECA">
        <w:rPr>
          <w:sz w:val="24"/>
          <w:szCs w:val="24"/>
        </w:rPr>
        <w:t>.</w:t>
      </w:r>
    </w:p>
    <w:p w14:paraId="06C92623" w14:textId="77777777" w:rsidR="003215CC" w:rsidRDefault="003215CC" w:rsidP="003215CC"/>
    <w:p w14:paraId="6DC8C4FC" w14:textId="77777777" w:rsidR="003215CC" w:rsidRDefault="003215CC" w:rsidP="003215CC">
      <w:pPr>
        <w:pStyle w:val="Nagwek3"/>
      </w:pPr>
      <w:bookmarkStart w:id="36" w:name="_Toc77513890"/>
      <w:bookmarkStart w:id="37" w:name="_Toc80523050"/>
      <w:r>
        <w:t>Stan zdrowia osób starszych</w:t>
      </w:r>
      <w:bookmarkEnd w:id="36"/>
      <w:bookmarkEnd w:id="37"/>
    </w:p>
    <w:p w14:paraId="4A39E132" w14:textId="77777777" w:rsidR="003215CC" w:rsidRPr="0092226B" w:rsidRDefault="003215CC" w:rsidP="003215CC">
      <w:pPr>
        <w:rPr>
          <w:color w:val="FF0000"/>
        </w:rPr>
      </w:pPr>
    </w:p>
    <w:p w14:paraId="29811980" w14:textId="37C61F25" w:rsidR="003215CC" w:rsidRPr="00635798" w:rsidRDefault="003215CC" w:rsidP="003215CC">
      <w:pPr>
        <w:pStyle w:val="Legenda"/>
        <w:keepNext/>
        <w:rPr>
          <w:rFonts w:cs="Times New Roman"/>
          <w:b/>
          <w:i w:val="0"/>
          <w:color w:val="auto"/>
          <w:sz w:val="24"/>
        </w:rPr>
      </w:pPr>
      <w:bookmarkStart w:id="38" w:name="_Toc49171399"/>
      <w:r w:rsidRPr="00635798">
        <w:rPr>
          <w:rFonts w:cs="Times New Roman"/>
          <w:b/>
          <w:i w:val="0"/>
          <w:color w:val="auto"/>
          <w:sz w:val="24"/>
        </w:rPr>
        <w:t xml:space="preserve">Tabela </w:t>
      </w:r>
      <w:r>
        <w:rPr>
          <w:rFonts w:cs="Times New Roman"/>
          <w:b/>
          <w:i w:val="0"/>
          <w:color w:val="auto"/>
          <w:sz w:val="24"/>
        </w:rPr>
        <w:t>26</w:t>
      </w:r>
      <w:r w:rsidR="00EE73AF">
        <w:rPr>
          <w:rFonts w:cs="Times New Roman"/>
          <w:b/>
          <w:i w:val="0"/>
          <w:color w:val="auto"/>
          <w:sz w:val="24"/>
        </w:rPr>
        <w:t>.</w:t>
      </w:r>
      <w:r w:rsidRPr="00635798">
        <w:rPr>
          <w:rFonts w:cs="Times New Roman"/>
          <w:b/>
          <w:i w:val="0"/>
          <w:color w:val="auto"/>
          <w:sz w:val="24"/>
        </w:rPr>
        <w:t xml:space="preserve"> Samoocena zdrowia </w:t>
      </w:r>
      <w:bookmarkEnd w:id="38"/>
      <w:r w:rsidRPr="00635798">
        <w:rPr>
          <w:rFonts w:cs="Times New Roman"/>
          <w:b/>
          <w:i w:val="0"/>
          <w:color w:val="auto"/>
          <w:sz w:val="24"/>
        </w:rPr>
        <w:t>seniorów</w:t>
      </w:r>
    </w:p>
    <w:tbl>
      <w:tblPr>
        <w:tblStyle w:val="Tabelasiatki5ciemnaakcent2"/>
        <w:tblW w:w="9351" w:type="dxa"/>
        <w:tblLook w:val="04A0" w:firstRow="1" w:lastRow="0" w:firstColumn="1" w:lastColumn="0" w:noHBand="0" w:noVBand="1"/>
      </w:tblPr>
      <w:tblGrid>
        <w:gridCol w:w="1716"/>
        <w:gridCol w:w="992"/>
        <w:gridCol w:w="1398"/>
        <w:gridCol w:w="1418"/>
        <w:gridCol w:w="1842"/>
        <w:gridCol w:w="993"/>
        <w:gridCol w:w="992"/>
      </w:tblGrid>
      <w:tr w:rsidR="003215CC" w:rsidRPr="00635798" w14:paraId="387C55A8" w14:textId="77777777" w:rsidTr="00AD7202">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716" w:type="dxa"/>
            <w:vMerge w:val="restart"/>
            <w:noWrap/>
            <w:hideMark/>
          </w:tcPr>
          <w:p w14:paraId="58BC1146" w14:textId="77777777" w:rsidR="003215CC" w:rsidRPr="00635798" w:rsidRDefault="003215CC" w:rsidP="00AD7202">
            <w:pPr>
              <w:spacing w:line="240" w:lineRule="auto"/>
              <w:jc w:val="center"/>
              <w:rPr>
                <w:rFonts w:eastAsia="Times New Roman" w:cs="Times New Roman"/>
                <w:b w:val="0"/>
                <w:color w:val="auto"/>
                <w:sz w:val="20"/>
                <w:szCs w:val="20"/>
                <w:lang w:eastAsia="pl-PL"/>
              </w:rPr>
            </w:pPr>
            <w:r w:rsidRPr="00635798">
              <w:rPr>
                <w:rFonts w:eastAsia="Times New Roman" w:cs="Times New Roman"/>
                <w:color w:val="auto"/>
                <w:sz w:val="20"/>
                <w:szCs w:val="20"/>
                <w:lang w:eastAsia="pl-PL"/>
              </w:rPr>
              <w:t>Wyszczególnienie</w:t>
            </w:r>
          </w:p>
        </w:tc>
        <w:tc>
          <w:tcPr>
            <w:tcW w:w="992" w:type="dxa"/>
            <w:vMerge w:val="restart"/>
            <w:noWrap/>
            <w:hideMark/>
          </w:tcPr>
          <w:p w14:paraId="41EF9919" w14:textId="77777777" w:rsidR="003215CC" w:rsidRPr="00635798" w:rsidRDefault="003215CC"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635798">
              <w:rPr>
                <w:rFonts w:eastAsia="Times New Roman" w:cs="Times New Roman"/>
                <w:color w:val="auto"/>
                <w:sz w:val="20"/>
                <w:szCs w:val="20"/>
                <w:lang w:eastAsia="pl-PL"/>
              </w:rPr>
              <w:t>Ogółem</w:t>
            </w:r>
          </w:p>
        </w:tc>
        <w:tc>
          <w:tcPr>
            <w:tcW w:w="6643" w:type="dxa"/>
            <w:gridSpan w:val="5"/>
            <w:noWrap/>
            <w:hideMark/>
          </w:tcPr>
          <w:p w14:paraId="1FD138CA" w14:textId="77777777" w:rsidR="003215CC" w:rsidRPr="00635798" w:rsidRDefault="003215CC"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635798">
              <w:rPr>
                <w:rFonts w:eastAsia="Times New Roman" w:cs="Times New Roman"/>
                <w:color w:val="auto"/>
                <w:sz w:val="20"/>
                <w:szCs w:val="20"/>
                <w:lang w:eastAsia="pl-PL"/>
              </w:rPr>
              <w:t>Jak ogólnie ocenia Pan/Pani swoje zdrowie?</w:t>
            </w:r>
          </w:p>
        </w:tc>
      </w:tr>
      <w:tr w:rsidR="003215CC" w:rsidRPr="00635798" w14:paraId="3028B1D9"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6" w:type="dxa"/>
            <w:vMerge/>
            <w:hideMark/>
          </w:tcPr>
          <w:p w14:paraId="14EED152" w14:textId="77777777" w:rsidR="003215CC" w:rsidRPr="00635798" w:rsidRDefault="003215CC" w:rsidP="00AD7202">
            <w:pPr>
              <w:spacing w:line="240" w:lineRule="auto"/>
              <w:jc w:val="center"/>
              <w:rPr>
                <w:rFonts w:eastAsia="Times New Roman" w:cs="Times New Roman"/>
                <w:b w:val="0"/>
                <w:color w:val="auto"/>
                <w:sz w:val="20"/>
                <w:szCs w:val="20"/>
                <w:lang w:eastAsia="pl-PL"/>
              </w:rPr>
            </w:pPr>
          </w:p>
        </w:tc>
        <w:tc>
          <w:tcPr>
            <w:tcW w:w="992" w:type="dxa"/>
            <w:vMerge/>
            <w:hideMark/>
          </w:tcPr>
          <w:p w14:paraId="28E0EE9D"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98" w:type="dxa"/>
            <w:noWrap/>
            <w:hideMark/>
          </w:tcPr>
          <w:p w14:paraId="582EBCDF"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635798">
              <w:rPr>
                <w:rFonts w:eastAsia="Times New Roman" w:cs="Times New Roman"/>
                <w:b/>
                <w:sz w:val="20"/>
                <w:szCs w:val="20"/>
                <w:lang w:eastAsia="pl-PL"/>
              </w:rPr>
              <w:t>Bardzo dobrze</w:t>
            </w:r>
          </w:p>
        </w:tc>
        <w:tc>
          <w:tcPr>
            <w:tcW w:w="1418" w:type="dxa"/>
            <w:noWrap/>
            <w:hideMark/>
          </w:tcPr>
          <w:p w14:paraId="1410ADED"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635798">
              <w:rPr>
                <w:rFonts w:eastAsia="Times New Roman" w:cs="Times New Roman"/>
                <w:b/>
                <w:sz w:val="20"/>
                <w:szCs w:val="20"/>
                <w:lang w:eastAsia="pl-PL"/>
              </w:rPr>
              <w:t>Dobrze</w:t>
            </w:r>
          </w:p>
        </w:tc>
        <w:tc>
          <w:tcPr>
            <w:tcW w:w="1842" w:type="dxa"/>
            <w:hideMark/>
          </w:tcPr>
          <w:p w14:paraId="5EED1AB0"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635798">
              <w:rPr>
                <w:rFonts w:eastAsia="Times New Roman" w:cs="Times New Roman"/>
                <w:b/>
                <w:sz w:val="20"/>
                <w:szCs w:val="20"/>
                <w:lang w:eastAsia="pl-PL"/>
              </w:rPr>
              <w:t>Tak sobie, ani dobrze ani źle</w:t>
            </w:r>
          </w:p>
        </w:tc>
        <w:tc>
          <w:tcPr>
            <w:tcW w:w="993" w:type="dxa"/>
            <w:noWrap/>
            <w:hideMark/>
          </w:tcPr>
          <w:p w14:paraId="4925B79D"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635798">
              <w:rPr>
                <w:rFonts w:eastAsia="Times New Roman" w:cs="Times New Roman"/>
                <w:b/>
                <w:sz w:val="20"/>
                <w:szCs w:val="20"/>
                <w:lang w:eastAsia="pl-PL"/>
              </w:rPr>
              <w:t>Źle</w:t>
            </w:r>
          </w:p>
        </w:tc>
        <w:tc>
          <w:tcPr>
            <w:tcW w:w="992" w:type="dxa"/>
            <w:noWrap/>
            <w:hideMark/>
          </w:tcPr>
          <w:p w14:paraId="4701EE88"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635798">
              <w:rPr>
                <w:rFonts w:eastAsia="Times New Roman" w:cs="Times New Roman"/>
                <w:b/>
                <w:sz w:val="20"/>
                <w:szCs w:val="20"/>
                <w:lang w:eastAsia="pl-PL"/>
              </w:rPr>
              <w:t>Bardzo źle</w:t>
            </w:r>
          </w:p>
        </w:tc>
      </w:tr>
      <w:tr w:rsidR="003215CC" w:rsidRPr="00635798" w14:paraId="36C16B74"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716" w:type="dxa"/>
            <w:vMerge/>
            <w:hideMark/>
          </w:tcPr>
          <w:p w14:paraId="243B8E87" w14:textId="77777777" w:rsidR="003215CC" w:rsidRPr="00635798" w:rsidRDefault="003215CC" w:rsidP="00AD7202">
            <w:pPr>
              <w:spacing w:line="240" w:lineRule="auto"/>
              <w:jc w:val="center"/>
              <w:rPr>
                <w:rFonts w:eastAsia="Times New Roman" w:cs="Times New Roman"/>
                <w:b w:val="0"/>
                <w:color w:val="auto"/>
                <w:sz w:val="20"/>
                <w:szCs w:val="20"/>
                <w:lang w:eastAsia="pl-PL"/>
              </w:rPr>
            </w:pPr>
          </w:p>
        </w:tc>
        <w:tc>
          <w:tcPr>
            <w:tcW w:w="7635" w:type="dxa"/>
            <w:gridSpan w:val="6"/>
            <w:hideMark/>
          </w:tcPr>
          <w:p w14:paraId="1BD78977"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635798">
              <w:rPr>
                <w:rFonts w:eastAsia="Times New Roman" w:cs="Times New Roman"/>
                <w:b/>
                <w:sz w:val="20"/>
                <w:szCs w:val="20"/>
                <w:lang w:eastAsia="pl-PL"/>
              </w:rPr>
              <w:t>w % osób danej grupy</w:t>
            </w:r>
          </w:p>
        </w:tc>
      </w:tr>
      <w:tr w:rsidR="003215CC" w:rsidRPr="00635798" w14:paraId="10366795" w14:textId="77777777" w:rsidTr="00446749">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9351" w:type="dxa"/>
            <w:gridSpan w:val="7"/>
            <w:noWrap/>
            <w:hideMark/>
          </w:tcPr>
          <w:p w14:paraId="35441716" w14:textId="77777777" w:rsidR="003215CC" w:rsidRPr="00635798" w:rsidRDefault="003215CC" w:rsidP="00AD7202">
            <w:pPr>
              <w:spacing w:line="240" w:lineRule="auto"/>
              <w:jc w:val="center"/>
              <w:rPr>
                <w:rFonts w:eastAsia="Times New Roman" w:cs="Times New Roman"/>
                <w:b w:val="0"/>
                <w:color w:val="auto"/>
                <w:sz w:val="20"/>
                <w:szCs w:val="20"/>
                <w:lang w:eastAsia="pl-PL"/>
              </w:rPr>
            </w:pPr>
            <w:r w:rsidRPr="00635798">
              <w:rPr>
                <w:rFonts w:eastAsia="Times New Roman" w:cs="Times New Roman"/>
                <w:color w:val="auto"/>
                <w:sz w:val="20"/>
                <w:szCs w:val="20"/>
                <w:lang w:eastAsia="pl-PL"/>
              </w:rPr>
              <w:t>Ogółem osoby w wieku 16 lat i więcej</w:t>
            </w:r>
          </w:p>
        </w:tc>
      </w:tr>
      <w:tr w:rsidR="003215CC" w:rsidRPr="00635798" w14:paraId="2668D7E2"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716" w:type="dxa"/>
            <w:noWrap/>
            <w:hideMark/>
          </w:tcPr>
          <w:p w14:paraId="123088A3" w14:textId="77777777" w:rsidR="003215CC" w:rsidRPr="00635798" w:rsidRDefault="003215CC" w:rsidP="00AD7202">
            <w:pPr>
              <w:spacing w:line="240" w:lineRule="auto"/>
              <w:rPr>
                <w:rFonts w:eastAsia="Times New Roman" w:cs="Times New Roman"/>
                <w:b w:val="0"/>
                <w:bCs w:val="0"/>
                <w:color w:val="auto"/>
                <w:sz w:val="20"/>
                <w:szCs w:val="20"/>
                <w:lang w:eastAsia="pl-PL"/>
              </w:rPr>
            </w:pPr>
            <w:r w:rsidRPr="00635798">
              <w:rPr>
                <w:rFonts w:eastAsia="Times New Roman" w:cs="Times New Roman"/>
                <w:color w:val="auto"/>
                <w:sz w:val="20"/>
                <w:szCs w:val="20"/>
                <w:lang w:eastAsia="pl-PL"/>
              </w:rPr>
              <w:t xml:space="preserve">Ogółem </w:t>
            </w:r>
          </w:p>
        </w:tc>
        <w:tc>
          <w:tcPr>
            <w:tcW w:w="992" w:type="dxa"/>
            <w:noWrap/>
            <w:hideMark/>
          </w:tcPr>
          <w:p w14:paraId="6AF68FF5"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635798">
              <w:rPr>
                <w:rFonts w:eastAsia="Times New Roman" w:cs="Times New Roman"/>
                <w:b/>
                <w:bCs/>
                <w:sz w:val="20"/>
                <w:szCs w:val="20"/>
                <w:lang w:eastAsia="pl-PL"/>
              </w:rPr>
              <w:t>100</w:t>
            </w:r>
          </w:p>
        </w:tc>
        <w:tc>
          <w:tcPr>
            <w:tcW w:w="1398" w:type="dxa"/>
            <w:noWrap/>
            <w:hideMark/>
          </w:tcPr>
          <w:p w14:paraId="0FFD936E"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635798">
              <w:rPr>
                <w:rFonts w:eastAsia="Times New Roman" w:cs="Times New Roman"/>
                <w:b/>
                <w:bCs/>
                <w:sz w:val="20"/>
                <w:szCs w:val="20"/>
                <w:lang w:eastAsia="pl-PL"/>
              </w:rPr>
              <w:t>15,4</w:t>
            </w:r>
          </w:p>
        </w:tc>
        <w:tc>
          <w:tcPr>
            <w:tcW w:w="1418" w:type="dxa"/>
            <w:noWrap/>
            <w:hideMark/>
          </w:tcPr>
          <w:p w14:paraId="0E0DAC52"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635798">
              <w:rPr>
                <w:rFonts w:eastAsia="Times New Roman" w:cs="Times New Roman"/>
                <w:b/>
                <w:bCs/>
                <w:sz w:val="20"/>
                <w:szCs w:val="20"/>
                <w:lang w:eastAsia="pl-PL"/>
              </w:rPr>
              <w:t>44,5</w:t>
            </w:r>
          </w:p>
        </w:tc>
        <w:tc>
          <w:tcPr>
            <w:tcW w:w="1842" w:type="dxa"/>
            <w:noWrap/>
            <w:hideMark/>
          </w:tcPr>
          <w:p w14:paraId="3D987299"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635798">
              <w:rPr>
                <w:rFonts w:eastAsia="Times New Roman" w:cs="Times New Roman"/>
                <w:b/>
                <w:bCs/>
                <w:sz w:val="20"/>
                <w:szCs w:val="20"/>
                <w:lang w:eastAsia="pl-PL"/>
              </w:rPr>
              <w:t>27,4</w:t>
            </w:r>
          </w:p>
        </w:tc>
        <w:tc>
          <w:tcPr>
            <w:tcW w:w="993" w:type="dxa"/>
            <w:noWrap/>
            <w:hideMark/>
          </w:tcPr>
          <w:p w14:paraId="1C7122E3"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635798">
              <w:rPr>
                <w:rFonts w:eastAsia="Times New Roman" w:cs="Times New Roman"/>
                <w:b/>
                <w:bCs/>
                <w:sz w:val="20"/>
                <w:szCs w:val="20"/>
                <w:lang w:eastAsia="pl-PL"/>
              </w:rPr>
              <w:t>10,3</w:t>
            </w:r>
          </w:p>
        </w:tc>
        <w:tc>
          <w:tcPr>
            <w:tcW w:w="992" w:type="dxa"/>
            <w:noWrap/>
            <w:hideMark/>
          </w:tcPr>
          <w:p w14:paraId="3B5426FF"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635798">
              <w:rPr>
                <w:rFonts w:eastAsia="Times New Roman" w:cs="Times New Roman"/>
                <w:b/>
                <w:bCs/>
                <w:sz w:val="20"/>
                <w:szCs w:val="20"/>
                <w:lang w:eastAsia="pl-PL"/>
              </w:rPr>
              <w:t>2,4</w:t>
            </w:r>
          </w:p>
        </w:tc>
      </w:tr>
      <w:tr w:rsidR="003215CC" w:rsidRPr="00635798" w14:paraId="537CF125"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6" w:type="dxa"/>
            <w:noWrap/>
            <w:hideMark/>
          </w:tcPr>
          <w:p w14:paraId="1F2ECB60" w14:textId="77777777" w:rsidR="003215CC" w:rsidRPr="00635798" w:rsidRDefault="003215CC" w:rsidP="00AD7202">
            <w:pPr>
              <w:spacing w:line="240" w:lineRule="auto"/>
              <w:rPr>
                <w:rFonts w:eastAsia="Times New Roman" w:cs="Times New Roman"/>
                <w:b w:val="0"/>
                <w:color w:val="auto"/>
                <w:sz w:val="20"/>
                <w:szCs w:val="20"/>
                <w:lang w:eastAsia="pl-PL"/>
              </w:rPr>
            </w:pPr>
            <w:r w:rsidRPr="00635798">
              <w:rPr>
                <w:rFonts w:eastAsia="Times New Roman" w:cs="Times New Roman"/>
                <w:color w:val="auto"/>
                <w:sz w:val="20"/>
                <w:szCs w:val="20"/>
                <w:lang w:eastAsia="pl-PL"/>
              </w:rPr>
              <w:t>Mężczyźni</w:t>
            </w:r>
          </w:p>
        </w:tc>
        <w:tc>
          <w:tcPr>
            <w:tcW w:w="992" w:type="dxa"/>
            <w:noWrap/>
            <w:hideMark/>
          </w:tcPr>
          <w:p w14:paraId="613CE648"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100</w:t>
            </w:r>
          </w:p>
        </w:tc>
        <w:tc>
          <w:tcPr>
            <w:tcW w:w="1398" w:type="dxa"/>
            <w:noWrap/>
            <w:hideMark/>
          </w:tcPr>
          <w:p w14:paraId="785B5223"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17,0</w:t>
            </w:r>
          </w:p>
        </w:tc>
        <w:tc>
          <w:tcPr>
            <w:tcW w:w="1418" w:type="dxa"/>
            <w:noWrap/>
            <w:hideMark/>
          </w:tcPr>
          <w:p w14:paraId="626AFDD3"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46,0</w:t>
            </w:r>
          </w:p>
        </w:tc>
        <w:tc>
          <w:tcPr>
            <w:tcW w:w="1842" w:type="dxa"/>
            <w:noWrap/>
            <w:hideMark/>
          </w:tcPr>
          <w:p w14:paraId="3D988442"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25,1</w:t>
            </w:r>
          </w:p>
        </w:tc>
        <w:tc>
          <w:tcPr>
            <w:tcW w:w="993" w:type="dxa"/>
            <w:noWrap/>
            <w:hideMark/>
          </w:tcPr>
          <w:p w14:paraId="1F16B471"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9,5</w:t>
            </w:r>
          </w:p>
        </w:tc>
        <w:tc>
          <w:tcPr>
            <w:tcW w:w="992" w:type="dxa"/>
            <w:noWrap/>
            <w:hideMark/>
          </w:tcPr>
          <w:p w14:paraId="45150C12"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2,4</w:t>
            </w:r>
          </w:p>
        </w:tc>
      </w:tr>
      <w:tr w:rsidR="003215CC" w:rsidRPr="00635798" w14:paraId="0FA54D97"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716" w:type="dxa"/>
            <w:noWrap/>
            <w:hideMark/>
          </w:tcPr>
          <w:p w14:paraId="7B3BF3C7" w14:textId="77777777" w:rsidR="003215CC" w:rsidRPr="00635798" w:rsidRDefault="003215CC" w:rsidP="00AD7202">
            <w:pPr>
              <w:spacing w:line="240" w:lineRule="auto"/>
              <w:rPr>
                <w:rFonts w:eastAsia="Times New Roman" w:cs="Times New Roman"/>
                <w:b w:val="0"/>
                <w:color w:val="auto"/>
                <w:sz w:val="20"/>
                <w:szCs w:val="20"/>
                <w:lang w:eastAsia="pl-PL"/>
              </w:rPr>
            </w:pPr>
            <w:r w:rsidRPr="00635798">
              <w:rPr>
                <w:rFonts w:eastAsia="Times New Roman" w:cs="Times New Roman"/>
                <w:color w:val="auto"/>
                <w:sz w:val="20"/>
                <w:szCs w:val="20"/>
                <w:lang w:eastAsia="pl-PL"/>
              </w:rPr>
              <w:t>Kobiety</w:t>
            </w:r>
          </w:p>
        </w:tc>
        <w:tc>
          <w:tcPr>
            <w:tcW w:w="992" w:type="dxa"/>
            <w:noWrap/>
            <w:hideMark/>
          </w:tcPr>
          <w:p w14:paraId="4604033E"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100</w:t>
            </w:r>
          </w:p>
        </w:tc>
        <w:tc>
          <w:tcPr>
            <w:tcW w:w="1398" w:type="dxa"/>
            <w:noWrap/>
            <w:hideMark/>
          </w:tcPr>
          <w:p w14:paraId="22FD355F"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14,0</w:t>
            </w:r>
          </w:p>
        </w:tc>
        <w:tc>
          <w:tcPr>
            <w:tcW w:w="1418" w:type="dxa"/>
            <w:noWrap/>
            <w:hideMark/>
          </w:tcPr>
          <w:p w14:paraId="66F53ACD"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43,2</w:t>
            </w:r>
          </w:p>
        </w:tc>
        <w:tc>
          <w:tcPr>
            <w:tcW w:w="1842" w:type="dxa"/>
            <w:noWrap/>
            <w:hideMark/>
          </w:tcPr>
          <w:p w14:paraId="68DDBAA3"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29,2</w:t>
            </w:r>
          </w:p>
        </w:tc>
        <w:tc>
          <w:tcPr>
            <w:tcW w:w="993" w:type="dxa"/>
            <w:noWrap/>
            <w:hideMark/>
          </w:tcPr>
          <w:p w14:paraId="1D4DFC33"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11,0</w:t>
            </w:r>
          </w:p>
        </w:tc>
        <w:tc>
          <w:tcPr>
            <w:tcW w:w="992" w:type="dxa"/>
            <w:noWrap/>
            <w:hideMark/>
          </w:tcPr>
          <w:p w14:paraId="53D0E31A"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2,5</w:t>
            </w:r>
          </w:p>
        </w:tc>
      </w:tr>
      <w:tr w:rsidR="003215CC" w:rsidRPr="00635798" w14:paraId="009C82D5"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6" w:type="dxa"/>
            <w:noWrap/>
            <w:hideMark/>
          </w:tcPr>
          <w:p w14:paraId="539E57F8" w14:textId="77777777" w:rsidR="003215CC" w:rsidRPr="00635798" w:rsidRDefault="003215CC" w:rsidP="00AD7202">
            <w:pPr>
              <w:spacing w:line="240" w:lineRule="auto"/>
              <w:rPr>
                <w:rFonts w:eastAsia="Times New Roman" w:cs="Times New Roman"/>
                <w:b w:val="0"/>
                <w:color w:val="auto"/>
                <w:sz w:val="20"/>
                <w:szCs w:val="20"/>
                <w:lang w:eastAsia="pl-PL"/>
              </w:rPr>
            </w:pPr>
            <w:r w:rsidRPr="00635798">
              <w:rPr>
                <w:rFonts w:eastAsia="Times New Roman" w:cs="Times New Roman"/>
                <w:color w:val="auto"/>
                <w:sz w:val="20"/>
                <w:szCs w:val="20"/>
                <w:lang w:eastAsia="pl-PL"/>
              </w:rPr>
              <w:t>Miasta</w:t>
            </w:r>
          </w:p>
        </w:tc>
        <w:tc>
          <w:tcPr>
            <w:tcW w:w="992" w:type="dxa"/>
            <w:noWrap/>
            <w:hideMark/>
          </w:tcPr>
          <w:p w14:paraId="7CA1B52F"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100</w:t>
            </w:r>
          </w:p>
        </w:tc>
        <w:tc>
          <w:tcPr>
            <w:tcW w:w="1398" w:type="dxa"/>
            <w:noWrap/>
            <w:hideMark/>
          </w:tcPr>
          <w:p w14:paraId="62B0C216"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16,1</w:t>
            </w:r>
          </w:p>
        </w:tc>
        <w:tc>
          <w:tcPr>
            <w:tcW w:w="1418" w:type="dxa"/>
            <w:noWrap/>
            <w:hideMark/>
          </w:tcPr>
          <w:p w14:paraId="3212A321"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44,6</w:t>
            </w:r>
          </w:p>
        </w:tc>
        <w:tc>
          <w:tcPr>
            <w:tcW w:w="1842" w:type="dxa"/>
            <w:noWrap/>
            <w:hideMark/>
          </w:tcPr>
          <w:p w14:paraId="1008FA5D"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26,9</w:t>
            </w:r>
          </w:p>
        </w:tc>
        <w:tc>
          <w:tcPr>
            <w:tcW w:w="993" w:type="dxa"/>
            <w:noWrap/>
            <w:hideMark/>
          </w:tcPr>
          <w:p w14:paraId="43797F4D"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9,7</w:t>
            </w:r>
          </w:p>
        </w:tc>
        <w:tc>
          <w:tcPr>
            <w:tcW w:w="992" w:type="dxa"/>
            <w:noWrap/>
            <w:hideMark/>
          </w:tcPr>
          <w:p w14:paraId="27158BAF"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2,6</w:t>
            </w:r>
          </w:p>
        </w:tc>
      </w:tr>
      <w:tr w:rsidR="003215CC" w:rsidRPr="00635798" w14:paraId="46BCB147"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716" w:type="dxa"/>
            <w:noWrap/>
            <w:hideMark/>
          </w:tcPr>
          <w:p w14:paraId="0F53D915" w14:textId="77777777" w:rsidR="003215CC" w:rsidRPr="00635798" w:rsidRDefault="003215CC" w:rsidP="00AD7202">
            <w:pPr>
              <w:spacing w:line="240" w:lineRule="auto"/>
              <w:rPr>
                <w:rFonts w:eastAsia="Times New Roman" w:cs="Times New Roman"/>
                <w:b w:val="0"/>
                <w:color w:val="auto"/>
                <w:sz w:val="20"/>
                <w:szCs w:val="20"/>
                <w:lang w:eastAsia="pl-PL"/>
              </w:rPr>
            </w:pPr>
            <w:r w:rsidRPr="00635798">
              <w:rPr>
                <w:rFonts w:eastAsia="Times New Roman" w:cs="Times New Roman"/>
                <w:color w:val="auto"/>
                <w:sz w:val="20"/>
                <w:szCs w:val="20"/>
                <w:lang w:eastAsia="pl-PL"/>
              </w:rPr>
              <w:t>Wieś</w:t>
            </w:r>
          </w:p>
        </w:tc>
        <w:tc>
          <w:tcPr>
            <w:tcW w:w="992" w:type="dxa"/>
            <w:noWrap/>
            <w:hideMark/>
          </w:tcPr>
          <w:p w14:paraId="1EBBBAD9"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100</w:t>
            </w:r>
          </w:p>
        </w:tc>
        <w:tc>
          <w:tcPr>
            <w:tcW w:w="1398" w:type="dxa"/>
            <w:noWrap/>
            <w:hideMark/>
          </w:tcPr>
          <w:p w14:paraId="22FBC900"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14,2</w:t>
            </w:r>
          </w:p>
        </w:tc>
        <w:tc>
          <w:tcPr>
            <w:tcW w:w="1418" w:type="dxa"/>
            <w:noWrap/>
            <w:hideMark/>
          </w:tcPr>
          <w:p w14:paraId="305ABCA3"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44,3</w:t>
            </w:r>
          </w:p>
        </w:tc>
        <w:tc>
          <w:tcPr>
            <w:tcW w:w="1842" w:type="dxa"/>
            <w:noWrap/>
            <w:hideMark/>
          </w:tcPr>
          <w:p w14:paraId="24037AD1"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28,0</w:t>
            </w:r>
          </w:p>
        </w:tc>
        <w:tc>
          <w:tcPr>
            <w:tcW w:w="993" w:type="dxa"/>
            <w:noWrap/>
            <w:hideMark/>
          </w:tcPr>
          <w:p w14:paraId="348B6B99"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11,3</w:t>
            </w:r>
          </w:p>
        </w:tc>
        <w:tc>
          <w:tcPr>
            <w:tcW w:w="992" w:type="dxa"/>
            <w:noWrap/>
            <w:hideMark/>
          </w:tcPr>
          <w:p w14:paraId="63AB893C"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2,1</w:t>
            </w:r>
          </w:p>
        </w:tc>
      </w:tr>
      <w:tr w:rsidR="003215CC" w:rsidRPr="00635798" w14:paraId="58F544AB" w14:textId="77777777" w:rsidTr="0044674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1" w:type="dxa"/>
            <w:gridSpan w:val="7"/>
            <w:noWrap/>
            <w:hideMark/>
          </w:tcPr>
          <w:p w14:paraId="4FE9D74B" w14:textId="77777777" w:rsidR="003215CC" w:rsidRPr="00635798" w:rsidRDefault="003215CC" w:rsidP="00AD7202">
            <w:pPr>
              <w:spacing w:line="240" w:lineRule="auto"/>
              <w:jc w:val="center"/>
              <w:rPr>
                <w:rFonts w:eastAsia="Times New Roman" w:cs="Times New Roman"/>
                <w:b w:val="0"/>
                <w:color w:val="auto"/>
                <w:sz w:val="20"/>
                <w:szCs w:val="20"/>
                <w:lang w:eastAsia="pl-PL"/>
              </w:rPr>
            </w:pPr>
            <w:r w:rsidRPr="00635798">
              <w:rPr>
                <w:rFonts w:eastAsia="Times New Roman" w:cs="Times New Roman"/>
                <w:color w:val="auto"/>
                <w:sz w:val="20"/>
                <w:szCs w:val="20"/>
                <w:lang w:eastAsia="pl-PL"/>
              </w:rPr>
              <w:t>Osoby w wieku 60 lat i więcej</w:t>
            </w:r>
          </w:p>
        </w:tc>
      </w:tr>
      <w:tr w:rsidR="003215CC" w:rsidRPr="00635798" w14:paraId="7026721E"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716" w:type="dxa"/>
            <w:noWrap/>
            <w:hideMark/>
          </w:tcPr>
          <w:p w14:paraId="54582797" w14:textId="77777777" w:rsidR="003215CC" w:rsidRPr="00635798" w:rsidRDefault="003215CC" w:rsidP="00AD7202">
            <w:pPr>
              <w:spacing w:line="240" w:lineRule="auto"/>
              <w:rPr>
                <w:rFonts w:eastAsia="Times New Roman" w:cs="Times New Roman"/>
                <w:b w:val="0"/>
                <w:bCs w:val="0"/>
                <w:color w:val="auto"/>
                <w:sz w:val="20"/>
                <w:szCs w:val="20"/>
                <w:lang w:eastAsia="pl-PL"/>
              </w:rPr>
            </w:pPr>
            <w:r w:rsidRPr="00635798">
              <w:rPr>
                <w:rFonts w:eastAsia="Times New Roman" w:cs="Times New Roman"/>
                <w:color w:val="auto"/>
                <w:sz w:val="20"/>
                <w:szCs w:val="20"/>
                <w:lang w:eastAsia="pl-PL"/>
              </w:rPr>
              <w:t xml:space="preserve">Ogółem </w:t>
            </w:r>
          </w:p>
        </w:tc>
        <w:tc>
          <w:tcPr>
            <w:tcW w:w="992" w:type="dxa"/>
            <w:noWrap/>
            <w:hideMark/>
          </w:tcPr>
          <w:p w14:paraId="54F3B308"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635798">
              <w:rPr>
                <w:rFonts w:eastAsia="Times New Roman" w:cs="Times New Roman"/>
                <w:b/>
                <w:bCs/>
                <w:sz w:val="20"/>
                <w:szCs w:val="20"/>
                <w:lang w:eastAsia="pl-PL"/>
              </w:rPr>
              <w:t>100</w:t>
            </w:r>
          </w:p>
        </w:tc>
        <w:tc>
          <w:tcPr>
            <w:tcW w:w="1398" w:type="dxa"/>
            <w:noWrap/>
            <w:hideMark/>
          </w:tcPr>
          <w:p w14:paraId="24281851"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635798">
              <w:rPr>
                <w:rFonts w:eastAsia="Times New Roman" w:cs="Times New Roman"/>
                <w:b/>
                <w:bCs/>
                <w:sz w:val="20"/>
                <w:szCs w:val="20"/>
                <w:lang w:eastAsia="pl-PL"/>
              </w:rPr>
              <w:t>2,2</w:t>
            </w:r>
          </w:p>
        </w:tc>
        <w:tc>
          <w:tcPr>
            <w:tcW w:w="1418" w:type="dxa"/>
            <w:noWrap/>
            <w:hideMark/>
          </w:tcPr>
          <w:p w14:paraId="3139B02C"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635798">
              <w:rPr>
                <w:rFonts w:eastAsia="Times New Roman" w:cs="Times New Roman"/>
                <w:b/>
                <w:bCs/>
                <w:sz w:val="20"/>
                <w:szCs w:val="20"/>
                <w:lang w:eastAsia="pl-PL"/>
              </w:rPr>
              <w:t>25,7</w:t>
            </w:r>
          </w:p>
        </w:tc>
        <w:tc>
          <w:tcPr>
            <w:tcW w:w="1842" w:type="dxa"/>
            <w:noWrap/>
            <w:hideMark/>
          </w:tcPr>
          <w:p w14:paraId="0D284C2C"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635798">
              <w:rPr>
                <w:rFonts w:eastAsia="Times New Roman" w:cs="Times New Roman"/>
                <w:b/>
                <w:bCs/>
                <w:sz w:val="20"/>
                <w:szCs w:val="20"/>
                <w:lang w:eastAsia="pl-PL"/>
              </w:rPr>
              <w:t>45,6</w:t>
            </w:r>
          </w:p>
        </w:tc>
        <w:tc>
          <w:tcPr>
            <w:tcW w:w="993" w:type="dxa"/>
            <w:noWrap/>
            <w:hideMark/>
          </w:tcPr>
          <w:p w14:paraId="5DFEF2B3"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635798">
              <w:rPr>
                <w:rFonts w:eastAsia="Times New Roman" w:cs="Times New Roman"/>
                <w:b/>
                <w:bCs/>
                <w:sz w:val="20"/>
                <w:szCs w:val="20"/>
                <w:lang w:eastAsia="pl-PL"/>
              </w:rPr>
              <w:t>21,1</w:t>
            </w:r>
          </w:p>
        </w:tc>
        <w:tc>
          <w:tcPr>
            <w:tcW w:w="992" w:type="dxa"/>
            <w:noWrap/>
            <w:hideMark/>
          </w:tcPr>
          <w:p w14:paraId="18B19825"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635798">
              <w:rPr>
                <w:rFonts w:eastAsia="Times New Roman" w:cs="Times New Roman"/>
                <w:b/>
                <w:bCs/>
                <w:sz w:val="20"/>
                <w:szCs w:val="20"/>
                <w:lang w:eastAsia="pl-PL"/>
              </w:rPr>
              <w:t>5,4</w:t>
            </w:r>
          </w:p>
        </w:tc>
      </w:tr>
      <w:tr w:rsidR="003215CC" w:rsidRPr="00635798" w14:paraId="1634E378"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6" w:type="dxa"/>
            <w:noWrap/>
            <w:hideMark/>
          </w:tcPr>
          <w:p w14:paraId="0DF4EF53" w14:textId="77777777" w:rsidR="003215CC" w:rsidRPr="00635798" w:rsidRDefault="003215CC" w:rsidP="00AD7202">
            <w:pPr>
              <w:spacing w:line="240" w:lineRule="auto"/>
              <w:rPr>
                <w:rFonts w:eastAsia="Times New Roman" w:cs="Times New Roman"/>
                <w:b w:val="0"/>
                <w:color w:val="auto"/>
                <w:sz w:val="20"/>
                <w:szCs w:val="20"/>
                <w:lang w:eastAsia="pl-PL"/>
              </w:rPr>
            </w:pPr>
            <w:r w:rsidRPr="00635798">
              <w:rPr>
                <w:rFonts w:eastAsia="Times New Roman" w:cs="Times New Roman"/>
                <w:color w:val="auto"/>
                <w:sz w:val="20"/>
                <w:szCs w:val="20"/>
                <w:lang w:eastAsia="pl-PL"/>
              </w:rPr>
              <w:t>Mężczyźni</w:t>
            </w:r>
          </w:p>
        </w:tc>
        <w:tc>
          <w:tcPr>
            <w:tcW w:w="992" w:type="dxa"/>
            <w:noWrap/>
            <w:hideMark/>
          </w:tcPr>
          <w:p w14:paraId="088DF189"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100</w:t>
            </w:r>
          </w:p>
        </w:tc>
        <w:tc>
          <w:tcPr>
            <w:tcW w:w="1398" w:type="dxa"/>
            <w:noWrap/>
            <w:hideMark/>
          </w:tcPr>
          <w:p w14:paraId="4877D8F4"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2,3</w:t>
            </w:r>
          </w:p>
        </w:tc>
        <w:tc>
          <w:tcPr>
            <w:tcW w:w="1418" w:type="dxa"/>
            <w:noWrap/>
            <w:hideMark/>
          </w:tcPr>
          <w:p w14:paraId="38CAEDB8"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28,2</w:t>
            </w:r>
          </w:p>
        </w:tc>
        <w:tc>
          <w:tcPr>
            <w:tcW w:w="1842" w:type="dxa"/>
            <w:noWrap/>
            <w:hideMark/>
          </w:tcPr>
          <w:p w14:paraId="5C0E86F5"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44,9</w:t>
            </w:r>
          </w:p>
        </w:tc>
        <w:tc>
          <w:tcPr>
            <w:tcW w:w="993" w:type="dxa"/>
            <w:noWrap/>
            <w:hideMark/>
          </w:tcPr>
          <w:p w14:paraId="345C3A0C"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19,1</w:t>
            </w:r>
          </w:p>
        </w:tc>
        <w:tc>
          <w:tcPr>
            <w:tcW w:w="992" w:type="dxa"/>
            <w:noWrap/>
            <w:hideMark/>
          </w:tcPr>
          <w:p w14:paraId="512BBE6B"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5,5</w:t>
            </w:r>
          </w:p>
        </w:tc>
      </w:tr>
      <w:tr w:rsidR="003215CC" w:rsidRPr="00635798" w14:paraId="5189D909"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716" w:type="dxa"/>
            <w:noWrap/>
            <w:hideMark/>
          </w:tcPr>
          <w:p w14:paraId="060728D8" w14:textId="77777777" w:rsidR="003215CC" w:rsidRPr="00635798" w:rsidRDefault="003215CC" w:rsidP="00AD7202">
            <w:pPr>
              <w:spacing w:line="240" w:lineRule="auto"/>
              <w:rPr>
                <w:rFonts w:eastAsia="Times New Roman" w:cs="Times New Roman"/>
                <w:b w:val="0"/>
                <w:color w:val="auto"/>
                <w:sz w:val="20"/>
                <w:szCs w:val="20"/>
                <w:lang w:eastAsia="pl-PL"/>
              </w:rPr>
            </w:pPr>
            <w:r w:rsidRPr="00635798">
              <w:rPr>
                <w:rFonts w:eastAsia="Times New Roman" w:cs="Times New Roman"/>
                <w:color w:val="auto"/>
                <w:sz w:val="20"/>
                <w:szCs w:val="20"/>
                <w:lang w:eastAsia="pl-PL"/>
              </w:rPr>
              <w:t>Kobiety</w:t>
            </w:r>
          </w:p>
        </w:tc>
        <w:tc>
          <w:tcPr>
            <w:tcW w:w="992" w:type="dxa"/>
            <w:noWrap/>
            <w:hideMark/>
          </w:tcPr>
          <w:p w14:paraId="5BB6AD6D"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100</w:t>
            </w:r>
          </w:p>
        </w:tc>
        <w:tc>
          <w:tcPr>
            <w:tcW w:w="1398" w:type="dxa"/>
            <w:noWrap/>
            <w:hideMark/>
          </w:tcPr>
          <w:p w14:paraId="0A2808F7"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2,1</w:t>
            </w:r>
          </w:p>
        </w:tc>
        <w:tc>
          <w:tcPr>
            <w:tcW w:w="1418" w:type="dxa"/>
            <w:noWrap/>
            <w:hideMark/>
          </w:tcPr>
          <w:p w14:paraId="3CECA174"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24,0</w:t>
            </w:r>
          </w:p>
        </w:tc>
        <w:tc>
          <w:tcPr>
            <w:tcW w:w="1842" w:type="dxa"/>
            <w:noWrap/>
            <w:hideMark/>
          </w:tcPr>
          <w:p w14:paraId="5CFAC20B"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46,1</w:t>
            </w:r>
          </w:p>
        </w:tc>
        <w:tc>
          <w:tcPr>
            <w:tcW w:w="993" w:type="dxa"/>
            <w:noWrap/>
            <w:hideMark/>
          </w:tcPr>
          <w:p w14:paraId="1AF31736"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22,4</w:t>
            </w:r>
          </w:p>
        </w:tc>
        <w:tc>
          <w:tcPr>
            <w:tcW w:w="992" w:type="dxa"/>
            <w:noWrap/>
            <w:hideMark/>
          </w:tcPr>
          <w:p w14:paraId="7ACE25B7"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5,4</w:t>
            </w:r>
          </w:p>
        </w:tc>
      </w:tr>
      <w:tr w:rsidR="003215CC" w:rsidRPr="00635798" w14:paraId="3031DCF1"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6" w:type="dxa"/>
            <w:noWrap/>
            <w:hideMark/>
          </w:tcPr>
          <w:p w14:paraId="30581C57" w14:textId="77777777" w:rsidR="003215CC" w:rsidRPr="00635798" w:rsidRDefault="003215CC" w:rsidP="00AD7202">
            <w:pPr>
              <w:spacing w:line="240" w:lineRule="auto"/>
              <w:rPr>
                <w:rFonts w:eastAsia="Times New Roman" w:cs="Times New Roman"/>
                <w:b w:val="0"/>
                <w:color w:val="auto"/>
                <w:sz w:val="20"/>
                <w:szCs w:val="20"/>
                <w:lang w:eastAsia="pl-PL"/>
              </w:rPr>
            </w:pPr>
            <w:r w:rsidRPr="00635798">
              <w:rPr>
                <w:rFonts w:eastAsia="Times New Roman" w:cs="Times New Roman"/>
                <w:color w:val="auto"/>
                <w:sz w:val="20"/>
                <w:szCs w:val="20"/>
                <w:lang w:eastAsia="pl-PL"/>
              </w:rPr>
              <w:t>Miasta</w:t>
            </w:r>
          </w:p>
        </w:tc>
        <w:tc>
          <w:tcPr>
            <w:tcW w:w="992" w:type="dxa"/>
            <w:noWrap/>
            <w:hideMark/>
          </w:tcPr>
          <w:p w14:paraId="3F4408ED"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100</w:t>
            </w:r>
          </w:p>
        </w:tc>
        <w:tc>
          <w:tcPr>
            <w:tcW w:w="1398" w:type="dxa"/>
            <w:noWrap/>
            <w:hideMark/>
          </w:tcPr>
          <w:p w14:paraId="30174557"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2,6</w:t>
            </w:r>
          </w:p>
        </w:tc>
        <w:tc>
          <w:tcPr>
            <w:tcW w:w="1418" w:type="dxa"/>
            <w:noWrap/>
            <w:hideMark/>
          </w:tcPr>
          <w:p w14:paraId="07CBDAE6"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27,4</w:t>
            </w:r>
          </w:p>
        </w:tc>
        <w:tc>
          <w:tcPr>
            <w:tcW w:w="1842" w:type="dxa"/>
            <w:noWrap/>
            <w:hideMark/>
          </w:tcPr>
          <w:p w14:paraId="32995730"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44,4</w:t>
            </w:r>
          </w:p>
        </w:tc>
        <w:tc>
          <w:tcPr>
            <w:tcW w:w="993" w:type="dxa"/>
            <w:noWrap/>
            <w:hideMark/>
          </w:tcPr>
          <w:p w14:paraId="3FB297AA"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19,7</w:t>
            </w:r>
          </w:p>
        </w:tc>
        <w:tc>
          <w:tcPr>
            <w:tcW w:w="992" w:type="dxa"/>
            <w:noWrap/>
            <w:hideMark/>
          </w:tcPr>
          <w:p w14:paraId="41713CAF" w14:textId="77777777" w:rsidR="003215CC" w:rsidRPr="00635798"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5,8</w:t>
            </w:r>
          </w:p>
        </w:tc>
      </w:tr>
      <w:tr w:rsidR="003215CC" w:rsidRPr="00635798" w14:paraId="3662B72B"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716" w:type="dxa"/>
            <w:noWrap/>
            <w:hideMark/>
          </w:tcPr>
          <w:p w14:paraId="03F5DB74" w14:textId="77777777" w:rsidR="003215CC" w:rsidRPr="00635798" w:rsidRDefault="003215CC" w:rsidP="00AD7202">
            <w:pPr>
              <w:spacing w:line="240" w:lineRule="auto"/>
              <w:rPr>
                <w:rFonts w:eastAsia="Times New Roman" w:cs="Times New Roman"/>
                <w:b w:val="0"/>
                <w:color w:val="auto"/>
                <w:sz w:val="20"/>
                <w:szCs w:val="20"/>
                <w:lang w:eastAsia="pl-PL"/>
              </w:rPr>
            </w:pPr>
            <w:r w:rsidRPr="00635798">
              <w:rPr>
                <w:rFonts w:eastAsia="Times New Roman" w:cs="Times New Roman"/>
                <w:color w:val="auto"/>
                <w:sz w:val="20"/>
                <w:szCs w:val="20"/>
                <w:lang w:eastAsia="pl-PL"/>
              </w:rPr>
              <w:t>Wieś</w:t>
            </w:r>
          </w:p>
        </w:tc>
        <w:tc>
          <w:tcPr>
            <w:tcW w:w="992" w:type="dxa"/>
            <w:noWrap/>
            <w:hideMark/>
          </w:tcPr>
          <w:p w14:paraId="09F092B6"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100</w:t>
            </w:r>
          </w:p>
        </w:tc>
        <w:tc>
          <w:tcPr>
            <w:tcW w:w="1398" w:type="dxa"/>
            <w:noWrap/>
            <w:hideMark/>
          </w:tcPr>
          <w:p w14:paraId="6D3911FA"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1,4</w:t>
            </w:r>
          </w:p>
        </w:tc>
        <w:tc>
          <w:tcPr>
            <w:tcW w:w="1418" w:type="dxa"/>
            <w:noWrap/>
            <w:hideMark/>
          </w:tcPr>
          <w:p w14:paraId="4173970F"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22,9</w:t>
            </w:r>
          </w:p>
        </w:tc>
        <w:tc>
          <w:tcPr>
            <w:tcW w:w="1842" w:type="dxa"/>
            <w:noWrap/>
            <w:hideMark/>
          </w:tcPr>
          <w:p w14:paraId="0A770261"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47,6</w:t>
            </w:r>
          </w:p>
        </w:tc>
        <w:tc>
          <w:tcPr>
            <w:tcW w:w="993" w:type="dxa"/>
            <w:noWrap/>
            <w:hideMark/>
          </w:tcPr>
          <w:p w14:paraId="12A2F43F"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23,4</w:t>
            </w:r>
          </w:p>
        </w:tc>
        <w:tc>
          <w:tcPr>
            <w:tcW w:w="992" w:type="dxa"/>
            <w:noWrap/>
            <w:hideMark/>
          </w:tcPr>
          <w:p w14:paraId="1080C06C" w14:textId="77777777" w:rsidR="003215CC" w:rsidRPr="00635798"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635798">
              <w:rPr>
                <w:rFonts w:eastAsia="Times New Roman" w:cs="Times New Roman"/>
                <w:sz w:val="20"/>
                <w:szCs w:val="20"/>
                <w:lang w:eastAsia="pl-PL"/>
              </w:rPr>
              <w:t>4,8</w:t>
            </w:r>
          </w:p>
        </w:tc>
      </w:tr>
    </w:tbl>
    <w:p w14:paraId="0F3015B0" w14:textId="77777777" w:rsidR="00446749" w:rsidRDefault="003215CC" w:rsidP="003215CC">
      <w:pPr>
        <w:rPr>
          <w:rFonts w:cs="Times New Roman"/>
          <w:b/>
          <w:sz w:val="22"/>
        </w:rPr>
      </w:pPr>
      <w:r w:rsidRPr="00A84292">
        <w:rPr>
          <w:rFonts w:cs="Times New Roman"/>
          <w:b/>
          <w:sz w:val="22"/>
        </w:rPr>
        <w:t>Źródło: Badanie EU-SILC 2019 r. GUS</w:t>
      </w:r>
      <w:r w:rsidR="003F388C">
        <w:rPr>
          <w:rFonts w:cs="Times New Roman"/>
          <w:b/>
          <w:sz w:val="22"/>
        </w:rPr>
        <w:t>.</w:t>
      </w:r>
    </w:p>
    <w:p w14:paraId="38183875" w14:textId="77777777" w:rsidR="00446749" w:rsidRDefault="00446749" w:rsidP="003215CC">
      <w:pPr>
        <w:rPr>
          <w:rFonts w:cs="Times New Roman"/>
          <w:szCs w:val="24"/>
        </w:rPr>
      </w:pPr>
    </w:p>
    <w:p w14:paraId="68CE1A7A" w14:textId="77777777" w:rsidR="00BD604A" w:rsidRDefault="003215CC" w:rsidP="00BD604A">
      <w:pPr>
        <w:rPr>
          <w:rFonts w:cs="Times New Roman"/>
          <w:i/>
          <w:szCs w:val="24"/>
        </w:rPr>
      </w:pPr>
      <w:r w:rsidRPr="00635798">
        <w:rPr>
          <w:rFonts w:cs="Times New Roman"/>
          <w:szCs w:val="24"/>
        </w:rPr>
        <w:t>Na podstawie wyników Badania Warunków Życia Ludności (EU-SILC) można stwierdzić, że 27,9% osób starszych w wieku 60 lat i więcej mieszkających w Polsce oceniło w swoje zdrowie jako „dobre” lub „bardzo dobre”</w:t>
      </w:r>
      <w:r w:rsidRPr="00635798">
        <w:rPr>
          <w:rFonts w:cs="Times New Roman"/>
          <w:i/>
          <w:szCs w:val="24"/>
        </w:rPr>
        <w:t>.</w:t>
      </w:r>
    </w:p>
    <w:p w14:paraId="28EB98F5" w14:textId="54484422" w:rsidR="003215CC" w:rsidRPr="00BD604A" w:rsidRDefault="003215CC" w:rsidP="00BD604A">
      <w:pPr>
        <w:rPr>
          <w:rFonts w:cs="Times New Roman"/>
          <w:b/>
          <w:sz w:val="22"/>
        </w:rPr>
      </w:pPr>
      <w:r w:rsidRPr="00635798">
        <w:rPr>
          <w:rFonts w:cs="Times New Roman"/>
          <w:b/>
        </w:rPr>
        <w:lastRenderedPageBreak/>
        <w:t xml:space="preserve">Tabela </w:t>
      </w:r>
      <w:r>
        <w:rPr>
          <w:rFonts w:cs="Times New Roman"/>
          <w:b/>
        </w:rPr>
        <w:t>27</w:t>
      </w:r>
      <w:r w:rsidR="00EE73AF">
        <w:rPr>
          <w:rFonts w:cs="Times New Roman"/>
          <w:b/>
        </w:rPr>
        <w:t>.</w:t>
      </w:r>
      <w:r w:rsidRPr="00635798">
        <w:rPr>
          <w:rFonts w:cs="Times New Roman"/>
          <w:b/>
        </w:rPr>
        <w:t xml:space="preserve"> Waga ciała według płci i wieku</w:t>
      </w:r>
    </w:p>
    <w:tbl>
      <w:tblPr>
        <w:tblStyle w:val="Tabelasiatki5ciemnaakcent2"/>
        <w:tblW w:w="0" w:type="auto"/>
        <w:tblLook w:val="04A0" w:firstRow="1" w:lastRow="0" w:firstColumn="1" w:lastColumn="0" w:noHBand="0" w:noVBand="1"/>
      </w:tblPr>
      <w:tblGrid>
        <w:gridCol w:w="1539"/>
        <w:gridCol w:w="1491"/>
        <w:gridCol w:w="1519"/>
        <w:gridCol w:w="1500"/>
        <w:gridCol w:w="1500"/>
        <w:gridCol w:w="1511"/>
      </w:tblGrid>
      <w:tr w:rsidR="003215CC" w:rsidRPr="00635798" w14:paraId="583F163F" w14:textId="77777777" w:rsidTr="00AD7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gridSpan w:val="2"/>
            <w:vMerge w:val="restart"/>
          </w:tcPr>
          <w:p w14:paraId="7157B62F" w14:textId="77777777" w:rsidR="003215CC" w:rsidRPr="00FB177B" w:rsidRDefault="003215CC" w:rsidP="00AD7202">
            <w:pPr>
              <w:jc w:val="center"/>
              <w:rPr>
                <w:rFonts w:cs="Times New Roman"/>
                <w:bCs w:val="0"/>
                <w:color w:val="auto"/>
                <w:sz w:val="20"/>
                <w:szCs w:val="20"/>
              </w:rPr>
            </w:pPr>
            <w:r w:rsidRPr="00FB177B">
              <w:rPr>
                <w:rFonts w:cs="Times New Roman"/>
                <w:bCs w:val="0"/>
                <w:color w:val="auto"/>
                <w:sz w:val="20"/>
                <w:szCs w:val="20"/>
              </w:rPr>
              <w:t>Wyszczególnienie</w:t>
            </w:r>
          </w:p>
          <w:p w14:paraId="4CF51858" w14:textId="77777777" w:rsidR="003215CC" w:rsidRPr="00FB177B" w:rsidRDefault="003215CC" w:rsidP="00AD7202">
            <w:pPr>
              <w:jc w:val="center"/>
              <w:rPr>
                <w:rFonts w:cs="Times New Roman"/>
                <w:bCs w:val="0"/>
                <w:color w:val="auto"/>
                <w:sz w:val="20"/>
                <w:szCs w:val="20"/>
              </w:rPr>
            </w:pPr>
            <w:r w:rsidRPr="00FB177B">
              <w:rPr>
                <w:rFonts w:cs="Times New Roman"/>
                <w:bCs w:val="0"/>
                <w:color w:val="auto"/>
                <w:sz w:val="20"/>
                <w:szCs w:val="20"/>
              </w:rPr>
              <w:t>o-ogółem</w:t>
            </w:r>
          </w:p>
          <w:p w14:paraId="71B3B7C4" w14:textId="77777777" w:rsidR="003215CC" w:rsidRPr="00FB177B" w:rsidRDefault="003215CC" w:rsidP="00AD7202">
            <w:pPr>
              <w:jc w:val="center"/>
              <w:rPr>
                <w:rFonts w:cs="Times New Roman"/>
                <w:bCs w:val="0"/>
                <w:color w:val="auto"/>
                <w:sz w:val="20"/>
                <w:szCs w:val="20"/>
              </w:rPr>
            </w:pPr>
            <w:r w:rsidRPr="00FB177B">
              <w:rPr>
                <w:rFonts w:cs="Times New Roman"/>
                <w:bCs w:val="0"/>
                <w:color w:val="auto"/>
                <w:sz w:val="20"/>
                <w:szCs w:val="20"/>
              </w:rPr>
              <w:t>m-mężczyźni</w:t>
            </w:r>
          </w:p>
          <w:p w14:paraId="169DC534" w14:textId="77777777" w:rsidR="003215CC" w:rsidRPr="00FB177B" w:rsidRDefault="003215CC" w:rsidP="00AD7202">
            <w:pPr>
              <w:jc w:val="center"/>
              <w:rPr>
                <w:rFonts w:cs="Times New Roman"/>
                <w:bCs w:val="0"/>
                <w:color w:val="auto"/>
                <w:sz w:val="20"/>
                <w:szCs w:val="20"/>
              </w:rPr>
            </w:pPr>
            <w:r w:rsidRPr="00FB177B">
              <w:rPr>
                <w:rFonts w:cs="Times New Roman"/>
                <w:bCs w:val="0"/>
                <w:color w:val="auto"/>
                <w:sz w:val="20"/>
                <w:szCs w:val="20"/>
              </w:rPr>
              <w:t>k-kobiety</w:t>
            </w:r>
          </w:p>
        </w:tc>
        <w:tc>
          <w:tcPr>
            <w:tcW w:w="1560" w:type="dxa"/>
            <w:vMerge w:val="restart"/>
          </w:tcPr>
          <w:p w14:paraId="3DA31E0E" w14:textId="77777777" w:rsidR="003215CC" w:rsidRPr="00FB177B" w:rsidRDefault="003215CC" w:rsidP="00AD7202">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auto"/>
                <w:sz w:val="20"/>
                <w:szCs w:val="20"/>
              </w:rPr>
            </w:pPr>
            <w:r w:rsidRPr="00FB177B">
              <w:rPr>
                <w:rFonts w:cs="Times New Roman"/>
                <w:bCs w:val="0"/>
                <w:color w:val="auto"/>
                <w:sz w:val="20"/>
                <w:szCs w:val="20"/>
              </w:rPr>
              <w:t>Ogółem 60 lat i więcej</w:t>
            </w:r>
          </w:p>
        </w:tc>
        <w:tc>
          <w:tcPr>
            <w:tcW w:w="4680" w:type="dxa"/>
            <w:gridSpan w:val="3"/>
          </w:tcPr>
          <w:p w14:paraId="35C4C179" w14:textId="77777777" w:rsidR="003215CC" w:rsidRPr="00FB177B" w:rsidRDefault="003215CC" w:rsidP="00AD7202">
            <w:pPr>
              <w:jc w:val="center"/>
              <w:cnfStyle w:val="100000000000" w:firstRow="1" w:lastRow="0" w:firstColumn="0" w:lastColumn="0" w:oddVBand="0" w:evenVBand="0" w:oddHBand="0" w:evenHBand="0" w:firstRowFirstColumn="0" w:firstRowLastColumn="0" w:lastRowFirstColumn="0" w:lastRowLastColumn="0"/>
              <w:rPr>
                <w:rFonts w:cs="Times New Roman"/>
                <w:bCs w:val="0"/>
                <w:color w:val="auto"/>
                <w:sz w:val="20"/>
                <w:szCs w:val="20"/>
              </w:rPr>
            </w:pPr>
            <w:r w:rsidRPr="00FB177B">
              <w:rPr>
                <w:rFonts w:cs="Times New Roman"/>
                <w:bCs w:val="0"/>
                <w:color w:val="auto"/>
                <w:sz w:val="20"/>
                <w:szCs w:val="20"/>
              </w:rPr>
              <w:t>W tym w wieku</w:t>
            </w:r>
          </w:p>
        </w:tc>
      </w:tr>
      <w:tr w:rsidR="003215CC" w:rsidRPr="00635798" w14:paraId="275F8ECA"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gridSpan w:val="2"/>
            <w:vMerge/>
          </w:tcPr>
          <w:p w14:paraId="0745602F" w14:textId="77777777" w:rsidR="003215CC" w:rsidRPr="00FB177B" w:rsidRDefault="003215CC" w:rsidP="00AD7202">
            <w:pPr>
              <w:jc w:val="center"/>
              <w:rPr>
                <w:rFonts w:cs="Times New Roman"/>
                <w:bCs w:val="0"/>
                <w:color w:val="auto"/>
                <w:sz w:val="20"/>
                <w:szCs w:val="20"/>
              </w:rPr>
            </w:pPr>
          </w:p>
        </w:tc>
        <w:tc>
          <w:tcPr>
            <w:tcW w:w="1560" w:type="dxa"/>
            <w:vMerge/>
            <w:shd w:val="clear" w:color="auto" w:fill="ED7D31" w:themeFill="accent2"/>
          </w:tcPr>
          <w:p w14:paraId="0B8790C4" w14:textId="77777777" w:rsidR="003215CC" w:rsidRPr="00FB177B" w:rsidRDefault="003215CC" w:rsidP="00AD7202">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p>
        </w:tc>
        <w:tc>
          <w:tcPr>
            <w:tcW w:w="1560" w:type="dxa"/>
            <w:shd w:val="clear" w:color="auto" w:fill="ED7D31" w:themeFill="accent2"/>
          </w:tcPr>
          <w:p w14:paraId="6AC970B0" w14:textId="77777777" w:rsidR="003215CC" w:rsidRPr="00FB177B" w:rsidRDefault="003215CC" w:rsidP="00AD7202">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Pr>
                <w:rFonts w:cs="Times New Roman"/>
                <w:b/>
                <w:sz w:val="20"/>
                <w:szCs w:val="20"/>
              </w:rPr>
              <w:t>60-69 lat</w:t>
            </w:r>
          </w:p>
        </w:tc>
        <w:tc>
          <w:tcPr>
            <w:tcW w:w="1560" w:type="dxa"/>
            <w:shd w:val="clear" w:color="auto" w:fill="ED7D31" w:themeFill="accent2"/>
          </w:tcPr>
          <w:p w14:paraId="4CF506B3" w14:textId="77777777" w:rsidR="003215CC" w:rsidRPr="00FB177B" w:rsidRDefault="003215CC" w:rsidP="00AD7202">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Pr>
                <w:rFonts w:cs="Times New Roman"/>
                <w:b/>
                <w:sz w:val="20"/>
                <w:szCs w:val="20"/>
              </w:rPr>
              <w:t>70-79 lat</w:t>
            </w:r>
          </w:p>
        </w:tc>
        <w:tc>
          <w:tcPr>
            <w:tcW w:w="1560" w:type="dxa"/>
            <w:shd w:val="clear" w:color="auto" w:fill="ED7D31" w:themeFill="accent2"/>
          </w:tcPr>
          <w:p w14:paraId="6F0ED71E" w14:textId="77777777" w:rsidR="003215CC" w:rsidRPr="00FB177B" w:rsidRDefault="003215CC" w:rsidP="00AD7202">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Pr>
                <w:rFonts w:cs="Times New Roman"/>
                <w:b/>
                <w:sz w:val="20"/>
                <w:szCs w:val="20"/>
              </w:rPr>
              <w:t>80 lat i więcej</w:t>
            </w:r>
          </w:p>
        </w:tc>
      </w:tr>
      <w:tr w:rsidR="003215CC" w:rsidRPr="00635798" w14:paraId="14DA3F7E" w14:textId="77777777" w:rsidTr="00AD7202">
        <w:tc>
          <w:tcPr>
            <w:cnfStyle w:val="001000000000" w:firstRow="0" w:lastRow="0" w:firstColumn="1" w:lastColumn="0" w:oddVBand="0" w:evenVBand="0" w:oddHBand="0" w:evenHBand="0" w:firstRowFirstColumn="0" w:firstRowLastColumn="0" w:lastRowFirstColumn="0" w:lastRowLastColumn="0"/>
            <w:tcW w:w="3116" w:type="dxa"/>
            <w:gridSpan w:val="2"/>
            <w:vMerge/>
          </w:tcPr>
          <w:p w14:paraId="17F59CA6" w14:textId="77777777" w:rsidR="003215CC" w:rsidRPr="00FB177B" w:rsidRDefault="003215CC" w:rsidP="00AD7202">
            <w:pPr>
              <w:jc w:val="center"/>
              <w:rPr>
                <w:rFonts w:cs="Times New Roman"/>
                <w:bCs w:val="0"/>
                <w:color w:val="auto"/>
                <w:sz w:val="20"/>
                <w:szCs w:val="20"/>
              </w:rPr>
            </w:pPr>
          </w:p>
        </w:tc>
        <w:tc>
          <w:tcPr>
            <w:tcW w:w="6240" w:type="dxa"/>
            <w:gridSpan w:val="4"/>
            <w:shd w:val="clear" w:color="auto" w:fill="ED7D31" w:themeFill="accent2"/>
          </w:tcPr>
          <w:p w14:paraId="448747CC" w14:textId="77777777" w:rsidR="003215CC" w:rsidRPr="00FB177B" w:rsidRDefault="003215CC" w:rsidP="00AD7202">
            <w:pPr>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 xml:space="preserve"> w % osób danej grupy</w:t>
            </w:r>
          </w:p>
        </w:tc>
      </w:tr>
      <w:tr w:rsidR="003215CC" w:rsidRPr="00635798" w14:paraId="3846AD93"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vMerge w:val="restart"/>
            <w:shd w:val="clear" w:color="auto" w:fill="F7CAAC" w:themeFill="accent2" w:themeFillTint="66"/>
          </w:tcPr>
          <w:p w14:paraId="13C28B36" w14:textId="77777777" w:rsidR="003215CC" w:rsidRPr="00635798" w:rsidRDefault="003215CC" w:rsidP="00AD7202">
            <w:pPr>
              <w:rPr>
                <w:rFonts w:cs="Times New Roman"/>
                <w:b w:val="0"/>
                <w:color w:val="auto"/>
                <w:sz w:val="20"/>
                <w:szCs w:val="20"/>
              </w:rPr>
            </w:pPr>
            <w:r>
              <w:rPr>
                <w:rFonts w:cs="Times New Roman"/>
                <w:b w:val="0"/>
                <w:color w:val="auto"/>
                <w:sz w:val="20"/>
                <w:szCs w:val="20"/>
              </w:rPr>
              <w:t>Niedowaga</w:t>
            </w:r>
          </w:p>
        </w:tc>
        <w:tc>
          <w:tcPr>
            <w:tcW w:w="1559" w:type="dxa"/>
          </w:tcPr>
          <w:p w14:paraId="29634034"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o</w:t>
            </w:r>
          </w:p>
        </w:tc>
        <w:tc>
          <w:tcPr>
            <w:tcW w:w="1560" w:type="dxa"/>
          </w:tcPr>
          <w:p w14:paraId="5FA2DD76"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1,3</w:t>
            </w:r>
          </w:p>
        </w:tc>
        <w:tc>
          <w:tcPr>
            <w:tcW w:w="1560" w:type="dxa"/>
          </w:tcPr>
          <w:p w14:paraId="0616D827"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1,0</w:t>
            </w:r>
          </w:p>
        </w:tc>
        <w:tc>
          <w:tcPr>
            <w:tcW w:w="1560" w:type="dxa"/>
          </w:tcPr>
          <w:p w14:paraId="356F134E"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1,3</w:t>
            </w:r>
          </w:p>
        </w:tc>
        <w:tc>
          <w:tcPr>
            <w:tcW w:w="1560" w:type="dxa"/>
          </w:tcPr>
          <w:p w14:paraId="01446797"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2,2</w:t>
            </w:r>
          </w:p>
        </w:tc>
      </w:tr>
      <w:tr w:rsidR="003215CC" w:rsidRPr="00635798" w14:paraId="5BE4005D" w14:textId="77777777" w:rsidTr="00AD7202">
        <w:tc>
          <w:tcPr>
            <w:cnfStyle w:val="001000000000" w:firstRow="0" w:lastRow="0" w:firstColumn="1" w:lastColumn="0" w:oddVBand="0" w:evenVBand="0" w:oddHBand="0" w:evenHBand="0" w:firstRowFirstColumn="0" w:firstRowLastColumn="0" w:lastRowFirstColumn="0" w:lastRowLastColumn="0"/>
            <w:tcW w:w="1557" w:type="dxa"/>
            <w:vMerge/>
          </w:tcPr>
          <w:p w14:paraId="0A7DB035" w14:textId="77777777" w:rsidR="003215CC" w:rsidRPr="00635798" w:rsidRDefault="003215CC" w:rsidP="00AD7202">
            <w:pPr>
              <w:rPr>
                <w:rFonts w:cs="Times New Roman"/>
                <w:b w:val="0"/>
                <w:color w:val="auto"/>
                <w:sz w:val="20"/>
                <w:szCs w:val="20"/>
              </w:rPr>
            </w:pPr>
          </w:p>
        </w:tc>
        <w:tc>
          <w:tcPr>
            <w:tcW w:w="1559" w:type="dxa"/>
          </w:tcPr>
          <w:p w14:paraId="12DD8AFE"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m</w:t>
            </w:r>
          </w:p>
        </w:tc>
        <w:tc>
          <w:tcPr>
            <w:tcW w:w="1560" w:type="dxa"/>
          </w:tcPr>
          <w:p w14:paraId="5829EC6B"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0,8</w:t>
            </w:r>
          </w:p>
        </w:tc>
        <w:tc>
          <w:tcPr>
            <w:tcW w:w="1560" w:type="dxa"/>
          </w:tcPr>
          <w:p w14:paraId="5B5F9CE9"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0,7</w:t>
            </w:r>
          </w:p>
        </w:tc>
        <w:tc>
          <w:tcPr>
            <w:tcW w:w="1560" w:type="dxa"/>
          </w:tcPr>
          <w:p w14:paraId="7E1380E4"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1,1</w:t>
            </w:r>
          </w:p>
        </w:tc>
        <w:tc>
          <w:tcPr>
            <w:tcW w:w="1560" w:type="dxa"/>
          </w:tcPr>
          <w:p w14:paraId="4D449A65"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0,4</w:t>
            </w:r>
          </w:p>
        </w:tc>
      </w:tr>
      <w:tr w:rsidR="003215CC" w:rsidRPr="00635798" w14:paraId="0ED17A44"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vMerge/>
            <w:shd w:val="clear" w:color="auto" w:fill="F7CAAC" w:themeFill="accent2" w:themeFillTint="66"/>
          </w:tcPr>
          <w:p w14:paraId="54EECA4C" w14:textId="77777777" w:rsidR="003215CC" w:rsidRPr="00635798" w:rsidRDefault="003215CC" w:rsidP="00AD7202">
            <w:pPr>
              <w:rPr>
                <w:rFonts w:cs="Times New Roman"/>
                <w:b w:val="0"/>
                <w:color w:val="auto"/>
                <w:sz w:val="20"/>
                <w:szCs w:val="20"/>
              </w:rPr>
            </w:pPr>
          </w:p>
        </w:tc>
        <w:tc>
          <w:tcPr>
            <w:tcW w:w="1559" w:type="dxa"/>
          </w:tcPr>
          <w:p w14:paraId="67D3AFA1"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k</w:t>
            </w:r>
          </w:p>
        </w:tc>
        <w:tc>
          <w:tcPr>
            <w:tcW w:w="1560" w:type="dxa"/>
          </w:tcPr>
          <w:p w14:paraId="3F05B484"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1,7</w:t>
            </w:r>
          </w:p>
        </w:tc>
        <w:tc>
          <w:tcPr>
            <w:tcW w:w="1560" w:type="dxa"/>
          </w:tcPr>
          <w:p w14:paraId="58EAFD8D"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1,2</w:t>
            </w:r>
          </w:p>
        </w:tc>
        <w:tc>
          <w:tcPr>
            <w:tcW w:w="1560" w:type="dxa"/>
          </w:tcPr>
          <w:p w14:paraId="4A0DDCA5"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1,5</w:t>
            </w:r>
          </w:p>
        </w:tc>
        <w:tc>
          <w:tcPr>
            <w:tcW w:w="1560" w:type="dxa"/>
          </w:tcPr>
          <w:p w14:paraId="10D6784A"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3,0</w:t>
            </w:r>
          </w:p>
        </w:tc>
      </w:tr>
      <w:tr w:rsidR="003215CC" w:rsidRPr="00635798" w14:paraId="21001D6D" w14:textId="77777777" w:rsidTr="00AD7202">
        <w:tc>
          <w:tcPr>
            <w:cnfStyle w:val="001000000000" w:firstRow="0" w:lastRow="0" w:firstColumn="1" w:lastColumn="0" w:oddVBand="0" w:evenVBand="0" w:oddHBand="0" w:evenHBand="0" w:firstRowFirstColumn="0" w:firstRowLastColumn="0" w:lastRowFirstColumn="0" w:lastRowLastColumn="0"/>
            <w:tcW w:w="1557" w:type="dxa"/>
            <w:vMerge w:val="restart"/>
            <w:shd w:val="clear" w:color="auto" w:fill="FBE4D5" w:themeFill="accent2" w:themeFillTint="33"/>
          </w:tcPr>
          <w:p w14:paraId="154C2BD7" w14:textId="77777777" w:rsidR="003215CC" w:rsidRPr="00635798" w:rsidRDefault="003215CC" w:rsidP="00AD7202">
            <w:pPr>
              <w:rPr>
                <w:rFonts w:cs="Times New Roman"/>
                <w:b w:val="0"/>
                <w:color w:val="auto"/>
                <w:sz w:val="20"/>
                <w:szCs w:val="20"/>
              </w:rPr>
            </w:pPr>
            <w:r>
              <w:rPr>
                <w:rFonts w:cs="Times New Roman"/>
                <w:b w:val="0"/>
                <w:color w:val="auto"/>
                <w:sz w:val="20"/>
                <w:szCs w:val="20"/>
              </w:rPr>
              <w:t>W normie</w:t>
            </w:r>
          </w:p>
        </w:tc>
        <w:tc>
          <w:tcPr>
            <w:tcW w:w="1559" w:type="dxa"/>
          </w:tcPr>
          <w:p w14:paraId="263AA63B"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o</w:t>
            </w:r>
          </w:p>
        </w:tc>
        <w:tc>
          <w:tcPr>
            <w:tcW w:w="1560" w:type="dxa"/>
          </w:tcPr>
          <w:p w14:paraId="3307F815"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28,5</w:t>
            </w:r>
          </w:p>
        </w:tc>
        <w:tc>
          <w:tcPr>
            <w:tcW w:w="1560" w:type="dxa"/>
          </w:tcPr>
          <w:p w14:paraId="53C4FE84"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27,4</w:t>
            </w:r>
          </w:p>
        </w:tc>
        <w:tc>
          <w:tcPr>
            <w:tcW w:w="1560" w:type="dxa"/>
          </w:tcPr>
          <w:p w14:paraId="4764F355"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26,3</w:t>
            </w:r>
          </w:p>
        </w:tc>
        <w:tc>
          <w:tcPr>
            <w:tcW w:w="1560" w:type="dxa"/>
          </w:tcPr>
          <w:p w14:paraId="06D7D481"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35,1</w:t>
            </w:r>
          </w:p>
        </w:tc>
      </w:tr>
      <w:tr w:rsidR="003215CC" w:rsidRPr="00635798" w14:paraId="07360C04"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vMerge/>
            <w:shd w:val="clear" w:color="auto" w:fill="FBE4D5" w:themeFill="accent2" w:themeFillTint="33"/>
          </w:tcPr>
          <w:p w14:paraId="1C7599CB" w14:textId="77777777" w:rsidR="003215CC" w:rsidRPr="00635798" w:rsidRDefault="003215CC" w:rsidP="00AD7202">
            <w:pPr>
              <w:rPr>
                <w:rFonts w:cs="Times New Roman"/>
                <w:b w:val="0"/>
                <w:color w:val="auto"/>
                <w:sz w:val="20"/>
                <w:szCs w:val="20"/>
              </w:rPr>
            </w:pPr>
          </w:p>
        </w:tc>
        <w:tc>
          <w:tcPr>
            <w:tcW w:w="1559" w:type="dxa"/>
          </w:tcPr>
          <w:p w14:paraId="6699C740"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m</w:t>
            </w:r>
          </w:p>
        </w:tc>
        <w:tc>
          <w:tcPr>
            <w:tcW w:w="1560" w:type="dxa"/>
          </w:tcPr>
          <w:p w14:paraId="347DDF88"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26,6</w:t>
            </w:r>
          </w:p>
        </w:tc>
        <w:tc>
          <w:tcPr>
            <w:tcW w:w="1560" w:type="dxa"/>
          </w:tcPr>
          <w:p w14:paraId="5BF532DB"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24,3</w:t>
            </w:r>
          </w:p>
        </w:tc>
        <w:tc>
          <w:tcPr>
            <w:tcW w:w="1560" w:type="dxa"/>
          </w:tcPr>
          <w:p w14:paraId="68ACDC37"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27,1</w:t>
            </w:r>
          </w:p>
        </w:tc>
        <w:tc>
          <w:tcPr>
            <w:tcW w:w="1560" w:type="dxa"/>
          </w:tcPr>
          <w:p w14:paraId="4A890FF5"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36,0</w:t>
            </w:r>
          </w:p>
        </w:tc>
      </w:tr>
      <w:tr w:rsidR="003215CC" w:rsidRPr="00635798" w14:paraId="163AC6E5" w14:textId="77777777" w:rsidTr="00AD7202">
        <w:tc>
          <w:tcPr>
            <w:cnfStyle w:val="001000000000" w:firstRow="0" w:lastRow="0" w:firstColumn="1" w:lastColumn="0" w:oddVBand="0" w:evenVBand="0" w:oddHBand="0" w:evenHBand="0" w:firstRowFirstColumn="0" w:firstRowLastColumn="0" w:lastRowFirstColumn="0" w:lastRowLastColumn="0"/>
            <w:tcW w:w="1557" w:type="dxa"/>
            <w:vMerge/>
            <w:shd w:val="clear" w:color="auto" w:fill="FBE4D5" w:themeFill="accent2" w:themeFillTint="33"/>
          </w:tcPr>
          <w:p w14:paraId="3F77990B" w14:textId="77777777" w:rsidR="003215CC" w:rsidRPr="00635798" w:rsidRDefault="003215CC" w:rsidP="00AD7202">
            <w:pPr>
              <w:rPr>
                <w:rFonts w:cs="Times New Roman"/>
                <w:b w:val="0"/>
                <w:color w:val="auto"/>
                <w:sz w:val="20"/>
                <w:szCs w:val="20"/>
              </w:rPr>
            </w:pPr>
          </w:p>
        </w:tc>
        <w:tc>
          <w:tcPr>
            <w:tcW w:w="1559" w:type="dxa"/>
          </w:tcPr>
          <w:p w14:paraId="6A371F8C"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k</w:t>
            </w:r>
          </w:p>
        </w:tc>
        <w:tc>
          <w:tcPr>
            <w:tcW w:w="1560" w:type="dxa"/>
          </w:tcPr>
          <w:p w14:paraId="5FC234EB"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29,8</w:t>
            </w:r>
          </w:p>
        </w:tc>
        <w:tc>
          <w:tcPr>
            <w:tcW w:w="1560" w:type="dxa"/>
          </w:tcPr>
          <w:p w14:paraId="38750D43"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30,1</w:t>
            </w:r>
          </w:p>
        </w:tc>
        <w:tc>
          <w:tcPr>
            <w:tcW w:w="1560" w:type="dxa"/>
          </w:tcPr>
          <w:p w14:paraId="7D8AA0C6"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25,7</w:t>
            </w:r>
          </w:p>
        </w:tc>
        <w:tc>
          <w:tcPr>
            <w:tcW w:w="1560" w:type="dxa"/>
          </w:tcPr>
          <w:p w14:paraId="4A46B92D"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34,7</w:t>
            </w:r>
          </w:p>
        </w:tc>
      </w:tr>
      <w:tr w:rsidR="003215CC" w:rsidRPr="00635798" w14:paraId="67368D10"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vMerge w:val="restart"/>
            <w:shd w:val="clear" w:color="auto" w:fill="F7CAAC" w:themeFill="accent2" w:themeFillTint="66"/>
          </w:tcPr>
          <w:p w14:paraId="67ED06F8" w14:textId="77777777" w:rsidR="003215CC" w:rsidRPr="00635798" w:rsidRDefault="003215CC" w:rsidP="00AD7202">
            <w:pPr>
              <w:rPr>
                <w:rFonts w:cs="Times New Roman"/>
                <w:b w:val="0"/>
                <w:color w:val="auto"/>
                <w:sz w:val="20"/>
                <w:szCs w:val="20"/>
              </w:rPr>
            </w:pPr>
            <w:r>
              <w:rPr>
                <w:rFonts w:cs="Times New Roman"/>
                <w:b w:val="0"/>
                <w:color w:val="auto"/>
                <w:sz w:val="20"/>
                <w:szCs w:val="20"/>
              </w:rPr>
              <w:t>Nadwaga</w:t>
            </w:r>
          </w:p>
        </w:tc>
        <w:tc>
          <w:tcPr>
            <w:tcW w:w="1559" w:type="dxa"/>
          </w:tcPr>
          <w:p w14:paraId="0B3158C0"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o</w:t>
            </w:r>
          </w:p>
        </w:tc>
        <w:tc>
          <w:tcPr>
            <w:tcW w:w="1560" w:type="dxa"/>
          </w:tcPr>
          <w:p w14:paraId="7F266C80"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44,0</w:t>
            </w:r>
          </w:p>
        </w:tc>
        <w:tc>
          <w:tcPr>
            <w:tcW w:w="1560" w:type="dxa"/>
          </w:tcPr>
          <w:p w14:paraId="001D77E5"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44,4</w:t>
            </w:r>
          </w:p>
        </w:tc>
        <w:tc>
          <w:tcPr>
            <w:tcW w:w="1560" w:type="dxa"/>
          </w:tcPr>
          <w:p w14:paraId="058D3661"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44,7</w:t>
            </w:r>
          </w:p>
        </w:tc>
        <w:tc>
          <w:tcPr>
            <w:tcW w:w="1560" w:type="dxa"/>
          </w:tcPr>
          <w:p w14:paraId="156BE4D5"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41,8</w:t>
            </w:r>
          </w:p>
        </w:tc>
      </w:tr>
      <w:tr w:rsidR="003215CC" w:rsidRPr="00635798" w14:paraId="05367E7B" w14:textId="77777777" w:rsidTr="00AD7202">
        <w:tc>
          <w:tcPr>
            <w:cnfStyle w:val="001000000000" w:firstRow="0" w:lastRow="0" w:firstColumn="1" w:lastColumn="0" w:oddVBand="0" w:evenVBand="0" w:oddHBand="0" w:evenHBand="0" w:firstRowFirstColumn="0" w:firstRowLastColumn="0" w:lastRowFirstColumn="0" w:lastRowLastColumn="0"/>
            <w:tcW w:w="1557" w:type="dxa"/>
            <w:vMerge/>
          </w:tcPr>
          <w:p w14:paraId="32CE95FD" w14:textId="77777777" w:rsidR="003215CC" w:rsidRPr="00635798" w:rsidRDefault="003215CC" w:rsidP="00AD7202">
            <w:pPr>
              <w:rPr>
                <w:rFonts w:cs="Times New Roman"/>
                <w:b w:val="0"/>
                <w:color w:val="auto"/>
                <w:sz w:val="20"/>
                <w:szCs w:val="20"/>
              </w:rPr>
            </w:pPr>
          </w:p>
        </w:tc>
        <w:tc>
          <w:tcPr>
            <w:tcW w:w="1559" w:type="dxa"/>
          </w:tcPr>
          <w:p w14:paraId="3A5CCDBF"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m</w:t>
            </w:r>
          </w:p>
        </w:tc>
        <w:tc>
          <w:tcPr>
            <w:tcW w:w="1560" w:type="dxa"/>
          </w:tcPr>
          <w:p w14:paraId="154DF321"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47,2</w:t>
            </w:r>
          </w:p>
        </w:tc>
        <w:tc>
          <w:tcPr>
            <w:tcW w:w="1560" w:type="dxa"/>
          </w:tcPr>
          <w:p w14:paraId="6A74EB30"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47,6</w:t>
            </w:r>
          </w:p>
        </w:tc>
        <w:tc>
          <w:tcPr>
            <w:tcW w:w="1560" w:type="dxa"/>
          </w:tcPr>
          <w:p w14:paraId="226F851A"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47,6</w:t>
            </w:r>
          </w:p>
        </w:tc>
        <w:tc>
          <w:tcPr>
            <w:tcW w:w="1560" w:type="dxa"/>
          </w:tcPr>
          <w:p w14:paraId="2B52092B"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44,4</w:t>
            </w:r>
          </w:p>
        </w:tc>
      </w:tr>
      <w:tr w:rsidR="003215CC" w:rsidRPr="00635798" w14:paraId="60521348"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vMerge/>
            <w:shd w:val="clear" w:color="auto" w:fill="F7CAAC" w:themeFill="accent2" w:themeFillTint="66"/>
          </w:tcPr>
          <w:p w14:paraId="169EEF95" w14:textId="77777777" w:rsidR="003215CC" w:rsidRPr="00635798" w:rsidRDefault="003215CC" w:rsidP="00AD7202">
            <w:pPr>
              <w:rPr>
                <w:rFonts w:cs="Times New Roman"/>
                <w:b w:val="0"/>
                <w:color w:val="auto"/>
                <w:sz w:val="20"/>
                <w:szCs w:val="20"/>
              </w:rPr>
            </w:pPr>
          </w:p>
        </w:tc>
        <w:tc>
          <w:tcPr>
            <w:tcW w:w="1559" w:type="dxa"/>
          </w:tcPr>
          <w:p w14:paraId="6A59D1C3"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k</w:t>
            </w:r>
          </w:p>
        </w:tc>
        <w:tc>
          <w:tcPr>
            <w:tcW w:w="1560" w:type="dxa"/>
          </w:tcPr>
          <w:p w14:paraId="12D10D3E"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41,8</w:t>
            </w:r>
          </w:p>
        </w:tc>
        <w:tc>
          <w:tcPr>
            <w:tcW w:w="1560" w:type="dxa"/>
          </w:tcPr>
          <w:p w14:paraId="78F5D079"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41,7</w:t>
            </w:r>
          </w:p>
        </w:tc>
        <w:tc>
          <w:tcPr>
            <w:tcW w:w="1560" w:type="dxa"/>
          </w:tcPr>
          <w:p w14:paraId="094BA0B4"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42,7</w:t>
            </w:r>
          </w:p>
        </w:tc>
        <w:tc>
          <w:tcPr>
            <w:tcW w:w="1560" w:type="dxa"/>
          </w:tcPr>
          <w:p w14:paraId="3560DEDA"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40,5</w:t>
            </w:r>
          </w:p>
        </w:tc>
      </w:tr>
      <w:tr w:rsidR="003215CC" w:rsidRPr="00635798" w14:paraId="1F0C5B86" w14:textId="77777777" w:rsidTr="00AD7202">
        <w:tc>
          <w:tcPr>
            <w:cnfStyle w:val="001000000000" w:firstRow="0" w:lastRow="0" w:firstColumn="1" w:lastColumn="0" w:oddVBand="0" w:evenVBand="0" w:oddHBand="0" w:evenHBand="0" w:firstRowFirstColumn="0" w:firstRowLastColumn="0" w:lastRowFirstColumn="0" w:lastRowLastColumn="0"/>
            <w:tcW w:w="1557" w:type="dxa"/>
            <w:vMerge w:val="restart"/>
            <w:shd w:val="clear" w:color="auto" w:fill="FBE4D5" w:themeFill="accent2" w:themeFillTint="33"/>
          </w:tcPr>
          <w:p w14:paraId="47BA92F0" w14:textId="77777777" w:rsidR="003215CC" w:rsidRPr="00635798" w:rsidRDefault="003215CC" w:rsidP="00AD7202">
            <w:pPr>
              <w:rPr>
                <w:rFonts w:cs="Times New Roman"/>
                <w:b w:val="0"/>
                <w:color w:val="auto"/>
                <w:sz w:val="20"/>
                <w:szCs w:val="20"/>
              </w:rPr>
            </w:pPr>
            <w:r>
              <w:rPr>
                <w:rFonts w:cs="Times New Roman"/>
                <w:b w:val="0"/>
                <w:color w:val="auto"/>
                <w:sz w:val="20"/>
                <w:szCs w:val="20"/>
              </w:rPr>
              <w:t>Otyłość</w:t>
            </w:r>
          </w:p>
        </w:tc>
        <w:tc>
          <w:tcPr>
            <w:tcW w:w="1559" w:type="dxa"/>
          </w:tcPr>
          <w:p w14:paraId="5BA3DC99"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o</w:t>
            </w:r>
          </w:p>
        </w:tc>
        <w:tc>
          <w:tcPr>
            <w:tcW w:w="1560" w:type="dxa"/>
          </w:tcPr>
          <w:p w14:paraId="3852CA80"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26,2</w:t>
            </w:r>
          </w:p>
        </w:tc>
        <w:tc>
          <w:tcPr>
            <w:tcW w:w="1560" w:type="dxa"/>
          </w:tcPr>
          <w:p w14:paraId="5B2F6013"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27,1</w:t>
            </w:r>
          </w:p>
        </w:tc>
        <w:tc>
          <w:tcPr>
            <w:tcW w:w="1560" w:type="dxa"/>
          </w:tcPr>
          <w:p w14:paraId="43858EFF"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27,6</w:t>
            </w:r>
          </w:p>
        </w:tc>
        <w:tc>
          <w:tcPr>
            <w:tcW w:w="1560" w:type="dxa"/>
          </w:tcPr>
          <w:p w14:paraId="75CB9B29"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21,0</w:t>
            </w:r>
          </w:p>
        </w:tc>
      </w:tr>
      <w:tr w:rsidR="003215CC" w:rsidRPr="00635798" w14:paraId="1A489BD6"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vMerge/>
            <w:shd w:val="clear" w:color="auto" w:fill="FBE4D5" w:themeFill="accent2" w:themeFillTint="33"/>
          </w:tcPr>
          <w:p w14:paraId="381FDF40" w14:textId="77777777" w:rsidR="003215CC" w:rsidRPr="00635798" w:rsidRDefault="003215CC" w:rsidP="00AD7202">
            <w:pPr>
              <w:rPr>
                <w:rFonts w:cs="Times New Roman"/>
                <w:b w:val="0"/>
                <w:color w:val="auto"/>
                <w:sz w:val="20"/>
                <w:szCs w:val="20"/>
              </w:rPr>
            </w:pPr>
          </w:p>
        </w:tc>
        <w:tc>
          <w:tcPr>
            <w:tcW w:w="1559" w:type="dxa"/>
          </w:tcPr>
          <w:p w14:paraId="39C45D3D"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m</w:t>
            </w:r>
          </w:p>
        </w:tc>
        <w:tc>
          <w:tcPr>
            <w:tcW w:w="1560" w:type="dxa"/>
          </w:tcPr>
          <w:p w14:paraId="3D39AF79"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25,4</w:t>
            </w:r>
          </w:p>
        </w:tc>
        <w:tc>
          <w:tcPr>
            <w:tcW w:w="1560" w:type="dxa"/>
          </w:tcPr>
          <w:p w14:paraId="690D8547"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27,4</w:t>
            </w:r>
          </w:p>
        </w:tc>
        <w:tc>
          <w:tcPr>
            <w:tcW w:w="1560" w:type="dxa"/>
          </w:tcPr>
          <w:p w14:paraId="46BEEA35"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24,1</w:t>
            </w:r>
          </w:p>
        </w:tc>
        <w:tc>
          <w:tcPr>
            <w:tcW w:w="1560" w:type="dxa"/>
          </w:tcPr>
          <w:p w14:paraId="252BBEEF" w14:textId="77777777" w:rsidR="003215CC" w:rsidRPr="00F235C4" w:rsidRDefault="003215CC" w:rsidP="00AD7202">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F235C4">
              <w:rPr>
                <w:rFonts w:cs="Times New Roman"/>
                <w:sz w:val="20"/>
                <w:szCs w:val="20"/>
              </w:rPr>
              <w:t>19,3</w:t>
            </w:r>
          </w:p>
        </w:tc>
      </w:tr>
      <w:tr w:rsidR="003215CC" w:rsidRPr="00635798" w14:paraId="03090FF9" w14:textId="77777777" w:rsidTr="00AD7202">
        <w:tc>
          <w:tcPr>
            <w:cnfStyle w:val="001000000000" w:firstRow="0" w:lastRow="0" w:firstColumn="1" w:lastColumn="0" w:oddVBand="0" w:evenVBand="0" w:oddHBand="0" w:evenHBand="0" w:firstRowFirstColumn="0" w:firstRowLastColumn="0" w:lastRowFirstColumn="0" w:lastRowLastColumn="0"/>
            <w:tcW w:w="1557" w:type="dxa"/>
            <w:vMerge/>
            <w:shd w:val="clear" w:color="auto" w:fill="FBE4D5" w:themeFill="accent2" w:themeFillTint="33"/>
          </w:tcPr>
          <w:p w14:paraId="6E8F1F61" w14:textId="77777777" w:rsidR="003215CC" w:rsidRPr="00635798" w:rsidRDefault="003215CC" w:rsidP="00AD7202">
            <w:pPr>
              <w:rPr>
                <w:rFonts w:cs="Times New Roman"/>
                <w:b w:val="0"/>
                <w:color w:val="auto"/>
                <w:sz w:val="20"/>
                <w:szCs w:val="20"/>
              </w:rPr>
            </w:pPr>
          </w:p>
        </w:tc>
        <w:tc>
          <w:tcPr>
            <w:tcW w:w="1559" w:type="dxa"/>
          </w:tcPr>
          <w:p w14:paraId="03B3C6C0"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k</w:t>
            </w:r>
          </w:p>
        </w:tc>
        <w:tc>
          <w:tcPr>
            <w:tcW w:w="1560" w:type="dxa"/>
          </w:tcPr>
          <w:p w14:paraId="22DC66A1"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26,8</w:t>
            </w:r>
          </w:p>
        </w:tc>
        <w:tc>
          <w:tcPr>
            <w:tcW w:w="1560" w:type="dxa"/>
          </w:tcPr>
          <w:p w14:paraId="7C59EEC6"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26,9</w:t>
            </w:r>
          </w:p>
        </w:tc>
        <w:tc>
          <w:tcPr>
            <w:tcW w:w="1560" w:type="dxa"/>
          </w:tcPr>
          <w:p w14:paraId="212A1C4A"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30,0</w:t>
            </w:r>
          </w:p>
        </w:tc>
        <w:tc>
          <w:tcPr>
            <w:tcW w:w="1560" w:type="dxa"/>
          </w:tcPr>
          <w:p w14:paraId="678C0E2F" w14:textId="77777777" w:rsidR="003215CC" w:rsidRPr="00F235C4" w:rsidRDefault="003215CC" w:rsidP="00AD7202">
            <w:pP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F235C4">
              <w:rPr>
                <w:rFonts w:cs="Times New Roman"/>
                <w:sz w:val="20"/>
                <w:szCs w:val="20"/>
              </w:rPr>
              <w:t>21,8</w:t>
            </w:r>
          </w:p>
        </w:tc>
      </w:tr>
    </w:tbl>
    <w:p w14:paraId="0DB67058" w14:textId="77777777" w:rsidR="003215CC" w:rsidRPr="00D44172" w:rsidRDefault="003215CC" w:rsidP="003215CC">
      <w:pPr>
        <w:rPr>
          <w:rFonts w:cs="Times New Roman"/>
          <w:b/>
          <w:sz w:val="22"/>
        </w:rPr>
      </w:pPr>
      <w:r w:rsidRPr="00D44172">
        <w:rPr>
          <w:rFonts w:cs="Times New Roman"/>
          <w:b/>
          <w:sz w:val="22"/>
        </w:rPr>
        <w:t>Źródło: Europejskie Ankietowe Badanie Zdrowia z 2019 r.</w:t>
      </w:r>
    </w:p>
    <w:p w14:paraId="2B008BE1" w14:textId="77777777" w:rsidR="003215CC" w:rsidRDefault="003215CC" w:rsidP="003215CC">
      <w:pPr>
        <w:rPr>
          <w:rFonts w:cs="Times New Roman"/>
          <w:b/>
          <w:color w:val="FF0000"/>
        </w:rPr>
      </w:pPr>
    </w:p>
    <w:p w14:paraId="4F031226" w14:textId="77777777" w:rsidR="003215CC" w:rsidRPr="00635798" w:rsidRDefault="003215CC" w:rsidP="003215CC">
      <w:pPr>
        <w:rPr>
          <w:rFonts w:cs="Times New Roman"/>
          <w:bCs/>
        </w:rPr>
      </w:pPr>
      <w:r w:rsidRPr="00635798">
        <w:rPr>
          <w:rFonts w:cs="Times New Roman"/>
          <w:bCs/>
        </w:rPr>
        <w:t xml:space="preserve">Z wyników Europejskiego Ankietowego Badania Zdrowia wynika, że ponad 40% osób starszych w każdej kategorii wiekowej posiada nadwagę, a ponad 20% jest otyłych. Z dostępnych badań wynika, że osoby otyłe są bardziej narażone na ciężką postać zakażenia </w:t>
      </w:r>
      <w:proofErr w:type="spellStart"/>
      <w:r w:rsidRPr="00635798">
        <w:rPr>
          <w:rFonts w:cs="Times New Roman"/>
          <w:bCs/>
        </w:rPr>
        <w:t>koronawirusem</w:t>
      </w:r>
      <w:proofErr w:type="spellEnd"/>
      <w:r w:rsidRPr="00635798">
        <w:rPr>
          <w:rFonts w:cs="Times New Roman"/>
          <w:bCs/>
        </w:rPr>
        <w:t>.</w:t>
      </w:r>
    </w:p>
    <w:p w14:paraId="43DC2CB9" w14:textId="77777777" w:rsidR="003215CC" w:rsidRPr="00FB177B" w:rsidRDefault="003215CC" w:rsidP="003215CC">
      <w:pPr>
        <w:rPr>
          <w:rFonts w:cs="Times New Roman"/>
          <w:b/>
        </w:rPr>
      </w:pPr>
    </w:p>
    <w:p w14:paraId="70AC84C7" w14:textId="0E4EE335" w:rsidR="003215CC" w:rsidRPr="00FB177B" w:rsidRDefault="003215CC" w:rsidP="003215CC">
      <w:pPr>
        <w:pStyle w:val="Legenda"/>
        <w:keepNext/>
        <w:rPr>
          <w:rFonts w:cs="Times New Roman"/>
          <w:b/>
          <w:i w:val="0"/>
          <w:color w:val="auto"/>
          <w:sz w:val="24"/>
        </w:rPr>
      </w:pPr>
      <w:bookmarkStart w:id="39" w:name="_Toc49171400"/>
      <w:r w:rsidRPr="00FB177B">
        <w:rPr>
          <w:rFonts w:cs="Times New Roman"/>
          <w:b/>
          <w:i w:val="0"/>
          <w:color w:val="auto"/>
          <w:sz w:val="24"/>
        </w:rPr>
        <w:t xml:space="preserve">Tabela </w:t>
      </w:r>
      <w:r>
        <w:rPr>
          <w:rFonts w:cs="Times New Roman"/>
          <w:b/>
          <w:i w:val="0"/>
          <w:color w:val="auto"/>
          <w:sz w:val="24"/>
        </w:rPr>
        <w:t>28</w:t>
      </w:r>
      <w:r w:rsidR="00EE73AF">
        <w:rPr>
          <w:rFonts w:cs="Times New Roman"/>
          <w:b/>
          <w:i w:val="0"/>
          <w:color w:val="auto"/>
          <w:sz w:val="24"/>
        </w:rPr>
        <w:t>.</w:t>
      </w:r>
      <w:r w:rsidRPr="00FB177B">
        <w:rPr>
          <w:rFonts w:cs="Times New Roman"/>
          <w:b/>
          <w:i w:val="0"/>
          <w:color w:val="auto"/>
          <w:sz w:val="24"/>
        </w:rPr>
        <w:t xml:space="preserve"> Długotrwałe problemy zdrowotne lub choroby przewlekłe</w:t>
      </w:r>
      <w:bookmarkEnd w:id="39"/>
    </w:p>
    <w:tbl>
      <w:tblPr>
        <w:tblStyle w:val="Tabelasiatki5ciemnaakcent2"/>
        <w:tblW w:w="9346" w:type="dxa"/>
        <w:tblLook w:val="04A0" w:firstRow="1" w:lastRow="0" w:firstColumn="1" w:lastColumn="0" w:noHBand="0" w:noVBand="1"/>
      </w:tblPr>
      <w:tblGrid>
        <w:gridCol w:w="2488"/>
        <w:gridCol w:w="900"/>
        <w:gridCol w:w="2715"/>
        <w:gridCol w:w="3243"/>
      </w:tblGrid>
      <w:tr w:rsidR="003215CC" w:rsidRPr="00FB177B" w14:paraId="747613D4" w14:textId="77777777" w:rsidTr="00AD7202">
        <w:trPr>
          <w:cnfStyle w:val="100000000000" w:firstRow="1" w:lastRow="0" w:firstColumn="0" w:lastColumn="0" w:oddVBand="0" w:evenVBand="0" w:oddHBand="0"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2488" w:type="dxa"/>
            <w:vMerge w:val="restart"/>
            <w:noWrap/>
            <w:hideMark/>
          </w:tcPr>
          <w:p w14:paraId="256EC2C0" w14:textId="77777777" w:rsidR="003215CC" w:rsidRPr="00FB177B" w:rsidRDefault="003215CC" w:rsidP="00AD7202">
            <w:pPr>
              <w:spacing w:line="240" w:lineRule="auto"/>
              <w:jc w:val="center"/>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Wyszczególnienie</w:t>
            </w:r>
          </w:p>
        </w:tc>
        <w:tc>
          <w:tcPr>
            <w:tcW w:w="900" w:type="dxa"/>
            <w:vMerge w:val="restart"/>
            <w:noWrap/>
            <w:hideMark/>
          </w:tcPr>
          <w:p w14:paraId="25320E5A" w14:textId="77777777" w:rsidR="003215CC" w:rsidRPr="00FB177B" w:rsidRDefault="003215CC"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Ogółem</w:t>
            </w:r>
          </w:p>
        </w:tc>
        <w:tc>
          <w:tcPr>
            <w:tcW w:w="5958" w:type="dxa"/>
            <w:gridSpan w:val="2"/>
            <w:hideMark/>
          </w:tcPr>
          <w:p w14:paraId="0C5D5AEE" w14:textId="77777777" w:rsidR="003215CC" w:rsidRPr="00FB177B" w:rsidRDefault="003215CC"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 xml:space="preserve">Czy ma Pan/Pani jakieś długotrwałe problemy zdrowotne lub choroby przewlekłe, trwające </w:t>
            </w:r>
            <w:r w:rsidRPr="00FB177B">
              <w:rPr>
                <w:rFonts w:eastAsia="Times New Roman" w:cs="Times New Roman"/>
                <w:color w:val="auto"/>
                <w:sz w:val="20"/>
                <w:szCs w:val="20"/>
                <w:lang w:eastAsia="pl-PL"/>
              </w:rPr>
              <w:br/>
              <w:t xml:space="preserve">(lub przewidywane że będą trwały) </w:t>
            </w:r>
            <w:r w:rsidRPr="00FB177B">
              <w:rPr>
                <w:rFonts w:eastAsia="Times New Roman" w:cs="Times New Roman"/>
                <w:color w:val="auto"/>
                <w:sz w:val="20"/>
                <w:szCs w:val="20"/>
                <w:lang w:eastAsia="pl-PL"/>
              </w:rPr>
              <w:br/>
              <w:t>przez 6 miesięcy lub dłużej?</w:t>
            </w:r>
          </w:p>
        </w:tc>
      </w:tr>
      <w:tr w:rsidR="003215CC" w:rsidRPr="00FB177B" w14:paraId="5121979F"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8" w:type="dxa"/>
            <w:vMerge/>
            <w:hideMark/>
          </w:tcPr>
          <w:p w14:paraId="70E3B522" w14:textId="77777777" w:rsidR="003215CC" w:rsidRPr="00FB177B" w:rsidRDefault="003215CC" w:rsidP="00AD7202">
            <w:pPr>
              <w:spacing w:line="240" w:lineRule="auto"/>
              <w:jc w:val="center"/>
              <w:rPr>
                <w:rFonts w:eastAsia="Times New Roman" w:cs="Times New Roman"/>
                <w:b w:val="0"/>
                <w:color w:val="auto"/>
                <w:sz w:val="20"/>
                <w:szCs w:val="20"/>
                <w:lang w:eastAsia="pl-PL"/>
              </w:rPr>
            </w:pPr>
          </w:p>
        </w:tc>
        <w:tc>
          <w:tcPr>
            <w:tcW w:w="900" w:type="dxa"/>
            <w:vMerge/>
            <w:hideMark/>
          </w:tcPr>
          <w:p w14:paraId="6AA8C2C6"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2715" w:type="dxa"/>
            <w:shd w:val="clear" w:color="auto" w:fill="ED7D31" w:themeFill="accent2"/>
            <w:noWrap/>
            <w:hideMark/>
          </w:tcPr>
          <w:p w14:paraId="674515A5"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B177B">
              <w:rPr>
                <w:rFonts w:eastAsia="Times New Roman" w:cs="Times New Roman"/>
                <w:b/>
                <w:sz w:val="20"/>
                <w:szCs w:val="20"/>
                <w:lang w:eastAsia="pl-PL"/>
              </w:rPr>
              <w:t>Tak</w:t>
            </w:r>
          </w:p>
        </w:tc>
        <w:tc>
          <w:tcPr>
            <w:tcW w:w="3243" w:type="dxa"/>
            <w:shd w:val="clear" w:color="auto" w:fill="ED7D31" w:themeFill="accent2"/>
            <w:noWrap/>
            <w:hideMark/>
          </w:tcPr>
          <w:p w14:paraId="605C5479"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B177B">
              <w:rPr>
                <w:rFonts w:eastAsia="Times New Roman" w:cs="Times New Roman"/>
                <w:b/>
                <w:sz w:val="20"/>
                <w:szCs w:val="20"/>
                <w:lang w:eastAsia="pl-PL"/>
              </w:rPr>
              <w:t>Nie</w:t>
            </w:r>
          </w:p>
        </w:tc>
      </w:tr>
      <w:tr w:rsidR="003215CC" w:rsidRPr="00FB177B" w14:paraId="159BBB11"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488" w:type="dxa"/>
            <w:vMerge/>
            <w:hideMark/>
          </w:tcPr>
          <w:p w14:paraId="10C29DA9" w14:textId="77777777" w:rsidR="003215CC" w:rsidRPr="00FB177B" w:rsidRDefault="003215CC" w:rsidP="00AD7202">
            <w:pPr>
              <w:spacing w:line="240" w:lineRule="auto"/>
              <w:jc w:val="center"/>
              <w:rPr>
                <w:rFonts w:eastAsia="Times New Roman" w:cs="Times New Roman"/>
                <w:b w:val="0"/>
                <w:color w:val="auto"/>
                <w:sz w:val="20"/>
                <w:szCs w:val="20"/>
                <w:lang w:eastAsia="pl-PL"/>
              </w:rPr>
            </w:pPr>
          </w:p>
        </w:tc>
        <w:tc>
          <w:tcPr>
            <w:tcW w:w="6858" w:type="dxa"/>
            <w:gridSpan w:val="3"/>
            <w:shd w:val="clear" w:color="auto" w:fill="ED7D31" w:themeFill="accent2"/>
            <w:hideMark/>
          </w:tcPr>
          <w:p w14:paraId="15270948"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FB177B">
              <w:rPr>
                <w:rFonts w:eastAsia="Times New Roman" w:cs="Times New Roman"/>
                <w:b/>
                <w:sz w:val="20"/>
                <w:szCs w:val="20"/>
                <w:lang w:eastAsia="pl-PL"/>
              </w:rPr>
              <w:t>w % osób danej grupy</w:t>
            </w:r>
          </w:p>
        </w:tc>
      </w:tr>
      <w:tr w:rsidR="003215CC" w:rsidRPr="00FB177B" w14:paraId="2AE8311D" w14:textId="77777777" w:rsidTr="00446749">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9346" w:type="dxa"/>
            <w:gridSpan w:val="4"/>
            <w:noWrap/>
            <w:hideMark/>
          </w:tcPr>
          <w:p w14:paraId="12643F97" w14:textId="77777777" w:rsidR="003215CC" w:rsidRPr="00FB177B" w:rsidRDefault="003215CC" w:rsidP="00AD7202">
            <w:pPr>
              <w:spacing w:line="240" w:lineRule="auto"/>
              <w:jc w:val="center"/>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Ogółem osoby w wieku 16 lat i więcej</w:t>
            </w:r>
          </w:p>
        </w:tc>
      </w:tr>
      <w:tr w:rsidR="003215CC" w:rsidRPr="00FB177B" w14:paraId="5697E976"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488" w:type="dxa"/>
            <w:hideMark/>
          </w:tcPr>
          <w:p w14:paraId="28B0F449" w14:textId="77777777" w:rsidR="003215CC" w:rsidRPr="00FB177B" w:rsidRDefault="003215CC" w:rsidP="00AD7202">
            <w:pPr>
              <w:spacing w:line="240" w:lineRule="auto"/>
              <w:rPr>
                <w:rFonts w:eastAsia="Times New Roman" w:cs="Times New Roman"/>
                <w:b w:val="0"/>
                <w:bCs w:val="0"/>
                <w:color w:val="auto"/>
                <w:sz w:val="20"/>
                <w:szCs w:val="20"/>
                <w:lang w:eastAsia="pl-PL"/>
              </w:rPr>
            </w:pPr>
            <w:r w:rsidRPr="00FB177B">
              <w:rPr>
                <w:rFonts w:eastAsia="Times New Roman" w:cs="Times New Roman"/>
                <w:color w:val="auto"/>
                <w:sz w:val="20"/>
                <w:szCs w:val="20"/>
                <w:lang w:eastAsia="pl-PL"/>
              </w:rPr>
              <w:t xml:space="preserve">Ogółem </w:t>
            </w:r>
          </w:p>
        </w:tc>
        <w:tc>
          <w:tcPr>
            <w:tcW w:w="900" w:type="dxa"/>
            <w:noWrap/>
            <w:hideMark/>
          </w:tcPr>
          <w:p w14:paraId="27986AB0"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FB177B">
              <w:rPr>
                <w:rFonts w:eastAsia="Times New Roman" w:cs="Times New Roman"/>
                <w:b/>
                <w:bCs/>
                <w:sz w:val="20"/>
                <w:szCs w:val="20"/>
                <w:lang w:eastAsia="pl-PL"/>
              </w:rPr>
              <w:t>100</w:t>
            </w:r>
          </w:p>
        </w:tc>
        <w:tc>
          <w:tcPr>
            <w:tcW w:w="2715" w:type="dxa"/>
            <w:noWrap/>
            <w:hideMark/>
          </w:tcPr>
          <w:p w14:paraId="1D41B76F"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FB177B">
              <w:rPr>
                <w:rFonts w:eastAsia="Times New Roman" w:cs="Times New Roman"/>
                <w:b/>
                <w:bCs/>
                <w:sz w:val="20"/>
                <w:szCs w:val="20"/>
                <w:lang w:eastAsia="pl-PL"/>
              </w:rPr>
              <w:t>39,2</w:t>
            </w:r>
          </w:p>
        </w:tc>
        <w:tc>
          <w:tcPr>
            <w:tcW w:w="3243" w:type="dxa"/>
            <w:noWrap/>
            <w:hideMark/>
          </w:tcPr>
          <w:p w14:paraId="7D26DA76"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FB177B">
              <w:rPr>
                <w:rFonts w:eastAsia="Times New Roman" w:cs="Times New Roman"/>
                <w:b/>
                <w:bCs/>
                <w:sz w:val="20"/>
                <w:szCs w:val="20"/>
                <w:lang w:eastAsia="pl-PL"/>
              </w:rPr>
              <w:t>60,8</w:t>
            </w:r>
          </w:p>
        </w:tc>
      </w:tr>
      <w:tr w:rsidR="003215CC" w:rsidRPr="00FB177B" w14:paraId="50DD876E"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8" w:type="dxa"/>
            <w:noWrap/>
            <w:hideMark/>
          </w:tcPr>
          <w:p w14:paraId="1CE432CE" w14:textId="77777777" w:rsidR="003215CC" w:rsidRPr="00FB177B" w:rsidRDefault="003215CC" w:rsidP="00AD7202">
            <w:pPr>
              <w:spacing w:line="240" w:lineRule="auto"/>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Mężczyźni</w:t>
            </w:r>
          </w:p>
        </w:tc>
        <w:tc>
          <w:tcPr>
            <w:tcW w:w="900" w:type="dxa"/>
            <w:noWrap/>
            <w:hideMark/>
          </w:tcPr>
          <w:p w14:paraId="797DC1A1"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100</w:t>
            </w:r>
          </w:p>
        </w:tc>
        <w:tc>
          <w:tcPr>
            <w:tcW w:w="2715" w:type="dxa"/>
            <w:noWrap/>
            <w:hideMark/>
          </w:tcPr>
          <w:p w14:paraId="687A318D"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35,9</w:t>
            </w:r>
          </w:p>
        </w:tc>
        <w:tc>
          <w:tcPr>
            <w:tcW w:w="3243" w:type="dxa"/>
            <w:noWrap/>
            <w:hideMark/>
          </w:tcPr>
          <w:p w14:paraId="32CBD600"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64,1</w:t>
            </w:r>
          </w:p>
        </w:tc>
      </w:tr>
      <w:tr w:rsidR="003215CC" w:rsidRPr="00FB177B" w14:paraId="51AA2E89"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488" w:type="dxa"/>
            <w:noWrap/>
            <w:hideMark/>
          </w:tcPr>
          <w:p w14:paraId="5DA16119" w14:textId="77777777" w:rsidR="003215CC" w:rsidRPr="00FB177B" w:rsidRDefault="003215CC" w:rsidP="00AD7202">
            <w:pPr>
              <w:spacing w:line="240" w:lineRule="auto"/>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Kobiety</w:t>
            </w:r>
          </w:p>
        </w:tc>
        <w:tc>
          <w:tcPr>
            <w:tcW w:w="900" w:type="dxa"/>
            <w:noWrap/>
            <w:hideMark/>
          </w:tcPr>
          <w:p w14:paraId="1316E9A1"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100</w:t>
            </w:r>
          </w:p>
        </w:tc>
        <w:tc>
          <w:tcPr>
            <w:tcW w:w="2715" w:type="dxa"/>
            <w:noWrap/>
            <w:hideMark/>
          </w:tcPr>
          <w:p w14:paraId="710D8E64"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41,9</w:t>
            </w:r>
          </w:p>
        </w:tc>
        <w:tc>
          <w:tcPr>
            <w:tcW w:w="3243" w:type="dxa"/>
            <w:noWrap/>
            <w:hideMark/>
          </w:tcPr>
          <w:p w14:paraId="301C886B"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58,1</w:t>
            </w:r>
          </w:p>
        </w:tc>
      </w:tr>
      <w:tr w:rsidR="003215CC" w:rsidRPr="00FB177B" w14:paraId="2E6299AE"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8" w:type="dxa"/>
            <w:noWrap/>
            <w:hideMark/>
          </w:tcPr>
          <w:p w14:paraId="08C82A6B" w14:textId="77777777" w:rsidR="003215CC" w:rsidRPr="00FB177B" w:rsidRDefault="003215CC" w:rsidP="00AD7202">
            <w:pPr>
              <w:spacing w:line="240" w:lineRule="auto"/>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Miasta</w:t>
            </w:r>
          </w:p>
        </w:tc>
        <w:tc>
          <w:tcPr>
            <w:tcW w:w="900" w:type="dxa"/>
            <w:noWrap/>
            <w:hideMark/>
          </w:tcPr>
          <w:p w14:paraId="02100CE3"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100</w:t>
            </w:r>
          </w:p>
        </w:tc>
        <w:tc>
          <w:tcPr>
            <w:tcW w:w="2715" w:type="dxa"/>
            <w:noWrap/>
            <w:hideMark/>
          </w:tcPr>
          <w:p w14:paraId="3CCB14EA"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41,1</w:t>
            </w:r>
          </w:p>
        </w:tc>
        <w:tc>
          <w:tcPr>
            <w:tcW w:w="3243" w:type="dxa"/>
            <w:noWrap/>
            <w:hideMark/>
          </w:tcPr>
          <w:p w14:paraId="55EE348B"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58,9</w:t>
            </w:r>
          </w:p>
        </w:tc>
      </w:tr>
      <w:tr w:rsidR="003215CC" w:rsidRPr="00FB177B" w14:paraId="35AE3374"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488" w:type="dxa"/>
            <w:noWrap/>
            <w:hideMark/>
          </w:tcPr>
          <w:p w14:paraId="17AE723E" w14:textId="77777777" w:rsidR="003215CC" w:rsidRPr="00FB177B" w:rsidRDefault="003215CC" w:rsidP="00AD7202">
            <w:pPr>
              <w:spacing w:line="240" w:lineRule="auto"/>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Wieś</w:t>
            </w:r>
          </w:p>
        </w:tc>
        <w:tc>
          <w:tcPr>
            <w:tcW w:w="900" w:type="dxa"/>
            <w:noWrap/>
            <w:hideMark/>
          </w:tcPr>
          <w:p w14:paraId="1A6179AF"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100</w:t>
            </w:r>
          </w:p>
        </w:tc>
        <w:tc>
          <w:tcPr>
            <w:tcW w:w="2715" w:type="dxa"/>
            <w:noWrap/>
            <w:hideMark/>
          </w:tcPr>
          <w:p w14:paraId="2885FB27"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36,2</w:t>
            </w:r>
          </w:p>
        </w:tc>
        <w:tc>
          <w:tcPr>
            <w:tcW w:w="3243" w:type="dxa"/>
            <w:noWrap/>
            <w:hideMark/>
          </w:tcPr>
          <w:p w14:paraId="3700D312"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63,8</w:t>
            </w:r>
          </w:p>
        </w:tc>
      </w:tr>
      <w:tr w:rsidR="003215CC" w:rsidRPr="00FB177B" w14:paraId="402EEAED" w14:textId="77777777" w:rsidTr="0044674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9346" w:type="dxa"/>
            <w:gridSpan w:val="4"/>
            <w:hideMark/>
          </w:tcPr>
          <w:p w14:paraId="76F8C1C7" w14:textId="77777777" w:rsidR="003215CC" w:rsidRPr="00FB177B" w:rsidRDefault="003215CC" w:rsidP="00AD7202">
            <w:pPr>
              <w:spacing w:line="240" w:lineRule="auto"/>
              <w:jc w:val="center"/>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Osoby w wieku 60 lat i więcej</w:t>
            </w:r>
          </w:p>
        </w:tc>
      </w:tr>
      <w:tr w:rsidR="003215CC" w:rsidRPr="00FB177B" w14:paraId="14E6AF07"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488" w:type="dxa"/>
            <w:hideMark/>
          </w:tcPr>
          <w:p w14:paraId="62F754D8" w14:textId="77777777" w:rsidR="003215CC" w:rsidRPr="00FB177B" w:rsidRDefault="003215CC" w:rsidP="00AD7202">
            <w:pPr>
              <w:spacing w:line="240" w:lineRule="auto"/>
              <w:rPr>
                <w:rFonts w:eastAsia="Times New Roman" w:cs="Times New Roman"/>
                <w:b w:val="0"/>
                <w:bCs w:val="0"/>
                <w:color w:val="auto"/>
                <w:sz w:val="20"/>
                <w:szCs w:val="20"/>
                <w:lang w:eastAsia="pl-PL"/>
              </w:rPr>
            </w:pPr>
            <w:r w:rsidRPr="00FB177B">
              <w:rPr>
                <w:rFonts w:eastAsia="Times New Roman" w:cs="Times New Roman"/>
                <w:color w:val="auto"/>
                <w:sz w:val="20"/>
                <w:szCs w:val="20"/>
                <w:lang w:eastAsia="pl-PL"/>
              </w:rPr>
              <w:t xml:space="preserve">Ogółem </w:t>
            </w:r>
          </w:p>
        </w:tc>
        <w:tc>
          <w:tcPr>
            <w:tcW w:w="900" w:type="dxa"/>
            <w:noWrap/>
            <w:hideMark/>
          </w:tcPr>
          <w:p w14:paraId="457EDF00"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FB177B">
              <w:rPr>
                <w:rFonts w:eastAsia="Times New Roman" w:cs="Times New Roman"/>
                <w:b/>
                <w:bCs/>
                <w:sz w:val="20"/>
                <w:szCs w:val="20"/>
                <w:lang w:eastAsia="pl-PL"/>
              </w:rPr>
              <w:t>100</w:t>
            </w:r>
          </w:p>
        </w:tc>
        <w:tc>
          <w:tcPr>
            <w:tcW w:w="2715" w:type="dxa"/>
            <w:noWrap/>
            <w:hideMark/>
          </w:tcPr>
          <w:p w14:paraId="2F3DD87F"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FB177B">
              <w:rPr>
                <w:rFonts w:eastAsia="Times New Roman" w:cs="Times New Roman"/>
                <w:b/>
                <w:bCs/>
                <w:sz w:val="20"/>
                <w:szCs w:val="20"/>
                <w:lang w:eastAsia="pl-PL"/>
              </w:rPr>
              <w:t>66,3</w:t>
            </w:r>
          </w:p>
        </w:tc>
        <w:tc>
          <w:tcPr>
            <w:tcW w:w="3243" w:type="dxa"/>
            <w:noWrap/>
            <w:hideMark/>
          </w:tcPr>
          <w:p w14:paraId="72A73D47"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FB177B">
              <w:rPr>
                <w:rFonts w:eastAsia="Times New Roman" w:cs="Times New Roman"/>
                <w:b/>
                <w:bCs/>
                <w:sz w:val="20"/>
                <w:szCs w:val="20"/>
                <w:lang w:eastAsia="pl-PL"/>
              </w:rPr>
              <w:t>33,7</w:t>
            </w:r>
          </w:p>
        </w:tc>
      </w:tr>
      <w:tr w:rsidR="003215CC" w:rsidRPr="00FB177B" w14:paraId="0D4A21A8"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8" w:type="dxa"/>
            <w:noWrap/>
            <w:hideMark/>
          </w:tcPr>
          <w:p w14:paraId="70D5581C" w14:textId="77777777" w:rsidR="003215CC" w:rsidRPr="00FB177B" w:rsidRDefault="003215CC" w:rsidP="00AD7202">
            <w:pPr>
              <w:spacing w:line="240" w:lineRule="auto"/>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Mężczyźni</w:t>
            </w:r>
          </w:p>
        </w:tc>
        <w:tc>
          <w:tcPr>
            <w:tcW w:w="900" w:type="dxa"/>
            <w:noWrap/>
            <w:hideMark/>
          </w:tcPr>
          <w:p w14:paraId="43A22FB2"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100</w:t>
            </w:r>
          </w:p>
        </w:tc>
        <w:tc>
          <w:tcPr>
            <w:tcW w:w="2715" w:type="dxa"/>
            <w:noWrap/>
            <w:hideMark/>
          </w:tcPr>
          <w:p w14:paraId="400C8D84"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63,5</w:t>
            </w:r>
          </w:p>
        </w:tc>
        <w:tc>
          <w:tcPr>
            <w:tcW w:w="3243" w:type="dxa"/>
            <w:noWrap/>
            <w:hideMark/>
          </w:tcPr>
          <w:p w14:paraId="3C9DD03A"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36,5</w:t>
            </w:r>
          </w:p>
        </w:tc>
      </w:tr>
      <w:tr w:rsidR="003215CC" w:rsidRPr="00FB177B" w14:paraId="6C51EA2E"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488" w:type="dxa"/>
            <w:noWrap/>
            <w:hideMark/>
          </w:tcPr>
          <w:p w14:paraId="6FF9E2AD" w14:textId="77777777" w:rsidR="003215CC" w:rsidRPr="00FB177B" w:rsidRDefault="003215CC" w:rsidP="00AD7202">
            <w:pPr>
              <w:spacing w:line="240" w:lineRule="auto"/>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Kobiety</w:t>
            </w:r>
          </w:p>
        </w:tc>
        <w:tc>
          <w:tcPr>
            <w:tcW w:w="900" w:type="dxa"/>
            <w:noWrap/>
            <w:hideMark/>
          </w:tcPr>
          <w:p w14:paraId="6079ECF9"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100</w:t>
            </w:r>
          </w:p>
        </w:tc>
        <w:tc>
          <w:tcPr>
            <w:tcW w:w="2715" w:type="dxa"/>
            <w:noWrap/>
            <w:hideMark/>
          </w:tcPr>
          <w:p w14:paraId="4084FC7A"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68,3</w:t>
            </w:r>
          </w:p>
        </w:tc>
        <w:tc>
          <w:tcPr>
            <w:tcW w:w="3243" w:type="dxa"/>
            <w:noWrap/>
            <w:hideMark/>
          </w:tcPr>
          <w:p w14:paraId="48D69D00"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31,7</w:t>
            </w:r>
          </w:p>
        </w:tc>
      </w:tr>
      <w:tr w:rsidR="003215CC" w:rsidRPr="00FB177B" w14:paraId="440E369F"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8" w:type="dxa"/>
            <w:noWrap/>
            <w:hideMark/>
          </w:tcPr>
          <w:p w14:paraId="1D91D71B" w14:textId="77777777" w:rsidR="003215CC" w:rsidRPr="00FB177B" w:rsidRDefault="003215CC" w:rsidP="00AD7202">
            <w:pPr>
              <w:spacing w:line="240" w:lineRule="auto"/>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Miasta</w:t>
            </w:r>
          </w:p>
        </w:tc>
        <w:tc>
          <w:tcPr>
            <w:tcW w:w="900" w:type="dxa"/>
            <w:noWrap/>
            <w:hideMark/>
          </w:tcPr>
          <w:p w14:paraId="7EF5EBF7"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100</w:t>
            </w:r>
          </w:p>
        </w:tc>
        <w:tc>
          <w:tcPr>
            <w:tcW w:w="2715" w:type="dxa"/>
            <w:noWrap/>
            <w:hideMark/>
          </w:tcPr>
          <w:p w14:paraId="3B6A55AC"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67,7</w:t>
            </w:r>
          </w:p>
        </w:tc>
        <w:tc>
          <w:tcPr>
            <w:tcW w:w="3243" w:type="dxa"/>
            <w:noWrap/>
            <w:hideMark/>
          </w:tcPr>
          <w:p w14:paraId="79657389"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32,3</w:t>
            </w:r>
          </w:p>
        </w:tc>
      </w:tr>
      <w:tr w:rsidR="003215CC" w:rsidRPr="00FB177B" w14:paraId="46D37F73"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488" w:type="dxa"/>
            <w:noWrap/>
            <w:hideMark/>
          </w:tcPr>
          <w:p w14:paraId="7052424F" w14:textId="77777777" w:rsidR="003215CC" w:rsidRPr="00FB177B" w:rsidRDefault="003215CC" w:rsidP="00AD7202">
            <w:pPr>
              <w:spacing w:line="240" w:lineRule="auto"/>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Wieś</w:t>
            </w:r>
          </w:p>
        </w:tc>
        <w:tc>
          <w:tcPr>
            <w:tcW w:w="900" w:type="dxa"/>
            <w:noWrap/>
            <w:hideMark/>
          </w:tcPr>
          <w:p w14:paraId="1EC6B4A8"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100</w:t>
            </w:r>
          </w:p>
        </w:tc>
        <w:tc>
          <w:tcPr>
            <w:tcW w:w="2715" w:type="dxa"/>
            <w:noWrap/>
            <w:hideMark/>
          </w:tcPr>
          <w:p w14:paraId="480D507F"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64,0</w:t>
            </w:r>
          </w:p>
        </w:tc>
        <w:tc>
          <w:tcPr>
            <w:tcW w:w="3243" w:type="dxa"/>
            <w:noWrap/>
            <w:hideMark/>
          </w:tcPr>
          <w:p w14:paraId="41D5EC35"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36,0</w:t>
            </w:r>
          </w:p>
        </w:tc>
      </w:tr>
    </w:tbl>
    <w:p w14:paraId="3ACD4295" w14:textId="317914A5" w:rsidR="003215CC" w:rsidRDefault="003215CC" w:rsidP="003215CC">
      <w:pPr>
        <w:rPr>
          <w:rFonts w:cs="Times New Roman"/>
          <w:b/>
          <w:sz w:val="22"/>
        </w:rPr>
      </w:pPr>
      <w:r w:rsidRPr="00D44172">
        <w:rPr>
          <w:rFonts w:cs="Times New Roman"/>
          <w:b/>
          <w:sz w:val="22"/>
        </w:rPr>
        <w:t>Źródło: Badanie EU-SILC 2019 r. GUS</w:t>
      </w:r>
      <w:r w:rsidR="003F388C">
        <w:rPr>
          <w:rFonts w:cs="Times New Roman"/>
          <w:b/>
          <w:sz w:val="22"/>
        </w:rPr>
        <w:t>.</w:t>
      </w:r>
    </w:p>
    <w:p w14:paraId="025D9B5E" w14:textId="2BCDABBF" w:rsidR="003215CC" w:rsidRDefault="003215CC" w:rsidP="003215CC">
      <w:pPr>
        <w:rPr>
          <w:rFonts w:cs="Times New Roman"/>
          <w:b/>
          <w:sz w:val="22"/>
        </w:rPr>
      </w:pPr>
    </w:p>
    <w:p w14:paraId="22BCF9E5" w14:textId="77777777" w:rsidR="00C271AD" w:rsidRPr="00007806" w:rsidRDefault="00C271AD" w:rsidP="003215CC">
      <w:pPr>
        <w:rPr>
          <w:rFonts w:cs="Times New Roman"/>
          <w:b/>
          <w:sz w:val="22"/>
        </w:rPr>
      </w:pPr>
    </w:p>
    <w:p w14:paraId="6F8025DE" w14:textId="07B77196" w:rsidR="003215CC" w:rsidRPr="00FB177B" w:rsidRDefault="003215CC" w:rsidP="003215CC">
      <w:pPr>
        <w:pStyle w:val="Legenda"/>
        <w:keepNext/>
        <w:rPr>
          <w:rFonts w:cs="Times New Roman"/>
          <w:b/>
          <w:i w:val="0"/>
          <w:color w:val="auto"/>
          <w:sz w:val="24"/>
        </w:rPr>
      </w:pPr>
      <w:bookmarkStart w:id="40" w:name="_Toc49171401"/>
      <w:r w:rsidRPr="00FB177B">
        <w:rPr>
          <w:rFonts w:cs="Times New Roman"/>
          <w:b/>
          <w:i w:val="0"/>
          <w:color w:val="auto"/>
          <w:sz w:val="24"/>
        </w:rPr>
        <w:lastRenderedPageBreak/>
        <w:t xml:space="preserve">Tabela </w:t>
      </w:r>
      <w:r>
        <w:rPr>
          <w:rFonts w:cs="Times New Roman"/>
          <w:b/>
          <w:i w:val="0"/>
          <w:color w:val="auto"/>
          <w:sz w:val="24"/>
        </w:rPr>
        <w:t>29</w:t>
      </w:r>
      <w:r w:rsidR="00EE73AF">
        <w:rPr>
          <w:rFonts w:cs="Times New Roman"/>
          <w:b/>
          <w:i w:val="0"/>
          <w:color w:val="auto"/>
          <w:sz w:val="24"/>
        </w:rPr>
        <w:t>.</w:t>
      </w:r>
      <w:r w:rsidRPr="00FB177B">
        <w:rPr>
          <w:rFonts w:cs="Times New Roman"/>
          <w:b/>
          <w:i w:val="0"/>
          <w:color w:val="auto"/>
          <w:sz w:val="24"/>
        </w:rPr>
        <w:t xml:space="preserve"> Ograniczona zdolność wykonywania czynności</w:t>
      </w:r>
      <w:bookmarkEnd w:id="40"/>
    </w:p>
    <w:tbl>
      <w:tblPr>
        <w:tblStyle w:val="Tabelasiatki5ciemnaakcent2"/>
        <w:tblW w:w="9062" w:type="dxa"/>
        <w:tblLook w:val="04A0" w:firstRow="1" w:lastRow="0" w:firstColumn="1" w:lastColumn="0" w:noHBand="0" w:noVBand="1"/>
      </w:tblPr>
      <w:tblGrid>
        <w:gridCol w:w="1790"/>
        <w:gridCol w:w="900"/>
        <w:gridCol w:w="805"/>
        <w:gridCol w:w="1992"/>
        <w:gridCol w:w="2126"/>
        <w:gridCol w:w="1466"/>
      </w:tblGrid>
      <w:tr w:rsidR="003215CC" w:rsidRPr="00FB177B" w14:paraId="15FEFD9E" w14:textId="77777777" w:rsidTr="00AD7202">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90" w:type="dxa"/>
            <w:vMerge w:val="restart"/>
            <w:noWrap/>
            <w:hideMark/>
          </w:tcPr>
          <w:p w14:paraId="2239AA64" w14:textId="77777777" w:rsidR="003215CC" w:rsidRPr="00FB177B" w:rsidRDefault="003215CC" w:rsidP="00AD7202">
            <w:pPr>
              <w:spacing w:line="240" w:lineRule="auto"/>
              <w:jc w:val="center"/>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Wyszczególnienie</w:t>
            </w:r>
          </w:p>
        </w:tc>
        <w:tc>
          <w:tcPr>
            <w:tcW w:w="900" w:type="dxa"/>
            <w:vMerge w:val="restart"/>
            <w:noWrap/>
            <w:hideMark/>
          </w:tcPr>
          <w:p w14:paraId="194A71CE" w14:textId="77777777" w:rsidR="003215CC" w:rsidRPr="00FB177B" w:rsidRDefault="003215CC"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Ogółem</w:t>
            </w:r>
          </w:p>
        </w:tc>
        <w:tc>
          <w:tcPr>
            <w:tcW w:w="6372" w:type="dxa"/>
            <w:gridSpan w:val="4"/>
            <w:hideMark/>
          </w:tcPr>
          <w:p w14:paraId="57FCBD82" w14:textId="77777777" w:rsidR="003215CC" w:rsidRPr="00FB177B" w:rsidRDefault="003215CC"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 xml:space="preserve">Czy z powodu problemów zdrowotnych miał(a) Pan/Pani ograniczoną zdolność wykonywania czynności, jakie ludzie zwykle wykonują, </w:t>
            </w:r>
            <w:r w:rsidRPr="00FB177B">
              <w:rPr>
                <w:rFonts w:eastAsia="Times New Roman" w:cs="Times New Roman"/>
                <w:color w:val="auto"/>
                <w:sz w:val="20"/>
                <w:szCs w:val="20"/>
                <w:lang w:eastAsia="pl-PL"/>
              </w:rPr>
              <w:br/>
              <w:t>trwającą co najmniej ostatnie 6 miesięcy?</w:t>
            </w:r>
          </w:p>
        </w:tc>
      </w:tr>
      <w:tr w:rsidR="003215CC" w:rsidRPr="00FB177B" w14:paraId="39707F32" w14:textId="77777777" w:rsidTr="00AD720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790" w:type="dxa"/>
            <w:vMerge/>
            <w:hideMark/>
          </w:tcPr>
          <w:p w14:paraId="7254649F" w14:textId="77777777" w:rsidR="003215CC" w:rsidRPr="00FB177B" w:rsidRDefault="003215CC" w:rsidP="00AD7202">
            <w:pPr>
              <w:spacing w:line="240" w:lineRule="auto"/>
              <w:jc w:val="center"/>
              <w:rPr>
                <w:rFonts w:eastAsia="Times New Roman" w:cs="Times New Roman"/>
                <w:b w:val="0"/>
                <w:color w:val="auto"/>
                <w:sz w:val="20"/>
                <w:szCs w:val="20"/>
                <w:lang w:eastAsia="pl-PL"/>
              </w:rPr>
            </w:pPr>
          </w:p>
        </w:tc>
        <w:tc>
          <w:tcPr>
            <w:tcW w:w="900" w:type="dxa"/>
            <w:vMerge/>
            <w:hideMark/>
          </w:tcPr>
          <w:p w14:paraId="2AA519E1"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4906" w:type="dxa"/>
            <w:gridSpan w:val="3"/>
            <w:shd w:val="clear" w:color="auto" w:fill="ED7D31" w:themeFill="accent2"/>
            <w:hideMark/>
          </w:tcPr>
          <w:p w14:paraId="1ADE98CB"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B177B">
              <w:rPr>
                <w:rFonts w:eastAsia="Times New Roman" w:cs="Times New Roman"/>
                <w:b/>
                <w:sz w:val="20"/>
                <w:szCs w:val="20"/>
                <w:lang w:eastAsia="pl-PL"/>
              </w:rPr>
              <w:t>Tak</w:t>
            </w:r>
          </w:p>
        </w:tc>
        <w:tc>
          <w:tcPr>
            <w:tcW w:w="1466" w:type="dxa"/>
            <w:shd w:val="clear" w:color="auto" w:fill="ED7D31" w:themeFill="accent2"/>
            <w:hideMark/>
          </w:tcPr>
          <w:p w14:paraId="6898653B"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B177B">
              <w:rPr>
                <w:rFonts w:eastAsia="Times New Roman" w:cs="Times New Roman"/>
                <w:b/>
                <w:sz w:val="20"/>
                <w:szCs w:val="20"/>
                <w:lang w:eastAsia="pl-PL"/>
              </w:rPr>
              <w:t>Nie</w:t>
            </w:r>
          </w:p>
        </w:tc>
      </w:tr>
      <w:tr w:rsidR="003215CC" w:rsidRPr="00FB177B" w14:paraId="48910BC3" w14:textId="77777777" w:rsidTr="00AD7202">
        <w:trPr>
          <w:trHeight w:val="623"/>
        </w:trPr>
        <w:tc>
          <w:tcPr>
            <w:cnfStyle w:val="001000000000" w:firstRow="0" w:lastRow="0" w:firstColumn="1" w:lastColumn="0" w:oddVBand="0" w:evenVBand="0" w:oddHBand="0" w:evenHBand="0" w:firstRowFirstColumn="0" w:firstRowLastColumn="0" w:lastRowFirstColumn="0" w:lastRowLastColumn="0"/>
            <w:tcW w:w="1790" w:type="dxa"/>
            <w:vMerge/>
            <w:hideMark/>
          </w:tcPr>
          <w:p w14:paraId="2BCC772F" w14:textId="77777777" w:rsidR="003215CC" w:rsidRPr="00FB177B" w:rsidRDefault="003215CC" w:rsidP="00AD7202">
            <w:pPr>
              <w:spacing w:line="240" w:lineRule="auto"/>
              <w:jc w:val="center"/>
              <w:rPr>
                <w:rFonts w:eastAsia="Times New Roman" w:cs="Times New Roman"/>
                <w:b w:val="0"/>
                <w:color w:val="auto"/>
                <w:sz w:val="20"/>
                <w:szCs w:val="20"/>
                <w:lang w:eastAsia="pl-PL"/>
              </w:rPr>
            </w:pPr>
          </w:p>
        </w:tc>
        <w:tc>
          <w:tcPr>
            <w:tcW w:w="900" w:type="dxa"/>
            <w:vMerge/>
            <w:hideMark/>
          </w:tcPr>
          <w:p w14:paraId="5E050DA1"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p>
        </w:tc>
        <w:tc>
          <w:tcPr>
            <w:tcW w:w="788" w:type="dxa"/>
            <w:shd w:val="clear" w:color="auto" w:fill="ED7D31" w:themeFill="accent2"/>
            <w:noWrap/>
            <w:hideMark/>
          </w:tcPr>
          <w:p w14:paraId="02E8C53D"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FB177B">
              <w:rPr>
                <w:rFonts w:eastAsia="Times New Roman" w:cs="Times New Roman"/>
                <w:b/>
                <w:sz w:val="20"/>
                <w:szCs w:val="20"/>
                <w:lang w:eastAsia="pl-PL"/>
              </w:rPr>
              <w:t>Razem</w:t>
            </w:r>
          </w:p>
        </w:tc>
        <w:tc>
          <w:tcPr>
            <w:tcW w:w="1992" w:type="dxa"/>
            <w:shd w:val="clear" w:color="auto" w:fill="ED7D31" w:themeFill="accent2"/>
            <w:hideMark/>
          </w:tcPr>
          <w:p w14:paraId="36E37048"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FB177B">
              <w:rPr>
                <w:rFonts w:eastAsia="Times New Roman" w:cs="Times New Roman"/>
                <w:b/>
                <w:sz w:val="20"/>
                <w:szCs w:val="20"/>
                <w:lang w:eastAsia="pl-PL"/>
              </w:rPr>
              <w:t>Poważnie ograniczoną</w:t>
            </w:r>
          </w:p>
        </w:tc>
        <w:tc>
          <w:tcPr>
            <w:tcW w:w="2126" w:type="dxa"/>
            <w:shd w:val="clear" w:color="auto" w:fill="ED7D31" w:themeFill="accent2"/>
            <w:hideMark/>
          </w:tcPr>
          <w:p w14:paraId="4E5739B2"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FB177B">
              <w:rPr>
                <w:rFonts w:eastAsia="Times New Roman" w:cs="Times New Roman"/>
                <w:b/>
                <w:sz w:val="20"/>
                <w:szCs w:val="20"/>
                <w:lang w:eastAsia="pl-PL"/>
              </w:rPr>
              <w:t>Ograniczoną, ale niezbyt poważnie</w:t>
            </w:r>
          </w:p>
        </w:tc>
        <w:tc>
          <w:tcPr>
            <w:tcW w:w="1466" w:type="dxa"/>
            <w:shd w:val="clear" w:color="auto" w:fill="ED7D31" w:themeFill="accent2"/>
            <w:hideMark/>
          </w:tcPr>
          <w:p w14:paraId="034D53B5"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FB177B">
              <w:rPr>
                <w:rFonts w:eastAsia="Times New Roman" w:cs="Times New Roman"/>
                <w:b/>
                <w:sz w:val="20"/>
                <w:szCs w:val="20"/>
                <w:lang w:eastAsia="pl-PL"/>
              </w:rPr>
              <w:t>Nie miałem(</w:t>
            </w:r>
            <w:r w:rsidRPr="00FB177B">
              <w:rPr>
                <w:rFonts w:eastAsia="Times New Roman" w:cs="Times New Roman"/>
                <w:b/>
                <w:sz w:val="20"/>
                <w:szCs w:val="20"/>
                <w:lang w:eastAsia="pl-PL"/>
              </w:rPr>
              <w:br/>
              <w:t>-</w:t>
            </w:r>
            <w:proofErr w:type="spellStart"/>
            <w:r w:rsidRPr="00FB177B">
              <w:rPr>
                <w:rFonts w:eastAsia="Times New Roman" w:cs="Times New Roman"/>
                <w:b/>
                <w:sz w:val="20"/>
                <w:szCs w:val="20"/>
                <w:lang w:eastAsia="pl-PL"/>
              </w:rPr>
              <w:t>am</w:t>
            </w:r>
            <w:proofErr w:type="spellEnd"/>
            <w:r w:rsidRPr="00FB177B">
              <w:rPr>
                <w:rFonts w:eastAsia="Times New Roman" w:cs="Times New Roman"/>
                <w:b/>
                <w:sz w:val="20"/>
                <w:szCs w:val="20"/>
                <w:lang w:eastAsia="pl-PL"/>
              </w:rPr>
              <w:t>) żadnych ograniczeń</w:t>
            </w:r>
          </w:p>
        </w:tc>
      </w:tr>
      <w:tr w:rsidR="003215CC" w:rsidRPr="00FB177B" w14:paraId="0E54FEA6" w14:textId="77777777" w:rsidTr="000A0BFF">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1790" w:type="dxa"/>
            <w:vMerge/>
            <w:hideMark/>
          </w:tcPr>
          <w:p w14:paraId="7F7D1CD8" w14:textId="77777777" w:rsidR="003215CC" w:rsidRPr="00FB177B" w:rsidRDefault="003215CC" w:rsidP="00AD7202">
            <w:pPr>
              <w:spacing w:line="240" w:lineRule="auto"/>
              <w:jc w:val="center"/>
              <w:rPr>
                <w:rFonts w:eastAsia="Times New Roman" w:cs="Times New Roman"/>
                <w:b w:val="0"/>
                <w:color w:val="auto"/>
                <w:sz w:val="20"/>
                <w:szCs w:val="20"/>
                <w:lang w:eastAsia="pl-PL"/>
              </w:rPr>
            </w:pPr>
          </w:p>
        </w:tc>
        <w:tc>
          <w:tcPr>
            <w:tcW w:w="7272" w:type="dxa"/>
            <w:gridSpan w:val="5"/>
            <w:shd w:val="clear" w:color="auto" w:fill="ED7D31" w:themeFill="accent2"/>
            <w:hideMark/>
          </w:tcPr>
          <w:p w14:paraId="7DC8759D"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FB177B">
              <w:rPr>
                <w:rFonts w:eastAsia="Times New Roman" w:cs="Times New Roman"/>
                <w:b/>
                <w:sz w:val="20"/>
                <w:szCs w:val="20"/>
                <w:lang w:eastAsia="pl-PL"/>
              </w:rPr>
              <w:t>w % osób danej grupy</w:t>
            </w:r>
          </w:p>
        </w:tc>
      </w:tr>
      <w:tr w:rsidR="003215CC" w:rsidRPr="00FB177B" w14:paraId="10FDFBA3" w14:textId="77777777" w:rsidTr="00AD7202">
        <w:trPr>
          <w:trHeight w:val="208"/>
        </w:trPr>
        <w:tc>
          <w:tcPr>
            <w:cnfStyle w:val="001000000000" w:firstRow="0" w:lastRow="0" w:firstColumn="1" w:lastColumn="0" w:oddVBand="0" w:evenVBand="0" w:oddHBand="0" w:evenHBand="0" w:firstRowFirstColumn="0" w:firstRowLastColumn="0" w:lastRowFirstColumn="0" w:lastRowLastColumn="0"/>
            <w:tcW w:w="9062" w:type="dxa"/>
            <w:gridSpan w:val="6"/>
            <w:hideMark/>
          </w:tcPr>
          <w:p w14:paraId="6DB9EE75" w14:textId="77777777" w:rsidR="003215CC" w:rsidRPr="00FB177B" w:rsidRDefault="003215CC" w:rsidP="00AD7202">
            <w:pPr>
              <w:spacing w:line="240" w:lineRule="auto"/>
              <w:jc w:val="center"/>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Ogółem osoby w wieku 16 lat i więcej</w:t>
            </w:r>
          </w:p>
        </w:tc>
      </w:tr>
      <w:tr w:rsidR="003215CC" w:rsidRPr="00FB177B" w14:paraId="75C86A73" w14:textId="77777777" w:rsidTr="000A0BFF">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790" w:type="dxa"/>
            <w:hideMark/>
          </w:tcPr>
          <w:p w14:paraId="7AAB5CE0" w14:textId="77777777" w:rsidR="003215CC" w:rsidRPr="00FB177B" w:rsidRDefault="003215CC" w:rsidP="00AD7202">
            <w:pPr>
              <w:spacing w:line="240" w:lineRule="auto"/>
              <w:rPr>
                <w:rFonts w:eastAsia="Times New Roman" w:cs="Times New Roman"/>
                <w:b w:val="0"/>
                <w:bCs w:val="0"/>
                <w:color w:val="auto"/>
                <w:sz w:val="20"/>
                <w:szCs w:val="20"/>
                <w:lang w:eastAsia="pl-PL"/>
              </w:rPr>
            </w:pPr>
            <w:r w:rsidRPr="00FB177B">
              <w:rPr>
                <w:rFonts w:eastAsia="Times New Roman" w:cs="Times New Roman"/>
                <w:color w:val="auto"/>
                <w:sz w:val="20"/>
                <w:szCs w:val="20"/>
                <w:lang w:eastAsia="pl-PL"/>
              </w:rPr>
              <w:t>Ogółem</w:t>
            </w:r>
          </w:p>
        </w:tc>
        <w:tc>
          <w:tcPr>
            <w:tcW w:w="900" w:type="dxa"/>
            <w:noWrap/>
            <w:hideMark/>
          </w:tcPr>
          <w:p w14:paraId="1B16F437"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FB177B">
              <w:rPr>
                <w:rFonts w:eastAsia="Times New Roman" w:cs="Times New Roman"/>
                <w:b/>
                <w:bCs/>
                <w:sz w:val="20"/>
                <w:szCs w:val="20"/>
                <w:lang w:eastAsia="pl-PL"/>
              </w:rPr>
              <w:t>100</w:t>
            </w:r>
          </w:p>
        </w:tc>
        <w:tc>
          <w:tcPr>
            <w:tcW w:w="788" w:type="dxa"/>
            <w:noWrap/>
            <w:hideMark/>
          </w:tcPr>
          <w:p w14:paraId="5AA398C0"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FB177B">
              <w:rPr>
                <w:rFonts w:eastAsia="Times New Roman" w:cs="Times New Roman"/>
                <w:b/>
                <w:bCs/>
                <w:sz w:val="20"/>
                <w:szCs w:val="20"/>
                <w:lang w:eastAsia="pl-PL"/>
              </w:rPr>
              <w:t>24,4</w:t>
            </w:r>
          </w:p>
        </w:tc>
        <w:tc>
          <w:tcPr>
            <w:tcW w:w="1992" w:type="dxa"/>
            <w:noWrap/>
            <w:hideMark/>
          </w:tcPr>
          <w:p w14:paraId="5127F57C"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FB177B">
              <w:rPr>
                <w:rFonts w:eastAsia="Times New Roman" w:cs="Times New Roman"/>
                <w:b/>
                <w:bCs/>
                <w:sz w:val="20"/>
                <w:szCs w:val="20"/>
                <w:lang w:eastAsia="pl-PL"/>
              </w:rPr>
              <w:t>7,6</w:t>
            </w:r>
          </w:p>
        </w:tc>
        <w:tc>
          <w:tcPr>
            <w:tcW w:w="2126" w:type="dxa"/>
            <w:noWrap/>
            <w:hideMark/>
          </w:tcPr>
          <w:p w14:paraId="050179EE"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FB177B">
              <w:rPr>
                <w:rFonts w:eastAsia="Times New Roman" w:cs="Times New Roman"/>
                <w:b/>
                <w:bCs/>
                <w:sz w:val="20"/>
                <w:szCs w:val="20"/>
                <w:lang w:eastAsia="pl-PL"/>
              </w:rPr>
              <w:t>16,8</w:t>
            </w:r>
          </w:p>
        </w:tc>
        <w:tc>
          <w:tcPr>
            <w:tcW w:w="1466" w:type="dxa"/>
            <w:noWrap/>
            <w:hideMark/>
          </w:tcPr>
          <w:p w14:paraId="24AF57CF"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FB177B">
              <w:rPr>
                <w:rFonts w:eastAsia="Times New Roman" w:cs="Times New Roman"/>
                <w:b/>
                <w:bCs/>
                <w:sz w:val="20"/>
                <w:szCs w:val="20"/>
                <w:lang w:eastAsia="pl-PL"/>
              </w:rPr>
              <w:t>75,6</w:t>
            </w:r>
          </w:p>
        </w:tc>
      </w:tr>
      <w:tr w:rsidR="003215CC" w:rsidRPr="00FB177B" w14:paraId="1AB3EC71" w14:textId="77777777" w:rsidTr="000A0BFF">
        <w:trPr>
          <w:trHeight w:val="179"/>
        </w:trPr>
        <w:tc>
          <w:tcPr>
            <w:cnfStyle w:val="001000000000" w:firstRow="0" w:lastRow="0" w:firstColumn="1" w:lastColumn="0" w:oddVBand="0" w:evenVBand="0" w:oddHBand="0" w:evenHBand="0" w:firstRowFirstColumn="0" w:firstRowLastColumn="0" w:lastRowFirstColumn="0" w:lastRowLastColumn="0"/>
            <w:tcW w:w="1790" w:type="dxa"/>
            <w:noWrap/>
            <w:hideMark/>
          </w:tcPr>
          <w:p w14:paraId="24A8BE35" w14:textId="77777777" w:rsidR="003215CC" w:rsidRPr="00FB177B" w:rsidRDefault="003215CC" w:rsidP="00AD7202">
            <w:pPr>
              <w:spacing w:line="240" w:lineRule="auto"/>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Mężczyźni</w:t>
            </w:r>
          </w:p>
        </w:tc>
        <w:tc>
          <w:tcPr>
            <w:tcW w:w="900" w:type="dxa"/>
            <w:noWrap/>
            <w:hideMark/>
          </w:tcPr>
          <w:p w14:paraId="7895B79D"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100</w:t>
            </w:r>
          </w:p>
        </w:tc>
        <w:tc>
          <w:tcPr>
            <w:tcW w:w="788" w:type="dxa"/>
            <w:noWrap/>
            <w:hideMark/>
          </w:tcPr>
          <w:p w14:paraId="22B2035D"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22,7</w:t>
            </w:r>
          </w:p>
        </w:tc>
        <w:tc>
          <w:tcPr>
            <w:tcW w:w="1992" w:type="dxa"/>
            <w:noWrap/>
            <w:hideMark/>
          </w:tcPr>
          <w:p w14:paraId="2237CE0B"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7,4</w:t>
            </w:r>
          </w:p>
        </w:tc>
        <w:tc>
          <w:tcPr>
            <w:tcW w:w="2126" w:type="dxa"/>
            <w:noWrap/>
            <w:hideMark/>
          </w:tcPr>
          <w:p w14:paraId="51E84BDE"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15,4</w:t>
            </w:r>
          </w:p>
        </w:tc>
        <w:tc>
          <w:tcPr>
            <w:tcW w:w="1466" w:type="dxa"/>
            <w:noWrap/>
            <w:hideMark/>
          </w:tcPr>
          <w:p w14:paraId="57B3759D"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77,3</w:t>
            </w:r>
          </w:p>
        </w:tc>
      </w:tr>
      <w:tr w:rsidR="003215CC" w:rsidRPr="00FB177B" w14:paraId="35081317" w14:textId="77777777" w:rsidTr="000A0BFF">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790" w:type="dxa"/>
            <w:noWrap/>
            <w:hideMark/>
          </w:tcPr>
          <w:p w14:paraId="03826DD1" w14:textId="77777777" w:rsidR="003215CC" w:rsidRPr="00FB177B" w:rsidRDefault="003215CC" w:rsidP="00AD7202">
            <w:pPr>
              <w:spacing w:line="240" w:lineRule="auto"/>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Kobiety</w:t>
            </w:r>
          </w:p>
        </w:tc>
        <w:tc>
          <w:tcPr>
            <w:tcW w:w="900" w:type="dxa"/>
            <w:noWrap/>
            <w:hideMark/>
          </w:tcPr>
          <w:p w14:paraId="3DBB9855"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100</w:t>
            </w:r>
          </w:p>
        </w:tc>
        <w:tc>
          <w:tcPr>
            <w:tcW w:w="788" w:type="dxa"/>
            <w:noWrap/>
            <w:hideMark/>
          </w:tcPr>
          <w:p w14:paraId="60CFD190"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25,8</w:t>
            </w:r>
          </w:p>
        </w:tc>
        <w:tc>
          <w:tcPr>
            <w:tcW w:w="1992" w:type="dxa"/>
            <w:noWrap/>
            <w:hideMark/>
          </w:tcPr>
          <w:p w14:paraId="1FA7759A"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7,8</w:t>
            </w:r>
          </w:p>
        </w:tc>
        <w:tc>
          <w:tcPr>
            <w:tcW w:w="2126" w:type="dxa"/>
            <w:noWrap/>
            <w:hideMark/>
          </w:tcPr>
          <w:p w14:paraId="76576B2F"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17,9</w:t>
            </w:r>
          </w:p>
        </w:tc>
        <w:tc>
          <w:tcPr>
            <w:tcW w:w="1466" w:type="dxa"/>
            <w:noWrap/>
            <w:hideMark/>
          </w:tcPr>
          <w:p w14:paraId="12B7ECE7"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74,2</w:t>
            </w:r>
          </w:p>
        </w:tc>
      </w:tr>
      <w:tr w:rsidR="003215CC" w:rsidRPr="00FB177B" w14:paraId="57E88796" w14:textId="77777777" w:rsidTr="000A0BFF">
        <w:trPr>
          <w:trHeight w:val="200"/>
        </w:trPr>
        <w:tc>
          <w:tcPr>
            <w:cnfStyle w:val="001000000000" w:firstRow="0" w:lastRow="0" w:firstColumn="1" w:lastColumn="0" w:oddVBand="0" w:evenVBand="0" w:oddHBand="0" w:evenHBand="0" w:firstRowFirstColumn="0" w:firstRowLastColumn="0" w:lastRowFirstColumn="0" w:lastRowLastColumn="0"/>
            <w:tcW w:w="1790" w:type="dxa"/>
            <w:noWrap/>
            <w:hideMark/>
          </w:tcPr>
          <w:p w14:paraId="11D1238A" w14:textId="77777777" w:rsidR="003215CC" w:rsidRPr="00FB177B" w:rsidRDefault="003215CC" w:rsidP="00AD7202">
            <w:pPr>
              <w:spacing w:line="240" w:lineRule="auto"/>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Miasta</w:t>
            </w:r>
          </w:p>
        </w:tc>
        <w:tc>
          <w:tcPr>
            <w:tcW w:w="900" w:type="dxa"/>
            <w:noWrap/>
            <w:hideMark/>
          </w:tcPr>
          <w:p w14:paraId="1F4D11DE"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100</w:t>
            </w:r>
          </w:p>
        </w:tc>
        <w:tc>
          <w:tcPr>
            <w:tcW w:w="788" w:type="dxa"/>
            <w:noWrap/>
            <w:hideMark/>
          </w:tcPr>
          <w:p w14:paraId="6AB335FB"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24,5</w:t>
            </w:r>
          </w:p>
        </w:tc>
        <w:tc>
          <w:tcPr>
            <w:tcW w:w="1992" w:type="dxa"/>
            <w:noWrap/>
            <w:hideMark/>
          </w:tcPr>
          <w:p w14:paraId="782AD132"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8,0</w:t>
            </w:r>
          </w:p>
        </w:tc>
        <w:tc>
          <w:tcPr>
            <w:tcW w:w="2126" w:type="dxa"/>
            <w:noWrap/>
            <w:hideMark/>
          </w:tcPr>
          <w:p w14:paraId="1DA86467"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16,5</w:t>
            </w:r>
          </w:p>
        </w:tc>
        <w:tc>
          <w:tcPr>
            <w:tcW w:w="1466" w:type="dxa"/>
            <w:noWrap/>
            <w:hideMark/>
          </w:tcPr>
          <w:p w14:paraId="602072FF"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75,5</w:t>
            </w:r>
          </w:p>
        </w:tc>
      </w:tr>
      <w:tr w:rsidR="003215CC" w:rsidRPr="00FB177B" w14:paraId="6487F4D3" w14:textId="77777777" w:rsidTr="000A0BFF">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790" w:type="dxa"/>
            <w:noWrap/>
            <w:hideMark/>
          </w:tcPr>
          <w:p w14:paraId="0EA6755D" w14:textId="77777777" w:rsidR="003215CC" w:rsidRPr="00FB177B" w:rsidRDefault="003215CC" w:rsidP="00AD7202">
            <w:pPr>
              <w:spacing w:line="240" w:lineRule="auto"/>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Wieś</w:t>
            </w:r>
          </w:p>
        </w:tc>
        <w:tc>
          <w:tcPr>
            <w:tcW w:w="900" w:type="dxa"/>
            <w:noWrap/>
            <w:hideMark/>
          </w:tcPr>
          <w:p w14:paraId="22F12B88"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100</w:t>
            </w:r>
          </w:p>
        </w:tc>
        <w:tc>
          <w:tcPr>
            <w:tcW w:w="788" w:type="dxa"/>
            <w:noWrap/>
            <w:hideMark/>
          </w:tcPr>
          <w:p w14:paraId="191FC378"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24,2</w:t>
            </w:r>
          </w:p>
        </w:tc>
        <w:tc>
          <w:tcPr>
            <w:tcW w:w="1992" w:type="dxa"/>
            <w:noWrap/>
            <w:hideMark/>
          </w:tcPr>
          <w:p w14:paraId="729A9BDF"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7,0</w:t>
            </w:r>
          </w:p>
        </w:tc>
        <w:tc>
          <w:tcPr>
            <w:tcW w:w="2126" w:type="dxa"/>
            <w:noWrap/>
            <w:hideMark/>
          </w:tcPr>
          <w:p w14:paraId="305AAC94"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17,2</w:t>
            </w:r>
          </w:p>
        </w:tc>
        <w:tc>
          <w:tcPr>
            <w:tcW w:w="1466" w:type="dxa"/>
            <w:noWrap/>
            <w:hideMark/>
          </w:tcPr>
          <w:p w14:paraId="219B7944"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75,8</w:t>
            </w:r>
          </w:p>
        </w:tc>
      </w:tr>
      <w:tr w:rsidR="003215CC" w:rsidRPr="00FB177B" w14:paraId="72A5A9A5" w14:textId="77777777" w:rsidTr="00AD7202">
        <w:trPr>
          <w:trHeight w:val="207"/>
        </w:trPr>
        <w:tc>
          <w:tcPr>
            <w:cnfStyle w:val="001000000000" w:firstRow="0" w:lastRow="0" w:firstColumn="1" w:lastColumn="0" w:oddVBand="0" w:evenVBand="0" w:oddHBand="0" w:evenHBand="0" w:firstRowFirstColumn="0" w:firstRowLastColumn="0" w:lastRowFirstColumn="0" w:lastRowLastColumn="0"/>
            <w:tcW w:w="9062" w:type="dxa"/>
            <w:gridSpan w:val="6"/>
            <w:hideMark/>
          </w:tcPr>
          <w:p w14:paraId="4EC83BA9" w14:textId="77777777" w:rsidR="003215CC" w:rsidRPr="00FB177B" w:rsidRDefault="003215CC" w:rsidP="00AD7202">
            <w:pPr>
              <w:spacing w:line="240" w:lineRule="auto"/>
              <w:jc w:val="center"/>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Osoby w wieku 60 lat i więcej</w:t>
            </w:r>
          </w:p>
        </w:tc>
      </w:tr>
      <w:tr w:rsidR="003215CC" w:rsidRPr="00FB177B" w14:paraId="5B18AE78" w14:textId="77777777" w:rsidTr="000A0BF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90" w:type="dxa"/>
            <w:hideMark/>
          </w:tcPr>
          <w:p w14:paraId="586A0451" w14:textId="77777777" w:rsidR="003215CC" w:rsidRPr="00FB177B" w:rsidRDefault="003215CC" w:rsidP="00AD7202">
            <w:pPr>
              <w:spacing w:line="240" w:lineRule="auto"/>
              <w:rPr>
                <w:rFonts w:eastAsia="Times New Roman" w:cs="Times New Roman"/>
                <w:b w:val="0"/>
                <w:bCs w:val="0"/>
                <w:color w:val="auto"/>
                <w:sz w:val="20"/>
                <w:szCs w:val="20"/>
                <w:lang w:eastAsia="pl-PL"/>
              </w:rPr>
            </w:pPr>
            <w:r w:rsidRPr="00FB177B">
              <w:rPr>
                <w:rFonts w:eastAsia="Times New Roman" w:cs="Times New Roman"/>
                <w:color w:val="auto"/>
                <w:sz w:val="20"/>
                <w:szCs w:val="20"/>
                <w:lang w:eastAsia="pl-PL"/>
              </w:rPr>
              <w:t>Ogółem</w:t>
            </w:r>
          </w:p>
        </w:tc>
        <w:tc>
          <w:tcPr>
            <w:tcW w:w="900" w:type="dxa"/>
            <w:noWrap/>
            <w:hideMark/>
          </w:tcPr>
          <w:p w14:paraId="76348E7C"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FB177B">
              <w:rPr>
                <w:rFonts w:eastAsia="Times New Roman" w:cs="Times New Roman"/>
                <w:b/>
                <w:bCs/>
                <w:sz w:val="20"/>
                <w:szCs w:val="20"/>
                <w:lang w:eastAsia="pl-PL"/>
              </w:rPr>
              <w:t>100</w:t>
            </w:r>
          </w:p>
        </w:tc>
        <w:tc>
          <w:tcPr>
            <w:tcW w:w="788" w:type="dxa"/>
            <w:noWrap/>
            <w:hideMark/>
          </w:tcPr>
          <w:p w14:paraId="594B1CF0"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FB177B">
              <w:rPr>
                <w:rFonts w:eastAsia="Times New Roman" w:cs="Times New Roman"/>
                <w:b/>
                <w:bCs/>
                <w:sz w:val="20"/>
                <w:szCs w:val="20"/>
                <w:lang w:eastAsia="pl-PL"/>
              </w:rPr>
              <w:t>45,4</w:t>
            </w:r>
          </w:p>
        </w:tc>
        <w:tc>
          <w:tcPr>
            <w:tcW w:w="1992" w:type="dxa"/>
            <w:noWrap/>
            <w:hideMark/>
          </w:tcPr>
          <w:p w14:paraId="31A200A0"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FB177B">
              <w:rPr>
                <w:rFonts w:eastAsia="Times New Roman" w:cs="Times New Roman"/>
                <w:b/>
                <w:bCs/>
                <w:sz w:val="20"/>
                <w:szCs w:val="20"/>
                <w:lang w:eastAsia="pl-PL"/>
              </w:rPr>
              <w:t>15,2</w:t>
            </w:r>
          </w:p>
        </w:tc>
        <w:tc>
          <w:tcPr>
            <w:tcW w:w="2126" w:type="dxa"/>
            <w:noWrap/>
            <w:hideMark/>
          </w:tcPr>
          <w:p w14:paraId="2EFEC102"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FB177B">
              <w:rPr>
                <w:rFonts w:eastAsia="Times New Roman" w:cs="Times New Roman"/>
                <w:b/>
                <w:bCs/>
                <w:sz w:val="20"/>
                <w:szCs w:val="20"/>
                <w:lang w:eastAsia="pl-PL"/>
              </w:rPr>
              <w:t>30,2</w:t>
            </w:r>
          </w:p>
        </w:tc>
        <w:tc>
          <w:tcPr>
            <w:tcW w:w="1466" w:type="dxa"/>
            <w:noWrap/>
            <w:hideMark/>
          </w:tcPr>
          <w:p w14:paraId="7E3F3D1E"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FB177B">
              <w:rPr>
                <w:rFonts w:eastAsia="Times New Roman" w:cs="Times New Roman"/>
                <w:b/>
                <w:bCs/>
                <w:sz w:val="20"/>
                <w:szCs w:val="20"/>
                <w:lang w:eastAsia="pl-PL"/>
              </w:rPr>
              <w:t>54,6</w:t>
            </w:r>
          </w:p>
        </w:tc>
      </w:tr>
      <w:tr w:rsidR="003215CC" w:rsidRPr="00FB177B" w14:paraId="120A6801" w14:textId="77777777" w:rsidTr="000A0BFF">
        <w:trPr>
          <w:trHeight w:val="241"/>
        </w:trPr>
        <w:tc>
          <w:tcPr>
            <w:cnfStyle w:val="001000000000" w:firstRow="0" w:lastRow="0" w:firstColumn="1" w:lastColumn="0" w:oddVBand="0" w:evenVBand="0" w:oddHBand="0" w:evenHBand="0" w:firstRowFirstColumn="0" w:firstRowLastColumn="0" w:lastRowFirstColumn="0" w:lastRowLastColumn="0"/>
            <w:tcW w:w="1790" w:type="dxa"/>
            <w:noWrap/>
            <w:hideMark/>
          </w:tcPr>
          <w:p w14:paraId="5CEA141F" w14:textId="77777777" w:rsidR="003215CC" w:rsidRPr="00FB177B" w:rsidRDefault="003215CC" w:rsidP="00AD7202">
            <w:pPr>
              <w:spacing w:line="240" w:lineRule="auto"/>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Mężczyźni</w:t>
            </w:r>
          </w:p>
        </w:tc>
        <w:tc>
          <w:tcPr>
            <w:tcW w:w="900" w:type="dxa"/>
            <w:noWrap/>
            <w:hideMark/>
          </w:tcPr>
          <w:p w14:paraId="1B12E3FF"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100</w:t>
            </w:r>
          </w:p>
        </w:tc>
        <w:tc>
          <w:tcPr>
            <w:tcW w:w="788" w:type="dxa"/>
            <w:noWrap/>
            <w:hideMark/>
          </w:tcPr>
          <w:p w14:paraId="3EC17558"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43,9</w:t>
            </w:r>
          </w:p>
        </w:tc>
        <w:tc>
          <w:tcPr>
            <w:tcW w:w="1992" w:type="dxa"/>
            <w:noWrap/>
            <w:hideMark/>
          </w:tcPr>
          <w:p w14:paraId="1EBF844B"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14,6</w:t>
            </w:r>
          </w:p>
        </w:tc>
        <w:tc>
          <w:tcPr>
            <w:tcW w:w="2126" w:type="dxa"/>
            <w:noWrap/>
            <w:hideMark/>
          </w:tcPr>
          <w:p w14:paraId="3442E420"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29,4</w:t>
            </w:r>
          </w:p>
        </w:tc>
        <w:tc>
          <w:tcPr>
            <w:tcW w:w="1466" w:type="dxa"/>
            <w:noWrap/>
            <w:hideMark/>
          </w:tcPr>
          <w:p w14:paraId="05365FEB"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56,1</w:t>
            </w:r>
          </w:p>
        </w:tc>
      </w:tr>
      <w:tr w:rsidR="003215CC" w:rsidRPr="00FB177B" w14:paraId="5B6A7747" w14:textId="77777777" w:rsidTr="000A0BFF">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0" w:type="dxa"/>
            <w:noWrap/>
            <w:hideMark/>
          </w:tcPr>
          <w:p w14:paraId="3444B998" w14:textId="77777777" w:rsidR="003215CC" w:rsidRPr="00FB177B" w:rsidRDefault="003215CC" w:rsidP="00AD7202">
            <w:pPr>
              <w:spacing w:line="240" w:lineRule="auto"/>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Kobiety</w:t>
            </w:r>
          </w:p>
        </w:tc>
        <w:tc>
          <w:tcPr>
            <w:tcW w:w="900" w:type="dxa"/>
            <w:noWrap/>
            <w:hideMark/>
          </w:tcPr>
          <w:p w14:paraId="4B90BDC8"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100</w:t>
            </w:r>
          </w:p>
        </w:tc>
        <w:tc>
          <w:tcPr>
            <w:tcW w:w="788" w:type="dxa"/>
            <w:noWrap/>
            <w:hideMark/>
          </w:tcPr>
          <w:p w14:paraId="0ACD7907"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46,4</w:t>
            </w:r>
          </w:p>
        </w:tc>
        <w:tc>
          <w:tcPr>
            <w:tcW w:w="1992" w:type="dxa"/>
            <w:noWrap/>
            <w:hideMark/>
          </w:tcPr>
          <w:p w14:paraId="07A8AD14"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15,7</w:t>
            </w:r>
          </w:p>
        </w:tc>
        <w:tc>
          <w:tcPr>
            <w:tcW w:w="2126" w:type="dxa"/>
            <w:noWrap/>
            <w:hideMark/>
          </w:tcPr>
          <w:p w14:paraId="6D04A032"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30,7</w:t>
            </w:r>
          </w:p>
        </w:tc>
        <w:tc>
          <w:tcPr>
            <w:tcW w:w="1466" w:type="dxa"/>
            <w:noWrap/>
            <w:hideMark/>
          </w:tcPr>
          <w:p w14:paraId="65828663"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53,6</w:t>
            </w:r>
          </w:p>
        </w:tc>
      </w:tr>
      <w:tr w:rsidR="003215CC" w:rsidRPr="00FB177B" w14:paraId="426E1B29" w14:textId="77777777" w:rsidTr="000A0BFF">
        <w:trPr>
          <w:trHeight w:val="277"/>
        </w:trPr>
        <w:tc>
          <w:tcPr>
            <w:cnfStyle w:val="001000000000" w:firstRow="0" w:lastRow="0" w:firstColumn="1" w:lastColumn="0" w:oddVBand="0" w:evenVBand="0" w:oddHBand="0" w:evenHBand="0" w:firstRowFirstColumn="0" w:firstRowLastColumn="0" w:lastRowFirstColumn="0" w:lastRowLastColumn="0"/>
            <w:tcW w:w="1790" w:type="dxa"/>
            <w:noWrap/>
            <w:hideMark/>
          </w:tcPr>
          <w:p w14:paraId="1E6ECD8A" w14:textId="77777777" w:rsidR="003215CC" w:rsidRPr="00FB177B" w:rsidRDefault="003215CC" w:rsidP="00AD7202">
            <w:pPr>
              <w:spacing w:line="240" w:lineRule="auto"/>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Miasta</w:t>
            </w:r>
          </w:p>
        </w:tc>
        <w:tc>
          <w:tcPr>
            <w:tcW w:w="900" w:type="dxa"/>
            <w:noWrap/>
            <w:hideMark/>
          </w:tcPr>
          <w:p w14:paraId="1BCFEC72"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100</w:t>
            </w:r>
          </w:p>
        </w:tc>
        <w:tc>
          <w:tcPr>
            <w:tcW w:w="788" w:type="dxa"/>
            <w:noWrap/>
            <w:hideMark/>
          </w:tcPr>
          <w:p w14:paraId="12AE8591"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45,0</w:t>
            </w:r>
          </w:p>
        </w:tc>
        <w:tc>
          <w:tcPr>
            <w:tcW w:w="1992" w:type="dxa"/>
            <w:noWrap/>
            <w:hideMark/>
          </w:tcPr>
          <w:p w14:paraId="4C46CF56"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16,0</w:t>
            </w:r>
          </w:p>
        </w:tc>
        <w:tc>
          <w:tcPr>
            <w:tcW w:w="2126" w:type="dxa"/>
            <w:noWrap/>
            <w:hideMark/>
          </w:tcPr>
          <w:p w14:paraId="538CF0E8"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29,0</w:t>
            </w:r>
          </w:p>
        </w:tc>
        <w:tc>
          <w:tcPr>
            <w:tcW w:w="1466" w:type="dxa"/>
            <w:noWrap/>
            <w:hideMark/>
          </w:tcPr>
          <w:p w14:paraId="6102C5E0" w14:textId="77777777" w:rsidR="003215CC" w:rsidRPr="00FB177B"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55,0</w:t>
            </w:r>
          </w:p>
        </w:tc>
      </w:tr>
      <w:tr w:rsidR="003215CC" w:rsidRPr="00FB177B" w14:paraId="4094D029"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0" w:type="dxa"/>
            <w:noWrap/>
            <w:hideMark/>
          </w:tcPr>
          <w:p w14:paraId="1514C63E" w14:textId="77777777" w:rsidR="003215CC" w:rsidRPr="00FB177B" w:rsidRDefault="003215CC" w:rsidP="00AD7202">
            <w:pPr>
              <w:spacing w:line="240" w:lineRule="auto"/>
              <w:rPr>
                <w:rFonts w:eastAsia="Times New Roman" w:cs="Times New Roman"/>
                <w:b w:val="0"/>
                <w:color w:val="auto"/>
                <w:sz w:val="20"/>
                <w:szCs w:val="20"/>
                <w:lang w:eastAsia="pl-PL"/>
              </w:rPr>
            </w:pPr>
            <w:r w:rsidRPr="00FB177B">
              <w:rPr>
                <w:rFonts w:eastAsia="Times New Roman" w:cs="Times New Roman"/>
                <w:color w:val="auto"/>
                <w:sz w:val="20"/>
                <w:szCs w:val="20"/>
                <w:lang w:eastAsia="pl-PL"/>
              </w:rPr>
              <w:t>Wieś</w:t>
            </w:r>
          </w:p>
        </w:tc>
        <w:tc>
          <w:tcPr>
            <w:tcW w:w="900" w:type="dxa"/>
            <w:noWrap/>
            <w:hideMark/>
          </w:tcPr>
          <w:p w14:paraId="590603E6"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100</w:t>
            </w:r>
          </w:p>
        </w:tc>
        <w:tc>
          <w:tcPr>
            <w:tcW w:w="788" w:type="dxa"/>
            <w:noWrap/>
            <w:hideMark/>
          </w:tcPr>
          <w:p w14:paraId="56D0846A"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46,0</w:t>
            </w:r>
          </w:p>
        </w:tc>
        <w:tc>
          <w:tcPr>
            <w:tcW w:w="1992" w:type="dxa"/>
            <w:noWrap/>
            <w:hideMark/>
          </w:tcPr>
          <w:p w14:paraId="1874CC00"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13,9</w:t>
            </w:r>
          </w:p>
        </w:tc>
        <w:tc>
          <w:tcPr>
            <w:tcW w:w="2126" w:type="dxa"/>
            <w:noWrap/>
            <w:hideMark/>
          </w:tcPr>
          <w:p w14:paraId="53C2C848"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32,1</w:t>
            </w:r>
          </w:p>
        </w:tc>
        <w:tc>
          <w:tcPr>
            <w:tcW w:w="1466" w:type="dxa"/>
            <w:noWrap/>
            <w:hideMark/>
          </w:tcPr>
          <w:p w14:paraId="728A5968" w14:textId="77777777" w:rsidR="003215CC" w:rsidRPr="00FB177B"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FB177B">
              <w:rPr>
                <w:rFonts w:eastAsia="Times New Roman" w:cs="Times New Roman"/>
                <w:sz w:val="20"/>
                <w:szCs w:val="20"/>
                <w:lang w:eastAsia="pl-PL"/>
              </w:rPr>
              <w:t>54,0</w:t>
            </w:r>
          </w:p>
        </w:tc>
      </w:tr>
    </w:tbl>
    <w:p w14:paraId="28028598" w14:textId="4C67496F" w:rsidR="003215CC" w:rsidRDefault="003215CC" w:rsidP="003215CC">
      <w:pPr>
        <w:rPr>
          <w:rFonts w:cs="Times New Roman"/>
          <w:b/>
          <w:sz w:val="22"/>
        </w:rPr>
      </w:pPr>
      <w:r w:rsidRPr="00D44172">
        <w:rPr>
          <w:rFonts w:cs="Times New Roman"/>
          <w:b/>
          <w:sz w:val="22"/>
        </w:rPr>
        <w:t>Źródło: Badanie EU-SILC 2019 r., GUS</w:t>
      </w:r>
      <w:r w:rsidR="003F388C">
        <w:rPr>
          <w:rFonts w:cs="Times New Roman"/>
          <w:b/>
          <w:sz w:val="22"/>
        </w:rPr>
        <w:t>.</w:t>
      </w:r>
    </w:p>
    <w:p w14:paraId="03CBE3C0" w14:textId="77777777" w:rsidR="003215CC" w:rsidRPr="00FB177B" w:rsidRDefault="003215CC" w:rsidP="003215CC">
      <w:pPr>
        <w:rPr>
          <w:rFonts w:cs="Times New Roman"/>
          <w:b/>
        </w:rPr>
      </w:pPr>
    </w:p>
    <w:p w14:paraId="5097FC57" w14:textId="22D16B42" w:rsidR="00CF2EAA" w:rsidRDefault="00BD604A" w:rsidP="003215CC">
      <w:pPr>
        <w:rPr>
          <w:rFonts w:cs="Times New Roman"/>
          <w:szCs w:val="24"/>
        </w:rPr>
      </w:pPr>
      <w:r w:rsidRPr="00BD604A">
        <w:rPr>
          <w:rFonts w:cs="Times New Roman"/>
          <w:szCs w:val="24"/>
        </w:rPr>
        <w:t xml:space="preserve">Prawie dwie trzecie osób w wieku 60 lat i więcej (66,3% wobec 67,0% w roku poprzednim) wskazało na długotrwałe problemy zdrowotne lub choroby przewlekłe, które trwają (lub przewidywano że będą trwały) co najmniej 6 miesięcy. Częściej były to kobiety (68,3%) niż mężczyźni (63,5%). Większy udział osób o długotrwałych problemach zdrowotnych lub chorobach przewlekłych odnotowano w miastach (67,7%) niż na wsi (64,0%).   </w:t>
      </w:r>
    </w:p>
    <w:p w14:paraId="570C7B8C" w14:textId="77777777" w:rsidR="00BD604A" w:rsidRPr="00FB177B" w:rsidRDefault="00BD604A" w:rsidP="003215CC">
      <w:pPr>
        <w:rPr>
          <w:rFonts w:cs="Times New Roman"/>
          <w:szCs w:val="24"/>
        </w:rPr>
      </w:pPr>
    </w:p>
    <w:p w14:paraId="7EB1D729" w14:textId="6DB09076" w:rsidR="003215CC" w:rsidRPr="00FB177B" w:rsidRDefault="003215CC" w:rsidP="003215CC">
      <w:pPr>
        <w:pStyle w:val="Legenda"/>
        <w:keepNext/>
        <w:rPr>
          <w:rFonts w:cs="Times New Roman"/>
          <w:b/>
          <w:i w:val="0"/>
          <w:color w:val="auto"/>
          <w:sz w:val="24"/>
        </w:rPr>
      </w:pPr>
      <w:bookmarkStart w:id="41" w:name="_Toc49171402"/>
      <w:r w:rsidRPr="00FB177B">
        <w:rPr>
          <w:rFonts w:cs="Times New Roman"/>
          <w:b/>
          <w:i w:val="0"/>
          <w:color w:val="auto"/>
          <w:sz w:val="24"/>
        </w:rPr>
        <w:t xml:space="preserve">Tabela </w:t>
      </w:r>
      <w:r>
        <w:rPr>
          <w:rFonts w:cs="Times New Roman"/>
          <w:b/>
          <w:i w:val="0"/>
          <w:color w:val="auto"/>
          <w:sz w:val="24"/>
        </w:rPr>
        <w:t>30</w:t>
      </w:r>
      <w:r w:rsidR="00EE73AF">
        <w:rPr>
          <w:rFonts w:cs="Times New Roman"/>
          <w:b/>
          <w:i w:val="0"/>
          <w:color w:val="auto"/>
          <w:sz w:val="24"/>
        </w:rPr>
        <w:t>.</w:t>
      </w:r>
      <w:r w:rsidRPr="00FB177B">
        <w:rPr>
          <w:rFonts w:cs="Times New Roman"/>
          <w:b/>
          <w:i w:val="0"/>
          <w:color w:val="auto"/>
          <w:sz w:val="24"/>
        </w:rPr>
        <w:t xml:space="preserve"> Potrzeby skorzystania z leczenia lub badania</w:t>
      </w:r>
      <w:bookmarkEnd w:id="41"/>
    </w:p>
    <w:tbl>
      <w:tblPr>
        <w:tblStyle w:val="Tabelasiatki5ciemnaakcent2"/>
        <w:tblW w:w="9204" w:type="dxa"/>
        <w:tblLook w:val="04A0" w:firstRow="1" w:lastRow="0" w:firstColumn="1" w:lastColumn="0" w:noHBand="0" w:noVBand="1"/>
      </w:tblPr>
      <w:tblGrid>
        <w:gridCol w:w="2488"/>
        <w:gridCol w:w="900"/>
        <w:gridCol w:w="2696"/>
        <w:gridCol w:w="3120"/>
      </w:tblGrid>
      <w:tr w:rsidR="003215CC" w:rsidRPr="00FB177B" w14:paraId="3BFB107B" w14:textId="77777777" w:rsidTr="00AD7202">
        <w:trPr>
          <w:cnfStyle w:val="100000000000" w:firstRow="1" w:lastRow="0" w:firstColumn="0" w:lastColumn="0" w:oddVBand="0" w:evenVBand="0" w:oddHBand="0"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2488" w:type="dxa"/>
            <w:vMerge w:val="restart"/>
            <w:noWrap/>
            <w:hideMark/>
          </w:tcPr>
          <w:p w14:paraId="07984679" w14:textId="77777777" w:rsidR="003215CC" w:rsidRPr="000A0BFF" w:rsidRDefault="003215CC" w:rsidP="00AD7202">
            <w:pPr>
              <w:spacing w:line="240" w:lineRule="auto"/>
              <w:jc w:val="center"/>
              <w:rPr>
                <w:rFonts w:eastAsia="Times New Roman" w:cs="Times New Roman"/>
                <w:b w:val="0"/>
                <w:color w:val="auto"/>
                <w:sz w:val="20"/>
                <w:szCs w:val="20"/>
                <w:lang w:eastAsia="pl-PL"/>
              </w:rPr>
            </w:pPr>
            <w:r w:rsidRPr="000A0BFF">
              <w:rPr>
                <w:rFonts w:eastAsia="Times New Roman" w:cs="Times New Roman"/>
                <w:color w:val="auto"/>
                <w:sz w:val="20"/>
                <w:szCs w:val="20"/>
                <w:lang w:eastAsia="pl-PL"/>
              </w:rPr>
              <w:t>Wyszczególnienie</w:t>
            </w:r>
          </w:p>
        </w:tc>
        <w:tc>
          <w:tcPr>
            <w:tcW w:w="900" w:type="dxa"/>
            <w:vMerge w:val="restart"/>
            <w:noWrap/>
            <w:hideMark/>
          </w:tcPr>
          <w:p w14:paraId="77D43425" w14:textId="77777777" w:rsidR="003215CC" w:rsidRPr="000A0BFF" w:rsidRDefault="003215CC"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0A0BFF">
              <w:rPr>
                <w:rFonts w:eastAsia="Times New Roman" w:cs="Times New Roman"/>
                <w:color w:val="auto"/>
                <w:sz w:val="20"/>
                <w:szCs w:val="20"/>
                <w:lang w:eastAsia="pl-PL"/>
              </w:rPr>
              <w:t>Ogółem</w:t>
            </w:r>
          </w:p>
        </w:tc>
        <w:tc>
          <w:tcPr>
            <w:tcW w:w="5816" w:type="dxa"/>
            <w:gridSpan w:val="2"/>
            <w:hideMark/>
          </w:tcPr>
          <w:p w14:paraId="22E16561" w14:textId="77777777" w:rsidR="003215CC" w:rsidRPr="000A0BFF" w:rsidRDefault="003215CC"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0A0BFF">
              <w:rPr>
                <w:rFonts w:eastAsia="Times New Roman" w:cs="Times New Roman"/>
                <w:color w:val="auto"/>
                <w:sz w:val="20"/>
                <w:szCs w:val="20"/>
                <w:lang w:eastAsia="pl-PL"/>
              </w:rPr>
              <w:t xml:space="preserve">Czy w ciągu ostatnich 12 miesięcy zdarzyło się, że rzeczywiście potrzebował(a) Pan/Pani leczenia lub badania, tj.: </w:t>
            </w:r>
            <w:r w:rsidRPr="000A0BFF">
              <w:rPr>
                <w:rFonts w:eastAsia="Times New Roman" w:cs="Times New Roman"/>
                <w:color w:val="auto"/>
                <w:sz w:val="20"/>
                <w:szCs w:val="20"/>
                <w:lang w:eastAsia="pl-PL"/>
              </w:rPr>
              <w:br/>
              <w:t xml:space="preserve">-  konsultacji z lekarzem rodzinnym / pierwszego kontaktu lub specjalistą (wyłączając dentystę i ortodontę) </w:t>
            </w:r>
            <w:r w:rsidRPr="000A0BFF">
              <w:rPr>
                <w:rFonts w:eastAsia="Times New Roman" w:cs="Times New Roman"/>
                <w:color w:val="auto"/>
                <w:sz w:val="20"/>
                <w:szCs w:val="20"/>
                <w:lang w:eastAsia="pl-PL"/>
              </w:rPr>
              <w:br/>
              <w:t>-  leczenia szpitalnego, rehabilitacji</w:t>
            </w:r>
            <w:r w:rsidRPr="000A0BFF">
              <w:rPr>
                <w:rFonts w:eastAsia="Times New Roman" w:cs="Times New Roman"/>
                <w:color w:val="auto"/>
                <w:sz w:val="20"/>
                <w:szCs w:val="20"/>
                <w:lang w:eastAsia="pl-PL"/>
              </w:rPr>
              <w:br/>
              <w:t>-  badania w laboratorium lub pracowni diagnostycznej?</w:t>
            </w:r>
          </w:p>
        </w:tc>
      </w:tr>
      <w:tr w:rsidR="003215CC" w:rsidRPr="00FB177B" w14:paraId="6DF7B002"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88" w:type="dxa"/>
            <w:vMerge/>
            <w:hideMark/>
          </w:tcPr>
          <w:p w14:paraId="29B41B26" w14:textId="77777777" w:rsidR="003215CC" w:rsidRPr="000A0BFF" w:rsidRDefault="003215CC" w:rsidP="00AD7202">
            <w:pPr>
              <w:spacing w:line="240" w:lineRule="auto"/>
              <w:jc w:val="center"/>
              <w:rPr>
                <w:rFonts w:eastAsia="Times New Roman" w:cs="Times New Roman"/>
                <w:b w:val="0"/>
                <w:color w:val="auto"/>
                <w:sz w:val="20"/>
                <w:szCs w:val="20"/>
                <w:lang w:eastAsia="pl-PL"/>
              </w:rPr>
            </w:pPr>
          </w:p>
        </w:tc>
        <w:tc>
          <w:tcPr>
            <w:tcW w:w="900" w:type="dxa"/>
            <w:vMerge/>
            <w:hideMark/>
          </w:tcPr>
          <w:p w14:paraId="7D8239D2" w14:textId="77777777" w:rsidR="003215CC" w:rsidRPr="000A0BFF"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2696" w:type="dxa"/>
            <w:shd w:val="clear" w:color="auto" w:fill="ED7D31" w:themeFill="accent2"/>
            <w:hideMark/>
          </w:tcPr>
          <w:p w14:paraId="07F13643" w14:textId="77777777" w:rsidR="003215CC" w:rsidRPr="000A0BFF"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0A0BFF">
              <w:rPr>
                <w:rFonts w:eastAsia="Times New Roman" w:cs="Times New Roman"/>
                <w:b/>
                <w:sz w:val="20"/>
                <w:szCs w:val="20"/>
                <w:lang w:eastAsia="pl-PL"/>
              </w:rPr>
              <w:t>Tak</w:t>
            </w:r>
          </w:p>
        </w:tc>
        <w:tc>
          <w:tcPr>
            <w:tcW w:w="3120" w:type="dxa"/>
            <w:shd w:val="clear" w:color="auto" w:fill="ED7D31" w:themeFill="accent2"/>
            <w:hideMark/>
          </w:tcPr>
          <w:p w14:paraId="4BBB5D50" w14:textId="77777777" w:rsidR="003215CC" w:rsidRPr="000A0BFF"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0A0BFF">
              <w:rPr>
                <w:rFonts w:eastAsia="Times New Roman" w:cs="Times New Roman"/>
                <w:b/>
                <w:sz w:val="20"/>
                <w:szCs w:val="20"/>
                <w:lang w:eastAsia="pl-PL"/>
              </w:rPr>
              <w:t>Nie</w:t>
            </w:r>
          </w:p>
        </w:tc>
      </w:tr>
      <w:tr w:rsidR="003215CC" w:rsidRPr="00FB177B" w14:paraId="556F0E94"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488" w:type="dxa"/>
            <w:vMerge/>
            <w:hideMark/>
          </w:tcPr>
          <w:p w14:paraId="522836C9" w14:textId="77777777" w:rsidR="003215CC" w:rsidRPr="000A0BFF" w:rsidRDefault="003215CC" w:rsidP="00AD7202">
            <w:pPr>
              <w:spacing w:line="240" w:lineRule="auto"/>
              <w:jc w:val="center"/>
              <w:rPr>
                <w:rFonts w:eastAsia="Times New Roman" w:cs="Times New Roman"/>
                <w:b w:val="0"/>
                <w:color w:val="auto"/>
                <w:sz w:val="20"/>
                <w:szCs w:val="20"/>
                <w:lang w:eastAsia="pl-PL"/>
              </w:rPr>
            </w:pPr>
          </w:p>
        </w:tc>
        <w:tc>
          <w:tcPr>
            <w:tcW w:w="6716" w:type="dxa"/>
            <w:gridSpan w:val="3"/>
            <w:shd w:val="clear" w:color="auto" w:fill="ED7D31" w:themeFill="accent2"/>
            <w:hideMark/>
          </w:tcPr>
          <w:p w14:paraId="6BCA92CF"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0A0BFF">
              <w:rPr>
                <w:rFonts w:eastAsia="Times New Roman" w:cs="Times New Roman"/>
                <w:b/>
                <w:sz w:val="20"/>
                <w:szCs w:val="20"/>
                <w:lang w:eastAsia="pl-PL"/>
              </w:rPr>
              <w:t>w % osób danej grupy</w:t>
            </w:r>
          </w:p>
        </w:tc>
      </w:tr>
      <w:tr w:rsidR="003215CC" w:rsidRPr="00FB177B" w14:paraId="2C3922F3" w14:textId="77777777" w:rsidTr="00AD7202">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9204" w:type="dxa"/>
            <w:gridSpan w:val="4"/>
            <w:hideMark/>
          </w:tcPr>
          <w:p w14:paraId="208F1584" w14:textId="77777777" w:rsidR="003215CC" w:rsidRPr="000A0BFF" w:rsidRDefault="003215CC" w:rsidP="00AD7202">
            <w:pPr>
              <w:spacing w:line="240" w:lineRule="auto"/>
              <w:jc w:val="center"/>
              <w:rPr>
                <w:rFonts w:eastAsia="Times New Roman" w:cs="Times New Roman"/>
                <w:b w:val="0"/>
                <w:color w:val="auto"/>
                <w:sz w:val="20"/>
                <w:szCs w:val="20"/>
                <w:lang w:eastAsia="pl-PL"/>
              </w:rPr>
            </w:pPr>
            <w:r w:rsidRPr="000A0BFF">
              <w:rPr>
                <w:rFonts w:eastAsia="Times New Roman" w:cs="Times New Roman"/>
                <w:color w:val="auto"/>
                <w:sz w:val="20"/>
                <w:szCs w:val="20"/>
                <w:lang w:eastAsia="pl-PL"/>
              </w:rPr>
              <w:t>Ogółem osoby w wieku 16 lat i więcej</w:t>
            </w:r>
          </w:p>
        </w:tc>
      </w:tr>
      <w:tr w:rsidR="003215CC" w:rsidRPr="00FB177B" w14:paraId="1AA0CBB4" w14:textId="77777777" w:rsidTr="000A0BFF">
        <w:trPr>
          <w:trHeight w:val="173"/>
        </w:trPr>
        <w:tc>
          <w:tcPr>
            <w:cnfStyle w:val="001000000000" w:firstRow="0" w:lastRow="0" w:firstColumn="1" w:lastColumn="0" w:oddVBand="0" w:evenVBand="0" w:oddHBand="0" w:evenHBand="0" w:firstRowFirstColumn="0" w:firstRowLastColumn="0" w:lastRowFirstColumn="0" w:lastRowLastColumn="0"/>
            <w:tcW w:w="2488" w:type="dxa"/>
            <w:hideMark/>
          </w:tcPr>
          <w:p w14:paraId="26FE8E62" w14:textId="77777777" w:rsidR="003215CC" w:rsidRPr="000A0BFF" w:rsidRDefault="003215CC" w:rsidP="00AD7202">
            <w:pPr>
              <w:spacing w:line="240" w:lineRule="auto"/>
              <w:rPr>
                <w:rFonts w:eastAsia="Times New Roman" w:cs="Times New Roman"/>
                <w:b w:val="0"/>
                <w:bCs w:val="0"/>
                <w:color w:val="auto"/>
                <w:sz w:val="20"/>
                <w:szCs w:val="20"/>
                <w:lang w:eastAsia="pl-PL"/>
              </w:rPr>
            </w:pPr>
            <w:r w:rsidRPr="000A0BFF">
              <w:rPr>
                <w:rFonts w:eastAsia="Times New Roman" w:cs="Times New Roman"/>
                <w:color w:val="auto"/>
                <w:sz w:val="20"/>
                <w:szCs w:val="20"/>
                <w:lang w:eastAsia="pl-PL"/>
              </w:rPr>
              <w:t xml:space="preserve">Ogółem </w:t>
            </w:r>
          </w:p>
        </w:tc>
        <w:tc>
          <w:tcPr>
            <w:tcW w:w="900" w:type="dxa"/>
            <w:noWrap/>
            <w:hideMark/>
          </w:tcPr>
          <w:p w14:paraId="0EA911BB"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0A0BFF">
              <w:rPr>
                <w:rFonts w:eastAsia="Times New Roman" w:cs="Times New Roman"/>
                <w:b/>
                <w:bCs/>
                <w:sz w:val="20"/>
                <w:szCs w:val="20"/>
                <w:lang w:eastAsia="pl-PL"/>
              </w:rPr>
              <w:t>100</w:t>
            </w:r>
          </w:p>
        </w:tc>
        <w:tc>
          <w:tcPr>
            <w:tcW w:w="2696" w:type="dxa"/>
            <w:noWrap/>
            <w:hideMark/>
          </w:tcPr>
          <w:p w14:paraId="0719FB65"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0A0BFF">
              <w:rPr>
                <w:rFonts w:eastAsia="Times New Roman" w:cs="Times New Roman"/>
                <w:b/>
                <w:bCs/>
                <w:sz w:val="20"/>
                <w:szCs w:val="20"/>
                <w:lang w:eastAsia="pl-PL"/>
              </w:rPr>
              <w:t>61,9</w:t>
            </w:r>
          </w:p>
        </w:tc>
        <w:tc>
          <w:tcPr>
            <w:tcW w:w="3120" w:type="dxa"/>
            <w:noWrap/>
            <w:hideMark/>
          </w:tcPr>
          <w:p w14:paraId="0ACDF79C"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0A0BFF">
              <w:rPr>
                <w:rFonts w:eastAsia="Times New Roman" w:cs="Times New Roman"/>
                <w:b/>
                <w:bCs/>
                <w:sz w:val="20"/>
                <w:szCs w:val="20"/>
                <w:lang w:eastAsia="pl-PL"/>
              </w:rPr>
              <w:t>38,1</w:t>
            </w:r>
          </w:p>
        </w:tc>
      </w:tr>
      <w:tr w:rsidR="003215CC" w:rsidRPr="00FB177B" w14:paraId="0BD55D3C" w14:textId="77777777" w:rsidTr="000A0BF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488" w:type="dxa"/>
            <w:noWrap/>
            <w:hideMark/>
          </w:tcPr>
          <w:p w14:paraId="25B37C6D" w14:textId="77777777" w:rsidR="003215CC" w:rsidRPr="000A0BFF" w:rsidRDefault="003215CC" w:rsidP="00AD7202">
            <w:pPr>
              <w:spacing w:line="240" w:lineRule="auto"/>
              <w:rPr>
                <w:rFonts w:eastAsia="Times New Roman" w:cs="Times New Roman"/>
                <w:b w:val="0"/>
                <w:color w:val="auto"/>
                <w:sz w:val="20"/>
                <w:szCs w:val="20"/>
                <w:lang w:eastAsia="pl-PL"/>
              </w:rPr>
            </w:pPr>
            <w:r w:rsidRPr="000A0BFF">
              <w:rPr>
                <w:rFonts w:eastAsia="Times New Roman" w:cs="Times New Roman"/>
                <w:color w:val="auto"/>
                <w:sz w:val="20"/>
                <w:szCs w:val="20"/>
                <w:lang w:eastAsia="pl-PL"/>
              </w:rPr>
              <w:t>Mężczyźni</w:t>
            </w:r>
          </w:p>
        </w:tc>
        <w:tc>
          <w:tcPr>
            <w:tcW w:w="900" w:type="dxa"/>
            <w:noWrap/>
            <w:hideMark/>
          </w:tcPr>
          <w:p w14:paraId="71B938BD" w14:textId="77777777" w:rsidR="003215CC" w:rsidRPr="000A0BFF"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100</w:t>
            </w:r>
          </w:p>
        </w:tc>
        <w:tc>
          <w:tcPr>
            <w:tcW w:w="2696" w:type="dxa"/>
            <w:noWrap/>
            <w:hideMark/>
          </w:tcPr>
          <w:p w14:paraId="69C28E03" w14:textId="77777777" w:rsidR="003215CC" w:rsidRPr="000A0BFF"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56,4</w:t>
            </w:r>
          </w:p>
        </w:tc>
        <w:tc>
          <w:tcPr>
            <w:tcW w:w="3120" w:type="dxa"/>
            <w:noWrap/>
            <w:hideMark/>
          </w:tcPr>
          <w:p w14:paraId="67CF03E5" w14:textId="77777777" w:rsidR="003215CC" w:rsidRPr="000A0BFF"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43,6</w:t>
            </w:r>
          </w:p>
        </w:tc>
      </w:tr>
      <w:tr w:rsidR="003215CC" w:rsidRPr="00FB177B" w14:paraId="00B8D574" w14:textId="77777777" w:rsidTr="000A0BFF">
        <w:trPr>
          <w:trHeight w:val="253"/>
        </w:trPr>
        <w:tc>
          <w:tcPr>
            <w:cnfStyle w:val="001000000000" w:firstRow="0" w:lastRow="0" w:firstColumn="1" w:lastColumn="0" w:oddVBand="0" w:evenVBand="0" w:oddHBand="0" w:evenHBand="0" w:firstRowFirstColumn="0" w:firstRowLastColumn="0" w:lastRowFirstColumn="0" w:lastRowLastColumn="0"/>
            <w:tcW w:w="2488" w:type="dxa"/>
            <w:noWrap/>
            <w:hideMark/>
          </w:tcPr>
          <w:p w14:paraId="13666FA3" w14:textId="77777777" w:rsidR="003215CC" w:rsidRPr="000A0BFF" w:rsidRDefault="003215CC" w:rsidP="00AD7202">
            <w:pPr>
              <w:spacing w:line="240" w:lineRule="auto"/>
              <w:rPr>
                <w:rFonts w:eastAsia="Times New Roman" w:cs="Times New Roman"/>
                <w:b w:val="0"/>
                <w:color w:val="auto"/>
                <w:sz w:val="20"/>
                <w:szCs w:val="20"/>
                <w:lang w:eastAsia="pl-PL"/>
              </w:rPr>
            </w:pPr>
            <w:r w:rsidRPr="000A0BFF">
              <w:rPr>
                <w:rFonts w:eastAsia="Times New Roman" w:cs="Times New Roman"/>
                <w:color w:val="auto"/>
                <w:sz w:val="20"/>
                <w:szCs w:val="20"/>
                <w:lang w:eastAsia="pl-PL"/>
              </w:rPr>
              <w:t>Kobiety</w:t>
            </w:r>
          </w:p>
        </w:tc>
        <w:tc>
          <w:tcPr>
            <w:tcW w:w="900" w:type="dxa"/>
            <w:noWrap/>
            <w:hideMark/>
          </w:tcPr>
          <w:p w14:paraId="5BD57377"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100</w:t>
            </w:r>
          </w:p>
        </w:tc>
        <w:tc>
          <w:tcPr>
            <w:tcW w:w="2696" w:type="dxa"/>
            <w:noWrap/>
            <w:hideMark/>
          </w:tcPr>
          <w:p w14:paraId="26BB7F5D"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66,5</w:t>
            </w:r>
          </w:p>
        </w:tc>
        <w:tc>
          <w:tcPr>
            <w:tcW w:w="3120" w:type="dxa"/>
            <w:noWrap/>
            <w:hideMark/>
          </w:tcPr>
          <w:p w14:paraId="0211D22E"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33,5</w:t>
            </w:r>
          </w:p>
        </w:tc>
      </w:tr>
      <w:tr w:rsidR="003215CC" w:rsidRPr="00FB177B" w14:paraId="36E51975" w14:textId="77777777" w:rsidTr="000A0BF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488" w:type="dxa"/>
            <w:noWrap/>
            <w:hideMark/>
          </w:tcPr>
          <w:p w14:paraId="4DE17319" w14:textId="77777777" w:rsidR="003215CC" w:rsidRPr="000A0BFF" w:rsidRDefault="003215CC" w:rsidP="00AD7202">
            <w:pPr>
              <w:spacing w:line="240" w:lineRule="auto"/>
              <w:rPr>
                <w:rFonts w:eastAsia="Times New Roman" w:cs="Times New Roman"/>
                <w:b w:val="0"/>
                <w:color w:val="auto"/>
                <w:sz w:val="20"/>
                <w:szCs w:val="20"/>
                <w:lang w:eastAsia="pl-PL"/>
              </w:rPr>
            </w:pPr>
            <w:r w:rsidRPr="000A0BFF">
              <w:rPr>
                <w:rFonts w:eastAsia="Times New Roman" w:cs="Times New Roman"/>
                <w:color w:val="auto"/>
                <w:sz w:val="20"/>
                <w:szCs w:val="20"/>
                <w:lang w:eastAsia="pl-PL"/>
              </w:rPr>
              <w:t>Miasta</w:t>
            </w:r>
          </w:p>
        </w:tc>
        <w:tc>
          <w:tcPr>
            <w:tcW w:w="900" w:type="dxa"/>
            <w:noWrap/>
            <w:hideMark/>
          </w:tcPr>
          <w:p w14:paraId="5D095A25" w14:textId="77777777" w:rsidR="003215CC" w:rsidRPr="000A0BFF"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100</w:t>
            </w:r>
          </w:p>
        </w:tc>
        <w:tc>
          <w:tcPr>
            <w:tcW w:w="2696" w:type="dxa"/>
            <w:noWrap/>
            <w:hideMark/>
          </w:tcPr>
          <w:p w14:paraId="4AD422E5" w14:textId="77777777" w:rsidR="003215CC" w:rsidRPr="000A0BFF"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64,7</w:t>
            </w:r>
          </w:p>
        </w:tc>
        <w:tc>
          <w:tcPr>
            <w:tcW w:w="3120" w:type="dxa"/>
            <w:noWrap/>
            <w:hideMark/>
          </w:tcPr>
          <w:p w14:paraId="474B82C8" w14:textId="77777777" w:rsidR="003215CC" w:rsidRPr="000A0BFF"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35,3</w:t>
            </w:r>
          </w:p>
        </w:tc>
      </w:tr>
      <w:tr w:rsidR="003215CC" w:rsidRPr="00FB177B" w14:paraId="0F030165" w14:textId="77777777" w:rsidTr="000A0BFF">
        <w:trPr>
          <w:trHeight w:val="205"/>
        </w:trPr>
        <w:tc>
          <w:tcPr>
            <w:cnfStyle w:val="001000000000" w:firstRow="0" w:lastRow="0" w:firstColumn="1" w:lastColumn="0" w:oddVBand="0" w:evenVBand="0" w:oddHBand="0" w:evenHBand="0" w:firstRowFirstColumn="0" w:firstRowLastColumn="0" w:lastRowFirstColumn="0" w:lastRowLastColumn="0"/>
            <w:tcW w:w="2488" w:type="dxa"/>
            <w:noWrap/>
            <w:hideMark/>
          </w:tcPr>
          <w:p w14:paraId="0E0E7F70" w14:textId="77777777" w:rsidR="003215CC" w:rsidRPr="000A0BFF" w:rsidRDefault="003215CC" w:rsidP="00AD7202">
            <w:pPr>
              <w:spacing w:line="240" w:lineRule="auto"/>
              <w:rPr>
                <w:rFonts w:eastAsia="Times New Roman" w:cs="Times New Roman"/>
                <w:b w:val="0"/>
                <w:color w:val="auto"/>
                <w:sz w:val="20"/>
                <w:szCs w:val="20"/>
                <w:lang w:eastAsia="pl-PL"/>
              </w:rPr>
            </w:pPr>
            <w:r w:rsidRPr="000A0BFF">
              <w:rPr>
                <w:rFonts w:eastAsia="Times New Roman" w:cs="Times New Roman"/>
                <w:color w:val="auto"/>
                <w:sz w:val="20"/>
                <w:szCs w:val="20"/>
                <w:lang w:eastAsia="pl-PL"/>
              </w:rPr>
              <w:t>Wieś</w:t>
            </w:r>
          </w:p>
        </w:tc>
        <w:tc>
          <w:tcPr>
            <w:tcW w:w="900" w:type="dxa"/>
            <w:noWrap/>
            <w:hideMark/>
          </w:tcPr>
          <w:p w14:paraId="5D3BAEAC"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100</w:t>
            </w:r>
          </w:p>
        </w:tc>
        <w:tc>
          <w:tcPr>
            <w:tcW w:w="2696" w:type="dxa"/>
            <w:noWrap/>
            <w:hideMark/>
          </w:tcPr>
          <w:p w14:paraId="55A8E528"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57,5</w:t>
            </w:r>
          </w:p>
        </w:tc>
        <w:tc>
          <w:tcPr>
            <w:tcW w:w="3120" w:type="dxa"/>
            <w:noWrap/>
            <w:hideMark/>
          </w:tcPr>
          <w:p w14:paraId="4B6C2638"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42,5</w:t>
            </w:r>
          </w:p>
        </w:tc>
      </w:tr>
      <w:tr w:rsidR="003215CC" w:rsidRPr="00FB177B" w14:paraId="59AD4085" w14:textId="77777777" w:rsidTr="00AD7202">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9204" w:type="dxa"/>
            <w:gridSpan w:val="4"/>
            <w:hideMark/>
          </w:tcPr>
          <w:p w14:paraId="01594B60" w14:textId="77777777" w:rsidR="003215CC" w:rsidRPr="000A0BFF" w:rsidRDefault="003215CC" w:rsidP="00AD7202">
            <w:pPr>
              <w:spacing w:line="240" w:lineRule="auto"/>
              <w:jc w:val="center"/>
              <w:rPr>
                <w:rFonts w:eastAsia="Times New Roman" w:cs="Times New Roman"/>
                <w:b w:val="0"/>
                <w:color w:val="auto"/>
                <w:sz w:val="20"/>
                <w:szCs w:val="20"/>
                <w:lang w:eastAsia="pl-PL"/>
              </w:rPr>
            </w:pPr>
            <w:r w:rsidRPr="000A0BFF">
              <w:rPr>
                <w:rFonts w:eastAsia="Times New Roman" w:cs="Times New Roman"/>
                <w:color w:val="auto"/>
                <w:sz w:val="20"/>
                <w:szCs w:val="20"/>
                <w:lang w:eastAsia="pl-PL"/>
              </w:rPr>
              <w:t>Osoby w wieku 60 lat i więcej</w:t>
            </w:r>
          </w:p>
        </w:tc>
      </w:tr>
      <w:tr w:rsidR="003215CC" w:rsidRPr="00FB177B" w14:paraId="643D5881" w14:textId="77777777" w:rsidTr="000A0BFF">
        <w:trPr>
          <w:trHeight w:val="213"/>
        </w:trPr>
        <w:tc>
          <w:tcPr>
            <w:cnfStyle w:val="001000000000" w:firstRow="0" w:lastRow="0" w:firstColumn="1" w:lastColumn="0" w:oddVBand="0" w:evenVBand="0" w:oddHBand="0" w:evenHBand="0" w:firstRowFirstColumn="0" w:firstRowLastColumn="0" w:lastRowFirstColumn="0" w:lastRowLastColumn="0"/>
            <w:tcW w:w="2488" w:type="dxa"/>
            <w:hideMark/>
          </w:tcPr>
          <w:p w14:paraId="66911352" w14:textId="77777777" w:rsidR="003215CC" w:rsidRPr="000A0BFF" w:rsidRDefault="003215CC" w:rsidP="00AD7202">
            <w:pPr>
              <w:spacing w:line="240" w:lineRule="auto"/>
              <w:rPr>
                <w:rFonts w:eastAsia="Times New Roman" w:cs="Times New Roman"/>
                <w:b w:val="0"/>
                <w:bCs w:val="0"/>
                <w:color w:val="auto"/>
                <w:sz w:val="20"/>
                <w:szCs w:val="20"/>
                <w:lang w:eastAsia="pl-PL"/>
              </w:rPr>
            </w:pPr>
            <w:r w:rsidRPr="000A0BFF">
              <w:rPr>
                <w:rFonts w:eastAsia="Times New Roman" w:cs="Times New Roman"/>
                <w:color w:val="auto"/>
                <w:sz w:val="20"/>
                <w:szCs w:val="20"/>
                <w:lang w:eastAsia="pl-PL"/>
              </w:rPr>
              <w:t xml:space="preserve">Ogółem </w:t>
            </w:r>
          </w:p>
        </w:tc>
        <w:tc>
          <w:tcPr>
            <w:tcW w:w="900" w:type="dxa"/>
            <w:noWrap/>
            <w:hideMark/>
          </w:tcPr>
          <w:p w14:paraId="669F1065"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0A0BFF">
              <w:rPr>
                <w:rFonts w:eastAsia="Times New Roman" w:cs="Times New Roman"/>
                <w:b/>
                <w:bCs/>
                <w:sz w:val="20"/>
                <w:szCs w:val="20"/>
                <w:lang w:eastAsia="pl-PL"/>
              </w:rPr>
              <w:t>100</w:t>
            </w:r>
          </w:p>
        </w:tc>
        <w:tc>
          <w:tcPr>
            <w:tcW w:w="2696" w:type="dxa"/>
            <w:noWrap/>
            <w:hideMark/>
          </w:tcPr>
          <w:p w14:paraId="7F44EA33"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0A0BFF">
              <w:rPr>
                <w:rFonts w:eastAsia="Times New Roman" w:cs="Times New Roman"/>
                <w:b/>
                <w:bCs/>
                <w:sz w:val="20"/>
                <w:szCs w:val="20"/>
                <w:lang w:eastAsia="pl-PL"/>
              </w:rPr>
              <w:t>73,4</w:t>
            </w:r>
          </w:p>
        </w:tc>
        <w:tc>
          <w:tcPr>
            <w:tcW w:w="3120" w:type="dxa"/>
            <w:noWrap/>
            <w:hideMark/>
          </w:tcPr>
          <w:p w14:paraId="11D99BDE"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0A0BFF">
              <w:rPr>
                <w:rFonts w:eastAsia="Times New Roman" w:cs="Times New Roman"/>
                <w:b/>
                <w:bCs/>
                <w:sz w:val="20"/>
                <w:szCs w:val="20"/>
                <w:lang w:eastAsia="pl-PL"/>
              </w:rPr>
              <w:t>26,6</w:t>
            </w:r>
          </w:p>
        </w:tc>
      </w:tr>
      <w:tr w:rsidR="003215CC" w:rsidRPr="00FB177B" w14:paraId="3EBEEFED" w14:textId="77777777" w:rsidTr="000A0BFF">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488" w:type="dxa"/>
            <w:noWrap/>
            <w:hideMark/>
          </w:tcPr>
          <w:p w14:paraId="20794A4C" w14:textId="77777777" w:rsidR="003215CC" w:rsidRPr="000A0BFF" w:rsidRDefault="003215CC" w:rsidP="00AD7202">
            <w:pPr>
              <w:spacing w:line="240" w:lineRule="auto"/>
              <w:rPr>
                <w:rFonts w:eastAsia="Times New Roman" w:cs="Times New Roman"/>
                <w:b w:val="0"/>
                <w:color w:val="auto"/>
                <w:sz w:val="20"/>
                <w:szCs w:val="20"/>
                <w:lang w:eastAsia="pl-PL"/>
              </w:rPr>
            </w:pPr>
            <w:r w:rsidRPr="000A0BFF">
              <w:rPr>
                <w:rFonts w:eastAsia="Times New Roman" w:cs="Times New Roman"/>
                <w:color w:val="auto"/>
                <w:sz w:val="20"/>
                <w:szCs w:val="20"/>
                <w:lang w:eastAsia="pl-PL"/>
              </w:rPr>
              <w:t>Mężczyźni</w:t>
            </w:r>
          </w:p>
        </w:tc>
        <w:tc>
          <w:tcPr>
            <w:tcW w:w="900" w:type="dxa"/>
            <w:noWrap/>
            <w:hideMark/>
          </w:tcPr>
          <w:p w14:paraId="6823FBA1" w14:textId="77777777" w:rsidR="003215CC" w:rsidRPr="000A0BFF"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100</w:t>
            </w:r>
          </w:p>
        </w:tc>
        <w:tc>
          <w:tcPr>
            <w:tcW w:w="2696" w:type="dxa"/>
            <w:noWrap/>
            <w:hideMark/>
          </w:tcPr>
          <w:p w14:paraId="47794E44" w14:textId="77777777" w:rsidR="003215CC" w:rsidRPr="000A0BFF"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70,9</w:t>
            </w:r>
          </w:p>
        </w:tc>
        <w:tc>
          <w:tcPr>
            <w:tcW w:w="3120" w:type="dxa"/>
            <w:noWrap/>
            <w:hideMark/>
          </w:tcPr>
          <w:p w14:paraId="13BC6D6F" w14:textId="77777777" w:rsidR="003215CC" w:rsidRPr="000A0BFF"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29,1</w:t>
            </w:r>
          </w:p>
        </w:tc>
      </w:tr>
      <w:tr w:rsidR="003215CC" w:rsidRPr="00FB177B" w14:paraId="45D18063" w14:textId="77777777" w:rsidTr="000A0BFF">
        <w:trPr>
          <w:trHeight w:val="165"/>
        </w:trPr>
        <w:tc>
          <w:tcPr>
            <w:cnfStyle w:val="001000000000" w:firstRow="0" w:lastRow="0" w:firstColumn="1" w:lastColumn="0" w:oddVBand="0" w:evenVBand="0" w:oddHBand="0" w:evenHBand="0" w:firstRowFirstColumn="0" w:firstRowLastColumn="0" w:lastRowFirstColumn="0" w:lastRowLastColumn="0"/>
            <w:tcW w:w="2488" w:type="dxa"/>
            <w:noWrap/>
            <w:hideMark/>
          </w:tcPr>
          <w:p w14:paraId="3E071E34" w14:textId="77777777" w:rsidR="003215CC" w:rsidRPr="000A0BFF" w:rsidRDefault="003215CC" w:rsidP="00AD7202">
            <w:pPr>
              <w:spacing w:line="240" w:lineRule="auto"/>
              <w:rPr>
                <w:rFonts w:eastAsia="Times New Roman" w:cs="Times New Roman"/>
                <w:b w:val="0"/>
                <w:color w:val="auto"/>
                <w:sz w:val="20"/>
                <w:szCs w:val="20"/>
                <w:lang w:eastAsia="pl-PL"/>
              </w:rPr>
            </w:pPr>
            <w:r w:rsidRPr="000A0BFF">
              <w:rPr>
                <w:rFonts w:eastAsia="Times New Roman" w:cs="Times New Roman"/>
                <w:color w:val="auto"/>
                <w:sz w:val="20"/>
                <w:szCs w:val="20"/>
                <w:lang w:eastAsia="pl-PL"/>
              </w:rPr>
              <w:t>Kobiety</w:t>
            </w:r>
          </w:p>
        </w:tc>
        <w:tc>
          <w:tcPr>
            <w:tcW w:w="900" w:type="dxa"/>
            <w:noWrap/>
            <w:hideMark/>
          </w:tcPr>
          <w:p w14:paraId="321E9931"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100</w:t>
            </w:r>
          </w:p>
        </w:tc>
        <w:tc>
          <w:tcPr>
            <w:tcW w:w="2696" w:type="dxa"/>
            <w:noWrap/>
            <w:hideMark/>
          </w:tcPr>
          <w:p w14:paraId="5AE7C0A5"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75,2</w:t>
            </w:r>
          </w:p>
        </w:tc>
        <w:tc>
          <w:tcPr>
            <w:tcW w:w="3120" w:type="dxa"/>
            <w:noWrap/>
            <w:hideMark/>
          </w:tcPr>
          <w:p w14:paraId="07D65D9A"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24,8</w:t>
            </w:r>
          </w:p>
        </w:tc>
      </w:tr>
      <w:tr w:rsidR="003215CC" w:rsidRPr="00FB177B" w14:paraId="765A0B02" w14:textId="77777777" w:rsidTr="000A0BFF">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488" w:type="dxa"/>
            <w:noWrap/>
            <w:hideMark/>
          </w:tcPr>
          <w:p w14:paraId="11372C96" w14:textId="77777777" w:rsidR="003215CC" w:rsidRPr="000A0BFF" w:rsidRDefault="003215CC" w:rsidP="00AD7202">
            <w:pPr>
              <w:spacing w:line="240" w:lineRule="auto"/>
              <w:rPr>
                <w:rFonts w:eastAsia="Times New Roman" w:cs="Times New Roman"/>
                <w:b w:val="0"/>
                <w:color w:val="auto"/>
                <w:sz w:val="20"/>
                <w:szCs w:val="20"/>
                <w:lang w:eastAsia="pl-PL"/>
              </w:rPr>
            </w:pPr>
            <w:r w:rsidRPr="000A0BFF">
              <w:rPr>
                <w:rFonts w:eastAsia="Times New Roman" w:cs="Times New Roman"/>
                <w:color w:val="auto"/>
                <w:sz w:val="20"/>
                <w:szCs w:val="20"/>
                <w:lang w:eastAsia="pl-PL"/>
              </w:rPr>
              <w:t>Miasta</w:t>
            </w:r>
          </w:p>
        </w:tc>
        <w:tc>
          <w:tcPr>
            <w:tcW w:w="900" w:type="dxa"/>
            <w:noWrap/>
            <w:hideMark/>
          </w:tcPr>
          <w:p w14:paraId="0CB62912" w14:textId="77777777" w:rsidR="003215CC" w:rsidRPr="000A0BFF"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100</w:t>
            </w:r>
          </w:p>
        </w:tc>
        <w:tc>
          <w:tcPr>
            <w:tcW w:w="2696" w:type="dxa"/>
            <w:noWrap/>
            <w:hideMark/>
          </w:tcPr>
          <w:p w14:paraId="43526251" w14:textId="77777777" w:rsidR="003215CC" w:rsidRPr="000A0BFF"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74,6</w:t>
            </w:r>
          </w:p>
        </w:tc>
        <w:tc>
          <w:tcPr>
            <w:tcW w:w="3120" w:type="dxa"/>
            <w:noWrap/>
            <w:hideMark/>
          </w:tcPr>
          <w:p w14:paraId="4A92A1E8" w14:textId="77777777" w:rsidR="003215CC" w:rsidRPr="000A0BFF" w:rsidRDefault="003215CC"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25,4</w:t>
            </w:r>
          </w:p>
        </w:tc>
      </w:tr>
      <w:tr w:rsidR="003215CC" w:rsidRPr="00FB177B" w14:paraId="0C7474EB" w14:textId="77777777" w:rsidTr="000A0BFF">
        <w:trPr>
          <w:trHeight w:val="131"/>
        </w:trPr>
        <w:tc>
          <w:tcPr>
            <w:cnfStyle w:val="001000000000" w:firstRow="0" w:lastRow="0" w:firstColumn="1" w:lastColumn="0" w:oddVBand="0" w:evenVBand="0" w:oddHBand="0" w:evenHBand="0" w:firstRowFirstColumn="0" w:firstRowLastColumn="0" w:lastRowFirstColumn="0" w:lastRowLastColumn="0"/>
            <w:tcW w:w="2488" w:type="dxa"/>
            <w:noWrap/>
            <w:hideMark/>
          </w:tcPr>
          <w:p w14:paraId="776541BC" w14:textId="77777777" w:rsidR="003215CC" w:rsidRPr="000A0BFF" w:rsidRDefault="003215CC" w:rsidP="00AD7202">
            <w:pPr>
              <w:spacing w:line="240" w:lineRule="auto"/>
              <w:rPr>
                <w:rFonts w:eastAsia="Times New Roman" w:cs="Times New Roman"/>
                <w:b w:val="0"/>
                <w:color w:val="auto"/>
                <w:sz w:val="20"/>
                <w:szCs w:val="20"/>
                <w:lang w:eastAsia="pl-PL"/>
              </w:rPr>
            </w:pPr>
            <w:r w:rsidRPr="000A0BFF">
              <w:rPr>
                <w:rFonts w:eastAsia="Times New Roman" w:cs="Times New Roman"/>
                <w:color w:val="auto"/>
                <w:sz w:val="20"/>
                <w:szCs w:val="20"/>
                <w:lang w:eastAsia="pl-PL"/>
              </w:rPr>
              <w:t>Wieś</w:t>
            </w:r>
          </w:p>
        </w:tc>
        <w:tc>
          <w:tcPr>
            <w:tcW w:w="900" w:type="dxa"/>
            <w:noWrap/>
            <w:hideMark/>
          </w:tcPr>
          <w:p w14:paraId="0297CCCD"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100</w:t>
            </w:r>
          </w:p>
        </w:tc>
        <w:tc>
          <w:tcPr>
            <w:tcW w:w="2696" w:type="dxa"/>
            <w:noWrap/>
            <w:hideMark/>
          </w:tcPr>
          <w:p w14:paraId="14987F8F"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71,4</w:t>
            </w:r>
          </w:p>
        </w:tc>
        <w:tc>
          <w:tcPr>
            <w:tcW w:w="3120" w:type="dxa"/>
            <w:noWrap/>
            <w:hideMark/>
          </w:tcPr>
          <w:p w14:paraId="39625570" w14:textId="77777777" w:rsidR="003215CC" w:rsidRPr="000A0BFF" w:rsidRDefault="003215CC"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0A0BFF">
              <w:rPr>
                <w:rFonts w:eastAsia="Times New Roman" w:cs="Times New Roman"/>
                <w:sz w:val="20"/>
                <w:szCs w:val="20"/>
                <w:lang w:eastAsia="pl-PL"/>
              </w:rPr>
              <w:t>28,6</w:t>
            </w:r>
          </w:p>
        </w:tc>
      </w:tr>
    </w:tbl>
    <w:p w14:paraId="6AB61CEE" w14:textId="34D5141A" w:rsidR="003215CC" w:rsidRDefault="003215CC" w:rsidP="003215CC">
      <w:pPr>
        <w:rPr>
          <w:rFonts w:cs="Times New Roman"/>
          <w:b/>
          <w:sz w:val="22"/>
        </w:rPr>
      </w:pPr>
      <w:r w:rsidRPr="00007806">
        <w:rPr>
          <w:rFonts w:cs="Times New Roman"/>
          <w:b/>
          <w:sz w:val="22"/>
        </w:rPr>
        <w:t>Źródło: Badanie EU-SILC 2019 r.,</w:t>
      </w:r>
      <w:r w:rsidR="003F388C">
        <w:rPr>
          <w:rFonts w:cs="Times New Roman"/>
          <w:b/>
          <w:sz w:val="22"/>
        </w:rPr>
        <w:t xml:space="preserve"> </w:t>
      </w:r>
      <w:r w:rsidRPr="00007806">
        <w:rPr>
          <w:rFonts w:cs="Times New Roman"/>
          <w:b/>
          <w:sz w:val="22"/>
        </w:rPr>
        <w:t>GUS</w:t>
      </w:r>
      <w:r w:rsidR="003F388C">
        <w:rPr>
          <w:rFonts w:cs="Times New Roman"/>
          <w:b/>
          <w:sz w:val="22"/>
        </w:rPr>
        <w:t>.</w:t>
      </w:r>
    </w:p>
    <w:p w14:paraId="1CC067F9" w14:textId="77777777" w:rsidR="00BD604A" w:rsidRDefault="00BD604A" w:rsidP="00BD604A">
      <w:pPr>
        <w:rPr>
          <w:rFonts w:cs="Times New Roman"/>
          <w:iCs/>
          <w:szCs w:val="24"/>
        </w:rPr>
      </w:pPr>
      <w:r w:rsidRPr="00FB177B">
        <w:rPr>
          <w:rFonts w:cs="Times New Roman"/>
          <w:szCs w:val="24"/>
        </w:rPr>
        <w:lastRenderedPageBreak/>
        <w:t>Poważnie lub niezbyt poważnie ograniczona zdolność do wykonywania codziennych czynności (trwająca od co najmniej 6 miesięcy) dotyczyła 45,4% osób starszych</w:t>
      </w:r>
      <w:r w:rsidRPr="00FB177B">
        <w:rPr>
          <w:rFonts w:cs="Times New Roman"/>
          <w:i/>
          <w:szCs w:val="24"/>
        </w:rPr>
        <w:t>.</w:t>
      </w:r>
      <w:r w:rsidRPr="00FB177B">
        <w:rPr>
          <w:rFonts w:cs="Times New Roman"/>
          <w:szCs w:val="24"/>
        </w:rPr>
        <w:t xml:space="preserve"> Odsetek wskazań był o 2,5 p. proc. wyższy wśród kobiet niż w grupie mężczyzn (</w:t>
      </w:r>
      <w:r w:rsidRPr="00FB177B">
        <w:rPr>
          <w:rFonts w:cs="Times New Roman"/>
          <w:iCs/>
          <w:szCs w:val="24"/>
        </w:rPr>
        <w:t xml:space="preserve">odpowiednio 46,4% i 43,9%). </w:t>
      </w:r>
    </w:p>
    <w:p w14:paraId="1C617860" w14:textId="77777777" w:rsidR="00BD604A" w:rsidRDefault="00BD604A" w:rsidP="00BD604A">
      <w:pPr>
        <w:rPr>
          <w:rFonts w:cs="Times New Roman"/>
          <w:szCs w:val="24"/>
        </w:rPr>
      </w:pPr>
    </w:p>
    <w:p w14:paraId="6253C833" w14:textId="77777777" w:rsidR="00BD604A" w:rsidRDefault="00BD604A" w:rsidP="00BD604A">
      <w:pPr>
        <w:rPr>
          <w:rFonts w:cs="Times New Roman"/>
          <w:szCs w:val="24"/>
        </w:rPr>
      </w:pPr>
      <w:r w:rsidRPr="00FB177B">
        <w:rPr>
          <w:rFonts w:cs="Times New Roman"/>
          <w:iCs/>
          <w:szCs w:val="24"/>
        </w:rPr>
        <w:t xml:space="preserve">Większy udział </w:t>
      </w:r>
      <w:r w:rsidRPr="00FB177B">
        <w:rPr>
          <w:rFonts w:cs="Times New Roman"/>
          <w:szCs w:val="24"/>
        </w:rPr>
        <w:t>deklarujących ograniczoną zdolność do wykonywania codziennych czynności (w</w:t>
      </w:r>
      <w:r>
        <w:rPr>
          <w:rFonts w:cs="Times New Roman"/>
          <w:szCs w:val="24"/>
        </w:rPr>
        <w:t> </w:t>
      </w:r>
      <w:r w:rsidRPr="00FB177B">
        <w:rPr>
          <w:rFonts w:cs="Times New Roman"/>
          <w:szCs w:val="24"/>
        </w:rPr>
        <w:t>stopniu poważnym lub niezbyt poważnym) odnotowano wśród mieszkańców wsi (46,0%) niż</w:t>
      </w:r>
      <w:r>
        <w:rPr>
          <w:rFonts w:cs="Times New Roman"/>
          <w:szCs w:val="24"/>
        </w:rPr>
        <w:t> </w:t>
      </w:r>
      <w:r w:rsidRPr="00FB177B">
        <w:rPr>
          <w:rFonts w:cs="Times New Roman"/>
          <w:szCs w:val="24"/>
        </w:rPr>
        <w:t xml:space="preserve">miast (45,0%). Warto jednak zauważyć, że podobnie jak w roku poprzednim, ponad połowa osób powyżej 60 roku życia (54,6% w 2019 r.) zadeklarowała brak ograniczeń w wykonywaniu czynności. </w:t>
      </w:r>
    </w:p>
    <w:p w14:paraId="7CADE63A" w14:textId="77777777" w:rsidR="003215CC" w:rsidRPr="00FB177B" w:rsidRDefault="003215CC" w:rsidP="003215CC">
      <w:pPr>
        <w:rPr>
          <w:rFonts w:cs="Times New Roman"/>
          <w:b/>
        </w:rPr>
      </w:pPr>
    </w:p>
    <w:p w14:paraId="36663263" w14:textId="03AC204A" w:rsidR="003215CC" w:rsidRPr="00FB177B" w:rsidRDefault="003215CC" w:rsidP="003215CC">
      <w:pPr>
        <w:pStyle w:val="Legenda"/>
        <w:keepNext/>
        <w:rPr>
          <w:rFonts w:cs="Times New Roman"/>
          <w:b/>
          <w:i w:val="0"/>
          <w:color w:val="auto"/>
          <w:sz w:val="24"/>
        </w:rPr>
      </w:pPr>
      <w:bookmarkStart w:id="42" w:name="_Toc49171403"/>
      <w:r w:rsidRPr="00FB177B">
        <w:rPr>
          <w:rFonts w:cs="Times New Roman"/>
          <w:b/>
          <w:i w:val="0"/>
          <w:color w:val="auto"/>
          <w:sz w:val="24"/>
        </w:rPr>
        <w:t xml:space="preserve">Tabela </w:t>
      </w:r>
      <w:r>
        <w:rPr>
          <w:rFonts w:cs="Times New Roman"/>
          <w:b/>
          <w:i w:val="0"/>
          <w:color w:val="auto"/>
          <w:sz w:val="24"/>
        </w:rPr>
        <w:t>31</w:t>
      </w:r>
      <w:r w:rsidR="00EE73AF">
        <w:rPr>
          <w:rFonts w:cs="Times New Roman"/>
          <w:b/>
          <w:i w:val="0"/>
          <w:color w:val="auto"/>
          <w:sz w:val="24"/>
        </w:rPr>
        <w:t>.</w:t>
      </w:r>
      <w:r w:rsidRPr="00FB177B">
        <w:rPr>
          <w:rFonts w:cs="Times New Roman"/>
          <w:b/>
          <w:i w:val="0"/>
          <w:color w:val="auto"/>
          <w:sz w:val="24"/>
        </w:rPr>
        <w:t xml:space="preserve"> Przyczyny niezaspokojonych potrzeb w zakresie leczenia lub badania </w:t>
      </w:r>
      <w:bookmarkEnd w:id="42"/>
    </w:p>
    <w:tbl>
      <w:tblPr>
        <w:tblW w:w="10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874"/>
        <w:gridCol w:w="1399"/>
        <w:gridCol w:w="1619"/>
        <w:gridCol w:w="1559"/>
        <w:gridCol w:w="1418"/>
        <w:gridCol w:w="1417"/>
        <w:gridCol w:w="1020"/>
      </w:tblGrid>
      <w:tr w:rsidR="003215CC" w:rsidRPr="00FB177B" w14:paraId="583EBD95" w14:textId="77777777" w:rsidTr="00BD604A">
        <w:trPr>
          <w:trHeight w:val="321"/>
          <w:jc w:val="center"/>
        </w:trPr>
        <w:tc>
          <w:tcPr>
            <w:tcW w:w="1640" w:type="dxa"/>
            <w:vMerge w:val="restart"/>
            <w:shd w:val="clear" w:color="auto" w:fill="ED7D31" w:themeFill="accent2"/>
            <w:noWrap/>
            <w:vAlign w:val="center"/>
            <w:hideMark/>
          </w:tcPr>
          <w:p w14:paraId="09A7C86D" w14:textId="77777777" w:rsidR="003215CC" w:rsidRPr="00007806" w:rsidRDefault="003215CC" w:rsidP="00AD7202">
            <w:pPr>
              <w:spacing w:line="240" w:lineRule="auto"/>
              <w:jc w:val="center"/>
              <w:rPr>
                <w:rFonts w:eastAsia="Times New Roman" w:cs="Times New Roman"/>
                <w:b/>
                <w:sz w:val="20"/>
                <w:szCs w:val="20"/>
                <w:lang w:eastAsia="pl-PL"/>
              </w:rPr>
            </w:pPr>
            <w:r w:rsidRPr="00007806">
              <w:rPr>
                <w:rFonts w:eastAsia="Times New Roman" w:cs="Times New Roman"/>
                <w:b/>
                <w:sz w:val="20"/>
                <w:szCs w:val="20"/>
                <w:lang w:eastAsia="pl-PL"/>
              </w:rPr>
              <w:t>Wyszczególnienie</w:t>
            </w:r>
          </w:p>
        </w:tc>
        <w:tc>
          <w:tcPr>
            <w:tcW w:w="874" w:type="dxa"/>
            <w:vMerge w:val="restart"/>
            <w:shd w:val="clear" w:color="auto" w:fill="ED7D31" w:themeFill="accent2"/>
            <w:noWrap/>
            <w:vAlign w:val="center"/>
            <w:hideMark/>
          </w:tcPr>
          <w:p w14:paraId="04C0A384" w14:textId="77777777" w:rsidR="003215CC" w:rsidRPr="00007806" w:rsidRDefault="003215CC" w:rsidP="00AD7202">
            <w:pPr>
              <w:spacing w:line="240" w:lineRule="auto"/>
              <w:jc w:val="center"/>
              <w:rPr>
                <w:rFonts w:eastAsia="Times New Roman" w:cs="Times New Roman"/>
                <w:b/>
                <w:sz w:val="20"/>
                <w:szCs w:val="20"/>
                <w:lang w:eastAsia="pl-PL"/>
              </w:rPr>
            </w:pPr>
            <w:r w:rsidRPr="00007806">
              <w:rPr>
                <w:rFonts w:eastAsia="Times New Roman" w:cs="Times New Roman"/>
                <w:b/>
                <w:sz w:val="20"/>
                <w:szCs w:val="20"/>
                <w:lang w:eastAsia="pl-PL"/>
              </w:rPr>
              <w:t>Ogółem</w:t>
            </w:r>
          </w:p>
        </w:tc>
        <w:tc>
          <w:tcPr>
            <w:tcW w:w="8432" w:type="dxa"/>
            <w:gridSpan w:val="6"/>
            <w:shd w:val="clear" w:color="auto" w:fill="ED7D31" w:themeFill="accent2"/>
            <w:noWrap/>
            <w:vAlign w:val="center"/>
            <w:hideMark/>
          </w:tcPr>
          <w:p w14:paraId="6D4DAEFB" w14:textId="77777777" w:rsidR="003215CC" w:rsidRPr="00007806" w:rsidRDefault="003215CC" w:rsidP="00AD7202">
            <w:pPr>
              <w:spacing w:line="240" w:lineRule="auto"/>
              <w:jc w:val="center"/>
              <w:rPr>
                <w:rFonts w:eastAsia="Times New Roman" w:cs="Times New Roman"/>
                <w:b/>
                <w:sz w:val="20"/>
                <w:szCs w:val="20"/>
                <w:lang w:eastAsia="pl-PL"/>
              </w:rPr>
            </w:pPr>
            <w:r w:rsidRPr="00007806">
              <w:rPr>
                <w:rFonts w:eastAsia="Times New Roman" w:cs="Times New Roman"/>
                <w:b/>
                <w:sz w:val="20"/>
                <w:szCs w:val="20"/>
                <w:lang w:eastAsia="pl-PL"/>
              </w:rPr>
              <w:t>Jaka była tego główna przyczyna?</w:t>
            </w:r>
          </w:p>
        </w:tc>
      </w:tr>
      <w:tr w:rsidR="003215CC" w:rsidRPr="00FB177B" w14:paraId="701F65FA" w14:textId="77777777" w:rsidTr="00BD604A">
        <w:trPr>
          <w:trHeight w:val="960"/>
          <w:jc w:val="center"/>
        </w:trPr>
        <w:tc>
          <w:tcPr>
            <w:tcW w:w="1640" w:type="dxa"/>
            <w:vMerge/>
            <w:shd w:val="clear" w:color="auto" w:fill="ED7D31" w:themeFill="accent2"/>
            <w:vAlign w:val="center"/>
            <w:hideMark/>
          </w:tcPr>
          <w:p w14:paraId="79FBD444" w14:textId="77777777" w:rsidR="003215CC" w:rsidRPr="00007806" w:rsidRDefault="003215CC" w:rsidP="00AD7202">
            <w:pPr>
              <w:spacing w:line="240" w:lineRule="auto"/>
              <w:jc w:val="center"/>
              <w:rPr>
                <w:rFonts w:eastAsia="Times New Roman" w:cs="Times New Roman"/>
                <w:b/>
                <w:sz w:val="20"/>
                <w:szCs w:val="20"/>
                <w:lang w:eastAsia="pl-PL"/>
              </w:rPr>
            </w:pPr>
          </w:p>
        </w:tc>
        <w:tc>
          <w:tcPr>
            <w:tcW w:w="874" w:type="dxa"/>
            <w:vMerge/>
            <w:shd w:val="clear" w:color="auto" w:fill="ED7D31" w:themeFill="accent2"/>
            <w:vAlign w:val="center"/>
            <w:hideMark/>
          </w:tcPr>
          <w:p w14:paraId="4D0B3E6C" w14:textId="77777777" w:rsidR="003215CC" w:rsidRPr="00007806" w:rsidRDefault="003215CC" w:rsidP="00AD7202">
            <w:pPr>
              <w:spacing w:line="240" w:lineRule="auto"/>
              <w:jc w:val="center"/>
              <w:rPr>
                <w:rFonts w:eastAsia="Times New Roman" w:cs="Times New Roman"/>
                <w:b/>
                <w:sz w:val="20"/>
                <w:szCs w:val="20"/>
                <w:lang w:eastAsia="pl-PL"/>
              </w:rPr>
            </w:pPr>
          </w:p>
        </w:tc>
        <w:tc>
          <w:tcPr>
            <w:tcW w:w="1399" w:type="dxa"/>
            <w:shd w:val="clear" w:color="auto" w:fill="ED7D31" w:themeFill="accent2"/>
            <w:vAlign w:val="center"/>
            <w:hideMark/>
          </w:tcPr>
          <w:p w14:paraId="436689AE" w14:textId="77777777" w:rsidR="003215CC" w:rsidRPr="00007806" w:rsidRDefault="003215CC" w:rsidP="00AD7202">
            <w:pPr>
              <w:spacing w:line="240" w:lineRule="auto"/>
              <w:jc w:val="center"/>
              <w:rPr>
                <w:rFonts w:eastAsia="Times New Roman" w:cs="Times New Roman"/>
                <w:b/>
                <w:sz w:val="20"/>
                <w:szCs w:val="20"/>
                <w:lang w:eastAsia="pl-PL"/>
              </w:rPr>
            </w:pPr>
            <w:r w:rsidRPr="00007806">
              <w:rPr>
                <w:rFonts w:eastAsia="Times New Roman" w:cs="Times New Roman"/>
                <w:b/>
                <w:strike/>
                <w:sz w:val="20"/>
                <w:szCs w:val="20"/>
                <w:lang w:eastAsia="pl-PL"/>
              </w:rPr>
              <w:br/>
            </w:r>
            <w:r w:rsidRPr="00007806">
              <w:rPr>
                <w:rFonts w:eastAsia="Times New Roman" w:cs="Times New Roman"/>
                <w:b/>
                <w:sz w:val="20"/>
                <w:szCs w:val="20"/>
                <w:lang w:eastAsia="pl-PL"/>
              </w:rPr>
              <w:t>Zbyt długa lista/kolejka oczekujących</w:t>
            </w:r>
          </w:p>
        </w:tc>
        <w:tc>
          <w:tcPr>
            <w:tcW w:w="1619" w:type="dxa"/>
            <w:shd w:val="clear" w:color="auto" w:fill="ED7D31" w:themeFill="accent2"/>
            <w:vAlign w:val="center"/>
            <w:hideMark/>
          </w:tcPr>
          <w:p w14:paraId="4FBCA6E3" w14:textId="77777777" w:rsidR="003215CC" w:rsidRPr="00007806" w:rsidRDefault="003215CC" w:rsidP="00AD7202">
            <w:pPr>
              <w:spacing w:line="240" w:lineRule="auto"/>
              <w:jc w:val="center"/>
              <w:rPr>
                <w:rFonts w:eastAsia="Times New Roman" w:cs="Times New Roman"/>
                <w:b/>
                <w:sz w:val="20"/>
                <w:szCs w:val="20"/>
                <w:lang w:eastAsia="pl-PL"/>
              </w:rPr>
            </w:pPr>
            <w:r w:rsidRPr="00007806">
              <w:rPr>
                <w:rFonts w:eastAsia="Times New Roman" w:cs="Times New Roman"/>
                <w:b/>
                <w:sz w:val="20"/>
                <w:szCs w:val="20"/>
                <w:lang w:eastAsia="pl-PL"/>
              </w:rPr>
              <w:t>Nie było mnie na to stać (wizyta była zbyt droga lub nieobjęta ubezpieczeniem zdrowotnym)</w:t>
            </w:r>
          </w:p>
        </w:tc>
        <w:tc>
          <w:tcPr>
            <w:tcW w:w="1559" w:type="dxa"/>
            <w:shd w:val="clear" w:color="auto" w:fill="ED7D31" w:themeFill="accent2"/>
            <w:vAlign w:val="center"/>
            <w:hideMark/>
          </w:tcPr>
          <w:p w14:paraId="135B21AB" w14:textId="77777777" w:rsidR="003215CC" w:rsidRPr="00007806" w:rsidRDefault="003215CC" w:rsidP="00AD7202">
            <w:pPr>
              <w:spacing w:line="240" w:lineRule="auto"/>
              <w:jc w:val="center"/>
              <w:rPr>
                <w:rFonts w:eastAsia="Times New Roman" w:cs="Times New Roman"/>
                <w:b/>
                <w:sz w:val="20"/>
                <w:szCs w:val="20"/>
                <w:lang w:eastAsia="pl-PL"/>
              </w:rPr>
            </w:pPr>
            <w:r w:rsidRPr="00007806">
              <w:rPr>
                <w:rFonts w:eastAsia="Times New Roman" w:cs="Times New Roman"/>
                <w:b/>
                <w:sz w:val="20"/>
                <w:szCs w:val="20"/>
                <w:lang w:eastAsia="pl-PL"/>
              </w:rPr>
              <w:t>Chciałem(-</w:t>
            </w:r>
            <w:proofErr w:type="spellStart"/>
            <w:r w:rsidRPr="00007806">
              <w:rPr>
                <w:rFonts w:eastAsia="Times New Roman" w:cs="Times New Roman"/>
                <w:b/>
                <w:sz w:val="20"/>
                <w:szCs w:val="20"/>
                <w:lang w:eastAsia="pl-PL"/>
              </w:rPr>
              <w:t>am</w:t>
            </w:r>
            <w:proofErr w:type="spellEnd"/>
            <w:r w:rsidRPr="00007806">
              <w:rPr>
                <w:rFonts w:eastAsia="Times New Roman" w:cs="Times New Roman"/>
                <w:b/>
                <w:sz w:val="20"/>
                <w:szCs w:val="20"/>
                <w:lang w:eastAsia="pl-PL"/>
              </w:rPr>
              <w:t>) poczekać i zobaczyć czy problem sam minie</w:t>
            </w:r>
          </w:p>
        </w:tc>
        <w:tc>
          <w:tcPr>
            <w:tcW w:w="1418" w:type="dxa"/>
            <w:shd w:val="clear" w:color="auto" w:fill="ED7D31" w:themeFill="accent2"/>
            <w:vAlign w:val="center"/>
            <w:hideMark/>
          </w:tcPr>
          <w:p w14:paraId="2A275060" w14:textId="77777777" w:rsidR="003215CC" w:rsidRPr="00007806" w:rsidRDefault="003215CC" w:rsidP="00AD7202">
            <w:pPr>
              <w:spacing w:line="240" w:lineRule="auto"/>
              <w:jc w:val="center"/>
              <w:rPr>
                <w:rFonts w:eastAsia="Times New Roman" w:cs="Times New Roman"/>
                <w:b/>
                <w:sz w:val="20"/>
                <w:szCs w:val="20"/>
                <w:lang w:eastAsia="pl-PL"/>
              </w:rPr>
            </w:pPr>
            <w:r w:rsidRPr="00007806">
              <w:rPr>
                <w:rFonts w:eastAsia="Times New Roman" w:cs="Times New Roman"/>
                <w:b/>
                <w:sz w:val="20"/>
                <w:szCs w:val="20"/>
                <w:lang w:eastAsia="pl-PL"/>
              </w:rPr>
              <w:t>Zbyt duża odległość, brak środka transportu</w:t>
            </w:r>
          </w:p>
        </w:tc>
        <w:tc>
          <w:tcPr>
            <w:tcW w:w="1417" w:type="dxa"/>
            <w:shd w:val="clear" w:color="auto" w:fill="ED7D31" w:themeFill="accent2"/>
            <w:vAlign w:val="center"/>
            <w:hideMark/>
          </w:tcPr>
          <w:p w14:paraId="41432FA4" w14:textId="77777777" w:rsidR="003215CC" w:rsidRPr="00007806" w:rsidRDefault="003215CC" w:rsidP="00AD7202">
            <w:pPr>
              <w:spacing w:line="240" w:lineRule="auto"/>
              <w:jc w:val="center"/>
              <w:rPr>
                <w:rFonts w:eastAsia="Times New Roman" w:cs="Times New Roman"/>
                <w:b/>
                <w:sz w:val="20"/>
                <w:szCs w:val="20"/>
                <w:lang w:eastAsia="pl-PL"/>
              </w:rPr>
            </w:pPr>
            <w:r w:rsidRPr="00007806">
              <w:rPr>
                <w:rFonts w:eastAsia="Times New Roman" w:cs="Times New Roman"/>
                <w:b/>
                <w:sz w:val="20"/>
                <w:szCs w:val="20"/>
                <w:lang w:eastAsia="pl-PL"/>
              </w:rPr>
              <w:t>Lęk przed lekarzem, szpitalami, badaniem lub leczeniem</w:t>
            </w:r>
          </w:p>
        </w:tc>
        <w:tc>
          <w:tcPr>
            <w:tcW w:w="1020" w:type="dxa"/>
            <w:shd w:val="clear" w:color="auto" w:fill="ED7D31" w:themeFill="accent2"/>
            <w:vAlign w:val="center"/>
            <w:hideMark/>
          </w:tcPr>
          <w:p w14:paraId="49878C55" w14:textId="77777777" w:rsidR="003215CC" w:rsidRPr="00007806" w:rsidRDefault="003215CC" w:rsidP="00AD7202">
            <w:pPr>
              <w:spacing w:line="240" w:lineRule="auto"/>
              <w:jc w:val="center"/>
              <w:rPr>
                <w:rFonts w:eastAsia="Times New Roman" w:cs="Times New Roman"/>
                <w:b/>
                <w:sz w:val="20"/>
                <w:szCs w:val="20"/>
                <w:lang w:eastAsia="pl-PL"/>
              </w:rPr>
            </w:pPr>
            <w:r w:rsidRPr="00007806">
              <w:rPr>
                <w:rFonts w:eastAsia="Times New Roman" w:cs="Times New Roman"/>
                <w:b/>
                <w:sz w:val="20"/>
                <w:szCs w:val="20"/>
                <w:lang w:eastAsia="pl-PL"/>
              </w:rPr>
              <w:t>Pozostałe powody</w:t>
            </w:r>
          </w:p>
        </w:tc>
      </w:tr>
      <w:tr w:rsidR="003215CC" w:rsidRPr="00FB177B" w14:paraId="1564F6CD" w14:textId="77777777" w:rsidTr="00BD604A">
        <w:trPr>
          <w:trHeight w:val="289"/>
          <w:jc w:val="center"/>
        </w:trPr>
        <w:tc>
          <w:tcPr>
            <w:tcW w:w="1640" w:type="dxa"/>
            <w:vMerge/>
            <w:shd w:val="clear" w:color="auto" w:fill="ED7D31" w:themeFill="accent2"/>
            <w:vAlign w:val="center"/>
            <w:hideMark/>
          </w:tcPr>
          <w:p w14:paraId="7F98247F" w14:textId="77777777" w:rsidR="003215CC" w:rsidRPr="00007806" w:rsidRDefault="003215CC" w:rsidP="00AD7202">
            <w:pPr>
              <w:spacing w:line="240" w:lineRule="auto"/>
              <w:jc w:val="center"/>
              <w:rPr>
                <w:rFonts w:eastAsia="Times New Roman" w:cs="Times New Roman"/>
                <w:b/>
                <w:sz w:val="20"/>
                <w:szCs w:val="20"/>
                <w:lang w:eastAsia="pl-PL"/>
              </w:rPr>
            </w:pPr>
          </w:p>
        </w:tc>
        <w:tc>
          <w:tcPr>
            <w:tcW w:w="9306" w:type="dxa"/>
            <w:gridSpan w:val="7"/>
            <w:shd w:val="clear" w:color="auto" w:fill="ED7D31" w:themeFill="accent2"/>
            <w:vAlign w:val="center"/>
            <w:hideMark/>
          </w:tcPr>
          <w:p w14:paraId="0ABD25EF" w14:textId="77777777" w:rsidR="003215CC" w:rsidRPr="00007806" w:rsidRDefault="003215CC" w:rsidP="00AD7202">
            <w:pPr>
              <w:spacing w:line="240" w:lineRule="auto"/>
              <w:jc w:val="center"/>
              <w:rPr>
                <w:rFonts w:eastAsia="Times New Roman" w:cs="Times New Roman"/>
                <w:b/>
                <w:sz w:val="20"/>
                <w:szCs w:val="20"/>
                <w:lang w:eastAsia="pl-PL"/>
              </w:rPr>
            </w:pPr>
            <w:r w:rsidRPr="00007806">
              <w:rPr>
                <w:rFonts w:eastAsia="Times New Roman" w:cs="Times New Roman"/>
                <w:b/>
                <w:sz w:val="20"/>
                <w:szCs w:val="20"/>
                <w:lang w:eastAsia="pl-PL"/>
              </w:rPr>
              <w:t>w % osób danej grupy</w:t>
            </w:r>
          </w:p>
        </w:tc>
      </w:tr>
      <w:tr w:rsidR="003215CC" w:rsidRPr="00FB177B" w14:paraId="4E264525" w14:textId="77777777" w:rsidTr="00BD604A">
        <w:trPr>
          <w:trHeight w:val="398"/>
          <w:jc w:val="center"/>
        </w:trPr>
        <w:tc>
          <w:tcPr>
            <w:tcW w:w="10946" w:type="dxa"/>
            <w:gridSpan w:val="8"/>
            <w:shd w:val="clear" w:color="auto" w:fill="auto"/>
            <w:vAlign w:val="center"/>
            <w:hideMark/>
          </w:tcPr>
          <w:p w14:paraId="5D5CDA0E" w14:textId="77777777" w:rsidR="003215CC" w:rsidRPr="00007806" w:rsidRDefault="003215CC" w:rsidP="00AD7202">
            <w:pPr>
              <w:spacing w:line="240" w:lineRule="auto"/>
              <w:jc w:val="center"/>
              <w:rPr>
                <w:rFonts w:eastAsia="Times New Roman" w:cs="Times New Roman"/>
                <w:b/>
                <w:sz w:val="20"/>
                <w:szCs w:val="20"/>
                <w:lang w:eastAsia="pl-PL"/>
              </w:rPr>
            </w:pPr>
            <w:r w:rsidRPr="00007806">
              <w:rPr>
                <w:rFonts w:eastAsia="Times New Roman" w:cs="Times New Roman"/>
                <w:b/>
                <w:sz w:val="20"/>
                <w:szCs w:val="20"/>
                <w:lang w:eastAsia="pl-PL"/>
              </w:rPr>
              <w:t>Ogółem osoby w wieku 16 lat i więcej</w:t>
            </w:r>
          </w:p>
        </w:tc>
      </w:tr>
      <w:tr w:rsidR="003215CC" w:rsidRPr="00FB177B" w14:paraId="44CB88D3" w14:textId="77777777" w:rsidTr="00BD604A">
        <w:trPr>
          <w:trHeight w:val="300"/>
          <w:jc w:val="center"/>
        </w:trPr>
        <w:tc>
          <w:tcPr>
            <w:tcW w:w="1640" w:type="dxa"/>
            <w:shd w:val="clear" w:color="auto" w:fill="ED7D31" w:themeFill="accent2"/>
            <w:vAlign w:val="bottom"/>
            <w:hideMark/>
          </w:tcPr>
          <w:p w14:paraId="2D377229" w14:textId="77777777" w:rsidR="003215CC" w:rsidRPr="00007806" w:rsidRDefault="003215CC" w:rsidP="00AD7202">
            <w:pPr>
              <w:spacing w:line="240" w:lineRule="auto"/>
              <w:rPr>
                <w:rFonts w:eastAsia="Times New Roman" w:cs="Times New Roman"/>
                <w:b/>
                <w:bCs/>
                <w:sz w:val="20"/>
                <w:szCs w:val="20"/>
                <w:lang w:eastAsia="pl-PL"/>
              </w:rPr>
            </w:pPr>
            <w:r w:rsidRPr="00007806">
              <w:rPr>
                <w:rFonts w:eastAsia="Times New Roman" w:cs="Times New Roman"/>
                <w:b/>
                <w:bCs/>
                <w:sz w:val="20"/>
                <w:szCs w:val="20"/>
                <w:lang w:eastAsia="pl-PL"/>
              </w:rPr>
              <w:t xml:space="preserve">Ogółem </w:t>
            </w:r>
          </w:p>
        </w:tc>
        <w:tc>
          <w:tcPr>
            <w:tcW w:w="874" w:type="dxa"/>
            <w:shd w:val="clear" w:color="auto" w:fill="auto"/>
            <w:noWrap/>
            <w:vAlign w:val="bottom"/>
            <w:hideMark/>
          </w:tcPr>
          <w:p w14:paraId="432360F1" w14:textId="77777777" w:rsidR="003215CC" w:rsidRPr="00007806" w:rsidRDefault="003215CC" w:rsidP="00AD7202">
            <w:pPr>
              <w:spacing w:line="240" w:lineRule="auto"/>
              <w:jc w:val="center"/>
              <w:rPr>
                <w:rFonts w:eastAsia="Times New Roman" w:cs="Times New Roman"/>
                <w:b/>
                <w:bCs/>
                <w:sz w:val="20"/>
                <w:szCs w:val="20"/>
                <w:lang w:eastAsia="pl-PL"/>
              </w:rPr>
            </w:pPr>
            <w:r w:rsidRPr="00007806">
              <w:rPr>
                <w:rFonts w:eastAsia="Times New Roman" w:cs="Times New Roman"/>
                <w:b/>
                <w:bCs/>
                <w:sz w:val="20"/>
                <w:szCs w:val="20"/>
                <w:lang w:eastAsia="pl-PL"/>
              </w:rPr>
              <w:t>100</w:t>
            </w:r>
          </w:p>
        </w:tc>
        <w:tc>
          <w:tcPr>
            <w:tcW w:w="1399" w:type="dxa"/>
            <w:shd w:val="clear" w:color="auto" w:fill="auto"/>
            <w:noWrap/>
            <w:vAlign w:val="center"/>
            <w:hideMark/>
          </w:tcPr>
          <w:p w14:paraId="3F4AD36B" w14:textId="77777777" w:rsidR="003215CC" w:rsidRPr="00007806" w:rsidRDefault="003215CC" w:rsidP="00AD7202">
            <w:pPr>
              <w:spacing w:line="240" w:lineRule="auto"/>
              <w:jc w:val="center"/>
              <w:rPr>
                <w:rFonts w:eastAsia="Times New Roman" w:cs="Times New Roman"/>
                <w:b/>
                <w:bCs/>
                <w:sz w:val="20"/>
                <w:szCs w:val="20"/>
                <w:lang w:eastAsia="pl-PL"/>
              </w:rPr>
            </w:pPr>
            <w:r w:rsidRPr="00007806">
              <w:rPr>
                <w:rFonts w:eastAsia="Times New Roman" w:cs="Times New Roman"/>
                <w:b/>
                <w:bCs/>
                <w:sz w:val="20"/>
                <w:szCs w:val="20"/>
                <w:lang w:eastAsia="pl-PL"/>
              </w:rPr>
              <w:t>35,2</w:t>
            </w:r>
          </w:p>
        </w:tc>
        <w:tc>
          <w:tcPr>
            <w:tcW w:w="1619" w:type="dxa"/>
            <w:shd w:val="clear" w:color="auto" w:fill="auto"/>
            <w:noWrap/>
            <w:vAlign w:val="center"/>
            <w:hideMark/>
          </w:tcPr>
          <w:p w14:paraId="349D8FDB" w14:textId="77777777" w:rsidR="003215CC" w:rsidRPr="00007806" w:rsidRDefault="003215CC" w:rsidP="00AD7202">
            <w:pPr>
              <w:spacing w:line="240" w:lineRule="auto"/>
              <w:jc w:val="center"/>
              <w:rPr>
                <w:rFonts w:eastAsia="Times New Roman" w:cs="Times New Roman"/>
                <w:b/>
                <w:bCs/>
                <w:sz w:val="20"/>
                <w:szCs w:val="20"/>
                <w:lang w:eastAsia="pl-PL"/>
              </w:rPr>
            </w:pPr>
            <w:r w:rsidRPr="00007806">
              <w:rPr>
                <w:rFonts w:eastAsia="Times New Roman" w:cs="Times New Roman"/>
                <w:b/>
                <w:bCs/>
                <w:sz w:val="20"/>
                <w:szCs w:val="20"/>
                <w:lang w:eastAsia="pl-PL"/>
              </w:rPr>
              <w:t>11,1</w:t>
            </w:r>
          </w:p>
        </w:tc>
        <w:tc>
          <w:tcPr>
            <w:tcW w:w="1559" w:type="dxa"/>
            <w:shd w:val="clear" w:color="auto" w:fill="auto"/>
            <w:noWrap/>
            <w:vAlign w:val="center"/>
            <w:hideMark/>
          </w:tcPr>
          <w:p w14:paraId="1BA49230" w14:textId="77777777" w:rsidR="003215CC" w:rsidRPr="00007806" w:rsidRDefault="003215CC" w:rsidP="00AD7202">
            <w:pPr>
              <w:spacing w:line="240" w:lineRule="auto"/>
              <w:jc w:val="center"/>
              <w:rPr>
                <w:rFonts w:eastAsia="Times New Roman" w:cs="Times New Roman"/>
                <w:b/>
                <w:bCs/>
                <w:sz w:val="20"/>
                <w:szCs w:val="20"/>
                <w:lang w:eastAsia="pl-PL"/>
              </w:rPr>
            </w:pPr>
            <w:r w:rsidRPr="00007806">
              <w:rPr>
                <w:rFonts w:eastAsia="Times New Roman" w:cs="Times New Roman"/>
                <w:b/>
                <w:bCs/>
                <w:sz w:val="20"/>
                <w:szCs w:val="20"/>
                <w:lang w:eastAsia="pl-PL"/>
              </w:rPr>
              <w:t>26,7</w:t>
            </w:r>
          </w:p>
        </w:tc>
        <w:tc>
          <w:tcPr>
            <w:tcW w:w="1418" w:type="dxa"/>
            <w:shd w:val="clear" w:color="auto" w:fill="auto"/>
            <w:noWrap/>
            <w:vAlign w:val="center"/>
            <w:hideMark/>
          </w:tcPr>
          <w:p w14:paraId="1388F5CF" w14:textId="77777777" w:rsidR="003215CC" w:rsidRPr="00007806" w:rsidRDefault="003215CC" w:rsidP="00AD7202">
            <w:pPr>
              <w:spacing w:line="240" w:lineRule="auto"/>
              <w:jc w:val="center"/>
              <w:rPr>
                <w:rFonts w:eastAsia="Times New Roman" w:cs="Times New Roman"/>
                <w:b/>
                <w:bCs/>
                <w:sz w:val="20"/>
                <w:szCs w:val="20"/>
                <w:lang w:eastAsia="pl-PL"/>
              </w:rPr>
            </w:pPr>
            <w:r w:rsidRPr="00007806">
              <w:rPr>
                <w:rFonts w:eastAsia="Times New Roman" w:cs="Times New Roman"/>
                <w:b/>
                <w:bCs/>
                <w:sz w:val="20"/>
                <w:szCs w:val="20"/>
                <w:lang w:eastAsia="pl-PL"/>
              </w:rPr>
              <w:t>2,7</w:t>
            </w:r>
          </w:p>
        </w:tc>
        <w:tc>
          <w:tcPr>
            <w:tcW w:w="1417" w:type="dxa"/>
            <w:shd w:val="clear" w:color="auto" w:fill="auto"/>
            <w:noWrap/>
            <w:vAlign w:val="center"/>
            <w:hideMark/>
          </w:tcPr>
          <w:p w14:paraId="084ACCC9" w14:textId="77777777" w:rsidR="003215CC" w:rsidRPr="00007806" w:rsidRDefault="003215CC" w:rsidP="00AD7202">
            <w:pPr>
              <w:spacing w:line="240" w:lineRule="auto"/>
              <w:jc w:val="center"/>
              <w:rPr>
                <w:rFonts w:eastAsia="Times New Roman" w:cs="Times New Roman"/>
                <w:b/>
                <w:bCs/>
                <w:sz w:val="20"/>
                <w:szCs w:val="20"/>
                <w:lang w:eastAsia="pl-PL"/>
              </w:rPr>
            </w:pPr>
            <w:r w:rsidRPr="00007806">
              <w:rPr>
                <w:rFonts w:eastAsia="Times New Roman" w:cs="Times New Roman"/>
                <w:b/>
                <w:bCs/>
                <w:sz w:val="20"/>
                <w:szCs w:val="20"/>
                <w:lang w:eastAsia="pl-PL"/>
              </w:rPr>
              <w:t>2,7</w:t>
            </w:r>
          </w:p>
        </w:tc>
        <w:tc>
          <w:tcPr>
            <w:tcW w:w="1020" w:type="dxa"/>
            <w:shd w:val="clear" w:color="auto" w:fill="auto"/>
            <w:noWrap/>
            <w:vAlign w:val="bottom"/>
            <w:hideMark/>
          </w:tcPr>
          <w:p w14:paraId="389EF28B" w14:textId="77777777" w:rsidR="003215CC" w:rsidRPr="00007806" w:rsidRDefault="003215CC" w:rsidP="00AD7202">
            <w:pPr>
              <w:spacing w:line="240" w:lineRule="auto"/>
              <w:jc w:val="center"/>
              <w:rPr>
                <w:rFonts w:eastAsia="Times New Roman" w:cs="Times New Roman"/>
                <w:b/>
                <w:bCs/>
                <w:sz w:val="20"/>
                <w:szCs w:val="20"/>
                <w:lang w:eastAsia="pl-PL"/>
              </w:rPr>
            </w:pPr>
            <w:r w:rsidRPr="00007806">
              <w:rPr>
                <w:rFonts w:eastAsia="Times New Roman" w:cs="Times New Roman"/>
                <w:b/>
                <w:bCs/>
                <w:sz w:val="20"/>
                <w:szCs w:val="20"/>
                <w:lang w:eastAsia="pl-PL"/>
              </w:rPr>
              <w:t>21,7</w:t>
            </w:r>
          </w:p>
        </w:tc>
      </w:tr>
      <w:tr w:rsidR="003215CC" w:rsidRPr="00FB177B" w14:paraId="1B755022" w14:textId="77777777" w:rsidTr="00BD604A">
        <w:trPr>
          <w:trHeight w:val="300"/>
          <w:jc w:val="center"/>
        </w:trPr>
        <w:tc>
          <w:tcPr>
            <w:tcW w:w="1640" w:type="dxa"/>
            <w:shd w:val="clear" w:color="auto" w:fill="ED7D31" w:themeFill="accent2"/>
            <w:noWrap/>
            <w:vAlign w:val="bottom"/>
            <w:hideMark/>
          </w:tcPr>
          <w:p w14:paraId="4F4CE7AF" w14:textId="77777777" w:rsidR="003215CC" w:rsidRPr="00007806" w:rsidRDefault="003215CC" w:rsidP="00AD7202">
            <w:pPr>
              <w:spacing w:line="240" w:lineRule="auto"/>
              <w:rPr>
                <w:rFonts w:eastAsia="Times New Roman" w:cs="Times New Roman"/>
                <w:b/>
                <w:sz w:val="20"/>
                <w:szCs w:val="20"/>
                <w:lang w:eastAsia="pl-PL"/>
              </w:rPr>
            </w:pPr>
            <w:r w:rsidRPr="00007806">
              <w:rPr>
                <w:rFonts w:eastAsia="Times New Roman" w:cs="Times New Roman"/>
                <w:b/>
                <w:sz w:val="20"/>
                <w:szCs w:val="20"/>
                <w:lang w:eastAsia="pl-PL"/>
              </w:rPr>
              <w:t>Mężczyźni</w:t>
            </w:r>
          </w:p>
        </w:tc>
        <w:tc>
          <w:tcPr>
            <w:tcW w:w="874" w:type="dxa"/>
            <w:shd w:val="clear" w:color="auto" w:fill="auto"/>
            <w:noWrap/>
            <w:vAlign w:val="bottom"/>
            <w:hideMark/>
          </w:tcPr>
          <w:p w14:paraId="54610707"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100</w:t>
            </w:r>
          </w:p>
        </w:tc>
        <w:tc>
          <w:tcPr>
            <w:tcW w:w="1399" w:type="dxa"/>
            <w:shd w:val="clear" w:color="auto" w:fill="auto"/>
            <w:noWrap/>
            <w:vAlign w:val="center"/>
            <w:hideMark/>
          </w:tcPr>
          <w:p w14:paraId="29578B4F"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31,0</w:t>
            </w:r>
          </w:p>
        </w:tc>
        <w:tc>
          <w:tcPr>
            <w:tcW w:w="1619" w:type="dxa"/>
            <w:shd w:val="clear" w:color="auto" w:fill="auto"/>
            <w:noWrap/>
            <w:vAlign w:val="center"/>
            <w:hideMark/>
          </w:tcPr>
          <w:p w14:paraId="1E882187"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8,4</w:t>
            </w:r>
          </w:p>
        </w:tc>
        <w:tc>
          <w:tcPr>
            <w:tcW w:w="1559" w:type="dxa"/>
            <w:shd w:val="clear" w:color="auto" w:fill="auto"/>
            <w:noWrap/>
            <w:vAlign w:val="center"/>
            <w:hideMark/>
          </w:tcPr>
          <w:p w14:paraId="677B0AFD"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29,6</w:t>
            </w:r>
          </w:p>
        </w:tc>
        <w:tc>
          <w:tcPr>
            <w:tcW w:w="1418" w:type="dxa"/>
            <w:shd w:val="clear" w:color="auto" w:fill="auto"/>
            <w:noWrap/>
            <w:vAlign w:val="center"/>
            <w:hideMark/>
          </w:tcPr>
          <w:p w14:paraId="766168AB"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2,5</w:t>
            </w:r>
            <w:r w:rsidRPr="00007806">
              <w:rPr>
                <w:rFonts w:eastAsia="Times New Roman" w:cs="Times New Roman"/>
                <w:sz w:val="20"/>
                <w:szCs w:val="20"/>
                <w:vertAlign w:val="superscript"/>
                <w:lang w:eastAsia="pl-PL"/>
              </w:rPr>
              <w:t>a</w:t>
            </w:r>
          </w:p>
        </w:tc>
        <w:tc>
          <w:tcPr>
            <w:tcW w:w="1417" w:type="dxa"/>
            <w:shd w:val="clear" w:color="auto" w:fill="auto"/>
            <w:noWrap/>
            <w:vAlign w:val="center"/>
            <w:hideMark/>
          </w:tcPr>
          <w:p w14:paraId="11F96362"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3,6</w:t>
            </w:r>
          </w:p>
        </w:tc>
        <w:tc>
          <w:tcPr>
            <w:tcW w:w="1020" w:type="dxa"/>
            <w:shd w:val="clear" w:color="auto" w:fill="auto"/>
            <w:noWrap/>
            <w:vAlign w:val="bottom"/>
            <w:hideMark/>
          </w:tcPr>
          <w:p w14:paraId="27665270"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24,9</w:t>
            </w:r>
          </w:p>
        </w:tc>
      </w:tr>
      <w:tr w:rsidR="003215CC" w:rsidRPr="00FB177B" w14:paraId="11078499" w14:textId="77777777" w:rsidTr="00BD604A">
        <w:trPr>
          <w:trHeight w:val="300"/>
          <w:jc w:val="center"/>
        </w:trPr>
        <w:tc>
          <w:tcPr>
            <w:tcW w:w="1640" w:type="dxa"/>
            <w:shd w:val="clear" w:color="auto" w:fill="ED7D31" w:themeFill="accent2"/>
            <w:noWrap/>
            <w:vAlign w:val="bottom"/>
            <w:hideMark/>
          </w:tcPr>
          <w:p w14:paraId="7E8FD9BA" w14:textId="77777777" w:rsidR="003215CC" w:rsidRPr="00007806" w:rsidRDefault="003215CC" w:rsidP="00AD7202">
            <w:pPr>
              <w:spacing w:line="240" w:lineRule="auto"/>
              <w:rPr>
                <w:rFonts w:eastAsia="Times New Roman" w:cs="Times New Roman"/>
                <w:b/>
                <w:sz w:val="20"/>
                <w:szCs w:val="20"/>
                <w:lang w:eastAsia="pl-PL"/>
              </w:rPr>
            </w:pPr>
            <w:r w:rsidRPr="00007806">
              <w:rPr>
                <w:rFonts w:eastAsia="Times New Roman" w:cs="Times New Roman"/>
                <w:b/>
                <w:sz w:val="20"/>
                <w:szCs w:val="20"/>
                <w:lang w:eastAsia="pl-PL"/>
              </w:rPr>
              <w:t>Kobiety</w:t>
            </w:r>
          </w:p>
        </w:tc>
        <w:tc>
          <w:tcPr>
            <w:tcW w:w="874" w:type="dxa"/>
            <w:shd w:val="clear" w:color="auto" w:fill="auto"/>
            <w:noWrap/>
            <w:vAlign w:val="bottom"/>
            <w:hideMark/>
          </w:tcPr>
          <w:p w14:paraId="6FA0A94E"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100</w:t>
            </w:r>
          </w:p>
        </w:tc>
        <w:tc>
          <w:tcPr>
            <w:tcW w:w="1399" w:type="dxa"/>
            <w:shd w:val="clear" w:color="auto" w:fill="auto"/>
            <w:noWrap/>
            <w:vAlign w:val="center"/>
            <w:hideMark/>
          </w:tcPr>
          <w:p w14:paraId="018C158B"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38,5</w:t>
            </w:r>
          </w:p>
        </w:tc>
        <w:tc>
          <w:tcPr>
            <w:tcW w:w="1619" w:type="dxa"/>
            <w:shd w:val="clear" w:color="auto" w:fill="auto"/>
            <w:noWrap/>
            <w:vAlign w:val="center"/>
            <w:hideMark/>
          </w:tcPr>
          <w:p w14:paraId="762320E0"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13,2</w:t>
            </w:r>
          </w:p>
        </w:tc>
        <w:tc>
          <w:tcPr>
            <w:tcW w:w="1559" w:type="dxa"/>
            <w:shd w:val="clear" w:color="auto" w:fill="auto"/>
            <w:noWrap/>
            <w:vAlign w:val="center"/>
            <w:hideMark/>
          </w:tcPr>
          <w:p w14:paraId="3CB13819"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24,4</w:t>
            </w:r>
          </w:p>
        </w:tc>
        <w:tc>
          <w:tcPr>
            <w:tcW w:w="1418" w:type="dxa"/>
            <w:shd w:val="clear" w:color="auto" w:fill="auto"/>
            <w:noWrap/>
            <w:vAlign w:val="center"/>
            <w:hideMark/>
          </w:tcPr>
          <w:p w14:paraId="75C1ECB9"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2,9</w:t>
            </w:r>
          </w:p>
        </w:tc>
        <w:tc>
          <w:tcPr>
            <w:tcW w:w="1417" w:type="dxa"/>
            <w:shd w:val="clear" w:color="auto" w:fill="auto"/>
            <w:noWrap/>
            <w:vAlign w:val="center"/>
            <w:hideMark/>
          </w:tcPr>
          <w:p w14:paraId="2BA366A6"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1,9</w:t>
            </w:r>
            <w:r w:rsidRPr="00007806">
              <w:rPr>
                <w:rFonts w:eastAsia="Times New Roman" w:cs="Times New Roman"/>
                <w:sz w:val="20"/>
                <w:szCs w:val="20"/>
                <w:vertAlign w:val="superscript"/>
                <w:lang w:eastAsia="pl-PL"/>
              </w:rPr>
              <w:t>a</w:t>
            </w:r>
          </w:p>
        </w:tc>
        <w:tc>
          <w:tcPr>
            <w:tcW w:w="1020" w:type="dxa"/>
            <w:shd w:val="clear" w:color="auto" w:fill="auto"/>
            <w:noWrap/>
            <w:vAlign w:val="bottom"/>
            <w:hideMark/>
          </w:tcPr>
          <w:p w14:paraId="36A5C872"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19,1</w:t>
            </w:r>
          </w:p>
        </w:tc>
      </w:tr>
      <w:tr w:rsidR="003215CC" w:rsidRPr="00FB177B" w14:paraId="0962E50A" w14:textId="77777777" w:rsidTr="00BD604A">
        <w:trPr>
          <w:trHeight w:val="300"/>
          <w:jc w:val="center"/>
        </w:trPr>
        <w:tc>
          <w:tcPr>
            <w:tcW w:w="1640" w:type="dxa"/>
            <w:shd w:val="clear" w:color="auto" w:fill="ED7D31" w:themeFill="accent2"/>
            <w:noWrap/>
            <w:vAlign w:val="bottom"/>
            <w:hideMark/>
          </w:tcPr>
          <w:p w14:paraId="6876AA7C" w14:textId="77777777" w:rsidR="003215CC" w:rsidRPr="00007806" w:rsidRDefault="003215CC" w:rsidP="00AD7202">
            <w:pPr>
              <w:spacing w:line="240" w:lineRule="auto"/>
              <w:rPr>
                <w:rFonts w:eastAsia="Times New Roman" w:cs="Times New Roman"/>
                <w:b/>
                <w:sz w:val="20"/>
                <w:szCs w:val="20"/>
                <w:lang w:eastAsia="pl-PL"/>
              </w:rPr>
            </w:pPr>
            <w:r w:rsidRPr="00007806">
              <w:rPr>
                <w:rFonts w:eastAsia="Times New Roman" w:cs="Times New Roman"/>
                <w:b/>
                <w:sz w:val="20"/>
                <w:szCs w:val="20"/>
                <w:lang w:eastAsia="pl-PL"/>
              </w:rPr>
              <w:t>Miasta</w:t>
            </w:r>
          </w:p>
        </w:tc>
        <w:tc>
          <w:tcPr>
            <w:tcW w:w="874" w:type="dxa"/>
            <w:shd w:val="clear" w:color="auto" w:fill="auto"/>
            <w:noWrap/>
            <w:vAlign w:val="bottom"/>
            <w:hideMark/>
          </w:tcPr>
          <w:p w14:paraId="2B774D23"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100</w:t>
            </w:r>
          </w:p>
        </w:tc>
        <w:tc>
          <w:tcPr>
            <w:tcW w:w="1399" w:type="dxa"/>
            <w:shd w:val="clear" w:color="auto" w:fill="auto"/>
            <w:noWrap/>
            <w:vAlign w:val="center"/>
            <w:hideMark/>
          </w:tcPr>
          <w:p w14:paraId="1AD6F562"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39,2</w:t>
            </w:r>
          </w:p>
        </w:tc>
        <w:tc>
          <w:tcPr>
            <w:tcW w:w="1619" w:type="dxa"/>
            <w:shd w:val="clear" w:color="auto" w:fill="auto"/>
            <w:noWrap/>
            <w:vAlign w:val="center"/>
            <w:hideMark/>
          </w:tcPr>
          <w:p w14:paraId="439076E2"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9,3</w:t>
            </w:r>
          </w:p>
        </w:tc>
        <w:tc>
          <w:tcPr>
            <w:tcW w:w="1559" w:type="dxa"/>
            <w:shd w:val="clear" w:color="auto" w:fill="auto"/>
            <w:noWrap/>
            <w:vAlign w:val="center"/>
            <w:hideMark/>
          </w:tcPr>
          <w:p w14:paraId="182DA47B"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25,1</w:t>
            </w:r>
          </w:p>
        </w:tc>
        <w:tc>
          <w:tcPr>
            <w:tcW w:w="1418" w:type="dxa"/>
            <w:shd w:val="clear" w:color="auto" w:fill="auto"/>
            <w:noWrap/>
            <w:vAlign w:val="center"/>
            <w:hideMark/>
          </w:tcPr>
          <w:p w14:paraId="2A0BB723"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1,7</w:t>
            </w:r>
            <w:r w:rsidRPr="00007806">
              <w:rPr>
                <w:rFonts w:eastAsia="Times New Roman" w:cs="Times New Roman"/>
                <w:sz w:val="20"/>
                <w:szCs w:val="20"/>
                <w:vertAlign w:val="superscript"/>
                <w:lang w:eastAsia="pl-PL"/>
              </w:rPr>
              <w:t>a</w:t>
            </w:r>
          </w:p>
        </w:tc>
        <w:tc>
          <w:tcPr>
            <w:tcW w:w="1417" w:type="dxa"/>
            <w:shd w:val="clear" w:color="auto" w:fill="auto"/>
            <w:noWrap/>
            <w:vAlign w:val="center"/>
            <w:hideMark/>
          </w:tcPr>
          <w:p w14:paraId="1E7D72E3"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2,3</w:t>
            </w:r>
          </w:p>
        </w:tc>
        <w:tc>
          <w:tcPr>
            <w:tcW w:w="1020" w:type="dxa"/>
            <w:shd w:val="clear" w:color="auto" w:fill="auto"/>
            <w:noWrap/>
            <w:vAlign w:val="bottom"/>
            <w:hideMark/>
          </w:tcPr>
          <w:p w14:paraId="4DAD38A5"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22,5</w:t>
            </w:r>
          </w:p>
        </w:tc>
      </w:tr>
      <w:tr w:rsidR="003215CC" w:rsidRPr="00FB177B" w14:paraId="63BC528B" w14:textId="77777777" w:rsidTr="00BD604A">
        <w:trPr>
          <w:trHeight w:val="300"/>
          <w:jc w:val="center"/>
        </w:trPr>
        <w:tc>
          <w:tcPr>
            <w:tcW w:w="1640" w:type="dxa"/>
            <w:shd w:val="clear" w:color="auto" w:fill="ED7D31" w:themeFill="accent2"/>
            <w:noWrap/>
            <w:vAlign w:val="bottom"/>
            <w:hideMark/>
          </w:tcPr>
          <w:p w14:paraId="31F974F8" w14:textId="77777777" w:rsidR="003215CC" w:rsidRPr="00007806" w:rsidRDefault="003215CC" w:rsidP="00AD7202">
            <w:pPr>
              <w:spacing w:line="240" w:lineRule="auto"/>
              <w:rPr>
                <w:rFonts w:eastAsia="Times New Roman" w:cs="Times New Roman"/>
                <w:b/>
                <w:sz w:val="20"/>
                <w:szCs w:val="20"/>
                <w:lang w:eastAsia="pl-PL"/>
              </w:rPr>
            </w:pPr>
            <w:r w:rsidRPr="00007806">
              <w:rPr>
                <w:rFonts w:eastAsia="Times New Roman" w:cs="Times New Roman"/>
                <w:b/>
                <w:sz w:val="20"/>
                <w:szCs w:val="20"/>
                <w:lang w:eastAsia="pl-PL"/>
              </w:rPr>
              <w:t>Wieś</w:t>
            </w:r>
          </w:p>
        </w:tc>
        <w:tc>
          <w:tcPr>
            <w:tcW w:w="874" w:type="dxa"/>
            <w:shd w:val="clear" w:color="auto" w:fill="auto"/>
            <w:noWrap/>
            <w:vAlign w:val="bottom"/>
            <w:hideMark/>
          </w:tcPr>
          <w:p w14:paraId="4A091ABF"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100</w:t>
            </w:r>
          </w:p>
        </w:tc>
        <w:tc>
          <w:tcPr>
            <w:tcW w:w="1399" w:type="dxa"/>
            <w:shd w:val="clear" w:color="auto" w:fill="auto"/>
            <w:noWrap/>
            <w:vAlign w:val="center"/>
            <w:hideMark/>
          </w:tcPr>
          <w:p w14:paraId="5A53E442"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27,5</w:t>
            </w:r>
          </w:p>
        </w:tc>
        <w:tc>
          <w:tcPr>
            <w:tcW w:w="1619" w:type="dxa"/>
            <w:shd w:val="clear" w:color="auto" w:fill="auto"/>
            <w:noWrap/>
            <w:vAlign w:val="center"/>
            <w:hideMark/>
          </w:tcPr>
          <w:p w14:paraId="5F688DC5"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14,5</w:t>
            </w:r>
          </w:p>
        </w:tc>
        <w:tc>
          <w:tcPr>
            <w:tcW w:w="1559" w:type="dxa"/>
            <w:shd w:val="clear" w:color="auto" w:fill="auto"/>
            <w:noWrap/>
            <w:vAlign w:val="center"/>
            <w:hideMark/>
          </w:tcPr>
          <w:p w14:paraId="49139795"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29,8</w:t>
            </w:r>
          </w:p>
        </w:tc>
        <w:tc>
          <w:tcPr>
            <w:tcW w:w="1418" w:type="dxa"/>
            <w:shd w:val="clear" w:color="auto" w:fill="auto"/>
            <w:noWrap/>
            <w:vAlign w:val="center"/>
            <w:hideMark/>
          </w:tcPr>
          <w:p w14:paraId="0FAB00E1"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4,7</w:t>
            </w:r>
          </w:p>
        </w:tc>
        <w:tc>
          <w:tcPr>
            <w:tcW w:w="1417" w:type="dxa"/>
            <w:shd w:val="clear" w:color="auto" w:fill="auto"/>
            <w:noWrap/>
            <w:vAlign w:val="center"/>
            <w:hideMark/>
          </w:tcPr>
          <w:p w14:paraId="2E4D71BC"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3,4</w:t>
            </w:r>
            <w:r w:rsidRPr="00007806">
              <w:rPr>
                <w:rFonts w:eastAsia="Times New Roman" w:cs="Times New Roman"/>
                <w:sz w:val="20"/>
                <w:szCs w:val="20"/>
                <w:vertAlign w:val="superscript"/>
                <w:lang w:eastAsia="pl-PL"/>
              </w:rPr>
              <w:t>a</w:t>
            </w:r>
          </w:p>
        </w:tc>
        <w:tc>
          <w:tcPr>
            <w:tcW w:w="1020" w:type="dxa"/>
            <w:shd w:val="clear" w:color="auto" w:fill="auto"/>
            <w:noWrap/>
            <w:vAlign w:val="bottom"/>
            <w:hideMark/>
          </w:tcPr>
          <w:p w14:paraId="6C110366"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20,2</w:t>
            </w:r>
          </w:p>
        </w:tc>
      </w:tr>
      <w:tr w:rsidR="003215CC" w:rsidRPr="00FB177B" w14:paraId="7EB528B3" w14:textId="77777777" w:rsidTr="00BD604A">
        <w:trPr>
          <w:trHeight w:val="398"/>
          <w:jc w:val="center"/>
        </w:trPr>
        <w:tc>
          <w:tcPr>
            <w:tcW w:w="10946" w:type="dxa"/>
            <w:gridSpan w:val="8"/>
            <w:shd w:val="clear" w:color="auto" w:fill="ED7D31" w:themeFill="accent2"/>
            <w:vAlign w:val="center"/>
            <w:hideMark/>
          </w:tcPr>
          <w:p w14:paraId="4AB78D51" w14:textId="77777777" w:rsidR="003215CC" w:rsidRPr="00007806" w:rsidRDefault="003215CC" w:rsidP="00AD7202">
            <w:pPr>
              <w:spacing w:line="240" w:lineRule="auto"/>
              <w:jc w:val="center"/>
              <w:rPr>
                <w:rFonts w:eastAsia="Times New Roman" w:cs="Times New Roman"/>
                <w:b/>
                <w:sz w:val="20"/>
                <w:szCs w:val="20"/>
                <w:lang w:eastAsia="pl-PL"/>
              </w:rPr>
            </w:pPr>
            <w:r w:rsidRPr="00007806">
              <w:rPr>
                <w:rFonts w:eastAsia="Times New Roman" w:cs="Times New Roman"/>
                <w:b/>
                <w:sz w:val="20"/>
                <w:szCs w:val="20"/>
                <w:lang w:eastAsia="pl-PL"/>
              </w:rPr>
              <w:t>Osoby w wieku 60 lat i więcej</w:t>
            </w:r>
          </w:p>
        </w:tc>
      </w:tr>
      <w:tr w:rsidR="003215CC" w:rsidRPr="00FB177B" w14:paraId="4807261F" w14:textId="77777777" w:rsidTr="00BD604A">
        <w:trPr>
          <w:trHeight w:val="300"/>
          <w:jc w:val="center"/>
        </w:trPr>
        <w:tc>
          <w:tcPr>
            <w:tcW w:w="1640" w:type="dxa"/>
            <w:shd w:val="clear" w:color="auto" w:fill="ED7D31" w:themeFill="accent2"/>
            <w:vAlign w:val="bottom"/>
            <w:hideMark/>
          </w:tcPr>
          <w:p w14:paraId="06E757C9" w14:textId="77777777" w:rsidR="003215CC" w:rsidRPr="00007806" w:rsidRDefault="003215CC" w:rsidP="00AD7202">
            <w:pPr>
              <w:spacing w:line="240" w:lineRule="auto"/>
              <w:rPr>
                <w:rFonts w:eastAsia="Times New Roman" w:cs="Times New Roman"/>
                <w:b/>
                <w:bCs/>
                <w:sz w:val="20"/>
                <w:szCs w:val="20"/>
                <w:lang w:eastAsia="pl-PL"/>
              </w:rPr>
            </w:pPr>
            <w:r w:rsidRPr="00007806">
              <w:rPr>
                <w:rFonts w:eastAsia="Times New Roman" w:cs="Times New Roman"/>
                <w:b/>
                <w:bCs/>
                <w:sz w:val="20"/>
                <w:szCs w:val="20"/>
                <w:lang w:eastAsia="pl-PL"/>
              </w:rPr>
              <w:t xml:space="preserve">Ogółem </w:t>
            </w:r>
          </w:p>
        </w:tc>
        <w:tc>
          <w:tcPr>
            <w:tcW w:w="874" w:type="dxa"/>
            <w:shd w:val="clear" w:color="auto" w:fill="auto"/>
            <w:noWrap/>
            <w:vAlign w:val="bottom"/>
            <w:hideMark/>
          </w:tcPr>
          <w:p w14:paraId="741F7E20" w14:textId="77777777" w:rsidR="003215CC" w:rsidRPr="00007806" w:rsidRDefault="003215CC" w:rsidP="00AD7202">
            <w:pPr>
              <w:spacing w:line="240" w:lineRule="auto"/>
              <w:jc w:val="center"/>
              <w:rPr>
                <w:rFonts w:eastAsia="Times New Roman" w:cs="Times New Roman"/>
                <w:b/>
                <w:bCs/>
                <w:sz w:val="20"/>
                <w:szCs w:val="20"/>
                <w:lang w:eastAsia="pl-PL"/>
              </w:rPr>
            </w:pPr>
            <w:r w:rsidRPr="00007806">
              <w:rPr>
                <w:rFonts w:eastAsia="Times New Roman" w:cs="Times New Roman"/>
                <w:b/>
                <w:bCs/>
                <w:sz w:val="20"/>
                <w:szCs w:val="20"/>
                <w:lang w:eastAsia="pl-PL"/>
              </w:rPr>
              <w:t>100</w:t>
            </w:r>
          </w:p>
        </w:tc>
        <w:tc>
          <w:tcPr>
            <w:tcW w:w="1399" w:type="dxa"/>
            <w:shd w:val="clear" w:color="auto" w:fill="auto"/>
            <w:noWrap/>
            <w:vAlign w:val="center"/>
            <w:hideMark/>
          </w:tcPr>
          <w:p w14:paraId="77369618" w14:textId="77777777" w:rsidR="003215CC" w:rsidRPr="00007806" w:rsidRDefault="003215CC" w:rsidP="00AD7202">
            <w:pPr>
              <w:spacing w:line="240" w:lineRule="auto"/>
              <w:jc w:val="center"/>
              <w:rPr>
                <w:rFonts w:eastAsia="Times New Roman" w:cs="Times New Roman"/>
                <w:b/>
                <w:bCs/>
                <w:sz w:val="20"/>
                <w:szCs w:val="20"/>
                <w:lang w:eastAsia="pl-PL"/>
              </w:rPr>
            </w:pPr>
            <w:r w:rsidRPr="00007806">
              <w:rPr>
                <w:rFonts w:eastAsia="Times New Roman" w:cs="Times New Roman"/>
                <w:b/>
                <w:bCs/>
                <w:sz w:val="20"/>
                <w:szCs w:val="20"/>
                <w:lang w:eastAsia="pl-PL"/>
              </w:rPr>
              <w:t>40,9</w:t>
            </w:r>
          </w:p>
        </w:tc>
        <w:tc>
          <w:tcPr>
            <w:tcW w:w="1619" w:type="dxa"/>
            <w:shd w:val="clear" w:color="auto" w:fill="auto"/>
            <w:noWrap/>
            <w:vAlign w:val="center"/>
            <w:hideMark/>
          </w:tcPr>
          <w:p w14:paraId="04291C52" w14:textId="77777777" w:rsidR="003215CC" w:rsidRPr="00007806" w:rsidRDefault="003215CC" w:rsidP="00AD7202">
            <w:pPr>
              <w:spacing w:line="240" w:lineRule="auto"/>
              <w:jc w:val="center"/>
              <w:rPr>
                <w:rFonts w:eastAsia="Times New Roman" w:cs="Times New Roman"/>
                <w:b/>
                <w:bCs/>
                <w:sz w:val="20"/>
                <w:szCs w:val="20"/>
                <w:lang w:eastAsia="pl-PL"/>
              </w:rPr>
            </w:pPr>
            <w:r w:rsidRPr="00007806">
              <w:rPr>
                <w:rFonts w:eastAsia="Times New Roman" w:cs="Times New Roman"/>
                <w:b/>
                <w:bCs/>
                <w:sz w:val="20"/>
                <w:szCs w:val="20"/>
                <w:lang w:eastAsia="pl-PL"/>
              </w:rPr>
              <w:t>15,3</w:t>
            </w:r>
          </w:p>
        </w:tc>
        <w:tc>
          <w:tcPr>
            <w:tcW w:w="1559" w:type="dxa"/>
            <w:shd w:val="clear" w:color="auto" w:fill="auto"/>
            <w:noWrap/>
            <w:vAlign w:val="center"/>
            <w:hideMark/>
          </w:tcPr>
          <w:p w14:paraId="3830242C" w14:textId="77777777" w:rsidR="003215CC" w:rsidRPr="00007806" w:rsidRDefault="003215CC" w:rsidP="00AD7202">
            <w:pPr>
              <w:spacing w:line="240" w:lineRule="auto"/>
              <w:jc w:val="center"/>
              <w:rPr>
                <w:rFonts w:eastAsia="Times New Roman" w:cs="Times New Roman"/>
                <w:b/>
                <w:bCs/>
                <w:sz w:val="20"/>
                <w:szCs w:val="20"/>
                <w:lang w:eastAsia="pl-PL"/>
              </w:rPr>
            </w:pPr>
            <w:r w:rsidRPr="00007806">
              <w:rPr>
                <w:rFonts w:eastAsia="Times New Roman" w:cs="Times New Roman"/>
                <w:b/>
                <w:bCs/>
                <w:sz w:val="20"/>
                <w:szCs w:val="20"/>
                <w:lang w:eastAsia="pl-PL"/>
              </w:rPr>
              <w:t>23,3</w:t>
            </w:r>
          </w:p>
        </w:tc>
        <w:tc>
          <w:tcPr>
            <w:tcW w:w="1418" w:type="dxa"/>
            <w:shd w:val="clear" w:color="auto" w:fill="auto"/>
            <w:noWrap/>
            <w:vAlign w:val="center"/>
            <w:hideMark/>
          </w:tcPr>
          <w:p w14:paraId="29E8702C" w14:textId="77777777" w:rsidR="003215CC" w:rsidRPr="00007806" w:rsidRDefault="003215CC" w:rsidP="00AD7202">
            <w:pPr>
              <w:spacing w:line="240" w:lineRule="auto"/>
              <w:jc w:val="center"/>
              <w:rPr>
                <w:rFonts w:eastAsia="Times New Roman" w:cs="Times New Roman"/>
                <w:b/>
                <w:bCs/>
                <w:sz w:val="20"/>
                <w:szCs w:val="20"/>
                <w:lang w:eastAsia="pl-PL"/>
              </w:rPr>
            </w:pPr>
            <w:r w:rsidRPr="00007806">
              <w:rPr>
                <w:rFonts w:eastAsia="Times New Roman" w:cs="Times New Roman"/>
                <w:b/>
                <w:bCs/>
                <w:sz w:val="20"/>
                <w:szCs w:val="20"/>
                <w:lang w:eastAsia="pl-PL"/>
              </w:rPr>
              <w:t>5,7</w:t>
            </w:r>
          </w:p>
        </w:tc>
        <w:tc>
          <w:tcPr>
            <w:tcW w:w="1417" w:type="dxa"/>
            <w:shd w:val="clear" w:color="auto" w:fill="auto"/>
            <w:noWrap/>
            <w:vAlign w:val="center"/>
            <w:hideMark/>
          </w:tcPr>
          <w:p w14:paraId="552406B3" w14:textId="77777777" w:rsidR="003215CC" w:rsidRPr="00007806" w:rsidRDefault="003215CC" w:rsidP="00AD7202">
            <w:pPr>
              <w:spacing w:line="240" w:lineRule="auto"/>
              <w:jc w:val="center"/>
              <w:rPr>
                <w:rFonts w:eastAsia="Times New Roman" w:cs="Times New Roman"/>
                <w:b/>
                <w:bCs/>
                <w:sz w:val="20"/>
                <w:szCs w:val="20"/>
                <w:lang w:eastAsia="pl-PL"/>
              </w:rPr>
            </w:pPr>
            <w:r w:rsidRPr="00007806">
              <w:rPr>
                <w:rFonts w:eastAsia="Times New Roman" w:cs="Times New Roman"/>
                <w:b/>
                <w:bCs/>
                <w:sz w:val="20"/>
                <w:szCs w:val="20"/>
                <w:lang w:eastAsia="pl-PL"/>
              </w:rPr>
              <w:t>3,2</w:t>
            </w:r>
            <w:r w:rsidRPr="00007806">
              <w:rPr>
                <w:rFonts w:eastAsia="Times New Roman" w:cs="Times New Roman"/>
                <w:b/>
                <w:bCs/>
                <w:sz w:val="20"/>
                <w:szCs w:val="20"/>
                <w:vertAlign w:val="superscript"/>
                <w:lang w:eastAsia="pl-PL"/>
              </w:rPr>
              <w:t>a</w:t>
            </w:r>
          </w:p>
        </w:tc>
        <w:tc>
          <w:tcPr>
            <w:tcW w:w="1020" w:type="dxa"/>
            <w:shd w:val="clear" w:color="auto" w:fill="auto"/>
            <w:noWrap/>
            <w:vAlign w:val="bottom"/>
            <w:hideMark/>
          </w:tcPr>
          <w:p w14:paraId="6221DC23" w14:textId="77777777" w:rsidR="003215CC" w:rsidRPr="00007806" w:rsidRDefault="003215CC" w:rsidP="00AD7202">
            <w:pPr>
              <w:spacing w:line="240" w:lineRule="auto"/>
              <w:jc w:val="center"/>
              <w:rPr>
                <w:rFonts w:eastAsia="Times New Roman" w:cs="Times New Roman"/>
                <w:b/>
                <w:bCs/>
                <w:sz w:val="20"/>
                <w:szCs w:val="20"/>
                <w:lang w:eastAsia="pl-PL"/>
              </w:rPr>
            </w:pPr>
            <w:r w:rsidRPr="00007806">
              <w:rPr>
                <w:rFonts w:eastAsia="Times New Roman" w:cs="Times New Roman"/>
                <w:b/>
                <w:bCs/>
                <w:sz w:val="20"/>
                <w:szCs w:val="20"/>
                <w:lang w:eastAsia="pl-PL"/>
              </w:rPr>
              <w:t>11,6</w:t>
            </w:r>
          </w:p>
        </w:tc>
      </w:tr>
      <w:tr w:rsidR="003215CC" w:rsidRPr="00FB177B" w14:paraId="3026CE3E" w14:textId="77777777" w:rsidTr="00BD604A">
        <w:trPr>
          <w:trHeight w:val="300"/>
          <w:jc w:val="center"/>
        </w:trPr>
        <w:tc>
          <w:tcPr>
            <w:tcW w:w="1640" w:type="dxa"/>
            <w:shd w:val="clear" w:color="auto" w:fill="ED7D31" w:themeFill="accent2"/>
            <w:noWrap/>
            <w:vAlign w:val="bottom"/>
            <w:hideMark/>
          </w:tcPr>
          <w:p w14:paraId="554E5352" w14:textId="77777777" w:rsidR="003215CC" w:rsidRPr="00007806" w:rsidRDefault="003215CC" w:rsidP="00AD7202">
            <w:pPr>
              <w:spacing w:line="240" w:lineRule="auto"/>
              <w:rPr>
                <w:rFonts w:eastAsia="Times New Roman" w:cs="Times New Roman"/>
                <w:b/>
                <w:sz w:val="20"/>
                <w:szCs w:val="20"/>
                <w:lang w:eastAsia="pl-PL"/>
              </w:rPr>
            </w:pPr>
            <w:r w:rsidRPr="00007806">
              <w:rPr>
                <w:rFonts w:eastAsia="Times New Roman" w:cs="Times New Roman"/>
                <w:b/>
                <w:sz w:val="20"/>
                <w:szCs w:val="20"/>
                <w:lang w:eastAsia="pl-PL"/>
              </w:rPr>
              <w:t>Mężczyźni</w:t>
            </w:r>
          </w:p>
        </w:tc>
        <w:tc>
          <w:tcPr>
            <w:tcW w:w="874" w:type="dxa"/>
            <w:shd w:val="clear" w:color="auto" w:fill="auto"/>
            <w:noWrap/>
            <w:vAlign w:val="bottom"/>
            <w:hideMark/>
          </w:tcPr>
          <w:p w14:paraId="38DF4562"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100</w:t>
            </w:r>
          </w:p>
        </w:tc>
        <w:tc>
          <w:tcPr>
            <w:tcW w:w="1399" w:type="dxa"/>
            <w:shd w:val="clear" w:color="auto" w:fill="auto"/>
            <w:noWrap/>
            <w:vAlign w:val="center"/>
            <w:hideMark/>
          </w:tcPr>
          <w:p w14:paraId="68759D36"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38,5</w:t>
            </w:r>
          </w:p>
        </w:tc>
        <w:tc>
          <w:tcPr>
            <w:tcW w:w="1619" w:type="dxa"/>
            <w:shd w:val="clear" w:color="auto" w:fill="auto"/>
            <w:noWrap/>
            <w:vAlign w:val="center"/>
            <w:hideMark/>
          </w:tcPr>
          <w:p w14:paraId="031D0DF1"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10,3</w:t>
            </w:r>
          </w:p>
        </w:tc>
        <w:tc>
          <w:tcPr>
            <w:tcW w:w="1559" w:type="dxa"/>
            <w:shd w:val="clear" w:color="auto" w:fill="auto"/>
            <w:noWrap/>
            <w:vAlign w:val="center"/>
            <w:hideMark/>
          </w:tcPr>
          <w:p w14:paraId="0CAC8A8E"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29,5</w:t>
            </w:r>
          </w:p>
        </w:tc>
        <w:tc>
          <w:tcPr>
            <w:tcW w:w="1418" w:type="dxa"/>
            <w:shd w:val="clear" w:color="auto" w:fill="auto"/>
            <w:noWrap/>
            <w:vAlign w:val="center"/>
            <w:hideMark/>
          </w:tcPr>
          <w:p w14:paraId="524C1F50"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3,9</w:t>
            </w:r>
            <w:r w:rsidRPr="00007806">
              <w:rPr>
                <w:rFonts w:eastAsia="Times New Roman" w:cs="Times New Roman"/>
                <w:sz w:val="20"/>
                <w:szCs w:val="20"/>
                <w:vertAlign w:val="superscript"/>
                <w:lang w:eastAsia="pl-PL"/>
              </w:rPr>
              <w:t>a</w:t>
            </w:r>
          </w:p>
        </w:tc>
        <w:tc>
          <w:tcPr>
            <w:tcW w:w="1417" w:type="dxa"/>
            <w:shd w:val="clear" w:color="auto" w:fill="auto"/>
            <w:noWrap/>
            <w:vAlign w:val="center"/>
            <w:hideMark/>
          </w:tcPr>
          <w:p w14:paraId="4D5A1399"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3,9</w:t>
            </w:r>
            <w:r w:rsidRPr="00007806">
              <w:rPr>
                <w:rFonts w:eastAsia="Times New Roman" w:cs="Times New Roman"/>
                <w:sz w:val="20"/>
                <w:szCs w:val="20"/>
                <w:vertAlign w:val="superscript"/>
                <w:lang w:eastAsia="pl-PL"/>
              </w:rPr>
              <w:t>a</w:t>
            </w:r>
          </w:p>
        </w:tc>
        <w:tc>
          <w:tcPr>
            <w:tcW w:w="1020" w:type="dxa"/>
            <w:shd w:val="clear" w:color="auto" w:fill="auto"/>
            <w:noWrap/>
            <w:vAlign w:val="bottom"/>
            <w:hideMark/>
          </w:tcPr>
          <w:p w14:paraId="13AEB372"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13,8</w:t>
            </w:r>
          </w:p>
        </w:tc>
      </w:tr>
      <w:tr w:rsidR="003215CC" w:rsidRPr="00FB177B" w14:paraId="4569A48B" w14:textId="77777777" w:rsidTr="00BD604A">
        <w:trPr>
          <w:trHeight w:val="300"/>
          <w:jc w:val="center"/>
        </w:trPr>
        <w:tc>
          <w:tcPr>
            <w:tcW w:w="1640" w:type="dxa"/>
            <w:shd w:val="clear" w:color="auto" w:fill="ED7D31" w:themeFill="accent2"/>
            <w:noWrap/>
            <w:vAlign w:val="bottom"/>
            <w:hideMark/>
          </w:tcPr>
          <w:p w14:paraId="5BC2F258" w14:textId="77777777" w:rsidR="003215CC" w:rsidRPr="00007806" w:rsidRDefault="003215CC" w:rsidP="00AD7202">
            <w:pPr>
              <w:spacing w:line="240" w:lineRule="auto"/>
              <w:rPr>
                <w:rFonts w:eastAsia="Times New Roman" w:cs="Times New Roman"/>
                <w:b/>
                <w:sz w:val="20"/>
                <w:szCs w:val="20"/>
                <w:lang w:eastAsia="pl-PL"/>
              </w:rPr>
            </w:pPr>
            <w:r w:rsidRPr="00007806">
              <w:rPr>
                <w:rFonts w:eastAsia="Times New Roman" w:cs="Times New Roman"/>
                <w:b/>
                <w:sz w:val="20"/>
                <w:szCs w:val="20"/>
                <w:lang w:eastAsia="pl-PL"/>
              </w:rPr>
              <w:t>Kobiety</w:t>
            </w:r>
          </w:p>
        </w:tc>
        <w:tc>
          <w:tcPr>
            <w:tcW w:w="874" w:type="dxa"/>
            <w:shd w:val="clear" w:color="auto" w:fill="auto"/>
            <w:noWrap/>
            <w:vAlign w:val="bottom"/>
            <w:hideMark/>
          </w:tcPr>
          <w:p w14:paraId="60D8014B"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100</w:t>
            </w:r>
          </w:p>
        </w:tc>
        <w:tc>
          <w:tcPr>
            <w:tcW w:w="1399" w:type="dxa"/>
            <w:shd w:val="clear" w:color="auto" w:fill="auto"/>
            <w:noWrap/>
            <w:vAlign w:val="center"/>
            <w:hideMark/>
          </w:tcPr>
          <w:p w14:paraId="59B68697"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42,7</w:t>
            </w:r>
          </w:p>
        </w:tc>
        <w:tc>
          <w:tcPr>
            <w:tcW w:w="1619" w:type="dxa"/>
            <w:shd w:val="clear" w:color="auto" w:fill="auto"/>
            <w:noWrap/>
            <w:vAlign w:val="center"/>
            <w:hideMark/>
          </w:tcPr>
          <w:p w14:paraId="4A5641B8"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19,2</w:t>
            </w:r>
          </w:p>
        </w:tc>
        <w:tc>
          <w:tcPr>
            <w:tcW w:w="1559" w:type="dxa"/>
            <w:shd w:val="clear" w:color="auto" w:fill="auto"/>
            <w:noWrap/>
            <w:vAlign w:val="center"/>
            <w:hideMark/>
          </w:tcPr>
          <w:p w14:paraId="6A241B24"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18,6</w:t>
            </w:r>
          </w:p>
        </w:tc>
        <w:tc>
          <w:tcPr>
            <w:tcW w:w="1418" w:type="dxa"/>
            <w:shd w:val="clear" w:color="auto" w:fill="auto"/>
            <w:noWrap/>
            <w:vAlign w:val="center"/>
            <w:hideMark/>
          </w:tcPr>
          <w:p w14:paraId="0632121E"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7,0</w:t>
            </w:r>
          </w:p>
        </w:tc>
        <w:tc>
          <w:tcPr>
            <w:tcW w:w="1417" w:type="dxa"/>
            <w:shd w:val="clear" w:color="auto" w:fill="auto"/>
            <w:noWrap/>
            <w:vAlign w:val="center"/>
            <w:hideMark/>
          </w:tcPr>
          <w:p w14:paraId="49EDBACD"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2,6</w:t>
            </w:r>
            <w:r w:rsidRPr="00007806">
              <w:rPr>
                <w:rFonts w:eastAsia="Times New Roman" w:cs="Times New Roman"/>
                <w:sz w:val="20"/>
                <w:szCs w:val="20"/>
                <w:vertAlign w:val="superscript"/>
                <w:lang w:eastAsia="pl-PL"/>
              </w:rPr>
              <w:t>a</w:t>
            </w:r>
          </w:p>
        </w:tc>
        <w:tc>
          <w:tcPr>
            <w:tcW w:w="1020" w:type="dxa"/>
            <w:shd w:val="clear" w:color="auto" w:fill="auto"/>
            <w:noWrap/>
            <w:vAlign w:val="bottom"/>
            <w:hideMark/>
          </w:tcPr>
          <w:p w14:paraId="40242343"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9,9</w:t>
            </w:r>
          </w:p>
        </w:tc>
      </w:tr>
      <w:tr w:rsidR="003215CC" w:rsidRPr="00FB177B" w14:paraId="59BD3E3F" w14:textId="77777777" w:rsidTr="00BD604A">
        <w:trPr>
          <w:trHeight w:val="300"/>
          <w:jc w:val="center"/>
        </w:trPr>
        <w:tc>
          <w:tcPr>
            <w:tcW w:w="1640" w:type="dxa"/>
            <w:shd w:val="clear" w:color="auto" w:fill="ED7D31" w:themeFill="accent2"/>
            <w:noWrap/>
            <w:vAlign w:val="bottom"/>
            <w:hideMark/>
          </w:tcPr>
          <w:p w14:paraId="00DA5539" w14:textId="77777777" w:rsidR="003215CC" w:rsidRPr="00007806" w:rsidRDefault="003215CC" w:rsidP="00AD7202">
            <w:pPr>
              <w:spacing w:line="240" w:lineRule="auto"/>
              <w:rPr>
                <w:rFonts w:eastAsia="Times New Roman" w:cs="Times New Roman"/>
                <w:b/>
                <w:sz w:val="20"/>
                <w:szCs w:val="20"/>
                <w:lang w:eastAsia="pl-PL"/>
              </w:rPr>
            </w:pPr>
            <w:r w:rsidRPr="00007806">
              <w:rPr>
                <w:rFonts w:eastAsia="Times New Roman" w:cs="Times New Roman"/>
                <w:b/>
                <w:sz w:val="20"/>
                <w:szCs w:val="20"/>
                <w:lang w:eastAsia="pl-PL"/>
              </w:rPr>
              <w:t>Miasta</w:t>
            </w:r>
          </w:p>
        </w:tc>
        <w:tc>
          <w:tcPr>
            <w:tcW w:w="874" w:type="dxa"/>
            <w:shd w:val="clear" w:color="auto" w:fill="auto"/>
            <w:noWrap/>
            <w:vAlign w:val="bottom"/>
            <w:hideMark/>
          </w:tcPr>
          <w:p w14:paraId="53040E53"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100</w:t>
            </w:r>
          </w:p>
        </w:tc>
        <w:tc>
          <w:tcPr>
            <w:tcW w:w="1399" w:type="dxa"/>
            <w:shd w:val="clear" w:color="auto" w:fill="auto"/>
            <w:noWrap/>
            <w:vAlign w:val="center"/>
            <w:hideMark/>
          </w:tcPr>
          <w:p w14:paraId="5DA65CD8"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45,3</w:t>
            </w:r>
          </w:p>
        </w:tc>
        <w:tc>
          <w:tcPr>
            <w:tcW w:w="1619" w:type="dxa"/>
            <w:shd w:val="clear" w:color="auto" w:fill="auto"/>
            <w:noWrap/>
            <w:vAlign w:val="center"/>
            <w:hideMark/>
          </w:tcPr>
          <w:p w14:paraId="5244B5D7"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13,6</w:t>
            </w:r>
          </w:p>
        </w:tc>
        <w:tc>
          <w:tcPr>
            <w:tcW w:w="1559" w:type="dxa"/>
            <w:shd w:val="clear" w:color="auto" w:fill="auto"/>
            <w:noWrap/>
            <w:vAlign w:val="center"/>
            <w:hideMark/>
          </w:tcPr>
          <w:p w14:paraId="3100DE1C"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21,4</w:t>
            </w:r>
          </w:p>
        </w:tc>
        <w:tc>
          <w:tcPr>
            <w:tcW w:w="1418" w:type="dxa"/>
            <w:shd w:val="clear" w:color="auto" w:fill="auto"/>
            <w:noWrap/>
            <w:vAlign w:val="center"/>
            <w:hideMark/>
          </w:tcPr>
          <w:p w14:paraId="0955AC52"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3,5</w:t>
            </w:r>
            <w:r w:rsidRPr="00007806">
              <w:rPr>
                <w:rFonts w:eastAsia="Times New Roman" w:cs="Times New Roman"/>
                <w:sz w:val="20"/>
                <w:szCs w:val="20"/>
                <w:vertAlign w:val="superscript"/>
                <w:lang w:eastAsia="pl-PL"/>
              </w:rPr>
              <w:t>a</w:t>
            </w:r>
          </w:p>
        </w:tc>
        <w:tc>
          <w:tcPr>
            <w:tcW w:w="1417" w:type="dxa"/>
            <w:shd w:val="clear" w:color="auto" w:fill="auto"/>
            <w:noWrap/>
            <w:vAlign w:val="center"/>
            <w:hideMark/>
          </w:tcPr>
          <w:p w14:paraId="36C07897"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2,7</w:t>
            </w:r>
            <w:r w:rsidRPr="00007806">
              <w:rPr>
                <w:rFonts w:eastAsia="Times New Roman" w:cs="Times New Roman"/>
                <w:sz w:val="20"/>
                <w:szCs w:val="20"/>
                <w:vertAlign w:val="superscript"/>
                <w:lang w:eastAsia="pl-PL"/>
              </w:rPr>
              <w:t>a</w:t>
            </w:r>
          </w:p>
        </w:tc>
        <w:tc>
          <w:tcPr>
            <w:tcW w:w="1020" w:type="dxa"/>
            <w:shd w:val="clear" w:color="auto" w:fill="auto"/>
            <w:noWrap/>
            <w:vAlign w:val="bottom"/>
            <w:hideMark/>
          </w:tcPr>
          <w:p w14:paraId="10DF188B"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13,5</w:t>
            </w:r>
          </w:p>
        </w:tc>
      </w:tr>
      <w:tr w:rsidR="003215CC" w:rsidRPr="00FB177B" w14:paraId="50360A53" w14:textId="77777777" w:rsidTr="00BD604A">
        <w:trPr>
          <w:trHeight w:val="300"/>
          <w:jc w:val="center"/>
        </w:trPr>
        <w:tc>
          <w:tcPr>
            <w:tcW w:w="1640" w:type="dxa"/>
            <w:shd w:val="clear" w:color="auto" w:fill="ED7D31" w:themeFill="accent2"/>
            <w:noWrap/>
            <w:vAlign w:val="bottom"/>
            <w:hideMark/>
          </w:tcPr>
          <w:p w14:paraId="4C09E81A" w14:textId="77777777" w:rsidR="003215CC" w:rsidRPr="00007806" w:rsidRDefault="003215CC" w:rsidP="00AD7202">
            <w:pPr>
              <w:spacing w:line="240" w:lineRule="auto"/>
              <w:rPr>
                <w:rFonts w:eastAsia="Times New Roman" w:cs="Times New Roman"/>
                <w:b/>
                <w:sz w:val="20"/>
                <w:szCs w:val="20"/>
                <w:lang w:eastAsia="pl-PL"/>
              </w:rPr>
            </w:pPr>
            <w:r w:rsidRPr="00007806">
              <w:rPr>
                <w:rFonts w:eastAsia="Times New Roman" w:cs="Times New Roman"/>
                <w:b/>
                <w:sz w:val="20"/>
                <w:szCs w:val="20"/>
                <w:lang w:eastAsia="pl-PL"/>
              </w:rPr>
              <w:t>Wieś</w:t>
            </w:r>
          </w:p>
        </w:tc>
        <w:tc>
          <w:tcPr>
            <w:tcW w:w="874" w:type="dxa"/>
            <w:shd w:val="clear" w:color="auto" w:fill="auto"/>
            <w:noWrap/>
            <w:vAlign w:val="bottom"/>
            <w:hideMark/>
          </w:tcPr>
          <w:p w14:paraId="331A18E5"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100</w:t>
            </w:r>
          </w:p>
        </w:tc>
        <w:tc>
          <w:tcPr>
            <w:tcW w:w="1399" w:type="dxa"/>
            <w:shd w:val="clear" w:color="auto" w:fill="auto"/>
            <w:noWrap/>
            <w:vAlign w:val="center"/>
            <w:hideMark/>
          </w:tcPr>
          <w:p w14:paraId="0B39CECE"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33,0</w:t>
            </w:r>
          </w:p>
        </w:tc>
        <w:tc>
          <w:tcPr>
            <w:tcW w:w="1619" w:type="dxa"/>
            <w:shd w:val="clear" w:color="auto" w:fill="auto"/>
            <w:noWrap/>
            <w:vAlign w:val="center"/>
            <w:hideMark/>
          </w:tcPr>
          <w:p w14:paraId="43BF5E7F"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18,4</w:t>
            </w:r>
          </w:p>
        </w:tc>
        <w:tc>
          <w:tcPr>
            <w:tcW w:w="1559" w:type="dxa"/>
            <w:shd w:val="clear" w:color="auto" w:fill="auto"/>
            <w:noWrap/>
            <w:vAlign w:val="center"/>
            <w:hideMark/>
          </w:tcPr>
          <w:p w14:paraId="1F9907AE"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26,7</w:t>
            </w:r>
          </w:p>
        </w:tc>
        <w:tc>
          <w:tcPr>
            <w:tcW w:w="1418" w:type="dxa"/>
            <w:shd w:val="clear" w:color="auto" w:fill="auto"/>
            <w:noWrap/>
            <w:vAlign w:val="center"/>
            <w:hideMark/>
          </w:tcPr>
          <w:p w14:paraId="4CC85402"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9,7</w:t>
            </w:r>
          </w:p>
        </w:tc>
        <w:tc>
          <w:tcPr>
            <w:tcW w:w="1417" w:type="dxa"/>
            <w:shd w:val="clear" w:color="000000" w:fill="FFFFFF"/>
            <w:noWrap/>
            <w:vAlign w:val="center"/>
            <w:hideMark/>
          </w:tcPr>
          <w:p w14:paraId="3C4BBA9A"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w:t>
            </w:r>
          </w:p>
        </w:tc>
        <w:tc>
          <w:tcPr>
            <w:tcW w:w="1020" w:type="dxa"/>
            <w:shd w:val="clear" w:color="auto" w:fill="auto"/>
            <w:noWrap/>
            <w:vAlign w:val="bottom"/>
            <w:hideMark/>
          </w:tcPr>
          <w:p w14:paraId="404272AC" w14:textId="77777777" w:rsidR="003215CC" w:rsidRPr="00007806" w:rsidRDefault="003215CC" w:rsidP="00AD7202">
            <w:pPr>
              <w:spacing w:line="240" w:lineRule="auto"/>
              <w:jc w:val="center"/>
              <w:rPr>
                <w:rFonts w:eastAsia="Times New Roman" w:cs="Times New Roman"/>
                <w:sz w:val="20"/>
                <w:szCs w:val="20"/>
                <w:lang w:eastAsia="pl-PL"/>
              </w:rPr>
            </w:pPr>
            <w:r w:rsidRPr="00007806">
              <w:rPr>
                <w:rFonts w:eastAsia="Times New Roman" w:cs="Times New Roman"/>
                <w:sz w:val="20"/>
                <w:szCs w:val="20"/>
                <w:lang w:eastAsia="pl-PL"/>
              </w:rPr>
              <w:t>8,2</w:t>
            </w:r>
            <w:r w:rsidRPr="00007806">
              <w:rPr>
                <w:rFonts w:eastAsia="Times New Roman" w:cs="Times New Roman"/>
                <w:sz w:val="20"/>
                <w:szCs w:val="20"/>
                <w:vertAlign w:val="superscript"/>
                <w:lang w:eastAsia="pl-PL"/>
              </w:rPr>
              <w:t>a</w:t>
            </w:r>
          </w:p>
        </w:tc>
      </w:tr>
    </w:tbl>
    <w:p w14:paraId="3F9427D1" w14:textId="77777777" w:rsidR="00BD604A" w:rsidRPr="00007806" w:rsidRDefault="00BD604A" w:rsidP="00BD604A">
      <w:pPr>
        <w:rPr>
          <w:rFonts w:cs="Times New Roman"/>
          <w:b/>
          <w:sz w:val="22"/>
        </w:rPr>
      </w:pPr>
      <w:r w:rsidRPr="00007806">
        <w:rPr>
          <w:rFonts w:cs="Times New Roman"/>
          <w:b/>
          <w:sz w:val="22"/>
        </w:rPr>
        <w:t>(.)  Brak informacji wiarygodnych (mniej niż 20 przypadków z próby).</w:t>
      </w:r>
    </w:p>
    <w:p w14:paraId="31C8629B" w14:textId="77777777" w:rsidR="00BD604A" w:rsidRPr="00007806" w:rsidRDefault="00BD604A" w:rsidP="00BD604A">
      <w:pPr>
        <w:rPr>
          <w:rFonts w:cs="Times New Roman"/>
          <w:b/>
          <w:sz w:val="22"/>
        </w:rPr>
      </w:pPr>
      <w:r w:rsidRPr="00007806">
        <w:rPr>
          <w:rFonts w:cs="Times New Roman"/>
          <w:b/>
          <w:sz w:val="22"/>
        </w:rPr>
        <w:t>a Zjawisko istniało, w wielkości większej lub równej 20 przypadków z próby, ale mniejszej niż 50.</w:t>
      </w:r>
    </w:p>
    <w:p w14:paraId="6F7B9A70" w14:textId="77777777" w:rsidR="00BD604A" w:rsidRPr="00007806" w:rsidRDefault="00BD604A" w:rsidP="00BD604A">
      <w:pPr>
        <w:rPr>
          <w:rFonts w:cs="Times New Roman"/>
          <w:b/>
          <w:sz w:val="22"/>
        </w:rPr>
      </w:pPr>
      <w:r w:rsidRPr="00007806">
        <w:rPr>
          <w:rFonts w:cs="Times New Roman"/>
          <w:b/>
          <w:sz w:val="22"/>
        </w:rPr>
        <w:t xml:space="preserve">Dane w tablicach mogą nie sumować się do 100% ze względu na przyjęte zaokrąglenia. </w:t>
      </w:r>
    </w:p>
    <w:p w14:paraId="73E0BB7D" w14:textId="6E2ACD6F" w:rsidR="00BD604A" w:rsidRDefault="00BD604A" w:rsidP="00BD604A">
      <w:pPr>
        <w:rPr>
          <w:rFonts w:cs="Times New Roman"/>
          <w:b/>
          <w:sz w:val="22"/>
        </w:rPr>
      </w:pPr>
      <w:r w:rsidRPr="00007806">
        <w:rPr>
          <w:rFonts w:cs="Times New Roman"/>
          <w:b/>
          <w:sz w:val="22"/>
        </w:rPr>
        <w:t>Źródło: Badanie EU-SILC 2019 r. GUS</w:t>
      </w:r>
    </w:p>
    <w:p w14:paraId="7B1813E1" w14:textId="77777777" w:rsidR="00BD604A" w:rsidRPr="00007806" w:rsidRDefault="00BD604A" w:rsidP="00BD604A">
      <w:pPr>
        <w:rPr>
          <w:rFonts w:cs="Times New Roman"/>
          <w:b/>
          <w:sz w:val="22"/>
        </w:rPr>
      </w:pPr>
    </w:p>
    <w:p w14:paraId="6A9C7A59" w14:textId="6ECA0A33" w:rsidR="003215CC" w:rsidRPr="00CF2EAA" w:rsidRDefault="003215CC" w:rsidP="003215CC">
      <w:pPr>
        <w:rPr>
          <w:rFonts w:cs="Times New Roman"/>
          <w:b/>
          <w:sz w:val="22"/>
        </w:rPr>
      </w:pPr>
      <w:r w:rsidRPr="00FB177B">
        <w:rPr>
          <w:rFonts w:cs="Times New Roman"/>
          <w:szCs w:val="24"/>
        </w:rPr>
        <w:t>Biorąc pod uwagę 12 miesięcy poprzedzających badanie, rzeczywistą potrzebę leczenia lub</w:t>
      </w:r>
      <w:r>
        <w:rPr>
          <w:rFonts w:cs="Times New Roman"/>
          <w:szCs w:val="24"/>
        </w:rPr>
        <w:t> </w:t>
      </w:r>
      <w:r w:rsidRPr="00FB177B">
        <w:rPr>
          <w:rFonts w:cs="Times New Roman"/>
          <w:szCs w:val="24"/>
        </w:rPr>
        <w:t>badania</w:t>
      </w:r>
      <w:r w:rsidRPr="00FB177B">
        <w:rPr>
          <w:rFonts w:cs="Times New Roman"/>
          <w:szCs w:val="24"/>
          <w:vertAlign w:val="superscript"/>
        </w:rPr>
        <w:footnoteReference w:id="23"/>
      </w:r>
      <w:r w:rsidRPr="00FB177B">
        <w:rPr>
          <w:rFonts w:cs="Times New Roman"/>
          <w:szCs w:val="24"/>
        </w:rPr>
        <w:t xml:space="preserve"> zadeklarowało 73,4% osób starszych. Z tej grupy 12,1% przyznało, że nie skorzystało z leczenia lub badania za każdym razem gdy była taka potrzeba. Największa część (40,9%) jako powód podała „zbyt długą listę/kolejkę oczekujących”.</w:t>
      </w:r>
    </w:p>
    <w:p w14:paraId="19E1AD20" w14:textId="77777777" w:rsidR="00F34442" w:rsidRPr="00392F2F" w:rsidRDefault="00F34442" w:rsidP="00392F2F"/>
    <w:p w14:paraId="5AC300B2" w14:textId="141A1DA7" w:rsidR="00811BD0" w:rsidRDefault="00811BD0" w:rsidP="00392F2F">
      <w:pPr>
        <w:pStyle w:val="Nagwek2"/>
        <w:ind w:hanging="788"/>
      </w:pPr>
      <w:bookmarkStart w:id="43" w:name="_Toc80523051"/>
      <w:r>
        <w:lastRenderedPageBreak/>
        <w:t>Dostępne formy aktywności</w:t>
      </w:r>
      <w:bookmarkEnd w:id="43"/>
    </w:p>
    <w:p w14:paraId="0714FB5C" w14:textId="29667AAC" w:rsidR="000171D5" w:rsidRDefault="000171D5" w:rsidP="000171D5">
      <w:r>
        <w:t xml:space="preserve">Pandemia </w:t>
      </w:r>
      <w:proofErr w:type="spellStart"/>
      <w:r>
        <w:t>koronawirusa</w:t>
      </w:r>
      <w:proofErr w:type="spellEnd"/>
      <w:r>
        <w:t xml:space="preserve"> i związane z nią obostrzenia znacząco ograniczyły liczbę aktywności dostępnych dla osób starszych. Jednocześnie istniejące ograniczenia przyśpieszyły zachodzące procesy </w:t>
      </w:r>
      <w:proofErr w:type="spellStart"/>
      <w:r>
        <w:t>informatyzacyjne</w:t>
      </w:r>
      <w:proofErr w:type="spellEnd"/>
      <w:r>
        <w:t>. W 2020</w:t>
      </w:r>
      <w:r w:rsidR="00DB0765">
        <w:t xml:space="preserve"> r.</w:t>
      </w:r>
      <w:r>
        <w:t xml:space="preserve"> z Internetu korzystało ponad 2 199 tys. więcej seniorów niż w 2019</w:t>
      </w:r>
      <w:r w:rsidR="00DB0765">
        <w:t xml:space="preserve"> r</w:t>
      </w:r>
      <w:r>
        <w:t>.</w:t>
      </w:r>
    </w:p>
    <w:p w14:paraId="4AFBB3B1" w14:textId="77777777" w:rsidR="000171D5" w:rsidRDefault="000171D5" w:rsidP="000171D5"/>
    <w:p w14:paraId="35295AC7" w14:textId="2FA7EA5A" w:rsidR="000171D5" w:rsidRPr="00CF51D1" w:rsidRDefault="000171D5" w:rsidP="000171D5">
      <w:pPr>
        <w:pStyle w:val="Legenda"/>
        <w:keepNext/>
        <w:rPr>
          <w:rFonts w:cs="Times New Roman"/>
          <w:b/>
          <w:i w:val="0"/>
          <w:color w:val="auto"/>
          <w:sz w:val="24"/>
        </w:rPr>
      </w:pPr>
      <w:r w:rsidRPr="00CF51D1">
        <w:rPr>
          <w:rFonts w:cs="Times New Roman"/>
          <w:b/>
          <w:i w:val="0"/>
          <w:color w:val="auto"/>
          <w:sz w:val="24"/>
        </w:rPr>
        <w:t>Tabela 32</w:t>
      </w:r>
      <w:r w:rsidR="00EE73AF">
        <w:rPr>
          <w:rFonts w:cs="Times New Roman"/>
          <w:b/>
          <w:i w:val="0"/>
          <w:color w:val="auto"/>
          <w:sz w:val="24"/>
        </w:rPr>
        <w:t>.</w:t>
      </w:r>
      <w:r w:rsidRPr="00CF51D1">
        <w:rPr>
          <w:rFonts w:cs="Times New Roman"/>
          <w:b/>
          <w:i w:val="0"/>
          <w:color w:val="auto"/>
          <w:sz w:val="24"/>
        </w:rPr>
        <w:t xml:space="preserve"> Osoby korzystające z Internetu w 2020 r.</w:t>
      </w:r>
    </w:p>
    <w:tbl>
      <w:tblPr>
        <w:tblStyle w:val="Tabelasiatki5ciemnaakcent2"/>
        <w:tblW w:w="9209" w:type="dxa"/>
        <w:tblLook w:val="04A0" w:firstRow="1" w:lastRow="0" w:firstColumn="1" w:lastColumn="0" w:noHBand="0" w:noVBand="1"/>
      </w:tblPr>
      <w:tblGrid>
        <w:gridCol w:w="1769"/>
        <w:gridCol w:w="1334"/>
        <w:gridCol w:w="1145"/>
        <w:gridCol w:w="1134"/>
        <w:gridCol w:w="1276"/>
        <w:gridCol w:w="1275"/>
        <w:gridCol w:w="1276"/>
      </w:tblGrid>
      <w:tr w:rsidR="000171D5" w:rsidRPr="00CF51D1" w14:paraId="71FF8146" w14:textId="77777777" w:rsidTr="00687F06">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769" w:type="dxa"/>
            <w:vMerge w:val="restart"/>
            <w:tcBorders>
              <w:top w:val="single" w:sz="4" w:space="0" w:color="auto"/>
              <w:left w:val="single" w:sz="4" w:space="0" w:color="auto"/>
              <w:bottom w:val="single" w:sz="4" w:space="0" w:color="auto"/>
              <w:right w:val="single" w:sz="4" w:space="0" w:color="auto"/>
            </w:tcBorders>
            <w:noWrap/>
            <w:vAlign w:val="center"/>
            <w:hideMark/>
          </w:tcPr>
          <w:p w14:paraId="0E8C5718" w14:textId="77777777" w:rsidR="000171D5" w:rsidRPr="00CF51D1" w:rsidRDefault="000171D5" w:rsidP="00687F06">
            <w:pPr>
              <w:spacing w:line="240" w:lineRule="auto"/>
              <w:jc w:val="center"/>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Wyszczególnienie</w:t>
            </w:r>
          </w:p>
        </w:tc>
        <w:tc>
          <w:tcPr>
            <w:tcW w:w="1334" w:type="dxa"/>
            <w:vMerge w:val="restart"/>
            <w:tcBorders>
              <w:top w:val="single" w:sz="4" w:space="0" w:color="auto"/>
              <w:left w:val="single" w:sz="4" w:space="0" w:color="auto"/>
              <w:bottom w:val="single" w:sz="4" w:space="0" w:color="auto"/>
              <w:right w:val="single" w:sz="4" w:space="0" w:color="auto"/>
            </w:tcBorders>
            <w:vAlign w:val="center"/>
            <w:hideMark/>
          </w:tcPr>
          <w:p w14:paraId="38F5DC2E" w14:textId="77777777" w:rsidR="000171D5" w:rsidRPr="00CF51D1" w:rsidRDefault="000171D5" w:rsidP="00687F0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Ogółem osoby w wieku 16-74 lata</w:t>
            </w:r>
          </w:p>
        </w:tc>
        <w:tc>
          <w:tcPr>
            <w:tcW w:w="1145" w:type="dxa"/>
            <w:vMerge w:val="restart"/>
            <w:tcBorders>
              <w:top w:val="single" w:sz="4" w:space="0" w:color="auto"/>
              <w:left w:val="single" w:sz="4" w:space="0" w:color="auto"/>
              <w:bottom w:val="single" w:sz="4" w:space="0" w:color="auto"/>
              <w:right w:val="single" w:sz="4" w:space="0" w:color="auto"/>
            </w:tcBorders>
            <w:vAlign w:val="center"/>
            <w:hideMark/>
          </w:tcPr>
          <w:p w14:paraId="4B0CADD9" w14:textId="77777777" w:rsidR="000171D5" w:rsidRPr="00CF51D1" w:rsidRDefault="000171D5" w:rsidP="00687F0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Mężczyźni</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0762F34" w14:textId="77777777" w:rsidR="000171D5" w:rsidRPr="00CF51D1" w:rsidRDefault="000171D5" w:rsidP="00687F0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Kobiety</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10FDC1C6" w14:textId="77777777" w:rsidR="000171D5" w:rsidRPr="00CF51D1" w:rsidRDefault="000171D5" w:rsidP="00687F0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Z liczby ogółem</w:t>
            </w:r>
            <w:r w:rsidRPr="00CF51D1">
              <w:rPr>
                <w:rFonts w:eastAsia="Times New Roman" w:cs="Times New Roman"/>
                <w:color w:val="auto"/>
                <w:sz w:val="20"/>
                <w:szCs w:val="20"/>
                <w:lang w:eastAsia="pl-PL"/>
              </w:rPr>
              <w:br/>
              <w:t xml:space="preserve"> osoby w wieku 65 - 74 lata</w:t>
            </w:r>
          </w:p>
        </w:tc>
      </w:tr>
      <w:tr w:rsidR="000171D5" w:rsidRPr="00CF51D1" w14:paraId="7BE91DBF" w14:textId="77777777" w:rsidTr="00687F0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769" w:type="dxa"/>
            <w:vMerge/>
            <w:tcBorders>
              <w:top w:val="single" w:sz="4" w:space="0" w:color="auto"/>
              <w:left w:val="single" w:sz="4" w:space="0" w:color="auto"/>
              <w:bottom w:val="single" w:sz="4" w:space="0" w:color="auto"/>
              <w:right w:val="single" w:sz="4" w:space="0" w:color="auto"/>
            </w:tcBorders>
            <w:vAlign w:val="center"/>
            <w:hideMark/>
          </w:tcPr>
          <w:p w14:paraId="720F4B0B" w14:textId="77777777" w:rsidR="000171D5" w:rsidRPr="00CF51D1" w:rsidRDefault="000171D5" w:rsidP="00687F06">
            <w:pPr>
              <w:spacing w:line="240" w:lineRule="auto"/>
              <w:jc w:val="center"/>
              <w:rPr>
                <w:rFonts w:eastAsia="Times New Roman" w:cs="Times New Roman"/>
                <w:b w:val="0"/>
                <w:color w:val="auto"/>
                <w:sz w:val="20"/>
                <w:szCs w:val="20"/>
                <w:lang w:eastAsia="pl-PL"/>
              </w:rPr>
            </w:pPr>
          </w:p>
        </w:tc>
        <w:tc>
          <w:tcPr>
            <w:tcW w:w="1334" w:type="dxa"/>
            <w:vMerge/>
            <w:tcBorders>
              <w:top w:val="single" w:sz="4" w:space="0" w:color="auto"/>
              <w:left w:val="single" w:sz="4" w:space="0" w:color="auto"/>
              <w:bottom w:val="single" w:sz="4" w:space="0" w:color="auto"/>
              <w:right w:val="single" w:sz="4" w:space="0" w:color="auto"/>
            </w:tcBorders>
            <w:vAlign w:val="center"/>
            <w:hideMark/>
          </w:tcPr>
          <w:p w14:paraId="4FBEE57F"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697726C1"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16B05A"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5078384C"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CF51D1">
              <w:rPr>
                <w:rFonts w:eastAsia="Times New Roman" w:cs="Times New Roman"/>
                <w:b/>
                <w:sz w:val="20"/>
                <w:szCs w:val="20"/>
                <w:lang w:eastAsia="pl-PL"/>
              </w:rPr>
              <w:t>razem</w:t>
            </w:r>
          </w:p>
        </w:tc>
        <w:tc>
          <w:tcPr>
            <w:tcW w:w="1275"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2F14A004"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CF51D1">
              <w:rPr>
                <w:rFonts w:eastAsia="Times New Roman" w:cs="Times New Roman"/>
                <w:b/>
                <w:sz w:val="20"/>
                <w:szCs w:val="20"/>
                <w:lang w:eastAsia="pl-PL"/>
              </w:rPr>
              <w:t>mężczyźni</w:t>
            </w:r>
          </w:p>
        </w:tc>
        <w:tc>
          <w:tcPr>
            <w:tcW w:w="1276" w:type="dxa"/>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454B7C37"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CF51D1">
              <w:rPr>
                <w:rFonts w:eastAsia="Times New Roman" w:cs="Times New Roman"/>
                <w:b/>
                <w:sz w:val="20"/>
                <w:szCs w:val="20"/>
                <w:lang w:eastAsia="pl-PL"/>
              </w:rPr>
              <w:t>kobiety</w:t>
            </w:r>
          </w:p>
        </w:tc>
      </w:tr>
      <w:tr w:rsidR="000171D5" w:rsidRPr="00CF51D1" w14:paraId="2EBA35B0"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9209" w:type="dxa"/>
            <w:gridSpan w:val="7"/>
            <w:tcBorders>
              <w:top w:val="single" w:sz="4" w:space="0" w:color="auto"/>
              <w:left w:val="single" w:sz="4" w:space="0" w:color="auto"/>
              <w:bottom w:val="single" w:sz="4" w:space="0" w:color="auto"/>
              <w:right w:val="single" w:sz="4" w:space="0" w:color="auto"/>
            </w:tcBorders>
            <w:noWrap/>
            <w:hideMark/>
          </w:tcPr>
          <w:p w14:paraId="39272B70" w14:textId="77777777" w:rsidR="000171D5" w:rsidRPr="00CF51D1" w:rsidRDefault="000171D5" w:rsidP="00AD7202">
            <w:pPr>
              <w:spacing w:line="240" w:lineRule="auto"/>
              <w:jc w:val="center"/>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w tysiącach</w:t>
            </w:r>
          </w:p>
        </w:tc>
      </w:tr>
      <w:tr w:rsidR="000171D5" w:rsidRPr="00CF51D1" w14:paraId="1D52BD03" w14:textId="77777777" w:rsidTr="00687F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9" w:type="dxa"/>
            <w:tcBorders>
              <w:top w:val="single" w:sz="4" w:space="0" w:color="auto"/>
              <w:left w:val="single" w:sz="4" w:space="0" w:color="auto"/>
              <w:bottom w:val="single" w:sz="4" w:space="0" w:color="auto"/>
              <w:right w:val="single" w:sz="4" w:space="0" w:color="auto"/>
            </w:tcBorders>
            <w:noWrap/>
            <w:hideMark/>
          </w:tcPr>
          <w:p w14:paraId="38AA7E26" w14:textId="7190033B" w:rsidR="000171D5" w:rsidRPr="00CF51D1" w:rsidRDefault="000171D5" w:rsidP="00687F06">
            <w:pPr>
              <w:spacing w:line="240" w:lineRule="auto"/>
              <w:jc w:val="left"/>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 xml:space="preserve">Osoby korzystające </w:t>
            </w:r>
            <w:r w:rsidR="00687F06">
              <w:rPr>
                <w:rFonts w:eastAsia="Times New Roman" w:cs="Times New Roman"/>
                <w:color w:val="auto"/>
                <w:sz w:val="20"/>
                <w:szCs w:val="20"/>
                <w:lang w:eastAsia="pl-PL"/>
              </w:rPr>
              <w:t xml:space="preserve">               </w:t>
            </w:r>
            <w:r w:rsidRPr="00CF51D1">
              <w:rPr>
                <w:rFonts w:eastAsia="Times New Roman" w:cs="Times New Roman"/>
                <w:color w:val="auto"/>
                <w:sz w:val="20"/>
                <w:szCs w:val="20"/>
                <w:lang w:eastAsia="pl-PL"/>
              </w:rPr>
              <w:t>z Internetu</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7FB65024"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24 657,3</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102D7B34"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12 161,5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BDC32C3"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12 495,7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9943783"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1 865,3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62259CF"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863,2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EDC1D09"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1 002,1</w:t>
            </w:r>
          </w:p>
        </w:tc>
      </w:tr>
      <w:tr w:rsidR="000171D5" w:rsidRPr="00CF51D1" w14:paraId="1F0059CA" w14:textId="77777777" w:rsidTr="00687F06">
        <w:trPr>
          <w:trHeight w:val="300"/>
        </w:trPr>
        <w:tc>
          <w:tcPr>
            <w:cnfStyle w:val="001000000000" w:firstRow="0" w:lastRow="0" w:firstColumn="1" w:lastColumn="0" w:oddVBand="0" w:evenVBand="0" w:oddHBand="0" w:evenHBand="0" w:firstRowFirstColumn="0" w:firstRowLastColumn="0" w:lastRowFirstColumn="0" w:lastRowLastColumn="0"/>
            <w:tcW w:w="1769" w:type="dxa"/>
            <w:tcBorders>
              <w:top w:val="single" w:sz="4" w:space="0" w:color="auto"/>
              <w:left w:val="single" w:sz="4" w:space="0" w:color="auto"/>
              <w:bottom w:val="single" w:sz="4" w:space="0" w:color="auto"/>
              <w:right w:val="single" w:sz="4" w:space="0" w:color="auto"/>
            </w:tcBorders>
            <w:noWrap/>
            <w:hideMark/>
          </w:tcPr>
          <w:p w14:paraId="0A29CE4C" w14:textId="27071FD6" w:rsidR="000171D5" w:rsidRPr="00CF51D1" w:rsidRDefault="000171D5" w:rsidP="00687F06">
            <w:pPr>
              <w:spacing w:line="240" w:lineRule="auto"/>
              <w:jc w:val="left"/>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w ciągu ostatnich 3 miesięcy</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00DBE18D"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23 466,8</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0E688A95"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11 583,6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B993DFC"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11 883,2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EBD94F"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1 477,2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2FC64F3"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708,6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7B9690F"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768,7</w:t>
            </w:r>
          </w:p>
        </w:tc>
      </w:tr>
      <w:tr w:rsidR="000171D5" w:rsidRPr="00CF51D1" w14:paraId="41DA1A51" w14:textId="77777777" w:rsidTr="00687F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9" w:type="dxa"/>
            <w:tcBorders>
              <w:top w:val="single" w:sz="4" w:space="0" w:color="auto"/>
              <w:left w:val="single" w:sz="4" w:space="0" w:color="auto"/>
              <w:bottom w:val="single" w:sz="4" w:space="0" w:color="auto"/>
              <w:right w:val="single" w:sz="4" w:space="0" w:color="auto"/>
            </w:tcBorders>
            <w:noWrap/>
            <w:hideMark/>
          </w:tcPr>
          <w:p w14:paraId="6B815F3D" w14:textId="5A8720F8" w:rsidR="000171D5" w:rsidRPr="00CF51D1" w:rsidRDefault="000171D5" w:rsidP="00687F06">
            <w:pPr>
              <w:spacing w:line="240" w:lineRule="auto"/>
              <w:jc w:val="left"/>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od 3 miesięcy do 12 miesięcy temu</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5D2FA497"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473,3</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07CA1165"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244,2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0A0FAD"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229,1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30864B3"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127,5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40BDC74"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42,3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615152D"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85,2</w:t>
            </w:r>
          </w:p>
        </w:tc>
      </w:tr>
      <w:tr w:rsidR="000171D5" w:rsidRPr="00CF51D1" w14:paraId="74B766E7" w14:textId="77777777" w:rsidTr="00687F06">
        <w:trPr>
          <w:trHeight w:val="300"/>
        </w:trPr>
        <w:tc>
          <w:tcPr>
            <w:cnfStyle w:val="001000000000" w:firstRow="0" w:lastRow="0" w:firstColumn="1" w:lastColumn="0" w:oddVBand="0" w:evenVBand="0" w:oddHBand="0" w:evenHBand="0" w:firstRowFirstColumn="0" w:firstRowLastColumn="0" w:lastRowFirstColumn="0" w:lastRowLastColumn="0"/>
            <w:tcW w:w="1769" w:type="dxa"/>
            <w:tcBorders>
              <w:top w:val="single" w:sz="4" w:space="0" w:color="auto"/>
              <w:left w:val="single" w:sz="4" w:space="0" w:color="auto"/>
              <w:bottom w:val="single" w:sz="4" w:space="0" w:color="auto"/>
              <w:right w:val="single" w:sz="4" w:space="0" w:color="auto"/>
            </w:tcBorders>
            <w:noWrap/>
            <w:hideMark/>
          </w:tcPr>
          <w:p w14:paraId="67306D64" w14:textId="21D31EFD" w:rsidR="000171D5" w:rsidRPr="00CF51D1" w:rsidRDefault="000171D5" w:rsidP="00687F06">
            <w:pPr>
              <w:spacing w:line="240" w:lineRule="auto"/>
              <w:jc w:val="left"/>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 xml:space="preserve"> ponad rok temu</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47E1789C"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717,1</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2FDCC600"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333,7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3A4B2DC"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383,4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6E78FE"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260,6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9245E4C"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112,3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3426207"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148,3</w:t>
            </w:r>
          </w:p>
        </w:tc>
      </w:tr>
      <w:tr w:rsidR="000171D5" w:rsidRPr="00CF51D1" w14:paraId="2CB4C861" w14:textId="77777777" w:rsidTr="00687F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9" w:type="dxa"/>
            <w:tcBorders>
              <w:top w:val="single" w:sz="4" w:space="0" w:color="auto"/>
              <w:left w:val="single" w:sz="4" w:space="0" w:color="auto"/>
              <w:bottom w:val="single" w:sz="4" w:space="0" w:color="auto"/>
              <w:right w:val="single" w:sz="4" w:space="0" w:color="auto"/>
            </w:tcBorders>
            <w:noWrap/>
            <w:hideMark/>
          </w:tcPr>
          <w:p w14:paraId="3AF3AD3F" w14:textId="1260A88D" w:rsidR="000171D5" w:rsidRPr="00CF51D1" w:rsidRDefault="000171D5" w:rsidP="00687F06">
            <w:pPr>
              <w:spacing w:line="240" w:lineRule="auto"/>
              <w:jc w:val="left"/>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 xml:space="preserve">Osoby nigdy nie korzystające </w:t>
            </w:r>
            <w:r w:rsidR="00687F06">
              <w:rPr>
                <w:rFonts w:eastAsia="Times New Roman" w:cs="Times New Roman"/>
                <w:color w:val="auto"/>
                <w:sz w:val="20"/>
                <w:szCs w:val="20"/>
                <w:lang w:eastAsia="pl-PL"/>
              </w:rPr>
              <w:t xml:space="preserve">                 </w:t>
            </w:r>
            <w:r w:rsidRPr="00CF51D1">
              <w:rPr>
                <w:rFonts w:eastAsia="Times New Roman" w:cs="Times New Roman"/>
                <w:color w:val="auto"/>
                <w:sz w:val="20"/>
                <w:szCs w:val="20"/>
                <w:lang w:eastAsia="pl-PL"/>
              </w:rPr>
              <w:t>z Internetu</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314A1125"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4 517,3</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01808852"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2 153,4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AFA5707"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2 363,8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0E98BF3"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2 122,7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AAAB782"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876,9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24E9B9D"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1 245,8</w:t>
            </w:r>
          </w:p>
        </w:tc>
      </w:tr>
      <w:tr w:rsidR="000171D5" w:rsidRPr="00CF51D1" w14:paraId="499C45FF" w14:textId="77777777" w:rsidTr="00687F06">
        <w:trPr>
          <w:trHeight w:val="300"/>
        </w:trPr>
        <w:tc>
          <w:tcPr>
            <w:cnfStyle w:val="001000000000" w:firstRow="0" w:lastRow="0" w:firstColumn="1" w:lastColumn="0" w:oddVBand="0" w:evenVBand="0" w:oddHBand="0" w:evenHBand="0" w:firstRowFirstColumn="0" w:firstRowLastColumn="0" w:lastRowFirstColumn="0" w:lastRowLastColumn="0"/>
            <w:tcW w:w="9209" w:type="dxa"/>
            <w:gridSpan w:val="7"/>
            <w:tcBorders>
              <w:top w:val="single" w:sz="4" w:space="0" w:color="auto"/>
              <w:left w:val="single" w:sz="4" w:space="0" w:color="auto"/>
              <w:bottom w:val="single" w:sz="4" w:space="0" w:color="auto"/>
              <w:right w:val="single" w:sz="4" w:space="0" w:color="auto"/>
            </w:tcBorders>
            <w:noWrap/>
            <w:vAlign w:val="center"/>
            <w:hideMark/>
          </w:tcPr>
          <w:p w14:paraId="2E77EBC2" w14:textId="77777777" w:rsidR="000171D5" w:rsidRPr="00CF51D1" w:rsidRDefault="000171D5" w:rsidP="00687F06">
            <w:pPr>
              <w:spacing w:line="240" w:lineRule="auto"/>
              <w:jc w:val="center"/>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w odsetkach</w:t>
            </w:r>
          </w:p>
        </w:tc>
      </w:tr>
      <w:tr w:rsidR="000171D5" w:rsidRPr="00CF51D1" w14:paraId="4391087B" w14:textId="77777777" w:rsidTr="00687F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9" w:type="dxa"/>
            <w:tcBorders>
              <w:top w:val="single" w:sz="4" w:space="0" w:color="auto"/>
              <w:left w:val="single" w:sz="4" w:space="0" w:color="auto"/>
              <w:bottom w:val="single" w:sz="4" w:space="0" w:color="auto"/>
              <w:right w:val="single" w:sz="4" w:space="0" w:color="auto"/>
            </w:tcBorders>
            <w:noWrap/>
            <w:hideMark/>
          </w:tcPr>
          <w:p w14:paraId="0B361D49" w14:textId="15037F2C" w:rsidR="000171D5" w:rsidRPr="00CF51D1" w:rsidRDefault="000171D5" w:rsidP="00687F06">
            <w:pPr>
              <w:spacing w:line="240" w:lineRule="auto"/>
              <w:jc w:val="left"/>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 xml:space="preserve">Osoby korzystające </w:t>
            </w:r>
            <w:r w:rsidR="00687F06">
              <w:rPr>
                <w:rFonts w:eastAsia="Times New Roman" w:cs="Times New Roman"/>
                <w:color w:val="auto"/>
                <w:sz w:val="20"/>
                <w:szCs w:val="20"/>
                <w:lang w:eastAsia="pl-PL"/>
              </w:rPr>
              <w:t xml:space="preserve">                 </w:t>
            </w:r>
            <w:r w:rsidRPr="00CF51D1">
              <w:rPr>
                <w:rFonts w:eastAsia="Times New Roman" w:cs="Times New Roman"/>
                <w:color w:val="auto"/>
                <w:sz w:val="20"/>
                <w:szCs w:val="20"/>
                <w:lang w:eastAsia="pl-PL"/>
              </w:rPr>
              <w:t>z Internetu</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360E1E3C"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86,8</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56AABDC9"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87,0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3FA7A0" w14:textId="2DE30368"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86,7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80E9CA2"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59,2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39BE843"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59,5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F2A4474"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58,9</w:t>
            </w:r>
          </w:p>
        </w:tc>
      </w:tr>
      <w:tr w:rsidR="000171D5" w:rsidRPr="00CF51D1" w14:paraId="3EB95B05" w14:textId="77777777" w:rsidTr="00687F06">
        <w:trPr>
          <w:trHeight w:val="300"/>
        </w:trPr>
        <w:tc>
          <w:tcPr>
            <w:cnfStyle w:val="001000000000" w:firstRow="0" w:lastRow="0" w:firstColumn="1" w:lastColumn="0" w:oddVBand="0" w:evenVBand="0" w:oddHBand="0" w:evenHBand="0" w:firstRowFirstColumn="0" w:firstRowLastColumn="0" w:lastRowFirstColumn="0" w:lastRowLastColumn="0"/>
            <w:tcW w:w="1769" w:type="dxa"/>
            <w:tcBorders>
              <w:top w:val="single" w:sz="4" w:space="0" w:color="auto"/>
              <w:left w:val="single" w:sz="4" w:space="0" w:color="auto"/>
              <w:bottom w:val="single" w:sz="4" w:space="0" w:color="auto"/>
              <w:right w:val="single" w:sz="4" w:space="0" w:color="auto"/>
            </w:tcBorders>
            <w:noWrap/>
            <w:hideMark/>
          </w:tcPr>
          <w:p w14:paraId="2DFF37B8" w14:textId="6A83C476" w:rsidR="000171D5" w:rsidRPr="00CF51D1" w:rsidRDefault="000171D5" w:rsidP="00687F06">
            <w:pPr>
              <w:spacing w:line="240" w:lineRule="auto"/>
              <w:jc w:val="left"/>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w ciągu ostatnich 3 miesięcy</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330949F0"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83,2</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06664998"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83,3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D21F1AF" w14:textId="790668DF"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83,1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A419985"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51,4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1AB6015"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52,2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691B429"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50,7</w:t>
            </w:r>
          </w:p>
        </w:tc>
      </w:tr>
      <w:tr w:rsidR="000171D5" w:rsidRPr="00CF51D1" w14:paraId="38F25507" w14:textId="77777777" w:rsidTr="00687F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9" w:type="dxa"/>
            <w:tcBorders>
              <w:top w:val="single" w:sz="4" w:space="0" w:color="auto"/>
              <w:left w:val="single" w:sz="4" w:space="0" w:color="auto"/>
              <w:bottom w:val="single" w:sz="4" w:space="0" w:color="auto"/>
              <w:right w:val="single" w:sz="4" w:space="0" w:color="auto"/>
            </w:tcBorders>
            <w:noWrap/>
            <w:hideMark/>
          </w:tcPr>
          <w:p w14:paraId="67E59C4A" w14:textId="7049DA3F" w:rsidR="000171D5" w:rsidRPr="00CF51D1" w:rsidRDefault="000171D5" w:rsidP="00687F06">
            <w:pPr>
              <w:spacing w:line="240" w:lineRule="auto"/>
              <w:jc w:val="left"/>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od 3 miesięcy do 12 miesięcy temu</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6EA9BC0A"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1,6</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009FC0D3"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1,6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B5156E" w14:textId="05F226C8"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03C7F9"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2,5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51B6479"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6EA635B"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2,6</w:t>
            </w:r>
          </w:p>
        </w:tc>
      </w:tr>
      <w:tr w:rsidR="000171D5" w:rsidRPr="00CF51D1" w14:paraId="1C50B727" w14:textId="77777777" w:rsidTr="00687F06">
        <w:trPr>
          <w:trHeight w:val="300"/>
        </w:trPr>
        <w:tc>
          <w:tcPr>
            <w:cnfStyle w:val="001000000000" w:firstRow="0" w:lastRow="0" w:firstColumn="1" w:lastColumn="0" w:oddVBand="0" w:evenVBand="0" w:oddHBand="0" w:evenHBand="0" w:firstRowFirstColumn="0" w:firstRowLastColumn="0" w:lastRowFirstColumn="0" w:lastRowLastColumn="0"/>
            <w:tcW w:w="1769" w:type="dxa"/>
            <w:tcBorders>
              <w:top w:val="single" w:sz="4" w:space="0" w:color="auto"/>
              <w:left w:val="single" w:sz="4" w:space="0" w:color="auto"/>
              <w:bottom w:val="single" w:sz="4" w:space="0" w:color="auto"/>
              <w:right w:val="single" w:sz="4" w:space="0" w:color="auto"/>
            </w:tcBorders>
            <w:noWrap/>
            <w:hideMark/>
          </w:tcPr>
          <w:p w14:paraId="43B4C582" w14:textId="7BD0AB1F" w:rsidR="000171D5" w:rsidRPr="00CF51D1" w:rsidRDefault="000171D5" w:rsidP="00687F06">
            <w:pPr>
              <w:spacing w:line="240" w:lineRule="auto"/>
              <w:jc w:val="left"/>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ponad rok temu</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0909EF83"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2,0</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5D361B8D"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CBDB71" w14:textId="35C66C32"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AAE7B7B"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5,2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2C3FA39"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631CB2" w14:textId="77777777" w:rsidR="000171D5" w:rsidRPr="00CF51D1" w:rsidRDefault="000171D5" w:rsidP="00687F0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sz w:val="20"/>
                <w:szCs w:val="20"/>
              </w:rPr>
              <w:t>5,6</w:t>
            </w:r>
          </w:p>
        </w:tc>
      </w:tr>
      <w:tr w:rsidR="000171D5" w:rsidRPr="00CF51D1" w14:paraId="67C366E3" w14:textId="77777777" w:rsidTr="00687F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9" w:type="dxa"/>
            <w:tcBorders>
              <w:top w:val="single" w:sz="4" w:space="0" w:color="auto"/>
              <w:left w:val="single" w:sz="4" w:space="0" w:color="auto"/>
              <w:bottom w:val="single" w:sz="4" w:space="0" w:color="auto"/>
              <w:right w:val="single" w:sz="4" w:space="0" w:color="auto"/>
            </w:tcBorders>
            <w:noWrap/>
            <w:hideMark/>
          </w:tcPr>
          <w:p w14:paraId="5F8F0884" w14:textId="6519E7EB" w:rsidR="000171D5" w:rsidRPr="00CF51D1" w:rsidRDefault="000171D5" w:rsidP="00687F06">
            <w:pPr>
              <w:spacing w:line="240" w:lineRule="auto"/>
              <w:jc w:val="left"/>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 xml:space="preserve">Osoby nigdy nie korzystające </w:t>
            </w:r>
            <w:r w:rsidR="00687F06">
              <w:rPr>
                <w:rFonts w:eastAsia="Times New Roman" w:cs="Times New Roman"/>
                <w:color w:val="auto"/>
                <w:sz w:val="20"/>
                <w:szCs w:val="20"/>
                <w:lang w:eastAsia="pl-PL"/>
              </w:rPr>
              <w:t xml:space="preserve">                     </w:t>
            </w:r>
            <w:r w:rsidRPr="00CF51D1">
              <w:rPr>
                <w:rFonts w:eastAsia="Times New Roman" w:cs="Times New Roman"/>
                <w:color w:val="auto"/>
                <w:sz w:val="20"/>
                <w:szCs w:val="20"/>
                <w:lang w:eastAsia="pl-PL"/>
              </w:rPr>
              <w:t>z Internetu</w:t>
            </w:r>
          </w:p>
        </w:tc>
        <w:tc>
          <w:tcPr>
            <w:tcW w:w="1334" w:type="dxa"/>
            <w:tcBorders>
              <w:top w:val="single" w:sz="4" w:space="0" w:color="auto"/>
              <w:left w:val="single" w:sz="4" w:space="0" w:color="auto"/>
              <w:bottom w:val="single" w:sz="4" w:space="0" w:color="auto"/>
              <w:right w:val="single" w:sz="4" w:space="0" w:color="auto"/>
            </w:tcBorders>
            <w:noWrap/>
            <w:vAlign w:val="center"/>
            <w:hideMark/>
          </w:tcPr>
          <w:p w14:paraId="0D469662"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13,2</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6803ECB0"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13,0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9C19E4" w14:textId="18319415"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13,3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9A26A0"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40,8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8C8D06B"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40,5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AF0824C" w14:textId="77777777" w:rsidR="000171D5" w:rsidRPr="00CF51D1" w:rsidRDefault="000171D5" w:rsidP="00687F0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sz w:val="20"/>
                <w:szCs w:val="20"/>
              </w:rPr>
              <w:t>41,1</w:t>
            </w:r>
          </w:p>
        </w:tc>
      </w:tr>
    </w:tbl>
    <w:p w14:paraId="4E4F0508" w14:textId="77777777" w:rsidR="000171D5" w:rsidRPr="00CF51D1" w:rsidRDefault="000171D5" w:rsidP="000171D5">
      <w:pPr>
        <w:rPr>
          <w:rFonts w:cs="Times New Roman"/>
          <w:b/>
          <w:sz w:val="20"/>
          <w:szCs w:val="20"/>
        </w:rPr>
      </w:pPr>
      <w:r w:rsidRPr="00CF51D1">
        <w:rPr>
          <w:rFonts w:cs="Times New Roman"/>
          <w:b/>
          <w:sz w:val="20"/>
          <w:szCs w:val="20"/>
        </w:rPr>
        <w:t>Źródło: Badanie "Wykorzystanie technologii informacyjno-komunikacyjnych w gospodarstwach domowych", GUS</w:t>
      </w:r>
    </w:p>
    <w:p w14:paraId="4880D354" w14:textId="77777777" w:rsidR="000171D5" w:rsidRDefault="000171D5" w:rsidP="000171D5"/>
    <w:p w14:paraId="11382C0A" w14:textId="77777777" w:rsidR="000171D5" w:rsidRDefault="000171D5" w:rsidP="000171D5">
      <w:pPr>
        <w:pStyle w:val="Nagwek3"/>
      </w:pPr>
      <w:bookmarkStart w:id="44" w:name="_Toc77513892"/>
      <w:bookmarkStart w:id="45" w:name="_Toc80523052"/>
      <w:r>
        <w:t>Aktywność edukacyjna</w:t>
      </w:r>
      <w:bookmarkEnd w:id="44"/>
      <w:bookmarkEnd w:id="45"/>
    </w:p>
    <w:p w14:paraId="2DD87B41" w14:textId="77777777" w:rsidR="009C707F" w:rsidRDefault="009C707F" w:rsidP="009C707F"/>
    <w:p w14:paraId="32FE2C0A" w14:textId="00B10E1D" w:rsidR="000171D5" w:rsidRDefault="009C707F" w:rsidP="009C707F">
      <w:r>
        <w:t xml:space="preserve">Edukacja, rozumiana jako zorganizowany transfer wiedzy, umiejętności i kompetencji społecznych, obejmuje znacznie szerszy obszar niż kształcenie w systemie oświaty  i systemie szkolnictwa wyższego. Obecnie edukację rozumie się jako związek kształcenia i szkolenia, gdzie oba te człony są równorzędne. „Kształcenie” dotyczy głównie form opartych na dłuższych cyklach prowadzących do kwalifikacji zhierarchizowanych według szczebli. W ten sposób kształcenie kojarzone jest  z edukacją formalną (m.in. jest to najczęściej występujące pojęcie w prawie regulującym systemy oświaty i szkolnictwa wyższego). </w:t>
      </w:r>
      <w:r>
        <w:lastRenderedPageBreak/>
        <w:t>„Szkolenie” dotyczy głównie krótszych form niż cykle kształcenia. Zwykle nie prowadzą one do hierarchicznie uporządkowanych kwalifikacji (choć część szkoleń może taki warunek spełniać). Cechą szkolenia jest elastyczność – formy szkoleń mogą być różnej długości, mogą być jednokrotne, mogą się łączyć w przerywane cykle i mieć strukturę modułową.</w:t>
      </w:r>
    </w:p>
    <w:p w14:paraId="23770E4F" w14:textId="50EC053F" w:rsidR="009C707F" w:rsidRDefault="009C707F" w:rsidP="009C707F"/>
    <w:p w14:paraId="2EDD09EE" w14:textId="77777777" w:rsidR="009C707F" w:rsidRPr="00942717" w:rsidRDefault="009C707F" w:rsidP="009C707F">
      <w:pPr>
        <w:rPr>
          <w:lang w:val="en-US"/>
        </w:rPr>
      </w:pPr>
      <w:proofErr w:type="spellStart"/>
      <w:r w:rsidRPr="00942717">
        <w:rPr>
          <w:b/>
          <w:lang w:val="en-US"/>
        </w:rPr>
        <w:t>Wyniki</w:t>
      </w:r>
      <w:proofErr w:type="spellEnd"/>
      <w:r w:rsidRPr="00942717">
        <w:rPr>
          <w:b/>
          <w:lang w:val="en-US"/>
        </w:rPr>
        <w:t xml:space="preserve"> </w:t>
      </w:r>
      <w:proofErr w:type="spellStart"/>
      <w:r w:rsidRPr="00942717">
        <w:rPr>
          <w:b/>
          <w:lang w:val="en-US"/>
        </w:rPr>
        <w:t>badania</w:t>
      </w:r>
      <w:proofErr w:type="spellEnd"/>
      <w:r w:rsidRPr="00942717">
        <w:rPr>
          <w:b/>
          <w:lang w:val="en-US"/>
        </w:rPr>
        <w:t xml:space="preserve"> </w:t>
      </w:r>
      <w:r w:rsidRPr="00942717">
        <w:rPr>
          <w:b/>
          <w:i/>
          <w:lang w:val="en-US"/>
        </w:rPr>
        <w:t>Adult Education Survey</w:t>
      </w:r>
      <w:r w:rsidRPr="00942717">
        <w:rPr>
          <w:b/>
          <w:lang w:val="en-US"/>
        </w:rPr>
        <w:t xml:space="preserve"> (AES</w:t>
      </w:r>
      <w:r w:rsidRPr="00942717">
        <w:rPr>
          <w:lang w:val="en-US"/>
        </w:rPr>
        <w:t>)</w:t>
      </w:r>
    </w:p>
    <w:p w14:paraId="099213F0" w14:textId="600DFB41" w:rsidR="009C707F" w:rsidRDefault="009C707F" w:rsidP="009C707F">
      <w:r>
        <w:t xml:space="preserve">Dane z badania AES dotyczą uczestnictwa dorosłych w kształceniu w okresie 12 miesięcy przed badaniem. Ostatnie dostępne dane z tego badania pochodzą z 2016 </w:t>
      </w:r>
      <w:r w:rsidR="00E959A7">
        <w:t>r.</w:t>
      </w:r>
      <w:r>
        <w:t xml:space="preserve"> (prowadzone jest ono w cyklu 5-letnim). W głównej dla tego badania kategorii wiekowej, tj. 25-64 lata uczestnictwo dorosłych w kształceniu i szkoleniu w UE w 2007 </w:t>
      </w:r>
      <w:r w:rsidR="00E959A7">
        <w:t xml:space="preserve">r. </w:t>
      </w:r>
      <w:r>
        <w:t xml:space="preserve">wynosiło 35,2%, a w  2016 </w:t>
      </w:r>
      <w:r w:rsidR="00E959A7">
        <w:t xml:space="preserve">r. </w:t>
      </w:r>
      <w:r>
        <w:t xml:space="preserve">– 45,1% (razem w edukacji formalnej i </w:t>
      </w:r>
      <w:proofErr w:type="spellStart"/>
      <w:r>
        <w:t>pozaformalnej</w:t>
      </w:r>
      <w:proofErr w:type="spellEnd"/>
      <w:r>
        <w:t>). Widać więc wyraźny postęp od 2007</w:t>
      </w:r>
      <w:r w:rsidR="00E959A7">
        <w:t xml:space="preserve"> r</w:t>
      </w:r>
      <w:r>
        <w:t xml:space="preserve">. W Polsce uczestnictwo to wynosiło odpowiednio 21,8% i 25,5%. W dostępnej w tym badaniu kategorii wiekowej osób starszych, tj. kategorii 55-64 lata, uczestnictwo dorosłych w kształceniu i szkoleniu w UE wynosiło  w 2007 </w:t>
      </w:r>
      <w:r w:rsidR="00E959A7">
        <w:t xml:space="preserve">r. </w:t>
      </w:r>
      <w:r>
        <w:t xml:space="preserve">– 21,1%, a w  2016 </w:t>
      </w:r>
      <w:r w:rsidR="00E959A7">
        <w:t xml:space="preserve">r. </w:t>
      </w:r>
      <w:r>
        <w:t>– 32,9%. W Polsce było niższe i wynosiło odpowiednio 6,8%  i 13,4%.</w:t>
      </w:r>
    </w:p>
    <w:p w14:paraId="4760BA7C" w14:textId="79760FA2" w:rsidR="009C707F" w:rsidRDefault="009C707F" w:rsidP="009C707F"/>
    <w:p w14:paraId="449DC190" w14:textId="3E154D7B" w:rsidR="009C707F" w:rsidRDefault="009C707F" w:rsidP="009C707F">
      <w:r w:rsidRPr="009C707F">
        <w:rPr>
          <w:b/>
          <w:bCs/>
        </w:rPr>
        <w:t xml:space="preserve">Wyniki badania </w:t>
      </w:r>
      <w:r>
        <w:rPr>
          <w:b/>
          <w:bCs/>
        </w:rPr>
        <w:t>Bilans Kapitału Ludzkiego</w:t>
      </w:r>
      <w:r w:rsidRPr="009C707F">
        <w:rPr>
          <w:b/>
          <w:bCs/>
        </w:rPr>
        <w:t xml:space="preserve"> (</w:t>
      </w:r>
      <w:r>
        <w:rPr>
          <w:b/>
          <w:bCs/>
        </w:rPr>
        <w:t>BKL</w:t>
      </w:r>
      <w:r>
        <w:t>)</w:t>
      </w:r>
    </w:p>
    <w:p w14:paraId="4142BA0E" w14:textId="078FB06F" w:rsidR="009C707F" w:rsidRDefault="00BA0F26" w:rsidP="00BA0F26">
      <w:r>
        <w:t xml:space="preserve">Ostatnie dostępne dane z tego badania pochodzą z 2017 </w:t>
      </w:r>
      <w:r w:rsidR="00E959A7">
        <w:t xml:space="preserve">r. </w:t>
      </w:r>
      <w:r>
        <w:t>(aktualnie opracowywane są dane z 2019</w:t>
      </w:r>
      <w:r w:rsidR="00E959A7">
        <w:t xml:space="preserve"> r.</w:t>
      </w:r>
      <w:r>
        <w:t>). Raport BKL wymienia grupy wiekowe 55-59 lat i 60-64 lata w odniesieniu do uczestnictwa dorosłych w kształceniu i szkoleniu – dotyczącej uczestnictwa w okresie 12 miesięcy przed badaniem. Wyniki można do pewnego stopnia porównać z wynikami badania AES. W badaniu tym uczestnictwo dorosłych w wieku 55-64 w kształceniu i szkoleniu w okresie 12 miesięcy przed badaniem wynosiło w Polsce 13,4%. W badaniu BKL 2017 wynik w podobnej mierze uczestnictwa dla dorosłych w wieku 55-59 lat wyniósł 28%, a w wieku                60-64 lata – 19%. Wyniki BKL są zatem wyraźnie wyższe.</w:t>
      </w:r>
    </w:p>
    <w:p w14:paraId="18665A9E" w14:textId="29AF10DA" w:rsidR="00BA0F26" w:rsidRDefault="00BA0F26" w:rsidP="00BA0F26"/>
    <w:p w14:paraId="5D411D04" w14:textId="20B90301" w:rsidR="009C707F" w:rsidRDefault="00BA0F26" w:rsidP="009C707F">
      <w:r>
        <w:t>Może to wynikać, z tego iż w</w:t>
      </w:r>
      <w:r w:rsidRPr="00BA0F26">
        <w:t xml:space="preserve"> nowszych badaniach, do których zaliczyć można badanie BKL 2017, pytania koncentrują się na różnych sposobach nabywania umiejętności, bez sugerowania, że są one podobne do form kształcenia stosowanych w szkołach i uczelniach. Znaczna część zajęć mających cechy edukacyjne (tj. w zamierzony i zorganizowany sposób transferujące wiedzę, umiejętności i kompetencje społeczne), w których uczestniczą dorośli, ma charakter praktyczny. Obecnie w Europie i w Polsce upowszechniane jest to, że środowiskiem najszerzej angażującym dorosłych w uczenie się jest miejsce pracy oraz działania społeczne na rzecz rozwoju różnych społeczności i wspólnot.</w:t>
      </w:r>
    </w:p>
    <w:p w14:paraId="0CC28B3D" w14:textId="1E646134" w:rsidR="009C707F" w:rsidRDefault="009C707F" w:rsidP="009C707F"/>
    <w:p w14:paraId="0FE400CE" w14:textId="7D2E065A" w:rsidR="009C707F" w:rsidRPr="009C707F" w:rsidRDefault="009C707F" w:rsidP="009C707F">
      <w:pPr>
        <w:autoSpaceDE w:val="0"/>
        <w:autoSpaceDN w:val="0"/>
        <w:adjustRightInd w:val="0"/>
        <w:rPr>
          <w:rFonts w:cs="Times New Roman"/>
          <w:b/>
          <w:szCs w:val="24"/>
        </w:rPr>
      </w:pPr>
      <w:r w:rsidRPr="009C707F">
        <w:rPr>
          <w:rFonts w:cs="Times New Roman"/>
          <w:b/>
          <w:szCs w:val="24"/>
        </w:rPr>
        <w:t>Aktywność edukacyjna osób starszych w ramach kształcenia ustawicznego w systemie oświaty</w:t>
      </w:r>
    </w:p>
    <w:p w14:paraId="20A82A53" w14:textId="2FAFA747" w:rsidR="009C707F" w:rsidRPr="009C707F" w:rsidRDefault="009C707F" w:rsidP="009C707F">
      <w:pPr>
        <w:rPr>
          <w:bCs/>
        </w:rPr>
      </w:pPr>
      <w:r w:rsidRPr="009C707F">
        <w:rPr>
          <w:bCs/>
        </w:rPr>
        <w:t xml:space="preserve">W ustawie o systemie oświaty edukacja osób starszych nie ma statusu odrębnego zadania. Osoby dorosłe, w tym także osoby starsze, mogą uczestniczyć </w:t>
      </w:r>
      <w:r>
        <w:rPr>
          <w:bCs/>
        </w:rPr>
        <w:t xml:space="preserve"> </w:t>
      </w:r>
      <w:r w:rsidRPr="009C707F">
        <w:rPr>
          <w:bCs/>
        </w:rPr>
        <w:t>w kształceniu ustawicznym. Dla</w:t>
      </w:r>
      <w:r>
        <w:rPr>
          <w:bCs/>
        </w:rPr>
        <w:t> </w:t>
      </w:r>
      <w:r w:rsidRPr="009C707F">
        <w:rPr>
          <w:bCs/>
        </w:rPr>
        <w:t>uczestników tego kształcenia nie jest wyznaczona górna granica wiekowa.</w:t>
      </w:r>
      <w:r>
        <w:rPr>
          <w:bCs/>
        </w:rPr>
        <w:t xml:space="preserve"> </w:t>
      </w:r>
      <w:r w:rsidRPr="009C707F">
        <w:rPr>
          <w:bCs/>
        </w:rPr>
        <w:t>Kształcenie ustawiczne obejmuje szkoły ogólnokształcące dla dorosłych, szkoły kształcące w</w:t>
      </w:r>
      <w:r>
        <w:rPr>
          <w:bCs/>
        </w:rPr>
        <w:t> </w:t>
      </w:r>
      <w:r w:rsidRPr="009C707F">
        <w:rPr>
          <w:bCs/>
        </w:rPr>
        <w:t>zawodach (szkoły policealne) oraz formy pozaszkolne. Katalog form pozaszkolnych obejmuje</w:t>
      </w:r>
      <w:r>
        <w:rPr>
          <w:bCs/>
        </w:rPr>
        <w:t xml:space="preserve"> </w:t>
      </w:r>
      <w:r w:rsidRPr="009C707F">
        <w:rPr>
          <w:bCs/>
        </w:rPr>
        <w:t xml:space="preserve">cztery </w:t>
      </w:r>
      <w:r w:rsidRPr="009C707F">
        <w:rPr>
          <w:bCs/>
        </w:rPr>
        <w:lastRenderedPageBreak/>
        <w:t>rodzaje form adresowanych do osób dorosłych: (1) kwalifikacyjny kurs zawodowy; (2) kurs umiejętności zawodowych; (3) kurs kompetencji ogólnych oparty na</w:t>
      </w:r>
      <w:r>
        <w:rPr>
          <w:bCs/>
        </w:rPr>
        <w:t> </w:t>
      </w:r>
      <w:r w:rsidRPr="009C707F">
        <w:rPr>
          <w:bCs/>
        </w:rPr>
        <w:t>wybranym fragmencie podstawy programowej kształcenia ogólnego; (4) inne kursy, w</w:t>
      </w:r>
      <w:r>
        <w:rPr>
          <w:bCs/>
        </w:rPr>
        <w:t> </w:t>
      </w:r>
      <w:r w:rsidRPr="009C707F">
        <w:rPr>
          <w:bCs/>
        </w:rPr>
        <w:t>których program nauczania nie</w:t>
      </w:r>
      <w:r>
        <w:rPr>
          <w:bCs/>
        </w:rPr>
        <w:t> </w:t>
      </w:r>
      <w:r w:rsidRPr="009C707F">
        <w:rPr>
          <w:bCs/>
        </w:rPr>
        <w:t>odnosi się do podstawy programowej kształcenia ogólnego lub kształcenia w zawodach.</w:t>
      </w:r>
    </w:p>
    <w:p w14:paraId="5161E17C" w14:textId="77777777" w:rsidR="009C707F" w:rsidRDefault="009C707F" w:rsidP="009C707F">
      <w:pPr>
        <w:rPr>
          <w:bCs/>
        </w:rPr>
      </w:pPr>
    </w:p>
    <w:p w14:paraId="7D134E28" w14:textId="3343C3A2" w:rsidR="009C707F" w:rsidRPr="009C707F" w:rsidRDefault="009C707F" w:rsidP="009C707F">
      <w:pPr>
        <w:rPr>
          <w:bCs/>
        </w:rPr>
      </w:pPr>
      <w:r w:rsidRPr="009C707F">
        <w:rPr>
          <w:bCs/>
        </w:rPr>
        <w:t xml:space="preserve">Kształcenie ustawiczne prowadzone w instytucjach systemu oświaty podlega monitorowaniu przez System Informacji Oświatowej (SIO). W monitorowaniu tym występowała dotychczas jedynie kategoria wiekowa „30 lat i więcej” w odniesieniu do najstarszej kategorii wiekowej korzystającej z ofert kształcenia ustawicznego </w:t>
      </w:r>
      <w:r>
        <w:rPr>
          <w:bCs/>
        </w:rPr>
        <w:t xml:space="preserve"> </w:t>
      </w:r>
      <w:r w:rsidRPr="009C707F">
        <w:rPr>
          <w:bCs/>
        </w:rPr>
        <w:t>w systemie oświaty. Nie pozwalało to na ścisłą odpowiedź dotyczącą uczestnictwa osób starszych w tym kształceniu do roku 2017. Od roku szkolnego 2018/19 udostępniane są dane z tzw. nowego SIO, w którym gromadzone są zanominowane, indywidualne dane o wszystkich osobach korzystających z wychowania i</w:t>
      </w:r>
      <w:r>
        <w:rPr>
          <w:bCs/>
        </w:rPr>
        <w:t> </w:t>
      </w:r>
      <w:r w:rsidRPr="009C707F">
        <w:rPr>
          <w:bCs/>
        </w:rPr>
        <w:t xml:space="preserve">kształcenia w systemie oświaty. Jednak w odniesieniu do kształcenia ustawicznego takie indywidualne dane dostępne są jedynie odnośnie uczestników kwalifikacyjnych kursów zawodowych (KKZ) realizowanych </w:t>
      </w:r>
      <w:r>
        <w:rPr>
          <w:bCs/>
        </w:rPr>
        <w:t xml:space="preserve"> </w:t>
      </w:r>
      <w:r w:rsidRPr="009C707F">
        <w:rPr>
          <w:bCs/>
        </w:rPr>
        <w:t>w jednostkach systemu oświaty (kursy te mogą realizować także określone jednostki spoza systemu oświaty, np. instytucje rynku pracy).</w:t>
      </w:r>
    </w:p>
    <w:p w14:paraId="3F5BDA1D" w14:textId="77777777" w:rsidR="009C707F" w:rsidRDefault="009C707F" w:rsidP="009C707F">
      <w:pPr>
        <w:rPr>
          <w:bCs/>
        </w:rPr>
      </w:pPr>
    </w:p>
    <w:p w14:paraId="2087AA56" w14:textId="225632D2" w:rsidR="003F3E84" w:rsidRPr="009C707F" w:rsidRDefault="009C707F" w:rsidP="009C707F">
      <w:pPr>
        <w:rPr>
          <w:bCs/>
        </w:rPr>
      </w:pPr>
      <w:r w:rsidRPr="009C707F">
        <w:rPr>
          <w:bCs/>
        </w:rPr>
        <w:t xml:space="preserve">Dane SIO za rok szkolny 2019/20 dotyczące uczestników KKZ realizowanych </w:t>
      </w:r>
      <w:r>
        <w:rPr>
          <w:bCs/>
        </w:rPr>
        <w:t> </w:t>
      </w:r>
      <w:r w:rsidRPr="009C707F">
        <w:rPr>
          <w:bCs/>
        </w:rPr>
        <w:t xml:space="preserve">w jednostkach systemu oświaty wykazują, że korzystają z nich 693 osoby w wieku </w:t>
      </w:r>
      <w:r>
        <w:rPr>
          <w:bCs/>
        </w:rPr>
        <w:t> </w:t>
      </w:r>
      <w:r w:rsidRPr="009C707F">
        <w:rPr>
          <w:bCs/>
        </w:rPr>
        <w:t>61-65 lat, 345 osób w</w:t>
      </w:r>
      <w:r>
        <w:rPr>
          <w:bCs/>
        </w:rPr>
        <w:t> </w:t>
      </w:r>
      <w:r w:rsidRPr="009C707F">
        <w:rPr>
          <w:bCs/>
        </w:rPr>
        <w:t xml:space="preserve">wieku 66-70 lat oraz 114 osób od 71 do 90 roku życia. Razem są to 1152 osoby w wieku </w:t>
      </w:r>
      <w:r>
        <w:rPr>
          <w:bCs/>
        </w:rPr>
        <w:t xml:space="preserve">                </w:t>
      </w:r>
      <w:r w:rsidRPr="009C707F">
        <w:rPr>
          <w:bCs/>
        </w:rPr>
        <w:t xml:space="preserve">61-90 lat. Stanowi to 1,5% wszystkich korzystających </w:t>
      </w:r>
      <w:r>
        <w:rPr>
          <w:bCs/>
        </w:rPr>
        <w:t> </w:t>
      </w:r>
      <w:r w:rsidRPr="009C707F">
        <w:rPr>
          <w:bCs/>
        </w:rPr>
        <w:t>z KKZ w systemie oświaty (bez uwzględniania uczestników KKZ organizowanych w jednostkach spoza systemu oświaty). Osoby w kategorii „30 lat i więcej” stanowią 45% wszystkich uczestników KKZ. Dane te</w:t>
      </w:r>
      <w:r>
        <w:rPr>
          <w:bCs/>
        </w:rPr>
        <w:t> </w:t>
      </w:r>
      <w:r w:rsidRPr="009C707F">
        <w:rPr>
          <w:bCs/>
        </w:rPr>
        <w:t>wskazują na to, że kursowe formy kształcenia ustawicznego w systemie oświaty, w tym w</w:t>
      </w:r>
      <w:r>
        <w:rPr>
          <w:bCs/>
        </w:rPr>
        <w:t> </w:t>
      </w:r>
      <w:r w:rsidRPr="009C707F">
        <w:rPr>
          <w:bCs/>
        </w:rPr>
        <w:t>szczególności KKZ, stopniowo otwierają się na osoby w średnim wieku i starsze. Wcześniej formy te były zdominowane przez osoby do 30 roku życia, w tym przede wszystkim przez dwudziesto-kilku latki.</w:t>
      </w:r>
    </w:p>
    <w:p w14:paraId="230E8C1D" w14:textId="77777777" w:rsidR="009C707F" w:rsidRDefault="009C707F" w:rsidP="000171D5">
      <w:pPr>
        <w:rPr>
          <w:b/>
          <w:bCs/>
        </w:rPr>
      </w:pPr>
    </w:p>
    <w:p w14:paraId="5BEC3C25" w14:textId="6FF848D2" w:rsidR="000171D5" w:rsidRPr="008F6847" w:rsidRDefault="000171D5" w:rsidP="000171D5">
      <w:pPr>
        <w:rPr>
          <w:b/>
          <w:bCs/>
        </w:rPr>
      </w:pPr>
      <w:r w:rsidRPr="008F6847">
        <w:rPr>
          <w:b/>
          <w:bCs/>
        </w:rPr>
        <w:t>Uniwersytety Trzeciego Wieku</w:t>
      </w:r>
    </w:p>
    <w:p w14:paraId="4F0BE88D" w14:textId="77777777" w:rsidR="00687F06" w:rsidRDefault="000171D5" w:rsidP="000171D5">
      <w:r w:rsidRPr="008428AF">
        <w:t xml:space="preserve">Głównym zadaniem uniwersytetów trzeciego wieku (UTW) jest działalność edukacyjna, integracja oraz aktywizacja osób starszych w celu poprawy jakości życia oraz zwiększenia ich uczestnictwa w życiu społecznym. Polskie UTW posiadały zróżnicowaną formę organizacyjno-prawną, tj. działały w strukturze rozmaitych organizacji czy instytucji. </w:t>
      </w:r>
    </w:p>
    <w:p w14:paraId="10CC4058" w14:textId="410A9BE8" w:rsidR="000171D5" w:rsidRDefault="000171D5" w:rsidP="000171D5">
      <w:r w:rsidRPr="008428AF">
        <w:t>Ponad 56% uniwersytetów dla seniorów funkcjonowało w strukturze organizacji pozarządowych, w tym 44,7% było stowarzyszeniami założonymi wyłącznie w celu prowadzenia UTW</w:t>
      </w:r>
      <w:r>
        <w:rPr>
          <w:rStyle w:val="Odwoanieprzypisudolnego"/>
        </w:rPr>
        <w:footnoteReference w:id="24"/>
      </w:r>
      <w:r w:rsidRPr="008428AF">
        <w:t>.</w:t>
      </w:r>
    </w:p>
    <w:p w14:paraId="06CD2ED6" w14:textId="77777777" w:rsidR="000171D5" w:rsidRDefault="000171D5" w:rsidP="000171D5"/>
    <w:p w14:paraId="088A8A6F" w14:textId="48EAE700" w:rsidR="000171D5" w:rsidRPr="008428AF" w:rsidRDefault="000171D5" w:rsidP="000171D5">
      <w:pPr>
        <w:pStyle w:val="Legenda"/>
        <w:keepNext/>
        <w:rPr>
          <w:rFonts w:cs="Times New Roman"/>
          <w:b/>
          <w:i w:val="0"/>
          <w:color w:val="auto"/>
          <w:sz w:val="24"/>
          <w:szCs w:val="24"/>
        </w:rPr>
      </w:pPr>
      <w:bookmarkStart w:id="46" w:name="_Toc49171417"/>
      <w:r w:rsidRPr="008428AF">
        <w:rPr>
          <w:rFonts w:cs="Times New Roman"/>
          <w:b/>
          <w:i w:val="0"/>
          <w:color w:val="auto"/>
          <w:sz w:val="24"/>
          <w:szCs w:val="24"/>
        </w:rPr>
        <w:lastRenderedPageBreak/>
        <w:t>Tabela 33</w:t>
      </w:r>
      <w:r w:rsidR="00EE73AF">
        <w:rPr>
          <w:rFonts w:cs="Times New Roman"/>
          <w:b/>
          <w:i w:val="0"/>
          <w:color w:val="auto"/>
          <w:sz w:val="24"/>
          <w:szCs w:val="24"/>
        </w:rPr>
        <w:t>.</w:t>
      </w:r>
      <w:r w:rsidRPr="008428AF">
        <w:rPr>
          <w:rFonts w:cs="Times New Roman"/>
          <w:b/>
          <w:i w:val="0"/>
          <w:color w:val="auto"/>
          <w:sz w:val="24"/>
          <w:szCs w:val="24"/>
        </w:rPr>
        <w:t xml:space="preserve"> Osoby w wieku 61 lat i więcej wśród słuchaczy uniwersytetów trzeciego wieku (dane z roku akademickiego 2017/2018)</w:t>
      </w:r>
      <w:bookmarkEnd w:id="46"/>
    </w:p>
    <w:tbl>
      <w:tblPr>
        <w:tblStyle w:val="Tabelasiatki5ciemnaakcent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276"/>
        <w:gridCol w:w="1701"/>
        <w:gridCol w:w="1134"/>
        <w:gridCol w:w="969"/>
        <w:gridCol w:w="1157"/>
      </w:tblGrid>
      <w:tr w:rsidR="000171D5" w:rsidRPr="008428AF" w14:paraId="1BD45C03" w14:textId="77777777" w:rsidTr="00AD7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right w:val="none" w:sz="0" w:space="0" w:color="auto"/>
            </w:tcBorders>
          </w:tcPr>
          <w:p w14:paraId="45ED6AC3" w14:textId="77777777" w:rsidR="000171D5" w:rsidRPr="008428AF" w:rsidRDefault="000171D5" w:rsidP="00AD7202">
            <w:pPr>
              <w:spacing w:line="240" w:lineRule="auto"/>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Wyszczególnienie</w:t>
            </w:r>
          </w:p>
        </w:tc>
        <w:tc>
          <w:tcPr>
            <w:tcW w:w="1134" w:type="dxa"/>
            <w:tcBorders>
              <w:top w:val="none" w:sz="0" w:space="0" w:color="auto"/>
              <w:left w:val="none" w:sz="0" w:space="0" w:color="auto"/>
              <w:right w:val="none" w:sz="0" w:space="0" w:color="auto"/>
            </w:tcBorders>
          </w:tcPr>
          <w:p w14:paraId="40259BA6" w14:textId="77777777" w:rsidR="000171D5" w:rsidRPr="008428AF" w:rsidRDefault="000171D5" w:rsidP="00AD7202">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Ogółem</w:t>
            </w:r>
          </w:p>
        </w:tc>
        <w:tc>
          <w:tcPr>
            <w:tcW w:w="1276" w:type="dxa"/>
            <w:tcBorders>
              <w:top w:val="none" w:sz="0" w:space="0" w:color="auto"/>
              <w:left w:val="none" w:sz="0" w:space="0" w:color="auto"/>
              <w:right w:val="none" w:sz="0" w:space="0" w:color="auto"/>
            </w:tcBorders>
          </w:tcPr>
          <w:p w14:paraId="7DD0FCDA" w14:textId="77777777" w:rsidR="000171D5" w:rsidRPr="008428AF" w:rsidRDefault="000171D5" w:rsidP="00AD7202">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w tym w wieku 61 lat i więcej</w:t>
            </w:r>
          </w:p>
        </w:tc>
        <w:tc>
          <w:tcPr>
            <w:tcW w:w="1701" w:type="dxa"/>
            <w:tcBorders>
              <w:top w:val="none" w:sz="0" w:space="0" w:color="auto"/>
              <w:left w:val="none" w:sz="0" w:space="0" w:color="auto"/>
              <w:right w:val="none" w:sz="0" w:space="0" w:color="auto"/>
            </w:tcBorders>
          </w:tcPr>
          <w:p w14:paraId="55813752" w14:textId="77777777" w:rsidR="000171D5" w:rsidRPr="008428AF" w:rsidRDefault="000171D5" w:rsidP="00AD7202">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Odsetek osób w wieku 61 lat i więcej w liczbie słuchaczy ogółem</w:t>
            </w:r>
          </w:p>
        </w:tc>
        <w:tc>
          <w:tcPr>
            <w:tcW w:w="1134" w:type="dxa"/>
            <w:tcBorders>
              <w:top w:val="none" w:sz="0" w:space="0" w:color="auto"/>
              <w:left w:val="none" w:sz="0" w:space="0" w:color="auto"/>
              <w:right w:val="none" w:sz="0" w:space="0" w:color="auto"/>
            </w:tcBorders>
          </w:tcPr>
          <w:p w14:paraId="59343601" w14:textId="77777777" w:rsidR="000171D5" w:rsidRPr="008428AF" w:rsidRDefault="000171D5" w:rsidP="00AD7202">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8428AF">
              <w:rPr>
                <w:rFonts w:eastAsia="Times New Roman" w:cs="Times New Roman"/>
                <w:color w:val="auto"/>
                <w:sz w:val="20"/>
                <w:szCs w:val="20"/>
                <w:lang w:eastAsia="pl-PL"/>
              </w:rPr>
              <w:t>w tym w wieku:</w:t>
            </w:r>
          </w:p>
        </w:tc>
        <w:tc>
          <w:tcPr>
            <w:tcW w:w="969" w:type="dxa"/>
            <w:tcBorders>
              <w:top w:val="none" w:sz="0" w:space="0" w:color="auto"/>
              <w:left w:val="none" w:sz="0" w:space="0" w:color="auto"/>
              <w:right w:val="none" w:sz="0" w:space="0" w:color="auto"/>
            </w:tcBorders>
          </w:tcPr>
          <w:p w14:paraId="4308AFD0" w14:textId="77777777" w:rsidR="000171D5" w:rsidRPr="008428AF" w:rsidRDefault="000171D5" w:rsidP="00AD7202">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61-75 lat</w:t>
            </w:r>
          </w:p>
        </w:tc>
        <w:tc>
          <w:tcPr>
            <w:tcW w:w="1157" w:type="dxa"/>
            <w:tcBorders>
              <w:top w:val="none" w:sz="0" w:space="0" w:color="auto"/>
              <w:left w:val="none" w:sz="0" w:space="0" w:color="auto"/>
              <w:right w:val="none" w:sz="0" w:space="0" w:color="auto"/>
            </w:tcBorders>
          </w:tcPr>
          <w:p w14:paraId="3F4D842C" w14:textId="77777777" w:rsidR="000171D5" w:rsidRPr="008428AF" w:rsidRDefault="000171D5" w:rsidP="00AD7202">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76 lat i więcej</w:t>
            </w:r>
          </w:p>
        </w:tc>
      </w:tr>
      <w:tr w:rsidR="000171D5" w:rsidRPr="008428AF" w14:paraId="205A3E9C"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3CDA9244" w14:textId="77777777" w:rsidR="000171D5" w:rsidRPr="008428AF" w:rsidRDefault="000171D5" w:rsidP="00AD7202">
            <w:pPr>
              <w:spacing w:line="240" w:lineRule="auto"/>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Polska</w:t>
            </w:r>
          </w:p>
        </w:tc>
        <w:tc>
          <w:tcPr>
            <w:tcW w:w="1134" w:type="dxa"/>
          </w:tcPr>
          <w:p w14:paraId="282A16DE"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113 193</w:t>
            </w:r>
          </w:p>
        </w:tc>
        <w:tc>
          <w:tcPr>
            <w:tcW w:w="1276" w:type="dxa"/>
          </w:tcPr>
          <w:p w14:paraId="71BC0628"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97 728</w:t>
            </w:r>
          </w:p>
        </w:tc>
        <w:tc>
          <w:tcPr>
            <w:tcW w:w="1701" w:type="dxa"/>
          </w:tcPr>
          <w:p w14:paraId="55451F9F"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8428AF">
              <w:rPr>
                <w:rFonts w:eastAsia="Times New Roman" w:cs="Times New Roman"/>
                <w:sz w:val="20"/>
                <w:szCs w:val="20"/>
                <w:lang w:eastAsia="pl-PL"/>
              </w:rPr>
              <w:t>86,3</w:t>
            </w:r>
          </w:p>
        </w:tc>
        <w:tc>
          <w:tcPr>
            <w:tcW w:w="1134" w:type="dxa"/>
            <w:vMerge w:val="restart"/>
          </w:tcPr>
          <w:p w14:paraId="57DAF09A"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p>
        </w:tc>
        <w:tc>
          <w:tcPr>
            <w:tcW w:w="969" w:type="dxa"/>
          </w:tcPr>
          <w:p w14:paraId="054D159F"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70,3</w:t>
            </w:r>
          </w:p>
        </w:tc>
        <w:tc>
          <w:tcPr>
            <w:tcW w:w="1157" w:type="dxa"/>
          </w:tcPr>
          <w:p w14:paraId="794327C9"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16,0</w:t>
            </w:r>
          </w:p>
        </w:tc>
      </w:tr>
      <w:tr w:rsidR="000171D5" w:rsidRPr="008428AF" w14:paraId="6A05679B" w14:textId="77777777" w:rsidTr="00AD7202">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4120B26D" w14:textId="77777777" w:rsidR="000171D5" w:rsidRPr="008428AF" w:rsidRDefault="000171D5" w:rsidP="00AD7202">
            <w:pPr>
              <w:spacing w:line="240" w:lineRule="auto"/>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Dolnośląskie</w:t>
            </w:r>
          </w:p>
        </w:tc>
        <w:tc>
          <w:tcPr>
            <w:tcW w:w="1134" w:type="dxa"/>
          </w:tcPr>
          <w:p w14:paraId="1E69CB94"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7 514</w:t>
            </w:r>
          </w:p>
        </w:tc>
        <w:tc>
          <w:tcPr>
            <w:tcW w:w="1276" w:type="dxa"/>
          </w:tcPr>
          <w:p w14:paraId="5BB3A749"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6 296</w:t>
            </w:r>
          </w:p>
        </w:tc>
        <w:tc>
          <w:tcPr>
            <w:tcW w:w="1701" w:type="dxa"/>
          </w:tcPr>
          <w:p w14:paraId="1625700B"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83,8</w:t>
            </w:r>
          </w:p>
        </w:tc>
        <w:tc>
          <w:tcPr>
            <w:tcW w:w="1134" w:type="dxa"/>
            <w:vMerge/>
          </w:tcPr>
          <w:p w14:paraId="35480547"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p>
        </w:tc>
        <w:tc>
          <w:tcPr>
            <w:tcW w:w="969" w:type="dxa"/>
          </w:tcPr>
          <w:p w14:paraId="26FF3FDF"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69,6</w:t>
            </w:r>
          </w:p>
        </w:tc>
        <w:tc>
          <w:tcPr>
            <w:tcW w:w="1157" w:type="dxa"/>
          </w:tcPr>
          <w:p w14:paraId="29422801"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8428AF">
              <w:rPr>
                <w:rFonts w:eastAsia="Times New Roman" w:cs="Times New Roman"/>
                <w:sz w:val="20"/>
                <w:szCs w:val="20"/>
                <w:lang w:eastAsia="pl-PL"/>
              </w:rPr>
              <w:t>14,2</w:t>
            </w:r>
          </w:p>
        </w:tc>
      </w:tr>
      <w:tr w:rsidR="000171D5" w:rsidRPr="008428AF" w14:paraId="1E183042"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6C649CD1" w14:textId="77777777" w:rsidR="000171D5" w:rsidRPr="008428AF" w:rsidRDefault="000171D5" w:rsidP="00AD7202">
            <w:pPr>
              <w:spacing w:line="240" w:lineRule="auto"/>
              <w:jc w:val="left"/>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Kujawsko – Pomorskie</w:t>
            </w:r>
          </w:p>
        </w:tc>
        <w:tc>
          <w:tcPr>
            <w:tcW w:w="1134" w:type="dxa"/>
          </w:tcPr>
          <w:p w14:paraId="6AE0F343"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7 189</w:t>
            </w:r>
          </w:p>
        </w:tc>
        <w:tc>
          <w:tcPr>
            <w:tcW w:w="1276" w:type="dxa"/>
          </w:tcPr>
          <w:p w14:paraId="52E13C90"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5 802</w:t>
            </w:r>
          </w:p>
        </w:tc>
        <w:tc>
          <w:tcPr>
            <w:tcW w:w="1701" w:type="dxa"/>
          </w:tcPr>
          <w:p w14:paraId="25DD3775"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80,7</w:t>
            </w:r>
          </w:p>
        </w:tc>
        <w:tc>
          <w:tcPr>
            <w:tcW w:w="1134" w:type="dxa"/>
            <w:vMerge/>
          </w:tcPr>
          <w:p w14:paraId="32A5407F"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p>
        </w:tc>
        <w:tc>
          <w:tcPr>
            <w:tcW w:w="969" w:type="dxa"/>
          </w:tcPr>
          <w:p w14:paraId="08A81C6F"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71,3</w:t>
            </w:r>
          </w:p>
        </w:tc>
        <w:tc>
          <w:tcPr>
            <w:tcW w:w="1157" w:type="dxa"/>
          </w:tcPr>
          <w:p w14:paraId="34578F10"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9,4</w:t>
            </w:r>
          </w:p>
        </w:tc>
      </w:tr>
      <w:tr w:rsidR="000171D5" w:rsidRPr="008428AF" w14:paraId="12BE1E21" w14:textId="77777777" w:rsidTr="00AD7202">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2100067B" w14:textId="77777777" w:rsidR="000171D5" w:rsidRPr="008428AF" w:rsidRDefault="000171D5" w:rsidP="00AD7202">
            <w:pPr>
              <w:spacing w:line="240" w:lineRule="auto"/>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Lubelskie</w:t>
            </w:r>
          </w:p>
        </w:tc>
        <w:tc>
          <w:tcPr>
            <w:tcW w:w="1134" w:type="dxa"/>
          </w:tcPr>
          <w:p w14:paraId="1905607F"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2 659</w:t>
            </w:r>
          </w:p>
        </w:tc>
        <w:tc>
          <w:tcPr>
            <w:tcW w:w="1276" w:type="dxa"/>
          </w:tcPr>
          <w:p w14:paraId="7E53AA5F"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2 373</w:t>
            </w:r>
          </w:p>
        </w:tc>
        <w:tc>
          <w:tcPr>
            <w:tcW w:w="1701" w:type="dxa"/>
          </w:tcPr>
          <w:p w14:paraId="6ABBEE3A"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89,2</w:t>
            </w:r>
          </w:p>
        </w:tc>
        <w:tc>
          <w:tcPr>
            <w:tcW w:w="1134" w:type="dxa"/>
            <w:vMerge/>
          </w:tcPr>
          <w:p w14:paraId="46AF20AE"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p>
        </w:tc>
        <w:tc>
          <w:tcPr>
            <w:tcW w:w="969" w:type="dxa"/>
          </w:tcPr>
          <w:p w14:paraId="4785857B"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73,1</w:t>
            </w:r>
          </w:p>
        </w:tc>
        <w:tc>
          <w:tcPr>
            <w:tcW w:w="1157" w:type="dxa"/>
          </w:tcPr>
          <w:p w14:paraId="685EAA74"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16,2</w:t>
            </w:r>
          </w:p>
        </w:tc>
      </w:tr>
      <w:tr w:rsidR="000171D5" w:rsidRPr="008428AF" w14:paraId="7F4A6CAA"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22968060" w14:textId="77777777" w:rsidR="000171D5" w:rsidRPr="008428AF" w:rsidRDefault="000171D5" w:rsidP="00AD7202">
            <w:pPr>
              <w:spacing w:line="240" w:lineRule="auto"/>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Lubuskie</w:t>
            </w:r>
          </w:p>
        </w:tc>
        <w:tc>
          <w:tcPr>
            <w:tcW w:w="1134" w:type="dxa"/>
          </w:tcPr>
          <w:p w14:paraId="02C7B90C"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4 072</w:t>
            </w:r>
          </w:p>
        </w:tc>
        <w:tc>
          <w:tcPr>
            <w:tcW w:w="1276" w:type="dxa"/>
          </w:tcPr>
          <w:p w14:paraId="4312B07D"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3 797</w:t>
            </w:r>
          </w:p>
        </w:tc>
        <w:tc>
          <w:tcPr>
            <w:tcW w:w="1701" w:type="dxa"/>
          </w:tcPr>
          <w:p w14:paraId="3F098EEB"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93,2</w:t>
            </w:r>
          </w:p>
        </w:tc>
        <w:tc>
          <w:tcPr>
            <w:tcW w:w="1134" w:type="dxa"/>
            <w:vMerge/>
          </w:tcPr>
          <w:p w14:paraId="6CBCA03D"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p>
        </w:tc>
        <w:tc>
          <w:tcPr>
            <w:tcW w:w="969" w:type="dxa"/>
          </w:tcPr>
          <w:p w14:paraId="1B5C4052"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77,1</w:t>
            </w:r>
          </w:p>
        </w:tc>
        <w:tc>
          <w:tcPr>
            <w:tcW w:w="1157" w:type="dxa"/>
          </w:tcPr>
          <w:p w14:paraId="3D1C3C84"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16,2</w:t>
            </w:r>
          </w:p>
        </w:tc>
      </w:tr>
      <w:tr w:rsidR="000171D5" w:rsidRPr="008428AF" w14:paraId="16B36248" w14:textId="77777777" w:rsidTr="00AD7202">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6537B85B" w14:textId="77777777" w:rsidR="000171D5" w:rsidRPr="008428AF" w:rsidRDefault="000171D5" w:rsidP="00AD7202">
            <w:pPr>
              <w:spacing w:line="240" w:lineRule="auto"/>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Łódzkie</w:t>
            </w:r>
          </w:p>
        </w:tc>
        <w:tc>
          <w:tcPr>
            <w:tcW w:w="1134" w:type="dxa"/>
          </w:tcPr>
          <w:p w14:paraId="25A86BFA"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7 449</w:t>
            </w:r>
          </w:p>
        </w:tc>
        <w:tc>
          <w:tcPr>
            <w:tcW w:w="1276" w:type="dxa"/>
          </w:tcPr>
          <w:p w14:paraId="49432565"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6 670</w:t>
            </w:r>
          </w:p>
        </w:tc>
        <w:tc>
          <w:tcPr>
            <w:tcW w:w="1701" w:type="dxa"/>
          </w:tcPr>
          <w:p w14:paraId="2FFE69C9"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8428AF">
              <w:rPr>
                <w:rFonts w:eastAsia="Times New Roman" w:cs="Times New Roman"/>
                <w:sz w:val="20"/>
                <w:szCs w:val="20"/>
                <w:lang w:eastAsia="pl-PL"/>
              </w:rPr>
              <w:t>89,5</w:t>
            </w:r>
          </w:p>
        </w:tc>
        <w:tc>
          <w:tcPr>
            <w:tcW w:w="1134" w:type="dxa"/>
            <w:vMerge/>
          </w:tcPr>
          <w:p w14:paraId="4E2D128B"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p>
        </w:tc>
        <w:tc>
          <w:tcPr>
            <w:tcW w:w="969" w:type="dxa"/>
          </w:tcPr>
          <w:p w14:paraId="322D4620"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73,3</w:t>
            </w:r>
          </w:p>
        </w:tc>
        <w:tc>
          <w:tcPr>
            <w:tcW w:w="1157" w:type="dxa"/>
          </w:tcPr>
          <w:p w14:paraId="0DE7F51F"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16,2</w:t>
            </w:r>
          </w:p>
        </w:tc>
      </w:tr>
      <w:tr w:rsidR="000171D5" w:rsidRPr="008428AF" w14:paraId="40074426"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7ACE2A96" w14:textId="77777777" w:rsidR="000171D5" w:rsidRPr="008428AF" w:rsidRDefault="000171D5" w:rsidP="00AD7202">
            <w:pPr>
              <w:spacing w:line="240" w:lineRule="auto"/>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 xml:space="preserve">Małopolskie </w:t>
            </w:r>
          </w:p>
        </w:tc>
        <w:tc>
          <w:tcPr>
            <w:tcW w:w="1134" w:type="dxa"/>
          </w:tcPr>
          <w:p w14:paraId="5244B2CE"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7 048</w:t>
            </w:r>
          </w:p>
        </w:tc>
        <w:tc>
          <w:tcPr>
            <w:tcW w:w="1276" w:type="dxa"/>
          </w:tcPr>
          <w:p w14:paraId="308C5B7C"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6 333</w:t>
            </w:r>
          </w:p>
        </w:tc>
        <w:tc>
          <w:tcPr>
            <w:tcW w:w="1701" w:type="dxa"/>
          </w:tcPr>
          <w:p w14:paraId="139E64F0"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89,9</w:t>
            </w:r>
          </w:p>
        </w:tc>
        <w:tc>
          <w:tcPr>
            <w:tcW w:w="1134" w:type="dxa"/>
            <w:vMerge/>
          </w:tcPr>
          <w:p w14:paraId="3E930A34"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p>
        </w:tc>
        <w:tc>
          <w:tcPr>
            <w:tcW w:w="969" w:type="dxa"/>
          </w:tcPr>
          <w:p w14:paraId="29FB3D84"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75,2</w:t>
            </w:r>
          </w:p>
        </w:tc>
        <w:tc>
          <w:tcPr>
            <w:tcW w:w="1157" w:type="dxa"/>
          </w:tcPr>
          <w:p w14:paraId="2673B584"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8428AF">
              <w:rPr>
                <w:rFonts w:eastAsia="Times New Roman" w:cs="Times New Roman"/>
                <w:sz w:val="20"/>
                <w:szCs w:val="20"/>
                <w:lang w:eastAsia="pl-PL"/>
              </w:rPr>
              <w:t>14,7</w:t>
            </w:r>
          </w:p>
        </w:tc>
      </w:tr>
      <w:tr w:rsidR="000171D5" w:rsidRPr="008428AF" w14:paraId="6F330AC7" w14:textId="77777777" w:rsidTr="00AD7202">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71CE2C4F" w14:textId="77777777" w:rsidR="000171D5" w:rsidRPr="008428AF" w:rsidRDefault="000171D5" w:rsidP="00AD7202">
            <w:pPr>
              <w:spacing w:line="240" w:lineRule="auto"/>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Mazowieckie</w:t>
            </w:r>
          </w:p>
        </w:tc>
        <w:tc>
          <w:tcPr>
            <w:tcW w:w="1134" w:type="dxa"/>
          </w:tcPr>
          <w:p w14:paraId="0D86CFFC"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8428AF">
              <w:rPr>
                <w:rFonts w:eastAsia="Times New Roman" w:cs="Times New Roman"/>
                <w:sz w:val="20"/>
                <w:szCs w:val="20"/>
                <w:lang w:eastAsia="pl-PL"/>
              </w:rPr>
              <w:t>14 997</w:t>
            </w:r>
          </w:p>
        </w:tc>
        <w:tc>
          <w:tcPr>
            <w:tcW w:w="1276" w:type="dxa"/>
          </w:tcPr>
          <w:p w14:paraId="07E59EA3"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13 344</w:t>
            </w:r>
          </w:p>
        </w:tc>
        <w:tc>
          <w:tcPr>
            <w:tcW w:w="1701" w:type="dxa"/>
          </w:tcPr>
          <w:p w14:paraId="0F038D83"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89,0</w:t>
            </w:r>
          </w:p>
        </w:tc>
        <w:tc>
          <w:tcPr>
            <w:tcW w:w="1134" w:type="dxa"/>
            <w:vMerge/>
          </w:tcPr>
          <w:p w14:paraId="16589A35"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p>
        </w:tc>
        <w:tc>
          <w:tcPr>
            <w:tcW w:w="969" w:type="dxa"/>
          </w:tcPr>
          <w:p w14:paraId="60209EE5"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8428AF">
              <w:rPr>
                <w:rFonts w:eastAsia="Times New Roman" w:cs="Times New Roman"/>
                <w:sz w:val="20"/>
                <w:szCs w:val="20"/>
                <w:lang w:eastAsia="pl-PL"/>
              </w:rPr>
              <w:t>67,6</w:t>
            </w:r>
          </w:p>
        </w:tc>
        <w:tc>
          <w:tcPr>
            <w:tcW w:w="1157" w:type="dxa"/>
          </w:tcPr>
          <w:p w14:paraId="5E7CA782"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21,4</w:t>
            </w:r>
          </w:p>
        </w:tc>
      </w:tr>
      <w:tr w:rsidR="000171D5" w:rsidRPr="008428AF" w14:paraId="110E445D"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14316B5B" w14:textId="77777777" w:rsidR="000171D5" w:rsidRPr="008428AF" w:rsidRDefault="000171D5" w:rsidP="00AD7202">
            <w:pPr>
              <w:spacing w:line="240" w:lineRule="auto"/>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 xml:space="preserve">Opolskie </w:t>
            </w:r>
          </w:p>
        </w:tc>
        <w:tc>
          <w:tcPr>
            <w:tcW w:w="1134" w:type="dxa"/>
          </w:tcPr>
          <w:p w14:paraId="46F04DA9"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2 151</w:t>
            </w:r>
          </w:p>
        </w:tc>
        <w:tc>
          <w:tcPr>
            <w:tcW w:w="1276" w:type="dxa"/>
          </w:tcPr>
          <w:p w14:paraId="0BE030CD"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1 922</w:t>
            </w:r>
          </w:p>
        </w:tc>
        <w:tc>
          <w:tcPr>
            <w:tcW w:w="1701" w:type="dxa"/>
          </w:tcPr>
          <w:p w14:paraId="32BCEB3C"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89,4</w:t>
            </w:r>
          </w:p>
        </w:tc>
        <w:tc>
          <w:tcPr>
            <w:tcW w:w="1134" w:type="dxa"/>
            <w:vMerge/>
          </w:tcPr>
          <w:p w14:paraId="14993092"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p>
        </w:tc>
        <w:tc>
          <w:tcPr>
            <w:tcW w:w="969" w:type="dxa"/>
          </w:tcPr>
          <w:p w14:paraId="53E9075C"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70,1</w:t>
            </w:r>
          </w:p>
        </w:tc>
        <w:tc>
          <w:tcPr>
            <w:tcW w:w="1157" w:type="dxa"/>
          </w:tcPr>
          <w:p w14:paraId="2DCC48B6"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8428AF">
              <w:rPr>
                <w:rFonts w:eastAsia="Times New Roman" w:cs="Times New Roman"/>
                <w:sz w:val="20"/>
                <w:szCs w:val="20"/>
                <w:lang w:eastAsia="pl-PL"/>
              </w:rPr>
              <w:t>19,2</w:t>
            </w:r>
          </w:p>
        </w:tc>
      </w:tr>
      <w:tr w:rsidR="000171D5" w:rsidRPr="008428AF" w14:paraId="3DFABF2A" w14:textId="77777777" w:rsidTr="00AD7202">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6B6159E2" w14:textId="77777777" w:rsidR="000171D5" w:rsidRPr="008428AF" w:rsidRDefault="000171D5" w:rsidP="00AD7202">
            <w:pPr>
              <w:spacing w:line="240" w:lineRule="auto"/>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Podkarpackie</w:t>
            </w:r>
          </w:p>
        </w:tc>
        <w:tc>
          <w:tcPr>
            <w:tcW w:w="1134" w:type="dxa"/>
          </w:tcPr>
          <w:p w14:paraId="10C2127D"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4 139</w:t>
            </w:r>
          </w:p>
        </w:tc>
        <w:tc>
          <w:tcPr>
            <w:tcW w:w="1276" w:type="dxa"/>
          </w:tcPr>
          <w:p w14:paraId="004C01BB"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3 472</w:t>
            </w:r>
          </w:p>
        </w:tc>
        <w:tc>
          <w:tcPr>
            <w:tcW w:w="1701" w:type="dxa"/>
          </w:tcPr>
          <w:p w14:paraId="7EEB1EDF"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83,9</w:t>
            </w:r>
          </w:p>
        </w:tc>
        <w:tc>
          <w:tcPr>
            <w:tcW w:w="1134" w:type="dxa"/>
            <w:vMerge/>
          </w:tcPr>
          <w:p w14:paraId="1D0C5D35"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p>
        </w:tc>
        <w:tc>
          <w:tcPr>
            <w:tcW w:w="969" w:type="dxa"/>
          </w:tcPr>
          <w:p w14:paraId="7E60766B"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70,6</w:t>
            </w:r>
          </w:p>
        </w:tc>
        <w:tc>
          <w:tcPr>
            <w:tcW w:w="1157" w:type="dxa"/>
          </w:tcPr>
          <w:p w14:paraId="55ABE19A"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13,3</w:t>
            </w:r>
          </w:p>
        </w:tc>
      </w:tr>
      <w:tr w:rsidR="000171D5" w:rsidRPr="008428AF" w14:paraId="025EEDD9"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57848F83" w14:textId="77777777" w:rsidR="000171D5" w:rsidRPr="008428AF" w:rsidRDefault="000171D5" w:rsidP="00AD7202">
            <w:pPr>
              <w:spacing w:line="240" w:lineRule="auto"/>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Podlaskie</w:t>
            </w:r>
          </w:p>
        </w:tc>
        <w:tc>
          <w:tcPr>
            <w:tcW w:w="1134" w:type="dxa"/>
          </w:tcPr>
          <w:p w14:paraId="13828BF4"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1 991</w:t>
            </w:r>
          </w:p>
        </w:tc>
        <w:tc>
          <w:tcPr>
            <w:tcW w:w="1276" w:type="dxa"/>
          </w:tcPr>
          <w:p w14:paraId="123FD0AE"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1 883</w:t>
            </w:r>
          </w:p>
        </w:tc>
        <w:tc>
          <w:tcPr>
            <w:tcW w:w="1701" w:type="dxa"/>
          </w:tcPr>
          <w:p w14:paraId="3535702A"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94,6</w:t>
            </w:r>
          </w:p>
        </w:tc>
        <w:tc>
          <w:tcPr>
            <w:tcW w:w="1134" w:type="dxa"/>
            <w:vMerge/>
          </w:tcPr>
          <w:p w14:paraId="5E1CC3A3"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p>
        </w:tc>
        <w:tc>
          <w:tcPr>
            <w:tcW w:w="969" w:type="dxa"/>
          </w:tcPr>
          <w:p w14:paraId="108A2FE4"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79,9</w:t>
            </w:r>
          </w:p>
        </w:tc>
        <w:tc>
          <w:tcPr>
            <w:tcW w:w="1157" w:type="dxa"/>
          </w:tcPr>
          <w:p w14:paraId="205BF1FB"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14,7</w:t>
            </w:r>
          </w:p>
        </w:tc>
      </w:tr>
      <w:tr w:rsidR="000171D5" w:rsidRPr="008428AF" w14:paraId="6520BBAF" w14:textId="77777777" w:rsidTr="00AD7202">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0ED75223" w14:textId="77777777" w:rsidR="000171D5" w:rsidRPr="008428AF" w:rsidRDefault="000171D5" w:rsidP="00AD7202">
            <w:pPr>
              <w:spacing w:line="240" w:lineRule="auto"/>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Pomorskie</w:t>
            </w:r>
          </w:p>
        </w:tc>
        <w:tc>
          <w:tcPr>
            <w:tcW w:w="1134" w:type="dxa"/>
          </w:tcPr>
          <w:p w14:paraId="7576B3F3"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9 654</w:t>
            </w:r>
          </w:p>
        </w:tc>
        <w:tc>
          <w:tcPr>
            <w:tcW w:w="1276" w:type="dxa"/>
          </w:tcPr>
          <w:p w14:paraId="65E25AB3"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8428AF">
              <w:rPr>
                <w:rFonts w:eastAsia="Times New Roman" w:cs="Times New Roman"/>
                <w:sz w:val="20"/>
                <w:szCs w:val="20"/>
                <w:lang w:eastAsia="pl-PL"/>
              </w:rPr>
              <w:t>8 871</w:t>
            </w:r>
          </w:p>
        </w:tc>
        <w:tc>
          <w:tcPr>
            <w:tcW w:w="1701" w:type="dxa"/>
          </w:tcPr>
          <w:p w14:paraId="37BE74BF"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91,9</w:t>
            </w:r>
          </w:p>
        </w:tc>
        <w:tc>
          <w:tcPr>
            <w:tcW w:w="1134" w:type="dxa"/>
            <w:vMerge/>
          </w:tcPr>
          <w:p w14:paraId="2091968F"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p>
        </w:tc>
        <w:tc>
          <w:tcPr>
            <w:tcW w:w="969" w:type="dxa"/>
          </w:tcPr>
          <w:p w14:paraId="0C49B741"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72,2</w:t>
            </w:r>
          </w:p>
        </w:tc>
        <w:tc>
          <w:tcPr>
            <w:tcW w:w="1157" w:type="dxa"/>
          </w:tcPr>
          <w:p w14:paraId="03080126"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19,7</w:t>
            </w:r>
          </w:p>
        </w:tc>
      </w:tr>
      <w:tr w:rsidR="000171D5" w:rsidRPr="008428AF" w14:paraId="2C027D16"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33CD2136" w14:textId="77777777" w:rsidR="000171D5" w:rsidRPr="008428AF" w:rsidRDefault="000171D5" w:rsidP="00AD7202">
            <w:pPr>
              <w:spacing w:line="240" w:lineRule="auto"/>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Śląskie</w:t>
            </w:r>
          </w:p>
        </w:tc>
        <w:tc>
          <w:tcPr>
            <w:tcW w:w="1134" w:type="dxa"/>
          </w:tcPr>
          <w:p w14:paraId="5F7FF007"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17 566</w:t>
            </w:r>
          </w:p>
        </w:tc>
        <w:tc>
          <w:tcPr>
            <w:tcW w:w="1276" w:type="dxa"/>
          </w:tcPr>
          <w:p w14:paraId="4A282D76"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14 669</w:t>
            </w:r>
          </w:p>
        </w:tc>
        <w:tc>
          <w:tcPr>
            <w:tcW w:w="1701" w:type="dxa"/>
          </w:tcPr>
          <w:p w14:paraId="0264D772"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83,5</w:t>
            </w:r>
          </w:p>
        </w:tc>
        <w:tc>
          <w:tcPr>
            <w:tcW w:w="1134" w:type="dxa"/>
            <w:vMerge/>
          </w:tcPr>
          <w:p w14:paraId="71A9E024"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p>
        </w:tc>
        <w:tc>
          <w:tcPr>
            <w:tcW w:w="969" w:type="dxa"/>
          </w:tcPr>
          <w:p w14:paraId="1D08B9F9"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71,4</w:t>
            </w:r>
          </w:p>
        </w:tc>
        <w:tc>
          <w:tcPr>
            <w:tcW w:w="1157" w:type="dxa"/>
          </w:tcPr>
          <w:p w14:paraId="72D3376E"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12,1</w:t>
            </w:r>
          </w:p>
        </w:tc>
      </w:tr>
      <w:tr w:rsidR="000171D5" w:rsidRPr="008428AF" w14:paraId="65F4C6E5" w14:textId="77777777" w:rsidTr="00AD7202">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76856DDC" w14:textId="77777777" w:rsidR="000171D5" w:rsidRPr="008428AF" w:rsidRDefault="000171D5" w:rsidP="00AD7202">
            <w:pPr>
              <w:spacing w:line="240" w:lineRule="auto"/>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Świętokrzyskie</w:t>
            </w:r>
          </w:p>
        </w:tc>
        <w:tc>
          <w:tcPr>
            <w:tcW w:w="1134" w:type="dxa"/>
          </w:tcPr>
          <w:p w14:paraId="77D48BF3"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2 761</w:t>
            </w:r>
          </w:p>
        </w:tc>
        <w:tc>
          <w:tcPr>
            <w:tcW w:w="1276" w:type="dxa"/>
          </w:tcPr>
          <w:p w14:paraId="3009F35F"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1 949</w:t>
            </w:r>
          </w:p>
        </w:tc>
        <w:tc>
          <w:tcPr>
            <w:tcW w:w="1701" w:type="dxa"/>
          </w:tcPr>
          <w:p w14:paraId="08CA545D"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70,6</w:t>
            </w:r>
          </w:p>
        </w:tc>
        <w:tc>
          <w:tcPr>
            <w:tcW w:w="1134" w:type="dxa"/>
            <w:vMerge/>
          </w:tcPr>
          <w:p w14:paraId="551326E3"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p>
        </w:tc>
        <w:tc>
          <w:tcPr>
            <w:tcW w:w="969" w:type="dxa"/>
          </w:tcPr>
          <w:p w14:paraId="5AC7A7A8"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58,1</w:t>
            </w:r>
          </w:p>
        </w:tc>
        <w:tc>
          <w:tcPr>
            <w:tcW w:w="1157" w:type="dxa"/>
          </w:tcPr>
          <w:p w14:paraId="3877C607"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12,5</w:t>
            </w:r>
          </w:p>
        </w:tc>
      </w:tr>
      <w:tr w:rsidR="000171D5" w:rsidRPr="008428AF" w14:paraId="054ADCEE"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7A7F1C8C" w14:textId="77777777" w:rsidR="000171D5" w:rsidRPr="008428AF" w:rsidRDefault="000171D5" w:rsidP="00AD7202">
            <w:pPr>
              <w:spacing w:line="240" w:lineRule="auto"/>
              <w:jc w:val="left"/>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Warmińsko – Mazurskie</w:t>
            </w:r>
          </w:p>
        </w:tc>
        <w:tc>
          <w:tcPr>
            <w:tcW w:w="1134" w:type="dxa"/>
          </w:tcPr>
          <w:p w14:paraId="7977337F"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6 159</w:t>
            </w:r>
          </w:p>
        </w:tc>
        <w:tc>
          <w:tcPr>
            <w:tcW w:w="1276" w:type="dxa"/>
          </w:tcPr>
          <w:p w14:paraId="6CFF8D17"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5 459</w:t>
            </w:r>
          </w:p>
        </w:tc>
        <w:tc>
          <w:tcPr>
            <w:tcW w:w="1701" w:type="dxa"/>
          </w:tcPr>
          <w:p w14:paraId="22D4923C"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88,6</w:t>
            </w:r>
          </w:p>
        </w:tc>
        <w:tc>
          <w:tcPr>
            <w:tcW w:w="1134" w:type="dxa"/>
            <w:vMerge/>
          </w:tcPr>
          <w:p w14:paraId="4FFACA68"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p>
        </w:tc>
        <w:tc>
          <w:tcPr>
            <w:tcW w:w="969" w:type="dxa"/>
          </w:tcPr>
          <w:p w14:paraId="6333E3FA"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63,2</w:t>
            </w:r>
          </w:p>
        </w:tc>
        <w:tc>
          <w:tcPr>
            <w:tcW w:w="1157" w:type="dxa"/>
          </w:tcPr>
          <w:p w14:paraId="58BDD2BF"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25,5</w:t>
            </w:r>
          </w:p>
        </w:tc>
      </w:tr>
      <w:tr w:rsidR="000171D5" w:rsidRPr="008428AF" w14:paraId="606A60A1" w14:textId="77777777" w:rsidTr="00AD7202">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tcPr>
          <w:p w14:paraId="240A4D63" w14:textId="77777777" w:rsidR="000171D5" w:rsidRPr="008428AF" w:rsidRDefault="000171D5" w:rsidP="00AD7202">
            <w:pPr>
              <w:spacing w:line="240" w:lineRule="auto"/>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Wielkopolskie</w:t>
            </w:r>
          </w:p>
        </w:tc>
        <w:tc>
          <w:tcPr>
            <w:tcW w:w="1134" w:type="dxa"/>
          </w:tcPr>
          <w:p w14:paraId="3A4787E9"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11 410</w:t>
            </w:r>
          </w:p>
        </w:tc>
        <w:tc>
          <w:tcPr>
            <w:tcW w:w="1276" w:type="dxa"/>
          </w:tcPr>
          <w:p w14:paraId="6535D148"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9 063</w:t>
            </w:r>
          </w:p>
        </w:tc>
        <w:tc>
          <w:tcPr>
            <w:tcW w:w="1701" w:type="dxa"/>
          </w:tcPr>
          <w:p w14:paraId="5CAA969D"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8428AF">
              <w:rPr>
                <w:rFonts w:eastAsia="Times New Roman" w:cs="Times New Roman"/>
                <w:sz w:val="20"/>
                <w:szCs w:val="20"/>
                <w:lang w:eastAsia="pl-PL"/>
              </w:rPr>
              <w:t>79,4</w:t>
            </w:r>
          </w:p>
        </w:tc>
        <w:tc>
          <w:tcPr>
            <w:tcW w:w="1134" w:type="dxa"/>
            <w:vMerge/>
          </w:tcPr>
          <w:p w14:paraId="1760EE9D"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p>
        </w:tc>
        <w:tc>
          <w:tcPr>
            <w:tcW w:w="969" w:type="dxa"/>
          </w:tcPr>
          <w:p w14:paraId="7CAEADE3"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8428AF">
              <w:rPr>
                <w:rFonts w:eastAsia="Times New Roman" w:cs="Times New Roman"/>
                <w:sz w:val="20"/>
                <w:szCs w:val="20"/>
                <w:lang w:eastAsia="pl-PL"/>
              </w:rPr>
              <w:t>66,0</w:t>
            </w:r>
          </w:p>
        </w:tc>
        <w:tc>
          <w:tcPr>
            <w:tcW w:w="1157" w:type="dxa"/>
          </w:tcPr>
          <w:p w14:paraId="5451C7CA" w14:textId="77777777" w:rsidR="000171D5" w:rsidRPr="008428AF"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13,4</w:t>
            </w:r>
          </w:p>
        </w:tc>
      </w:tr>
      <w:tr w:rsidR="000171D5" w:rsidRPr="008428AF" w14:paraId="495C070E"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bottom w:val="none" w:sz="0" w:space="0" w:color="auto"/>
            </w:tcBorders>
          </w:tcPr>
          <w:p w14:paraId="6C09EEEE" w14:textId="77777777" w:rsidR="000171D5" w:rsidRPr="008428AF" w:rsidRDefault="000171D5" w:rsidP="00AD7202">
            <w:pPr>
              <w:spacing w:line="240" w:lineRule="auto"/>
              <w:rPr>
                <w:rFonts w:eastAsia="Times New Roman" w:cs="Times New Roman"/>
                <w:b w:val="0"/>
                <w:bCs w:val="0"/>
                <w:color w:val="auto"/>
                <w:sz w:val="20"/>
                <w:szCs w:val="20"/>
                <w:lang w:eastAsia="pl-PL"/>
              </w:rPr>
            </w:pPr>
            <w:r w:rsidRPr="008428AF">
              <w:rPr>
                <w:rFonts w:eastAsia="Times New Roman" w:cs="Times New Roman"/>
                <w:color w:val="auto"/>
                <w:sz w:val="20"/>
                <w:szCs w:val="20"/>
                <w:lang w:eastAsia="pl-PL"/>
              </w:rPr>
              <w:t>Zachodniopomorskie</w:t>
            </w:r>
          </w:p>
        </w:tc>
        <w:tc>
          <w:tcPr>
            <w:tcW w:w="1134" w:type="dxa"/>
          </w:tcPr>
          <w:p w14:paraId="5420169F"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6 434</w:t>
            </w:r>
          </w:p>
        </w:tc>
        <w:tc>
          <w:tcPr>
            <w:tcW w:w="1276" w:type="dxa"/>
          </w:tcPr>
          <w:p w14:paraId="6E10BCD5"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5 825</w:t>
            </w:r>
          </w:p>
        </w:tc>
        <w:tc>
          <w:tcPr>
            <w:tcW w:w="1701" w:type="dxa"/>
          </w:tcPr>
          <w:p w14:paraId="132926E0"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90,5</w:t>
            </w:r>
          </w:p>
        </w:tc>
        <w:tc>
          <w:tcPr>
            <w:tcW w:w="1134" w:type="dxa"/>
            <w:vMerge/>
          </w:tcPr>
          <w:p w14:paraId="2CC51DA4"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p>
        </w:tc>
        <w:tc>
          <w:tcPr>
            <w:tcW w:w="969" w:type="dxa"/>
          </w:tcPr>
          <w:p w14:paraId="210EF43F"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73,3</w:t>
            </w:r>
          </w:p>
        </w:tc>
        <w:tc>
          <w:tcPr>
            <w:tcW w:w="1157" w:type="dxa"/>
          </w:tcPr>
          <w:p w14:paraId="55BCDC4B" w14:textId="77777777" w:rsidR="000171D5" w:rsidRPr="008428AF"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sz w:val="20"/>
                <w:szCs w:val="20"/>
                <w:lang w:eastAsia="pl-PL"/>
              </w:rPr>
            </w:pPr>
            <w:r w:rsidRPr="008428AF">
              <w:rPr>
                <w:rFonts w:eastAsia="Times New Roman" w:cs="Times New Roman"/>
                <w:sz w:val="20"/>
                <w:szCs w:val="20"/>
                <w:lang w:eastAsia="pl-PL"/>
              </w:rPr>
              <w:t>17,3</w:t>
            </w:r>
          </w:p>
        </w:tc>
      </w:tr>
    </w:tbl>
    <w:p w14:paraId="6A878DCF" w14:textId="77777777" w:rsidR="000171D5" w:rsidRPr="003F388C" w:rsidRDefault="000171D5" w:rsidP="000171D5">
      <w:pPr>
        <w:spacing w:after="120" w:line="259" w:lineRule="auto"/>
        <w:rPr>
          <w:rFonts w:cs="Times New Roman"/>
          <w:b/>
          <w:sz w:val="22"/>
        </w:rPr>
      </w:pPr>
      <w:r w:rsidRPr="008428AF">
        <w:rPr>
          <w:rFonts w:cs="Times New Roman"/>
          <w:b/>
          <w:sz w:val="22"/>
        </w:rPr>
        <w:t>Źródło: Sprawozdanie z działalności Uniwersytetów Trzeciego Wieku UTW-1 – dane z roku akademickiego 2017/2018 .</w:t>
      </w:r>
    </w:p>
    <w:p w14:paraId="6D58235A" w14:textId="77777777" w:rsidR="000171D5" w:rsidRDefault="000171D5" w:rsidP="000171D5"/>
    <w:p w14:paraId="695115C6" w14:textId="77777777" w:rsidR="000171D5" w:rsidRPr="009778CD" w:rsidRDefault="000171D5" w:rsidP="000171D5">
      <w:pPr>
        <w:pStyle w:val="Nagwek3"/>
      </w:pPr>
      <w:bookmarkStart w:id="47" w:name="_Toc77513893"/>
      <w:bookmarkStart w:id="48" w:name="_Toc80523053"/>
      <w:r>
        <w:t>Aktywność obywatelska</w:t>
      </w:r>
      <w:bookmarkEnd w:id="47"/>
      <w:bookmarkEnd w:id="48"/>
    </w:p>
    <w:p w14:paraId="66BD444A" w14:textId="77777777" w:rsidR="000171D5" w:rsidRDefault="000171D5" w:rsidP="000171D5">
      <w:pPr>
        <w:spacing w:line="259" w:lineRule="auto"/>
        <w:rPr>
          <w:rFonts w:cs="Times New Roman"/>
          <w:b/>
          <w:szCs w:val="24"/>
        </w:rPr>
      </w:pPr>
    </w:p>
    <w:p w14:paraId="05F1B24A" w14:textId="77777777" w:rsidR="000171D5" w:rsidRPr="00765F3C" w:rsidRDefault="000171D5" w:rsidP="000171D5">
      <w:pPr>
        <w:spacing w:line="259" w:lineRule="auto"/>
        <w:rPr>
          <w:rFonts w:cs="Times New Roman"/>
          <w:b/>
          <w:szCs w:val="24"/>
        </w:rPr>
      </w:pPr>
      <w:r w:rsidRPr="00765F3C">
        <w:rPr>
          <w:rFonts w:cs="Times New Roman"/>
          <w:b/>
          <w:szCs w:val="24"/>
        </w:rPr>
        <w:t>Gminne Rady Seniorów</w:t>
      </w:r>
    </w:p>
    <w:p w14:paraId="0205AFEB" w14:textId="45F8D3CF" w:rsidR="000171D5" w:rsidRPr="00BA0F26" w:rsidRDefault="000171D5" w:rsidP="00BA0F26">
      <w:pPr>
        <w:rPr>
          <w:szCs w:val="24"/>
        </w:rPr>
      </w:pPr>
      <w:r w:rsidRPr="00765F3C">
        <w:rPr>
          <w:szCs w:val="24"/>
        </w:rPr>
        <w:t>Gminne rady seniorów są podmiotami o charakterze konsultacyjnym, doradczym i</w:t>
      </w:r>
      <w:r w:rsidR="00BA0F26">
        <w:rPr>
          <w:szCs w:val="24"/>
        </w:rPr>
        <w:t> </w:t>
      </w:r>
      <w:r w:rsidRPr="00765F3C">
        <w:rPr>
          <w:szCs w:val="24"/>
        </w:rPr>
        <w:t>inicjatywnym. Głównym celem ich działania jest integracja, wspieranie i reprezentowanie środowisk seniorów poprzez współpracę z władzami gminy, przedstawianie propozycji zadań i działań na rzecz seniorów, wydawanie opinii i formułowanie wniosków służących rozwojowi działalności samorządu terytorialnego na rzecz seniorów, zgłaszanie uwag do aktów prawa miejscowego, wspieranie wszelkich form aktywności seniorów, działania na rzecz umacniania międzypokoleniowych więzi społecznych oraz upowszechnianie wiedzy o potrzebach, prawach i możliwościach osób starszych. Członkowie gminnych rad seniorów pełnią swoje funkcje społecznie.</w:t>
      </w:r>
      <w:r w:rsidR="00BA0F26">
        <w:rPr>
          <w:szCs w:val="24"/>
        </w:rPr>
        <w:t xml:space="preserve"> </w:t>
      </w:r>
      <w:r>
        <w:rPr>
          <w:rFonts w:cs="Times New Roman"/>
          <w:szCs w:val="24"/>
        </w:rPr>
        <w:t xml:space="preserve">Rada seniorów powoływana są przez radę gmina, która </w:t>
      </w:r>
      <w:r w:rsidRPr="00957D96">
        <w:rPr>
          <w:rFonts w:cs="Times New Roman"/>
          <w:szCs w:val="24"/>
        </w:rPr>
        <w:t>nadaje jej statut</w:t>
      </w:r>
      <w:r>
        <w:rPr>
          <w:rFonts w:cs="Times New Roman"/>
          <w:szCs w:val="24"/>
        </w:rPr>
        <w:t xml:space="preserve"> określając w nim</w:t>
      </w:r>
      <w:r w:rsidRPr="00957D96">
        <w:rPr>
          <w:rFonts w:cs="Times New Roman"/>
          <w:szCs w:val="24"/>
        </w:rPr>
        <w:t xml:space="preserve"> m.in. tryb wyboru je</w:t>
      </w:r>
      <w:r>
        <w:rPr>
          <w:rFonts w:cs="Times New Roman"/>
          <w:szCs w:val="24"/>
        </w:rPr>
        <w:t xml:space="preserve">j członków i zasady działania oraz </w:t>
      </w:r>
      <w:r w:rsidRPr="00957D96">
        <w:rPr>
          <w:rFonts w:cs="Times New Roman"/>
          <w:szCs w:val="24"/>
        </w:rPr>
        <w:t>dążąc do wykorzystania potencjału działających organizacji osób starszych oraz podmiotów działających na rzecz osób starszych, a także zapewnienia sprawnego sposobu wyboru członków gminnej rady seniorów.</w:t>
      </w:r>
    </w:p>
    <w:p w14:paraId="2F3A7E86" w14:textId="77777777" w:rsidR="000171D5" w:rsidRPr="0092226B" w:rsidRDefault="000171D5" w:rsidP="000171D5">
      <w:pPr>
        <w:ind w:right="22"/>
        <w:rPr>
          <w:rFonts w:cs="Times New Roman"/>
          <w:color w:val="FF0000"/>
          <w:szCs w:val="24"/>
        </w:rPr>
      </w:pPr>
    </w:p>
    <w:p w14:paraId="72149E57" w14:textId="77777777" w:rsidR="000171D5" w:rsidRPr="00765F3C" w:rsidRDefault="000171D5" w:rsidP="000171D5">
      <w:pPr>
        <w:ind w:right="22"/>
        <w:rPr>
          <w:rFonts w:cs="Times New Roman"/>
          <w:szCs w:val="24"/>
        </w:rPr>
      </w:pPr>
      <w:r w:rsidRPr="00765F3C">
        <w:rPr>
          <w:rFonts w:cs="Times New Roman"/>
          <w:szCs w:val="24"/>
        </w:rPr>
        <w:t>Z danych Ministerstwa Administracji i Spraw Wewnętrznych wynika, że pod koniec 2020 r. gminne rady seniorów działały w ponad 15% gmin  w Polsce. Szczegółowe informacje przedstawia poniższa tabela.</w:t>
      </w:r>
    </w:p>
    <w:p w14:paraId="7B9F8308" w14:textId="74F5B80C" w:rsidR="000171D5" w:rsidRPr="00765F3C" w:rsidRDefault="000171D5" w:rsidP="000171D5">
      <w:pPr>
        <w:pStyle w:val="Legenda"/>
        <w:keepNext/>
        <w:rPr>
          <w:rFonts w:cs="Times New Roman"/>
          <w:b/>
          <w:i w:val="0"/>
          <w:color w:val="auto"/>
          <w:sz w:val="24"/>
        </w:rPr>
      </w:pPr>
      <w:bookmarkStart w:id="49" w:name="_Toc49171418"/>
      <w:r w:rsidRPr="00765F3C">
        <w:rPr>
          <w:rFonts w:cs="Times New Roman"/>
          <w:b/>
          <w:i w:val="0"/>
          <w:color w:val="auto"/>
          <w:sz w:val="24"/>
        </w:rPr>
        <w:lastRenderedPageBreak/>
        <w:t xml:space="preserve">Tabela </w:t>
      </w:r>
      <w:r>
        <w:rPr>
          <w:rFonts w:cs="Times New Roman"/>
          <w:b/>
          <w:i w:val="0"/>
          <w:color w:val="auto"/>
          <w:sz w:val="24"/>
        </w:rPr>
        <w:t>34</w:t>
      </w:r>
      <w:r w:rsidR="00EE73AF">
        <w:rPr>
          <w:rFonts w:cs="Times New Roman"/>
          <w:b/>
          <w:i w:val="0"/>
          <w:color w:val="auto"/>
          <w:sz w:val="24"/>
        </w:rPr>
        <w:t>.</w:t>
      </w:r>
      <w:r w:rsidRPr="00765F3C">
        <w:rPr>
          <w:rFonts w:cs="Times New Roman"/>
          <w:b/>
          <w:i w:val="0"/>
          <w:color w:val="auto"/>
          <w:sz w:val="24"/>
        </w:rPr>
        <w:t xml:space="preserve"> Liczba gmin w poszczególnych województwach, w których funkcjonują gminne rady seniorów zgodnie z art. 5c ustawy i samorządzie gminnym</w:t>
      </w:r>
      <w:bookmarkEnd w:id="49"/>
      <w:r>
        <w:rPr>
          <w:rStyle w:val="Odwoanieprzypisudolnego"/>
          <w:rFonts w:cs="Times New Roman"/>
          <w:b/>
          <w:i w:val="0"/>
          <w:color w:val="auto"/>
          <w:sz w:val="24"/>
        </w:rPr>
        <w:footnoteReference w:id="25"/>
      </w:r>
    </w:p>
    <w:tbl>
      <w:tblPr>
        <w:tblStyle w:val="Tabelasiatki4akcent2"/>
        <w:tblW w:w="8929" w:type="dxa"/>
        <w:tblLayout w:type="fixed"/>
        <w:tblLook w:val="04A0" w:firstRow="1" w:lastRow="0" w:firstColumn="1" w:lastColumn="0" w:noHBand="0" w:noVBand="1"/>
      </w:tblPr>
      <w:tblGrid>
        <w:gridCol w:w="4177"/>
        <w:gridCol w:w="2059"/>
        <w:gridCol w:w="2693"/>
      </w:tblGrid>
      <w:tr w:rsidR="000171D5" w:rsidRPr="0092226B" w14:paraId="2EAD8299" w14:textId="77777777" w:rsidTr="00AD7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7" w:type="dxa"/>
          </w:tcPr>
          <w:p w14:paraId="3172CA7C" w14:textId="77777777" w:rsidR="000171D5" w:rsidRPr="008428AF" w:rsidRDefault="000171D5" w:rsidP="00AD7202">
            <w:pPr>
              <w:spacing w:line="240" w:lineRule="auto"/>
              <w:rPr>
                <w:rFonts w:cs="Times New Roman"/>
                <w:b w:val="0"/>
                <w:color w:val="auto"/>
                <w:sz w:val="20"/>
                <w:szCs w:val="20"/>
              </w:rPr>
            </w:pPr>
          </w:p>
          <w:p w14:paraId="1BCEC533" w14:textId="77777777" w:rsidR="000171D5" w:rsidRPr="008428AF" w:rsidRDefault="000171D5" w:rsidP="00AD7202">
            <w:pPr>
              <w:spacing w:line="240" w:lineRule="auto"/>
              <w:rPr>
                <w:rFonts w:cs="Times New Roman"/>
                <w:b w:val="0"/>
                <w:color w:val="auto"/>
                <w:sz w:val="20"/>
                <w:szCs w:val="20"/>
              </w:rPr>
            </w:pPr>
          </w:p>
          <w:p w14:paraId="666FFA4F" w14:textId="77777777" w:rsidR="000171D5" w:rsidRPr="008428AF" w:rsidRDefault="000171D5" w:rsidP="00AD7202">
            <w:pPr>
              <w:spacing w:line="240" w:lineRule="auto"/>
              <w:rPr>
                <w:rFonts w:cs="Times New Roman"/>
                <w:b w:val="0"/>
                <w:color w:val="auto"/>
                <w:sz w:val="20"/>
                <w:szCs w:val="20"/>
              </w:rPr>
            </w:pPr>
          </w:p>
          <w:p w14:paraId="70E29F28" w14:textId="77777777" w:rsidR="000171D5" w:rsidRPr="008428AF" w:rsidRDefault="000171D5" w:rsidP="00AD7202">
            <w:pPr>
              <w:spacing w:line="240" w:lineRule="auto"/>
              <w:rPr>
                <w:rFonts w:cs="Times New Roman"/>
                <w:b w:val="0"/>
                <w:color w:val="auto"/>
                <w:sz w:val="20"/>
                <w:szCs w:val="20"/>
              </w:rPr>
            </w:pPr>
            <w:r w:rsidRPr="008428AF">
              <w:rPr>
                <w:rFonts w:cs="Times New Roman"/>
                <w:color w:val="auto"/>
                <w:sz w:val="20"/>
                <w:szCs w:val="20"/>
              </w:rPr>
              <w:t>Województwo</w:t>
            </w:r>
          </w:p>
          <w:p w14:paraId="4100C867" w14:textId="77777777" w:rsidR="000171D5" w:rsidRPr="008428AF" w:rsidRDefault="000171D5" w:rsidP="00AD7202">
            <w:pPr>
              <w:spacing w:line="240" w:lineRule="auto"/>
              <w:rPr>
                <w:rFonts w:cs="Times New Roman"/>
                <w:b w:val="0"/>
                <w:color w:val="auto"/>
                <w:sz w:val="20"/>
                <w:szCs w:val="20"/>
              </w:rPr>
            </w:pPr>
          </w:p>
        </w:tc>
        <w:tc>
          <w:tcPr>
            <w:tcW w:w="2059" w:type="dxa"/>
          </w:tcPr>
          <w:p w14:paraId="5614EF75" w14:textId="77777777" w:rsidR="000171D5" w:rsidRPr="008428AF" w:rsidRDefault="000171D5" w:rsidP="00AD7202">
            <w:pPr>
              <w:spacing w:line="240" w:lineRule="auto"/>
              <w:ind w:right="-25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0"/>
                <w:szCs w:val="20"/>
              </w:rPr>
            </w:pPr>
            <w:r w:rsidRPr="008428AF">
              <w:rPr>
                <w:rFonts w:cs="Times New Roman"/>
                <w:color w:val="auto"/>
                <w:sz w:val="20"/>
                <w:szCs w:val="20"/>
              </w:rPr>
              <w:t xml:space="preserve">Liczba gmin </w:t>
            </w:r>
            <w:r>
              <w:rPr>
                <w:rFonts w:cs="Times New Roman"/>
                <w:color w:val="auto"/>
                <w:sz w:val="20"/>
                <w:szCs w:val="20"/>
              </w:rPr>
              <w:t xml:space="preserve">                          </w:t>
            </w:r>
            <w:r w:rsidRPr="008428AF">
              <w:rPr>
                <w:rFonts w:cs="Times New Roman"/>
                <w:color w:val="auto"/>
                <w:sz w:val="20"/>
                <w:szCs w:val="20"/>
              </w:rPr>
              <w:t>w województwie</w:t>
            </w:r>
          </w:p>
          <w:p w14:paraId="7C3345C0" w14:textId="77777777" w:rsidR="000171D5" w:rsidRPr="008428AF" w:rsidRDefault="000171D5" w:rsidP="00AD7202">
            <w:pPr>
              <w:spacing w:line="240" w:lineRule="auto"/>
              <w:ind w:right="-25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0"/>
                <w:szCs w:val="20"/>
              </w:rPr>
            </w:pPr>
            <w:r w:rsidRPr="008428AF">
              <w:rPr>
                <w:rFonts w:cs="Times New Roman"/>
                <w:color w:val="auto"/>
                <w:sz w:val="20"/>
                <w:szCs w:val="20"/>
              </w:rPr>
              <w:t>- ogółem</w:t>
            </w:r>
          </w:p>
          <w:p w14:paraId="5607C651" w14:textId="77777777" w:rsidR="000171D5" w:rsidRPr="008428AF" w:rsidRDefault="000171D5" w:rsidP="00AD7202">
            <w:pPr>
              <w:spacing w:line="240" w:lineRule="auto"/>
              <w:ind w:right="-25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0"/>
                <w:szCs w:val="20"/>
              </w:rPr>
            </w:pPr>
            <w:r w:rsidRPr="008428AF">
              <w:rPr>
                <w:rFonts w:cs="Times New Roman"/>
                <w:color w:val="auto"/>
                <w:sz w:val="20"/>
                <w:szCs w:val="20"/>
              </w:rPr>
              <w:t>(stan na 31.12.2020 r.)</w:t>
            </w:r>
          </w:p>
        </w:tc>
        <w:tc>
          <w:tcPr>
            <w:tcW w:w="2693" w:type="dxa"/>
          </w:tcPr>
          <w:p w14:paraId="034FFD1A" w14:textId="77777777" w:rsidR="000171D5" w:rsidRPr="008428AF" w:rsidRDefault="000171D5" w:rsidP="00AD7202">
            <w:pPr>
              <w:tabs>
                <w:tab w:val="left" w:pos="0"/>
              </w:tabs>
              <w:spacing w:line="240" w:lineRule="auto"/>
              <w:ind w:right="317"/>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0"/>
                <w:szCs w:val="20"/>
              </w:rPr>
            </w:pPr>
            <w:r w:rsidRPr="008428AF">
              <w:rPr>
                <w:rFonts w:cs="Times New Roman"/>
                <w:color w:val="auto"/>
                <w:sz w:val="20"/>
                <w:szCs w:val="20"/>
              </w:rPr>
              <w:t>Liczba gmin w których funkcjonowały gminne rady seniorów – stan na dzień 31 grudnia 2020 r.</w:t>
            </w:r>
          </w:p>
        </w:tc>
      </w:tr>
      <w:tr w:rsidR="000171D5" w:rsidRPr="0092226B" w14:paraId="58D9E320" w14:textId="77777777" w:rsidTr="00AD720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177" w:type="dxa"/>
          </w:tcPr>
          <w:p w14:paraId="5177EB3E" w14:textId="77777777" w:rsidR="000171D5" w:rsidRPr="008428AF" w:rsidRDefault="000171D5" w:rsidP="00AD7202">
            <w:pPr>
              <w:spacing w:line="240" w:lineRule="auto"/>
              <w:rPr>
                <w:rFonts w:cs="Times New Roman"/>
                <w:b w:val="0"/>
                <w:sz w:val="20"/>
                <w:szCs w:val="20"/>
              </w:rPr>
            </w:pPr>
            <w:r w:rsidRPr="008428AF">
              <w:rPr>
                <w:rFonts w:cs="Times New Roman"/>
                <w:sz w:val="20"/>
                <w:szCs w:val="20"/>
              </w:rPr>
              <w:t>dolnośląskie</w:t>
            </w:r>
          </w:p>
        </w:tc>
        <w:tc>
          <w:tcPr>
            <w:tcW w:w="2059" w:type="dxa"/>
          </w:tcPr>
          <w:p w14:paraId="00889B32" w14:textId="77777777" w:rsidR="000171D5" w:rsidRPr="008428AF" w:rsidRDefault="000171D5" w:rsidP="00AD7202">
            <w:pPr>
              <w:tabs>
                <w:tab w:val="left" w:pos="780"/>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28AF">
              <w:rPr>
                <w:rFonts w:cs="Times New Roman"/>
                <w:sz w:val="20"/>
                <w:szCs w:val="20"/>
              </w:rPr>
              <w:t>169</w:t>
            </w:r>
          </w:p>
        </w:tc>
        <w:tc>
          <w:tcPr>
            <w:tcW w:w="2693" w:type="dxa"/>
          </w:tcPr>
          <w:p w14:paraId="13B66F56"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28AF">
              <w:rPr>
                <w:rFonts w:cs="Times New Roman"/>
                <w:sz w:val="20"/>
                <w:szCs w:val="20"/>
              </w:rPr>
              <w:t>32</w:t>
            </w:r>
          </w:p>
        </w:tc>
      </w:tr>
      <w:tr w:rsidR="000171D5" w:rsidRPr="0092226B" w14:paraId="6619FF9F" w14:textId="77777777" w:rsidTr="00AD7202">
        <w:tc>
          <w:tcPr>
            <w:cnfStyle w:val="001000000000" w:firstRow="0" w:lastRow="0" w:firstColumn="1" w:lastColumn="0" w:oddVBand="0" w:evenVBand="0" w:oddHBand="0" w:evenHBand="0" w:firstRowFirstColumn="0" w:firstRowLastColumn="0" w:lastRowFirstColumn="0" w:lastRowLastColumn="0"/>
            <w:tcW w:w="4177" w:type="dxa"/>
          </w:tcPr>
          <w:p w14:paraId="39EB2066" w14:textId="77777777" w:rsidR="000171D5" w:rsidRPr="008428AF" w:rsidRDefault="000171D5" w:rsidP="00AD7202">
            <w:pPr>
              <w:spacing w:line="240" w:lineRule="auto"/>
              <w:rPr>
                <w:rFonts w:cs="Times New Roman"/>
                <w:b w:val="0"/>
                <w:sz w:val="20"/>
                <w:szCs w:val="20"/>
              </w:rPr>
            </w:pPr>
            <w:r w:rsidRPr="008428AF">
              <w:rPr>
                <w:rFonts w:cs="Times New Roman"/>
                <w:sz w:val="20"/>
                <w:szCs w:val="20"/>
              </w:rPr>
              <w:t>pomorskie</w:t>
            </w:r>
          </w:p>
        </w:tc>
        <w:tc>
          <w:tcPr>
            <w:tcW w:w="2059" w:type="dxa"/>
          </w:tcPr>
          <w:p w14:paraId="0C46BC14" w14:textId="77777777" w:rsidR="000171D5" w:rsidRPr="008428AF" w:rsidRDefault="000171D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28AF">
              <w:rPr>
                <w:rFonts w:cs="Times New Roman"/>
                <w:sz w:val="20"/>
                <w:szCs w:val="20"/>
              </w:rPr>
              <w:t>123</w:t>
            </w:r>
          </w:p>
        </w:tc>
        <w:tc>
          <w:tcPr>
            <w:tcW w:w="2693" w:type="dxa"/>
          </w:tcPr>
          <w:p w14:paraId="10AA08A3" w14:textId="77777777" w:rsidR="000171D5" w:rsidRPr="008428AF" w:rsidRDefault="000171D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28AF">
              <w:rPr>
                <w:rFonts w:cs="Times New Roman"/>
                <w:sz w:val="20"/>
                <w:szCs w:val="20"/>
              </w:rPr>
              <w:t>29</w:t>
            </w:r>
          </w:p>
        </w:tc>
      </w:tr>
      <w:tr w:rsidR="000171D5" w:rsidRPr="0092226B" w14:paraId="59AED28D"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7" w:type="dxa"/>
          </w:tcPr>
          <w:p w14:paraId="0E706FA0" w14:textId="77777777" w:rsidR="000171D5" w:rsidRPr="008428AF" w:rsidRDefault="000171D5" w:rsidP="00AD7202">
            <w:pPr>
              <w:spacing w:line="240" w:lineRule="auto"/>
              <w:rPr>
                <w:rFonts w:cs="Times New Roman"/>
                <w:b w:val="0"/>
                <w:sz w:val="20"/>
                <w:szCs w:val="20"/>
              </w:rPr>
            </w:pPr>
            <w:r w:rsidRPr="008428AF">
              <w:rPr>
                <w:rFonts w:cs="Times New Roman"/>
                <w:sz w:val="20"/>
                <w:szCs w:val="20"/>
              </w:rPr>
              <w:t>zachodniopomorskie</w:t>
            </w:r>
          </w:p>
        </w:tc>
        <w:tc>
          <w:tcPr>
            <w:tcW w:w="2059" w:type="dxa"/>
          </w:tcPr>
          <w:p w14:paraId="0A770014"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28AF">
              <w:rPr>
                <w:rFonts w:cs="Times New Roman"/>
                <w:sz w:val="20"/>
                <w:szCs w:val="20"/>
              </w:rPr>
              <w:t>113</w:t>
            </w:r>
          </w:p>
        </w:tc>
        <w:tc>
          <w:tcPr>
            <w:tcW w:w="2693" w:type="dxa"/>
          </w:tcPr>
          <w:p w14:paraId="124AC687"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28AF">
              <w:rPr>
                <w:rFonts w:cs="Times New Roman"/>
                <w:sz w:val="20"/>
                <w:szCs w:val="20"/>
              </w:rPr>
              <w:t>23</w:t>
            </w:r>
          </w:p>
        </w:tc>
      </w:tr>
      <w:tr w:rsidR="000171D5" w:rsidRPr="0092226B" w14:paraId="0C5FF635" w14:textId="77777777" w:rsidTr="00AD7202">
        <w:tc>
          <w:tcPr>
            <w:cnfStyle w:val="001000000000" w:firstRow="0" w:lastRow="0" w:firstColumn="1" w:lastColumn="0" w:oddVBand="0" w:evenVBand="0" w:oddHBand="0" w:evenHBand="0" w:firstRowFirstColumn="0" w:firstRowLastColumn="0" w:lastRowFirstColumn="0" w:lastRowLastColumn="0"/>
            <w:tcW w:w="4177" w:type="dxa"/>
          </w:tcPr>
          <w:p w14:paraId="22D05D31" w14:textId="77777777" w:rsidR="000171D5" w:rsidRPr="008428AF" w:rsidRDefault="000171D5" w:rsidP="00AD7202">
            <w:pPr>
              <w:spacing w:line="240" w:lineRule="auto"/>
              <w:rPr>
                <w:rFonts w:cs="Times New Roman"/>
                <w:b w:val="0"/>
                <w:sz w:val="20"/>
                <w:szCs w:val="20"/>
              </w:rPr>
            </w:pPr>
            <w:r w:rsidRPr="008428AF">
              <w:rPr>
                <w:rFonts w:cs="Times New Roman"/>
                <w:sz w:val="20"/>
                <w:szCs w:val="20"/>
              </w:rPr>
              <w:t>śląskie</w:t>
            </w:r>
          </w:p>
        </w:tc>
        <w:tc>
          <w:tcPr>
            <w:tcW w:w="2059" w:type="dxa"/>
          </w:tcPr>
          <w:p w14:paraId="2E93DED8" w14:textId="77777777" w:rsidR="000171D5" w:rsidRPr="008428AF" w:rsidRDefault="000171D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28AF">
              <w:rPr>
                <w:rFonts w:cs="Times New Roman"/>
                <w:sz w:val="20"/>
                <w:szCs w:val="20"/>
              </w:rPr>
              <w:t>167</w:t>
            </w:r>
          </w:p>
        </w:tc>
        <w:tc>
          <w:tcPr>
            <w:tcW w:w="2693" w:type="dxa"/>
          </w:tcPr>
          <w:p w14:paraId="79D8C73A" w14:textId="77777777" w:rsidR="000171D5" w:rsidRPr="008428AF" w:rsidRDefault="000171D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28AF">
              <w:rPr>
                <w:rFonts w:cs="Times New Roman"/>
                <w:sz w:val="20"/>
                <w:szCs w:val="20"/>
              </w:rPr>
              <w:t>37</w:t>
            </w:r>
          </w:p>
        </w:tc>
      </w:tr>
      <w:tr w:rsidR="000171D5" w:rsidRPr="0092226B" w14:paraId="02A5E95E"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7" w:type="dxa"/>
          </w:tcPr>
          <w:p w14:paraId="587505BA" w14:textId="77777777" w:rsidR="000171D5" w:rsidRPr="008428AF" w:rsidRDefault="000171D5" w:rsidP="00AD7202">
            <w:pPr>
              <w:spacing w:line="240" w:lineRule="auto"/>
              <w:rPr>
                <w:rFonts w:cs="Times New Roman"/>
                <w:b w:val="0"/>
                <w:sz w:val="20"/>
                <w:szCs w:val="20"/>
              </w:rPr>
            </w:pPr>
            <w:r w:rsidRPr="008428AF">
              <w:rPr>
                <w:rFonts w:cs="Times New Roman"/>
                <w:sz w:val="20"/>
                <w:szCs w:val="20"/>
              </w:rPr>
              <w:t>podkarpackie</w:t>
            </w:r>
          </w:p>
        </w:tc>
        <w:tc>
          <w:tcPr>
            <w:tcW w:w="2059" w:type="dxa"/>
          </w:tcPr>
          <w:p w14:paraId="1C698C6F"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28AF">
              <w:rPr>
                <w:rFonts w:cs="Times New Roman"/>
                <w:sz w:val="20"/>
                <w:szCs w:val="20"/>
              </w:rPr>
              <w:t>160</w:t>
            </w:r>
          </w:p>
        </w:tc>
        <w:tc>
          <w:tcPr>
            <w:tcW w:w="2693" w:type="dxa"/>
          </w:tcPr>
          <w:p w14:paraId="183D4C54"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28AF">
              <w:rPr>
                <w:rFonts w:cs="Times New Roman"/>
                <w:sz w:val="20"/>
                <w:szCs w:val="20"/>
              </w:rPr>
              <w:t>26</w:t>
            </w:r>
          </w:p>
        </w:tc>
      </w:tr>
      <w:tr w:rsidR="000171D5" w:rsidRPr="0092226B" w14:paraId="45C698F7" w14:textId="77777777" w:rsidTr="00AD7202">
        <w:tc>
          <w:tcPr>
            <w:cnfStyle w:val="001000000000" w:firstRow="0" w:lastRow="0" w:firstColumn="1" w:lastColumn="0" w:oddVBand="0" w:evenVBand="0" w:oddHBand="0" w:evenHBand="0" w:firstRowFirstColumn="0" w:firstRowLastColumn="0" w:lastRowFirstColumn="0" w:lastRowLastColumn="0"/>
            <w:tcW w:w="4177" w:type="dxa"/>
          </w:tcPr>
          <w:p w14:paraId="31F66D20" w14:textId="77777777" w:rsidR="000171D5" w:rsidRPr="008428AF" w:rsidRDefault="000171D5" w:rsidP="00AD7202">
            <w:pPr>
              <w:spacing w:line="240" w:lineRule="auto"/>
              <w:rPr>
                <w:rFonts w:cs="Times New Roman"/>
                <w:b w:val="0"/>
                <w:sz w:val="20"/>
                <w:szCs w:val="20"/>
              </w:rPr>
            </w:pPr>
            <w:r w:rsidRPr="008428AF">
              <w:rPr>
                <w:rFonts w:cs="Times New Roman"/>
                <w:sz w:val="20"/>
                <w:szCs w:val="20"/>
              </w:rPr>
              <w:t>małopolskie</w:t>
            </w:r>
          </w:p>
        </w:tc>
        <w:tc>
          <w:tcPr>
            <w:tcW w:w="2059" w:type="dxa"/>
          </w:tcPr>
          <w:p w14:paraId="55C54462" w14:textId="77777777" w:rsidR="000171D5" w:rsidRPr="008428AF" w:rsidRDefault="000171D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28AF">
              <w:rPr>
                <w:rFonts w:cs="Times New Roman"/>
                <w:sz w:val="20"/>
                <w:szCs w:val="20"/>
              </w:rPr>
              <w:t>182</w:t>
            </w:r>
          </w:p>
        </w:tc>
        <w:tc>
          <w:tcPr>
            <w:tcW w:w="2693" w:type="dxa"/>
          </w:tcPr>
          <w:p w14:paraId="0BDD59B1" w14:textId="77777777" w:rsidR="000171D5" w:rsidRPr="008428AF" w:rsidRDefault="000171D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28AF">
              <w:rPr>
                <w:rFonts w:cs="Times New Roman"/>
                <w:sz w:val="20"/>
                <w:szCs w:val="20"/>
              </w:rPr>
              <w:t>37</w:t>
            </w:r>
          </w:p>
        </w:tc>
      </w:tr>
      <w:tr w:rsidR="000171D5" w:rsidRPr="0092226B" w14:paraId="64B63A37"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7" w:type="dxa"/>
          </w:tcPr>
          <w:p w14:paraId="6EE72860" w14:textId="77777777" w:rsidR="000171D5" w:rsidRPr="008428AF" w:rsidRDefault="000171D5" w:rsidP="00AD7202">
            <w:pPr>
              <w:spacing w:line="240" w:lineRule="auto"/>
              <w:rPr>
                <w:rFonts w:cs="Times New Roman"/>
                <w:b w:val="0"/>
                <w:sz w:val="20"/>
                <w:szCs w:val="20"/>
              </w:rPr>
            </w:pPr>
            <w:r w:rsidRPr="008428AF">
              <w:rPr>
                <w:rFonts w:cs="Times New Roman"/>
                <w:sz w:val="20"/>
                <w:szCs w:val="20"/>
              </w:rPr>
              <w:t>lubelskie</w:t>
            </w:r>
          </w:p>
        </w:tc>
        <w:tc>
          <w:tcPr>
            <w:tcW w:w="2059" w:type="dxa"/>
          </w:tcPr>
          <w:p w14:paraId="3504D340"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28AF">
              <w:rPr>
                <w:rFonts w:cs="Times New Roman"/>
                <w:sz w:val="20"/>
                <w:szCs w:val="20"/>
              </w:rPr>
              <w:t>213</w:t>
            </w:r>
          </w:p>
        </w:tc>
        <w:tc>
          <w:tcPr>
            <w:tcW w:w="2693" w:type="dxa"/>
          </w:tcPr>
          <w:p w14:paraId="15291924"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28AF">
              <w:rPr>
                <w:rFonts w:cs="Times New Roman"/>
                <w:sz w:val="20"/>
                <w:szCs w:val="20"/>
              </w:rPr>
              <w:t>22</w:t>
            </w:r>
          </w:p>
        </w:tc>
      </w:tr>
      <w:tr w:rsidR="000171D5" w:rsidRPr="0092226B" w14:paraId="4E51CF10" w14:textId="77777777" w:rsidTr="00AD7202">
        <w:tc>
          <w:tcPr>
            <w:cnfStyle w:val="001000000000" w:firstRow="0" w:lastRow="0" w:firstColumn="1" w:lastColumn="0" w:oddVBand="0" w:evenVBand="0" w:oddHBand="0" w:evenHBand="0" w:firstRowFirstColumn="0" w:firstRowLastColumn="0" w:lastRowFirstColumn="0" w:lastRowLastColumn="0"/>
            <w:tcW w:w="4177" w:type="dxa"/>
            <w:vAlign w:val="center"/>
          </w:tcPr>
          <w:p w14:paraId="3DE43C67" w14:textId="77777777" w:rsidR="000171D5" w:rsidRPr="008428AF" w:rsidRDefault="000171D5" w:rsidP="00AD7202">
            <w:pPr>
              <w:spacing w:line="240" w:lineRule="auto"/>
              <w:jc w:val="left"/>
              <w:rPr>
                <w:rFonts w:cs="Times New Roman"/>
                <w:b w:val="0"/>
                <w:sz w:val="20"/>
                <w:szCs w:val="20"/>
              </w:rPr>
            </w:pPr>
            <w:r w:rsidRPr="008428AF">
              <w:rPr>
                <w:rFonts w:cs="Times New Roman"/>
                <w:sz w:val="20"/>
                <w:szCs w:val="20"/>
              </w:rPr>
              <w:t>mazowieckie</w:t>
            </w:r>
          </w:p>
        </w:tc>
        <w:tc>
          <w:tcPr>
            <w:tcW w:w="2059" w:type="dxa"/>
            <w:vAlign w:val="center"/>
          </w:tcPr>
          <w:p w14:paraId="77EE0EE3" w14:textId="77777777" w:rsidR="000171D5" w:rsidRPr="008428AF" w:rsidRDefault="000171D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28AF">
              <w:rPr>
                <w:rFonts w:cs="Times New Roman"/>
                <w:sz w:val="20"/>
                <w:szCs w:val="20"/>
              </w:rPr>
              <w:t>314</w:t>
            </w:r>
          </w:p>
        </w:tc>
        <w:tc>
          <w:tcPr>
            <w:tcW w:w="2693" w:type="dxa"/>
          </w:tcPr>
          <w:p w14:paraId="02BE01A5" w14:textId="77777777" w:rsidR="000171D5" w:rsidRPr="008428AF" w:rsidRDefault="000171D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28AF">
              <w:rPr>
                <w:rFonts w:cs="Times New Roman"/>
                <w:sz w:val="20"/>
                <w:szCs w:val="20"/>
              </w:rPr>
              <w:t>33 oraz 18 dzielnicowych rad seniorów m.st. Warszawy</w:t>
            </w:r>
          </w:p>
        </w:tc>
      </w:tr>
      <w:tr w:rsidR="000171D5" w:rsidRPr="0092226B" w14:paraId="5DD0C25D" w14:textId="77777777" w:rsidTr="00AD7202">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177" w:type="dxa"/>
          </w:tcPr>
          <w:p w14:paraId="33817487" w14:textId="77777777" w:rsidR="000171D5" w:rsidRPr="008428AF" w:rsidRDefault="000171D5" w:rsidP="00AD7202">
            <w:pPr>
              <w:spacing w:line="240" w:lineRule="auto"/>
              <w:rPr>
                <w:rFonts w:cs="Times New Roman"/>
                <w:b w:val="0"/>
                <w:sz w:val="20"/>
                <w:szCs w:val="20"/>
              </w:rPr>
            </w:pPr>
            <w:r w:rsidRPr="008428AF">
              <w:rPr>
                <w:rFonts w:cs="Times New Roman"/>
                <w:sz w:val="20"/>
                <w:szCs w:val="20"/>
              </w:rPr>
              <w:t>opolskie</w:t>
            </w:r>
          </w:p>
        </w:tc>
        <w:tc>
          <w:tcPr>
            <w:tcW w:w="2059" w:type="dxa"/>
          </w:tcPr>
          <w:p w14:paraId="0860361D"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28AF">
              <w:rPr>
                <w:rFonts w:cs="Times New Roman"/>
                <w:sz w:val="20"/>
                <w:szCs w:val="20"/>
              </w:rPr>
              <w:t>71</w:t>
            </w:r>
          </w:p>
        </w:tc>
        <w:tc>
          <w:tcPr>
            <w:tcW w:w="2693" w:type="dxa"/>
          </w:tcPr>
          <w:p w14:paraId="6E08AC8E"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28AF">
              <w:rPr>
                <w:rFonts w:cs="Times New Roman"/>
                <w:sz w:val="20"/>
                <w:szCs w:val="20"/>
              </w:rPr>
              <w:t>23</w:t>
            </w:r>
          </w:p>
        </w:tc>
      </w:tr>
      <w:tr w:rsidR="000171D5" w:rsidRPr="0092226B" w14:paraId="06DA70AE" w14:textId="77777777" w:rsidTr="00AD7202">
        <w:tc>
          <w:tcPr>
            <w:cnfStyle w:val="001000000000" w:firstRow="0" w:lastRow="0" w:firstColumn="1" w:lastColumn="0" w:oddVBand="0" w:evenVBand="0" w:oddHBand="0" w:evenHBand="0" w:firstRowFirstColumn="0" w:firstRowLastColumn="0" w:lastRowFirstColumn="0" w:lastRowLastColumn="0"/>
            <w:tcW w:w="4177" w:type="dxa"/>
          </w:tcPr>
          <w:p w14:paraId="2CBD5083" w14:textId="77777777" w:rsidR="000171D5" w:rsidRPr="008428AF" w:rsidRDefault="000171D5" w:rsidP="00AD7202">
            <w:pPr>
              <w:spacing w:line="240" w:lineRule="auto"/>
              <w:rPr>
                <w:rFonts w:cs="Times New Roman"/>
                <w:b w:val="0"/>
                <w:sz w:val="20"/>
                <w:szCs w:val="20"/>
              </w:rPr>
            </w:pPr>
            <w:r w:rsidRPr="008428AF">
              <w:rPr>
                <w:rFonts w:cs="Times New Roman"/>
                <w:sz w:val="20"/>
                <w:szCs w:val="20"/>
              </w:rPr>
              <w:t>świętokrzyskie</w:t>
            </w:r>
          </w:p>
        </w:tc>
        <w:tc>
          <w:tcPr>
            <w:tcW w:w="2059" w:type="dxa"/>
          </w:tcPr>
          <w:p w14:paraId="75C68C8D" w14:textId="77777777" w:rsidR="000171D5" w:rsidRPr="008428AF" w:rsidRDefault="000171D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28AF">
              <w:rPr>
                <w:rFonts w:cs="Times New Roman"/>
                <w:sz w:val="20"/>
                <w:szCs w:val="20"/>
              </w:rPr>
              <w:t>102</w:t>
            </w:r>
          </w:p>
        </w:tc>
        <w:tc>
          <w:tcPr>
            <w:tcW w:w="2693" w:type="dxa"/>
          </w:tcPr>
          <w:p w14:paraId="5D0AEAB1" w14:textId="77777777" w:rsidR="000171D5" w:rsidRPr="008428AF" w:rsidRDefault="000171D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28AF">
              <w:rPr>
                <w:rFonts w:cs="Times New Roman"/>
                <w:sz w:val="20"/>
                <w:szCs w:val="20"/>
              </w:rPr>
              <w:t>15</w:t>
            </w:r>
          </w:p>
        </w:tc>
      </w:tr>
      <w:tr w:rsidR="000171D5" w:rsidRPr="0092226B" w14:paraId="527E1FD3"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7" w:type="dxa"/>
          </w:tcPr>
          <w:p w14:paraId="052177AA" w14:textId="77777777" w:rsidR="000171D5" w:rsidRPr="008428AF" w:rsidRDefault="000171D5" w:rsidP="00AD7202">
            <w:pPr>
              <w:spacing w:line="240" w:lineRule="auto"/>
              <w:rPr>
                <w:rFonts w:cs="Times New Roman"/>
                <w:b w:val="0"/>
                <w:sz w:val="20"/>
                <w:szCs w:val="20"/>
              </w:rPr>
            </w:pPr>
            <w:r w:rsidRPr="008428AF">
              <w:rPr>
                <w:rFonts w:cs="Times New Roman"/>
                <w:sz w:val="20"/>
                <w:szCs w:val="20"/>
              </w:rPr>
              <w:t>wielkopolskie</w:t>
            </w:r>
          </w:p>
        </w:tc>
        <w:tc>
          <w:tcPr>
            <w:tcW w:w="2059" w:type="dxa"/>
          </w:tcPr>
          <w:p w14:paraId="6FF86DED"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28AF">
              <w:rPr>
                <w:rFonts w:cs="Times New Roman"/>
                <w:sz w:val="20"/>
                <w:szCs w:val="20"/>
              </w:rPr>
              <w:t>226</w:t>
            </w:r>
          </w:p>
        </w:tc>
        <w:tc>
          <w:tcPr>
            <w:tcW w:w="2693" w:type="dxa"/>
          </w:tcPr>
          <w:p w14:paraId="289E0DA4"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28AF">
              <w:rPr>
                <w:rFonts w:cs="Times New Roman"/>
                <w:sz w:val="20"/>
                <w:szCs w:val="20"/>
              </w:rPr>
              <w:t>24</w:t>
            </w:r>
          </w:p>
        </w:tc>
      </w:tr>
      <w:tr w:rsidR="000171D5" w:rsidRPr="0092226B" w14:paraId="7E5CB094" w14:textId="77777777" w:rsidTr="00AD7202">
        <w:tc>
          <w:tcPr>
            <w:cnfStyle w:val="001000000000" w:firstRow="0" w:lastRow="0" w:firstColumn="1" w:lastColumn="0" w:oddVBand="0" w:evenVBand="0" w:oddHBand="0" w:evenHBand="0" w:firstRowFirstColumn="0" w:firstRowLastColumn="0" w:lastRowFirstColumn="0" w:lastRowLastColumn="0"/>
            <w:tcW w:w="4177" w:type="dxa"/>
          </w:tcPr>
          <w:p w14:paraId="4B97B3EC" w14:textId="77777777" w:rsidR="000171D5" w:rsidRPr="008428AF" w:rsidRDefault="000171D5" w:rsidP="00AD7202">
            <w:pPr>
              <w:spacing w:line="240" w:lineRule="auto"/>
              <w:rPr>
                <w:rFonts w:cs="Times New Roman"/>
                <w:b w:val="0"/>
                <w:sz w:val="20"/>
                <w:szCs w:val="20"/>
              </w:rPr>
            </w:pPr>
            <w:r w:rsidRPr="008428AF">
              <w:rPr>
                <w:rFonts w:cs="Times New Roman"/>
                <w:sz w:val="20"/>
                <w:szCs w:val="20"/>
              </w:rPr>
              <w:t>warmińsko-mazurskie</w:t>
            </w:r>
          </w:p>
        </w:tc>
        <w:tc>
          <w:tcPr>
            <w:tcW w:w="2059" w:type="dxa"/>
          </w:tcPr>
          <w:p w14:paraId="15DE4F83" w14:textId="77777777" w:rsidR="000171D5" w:rsidRPr="008428AF" w:rsidRDefault="000171D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28AF">
              <w:rPr>
                <w:rFonts w:cs="Times New Roman"/>
                <w:sz w:val="20"/>
                <w:szCs w:val="20"/>
              </w:rPr>
              <w:t>116</w:t>
            </w:r>
          </w:p>
        </w:tc>
        <w:tc>
          <w:tcPr>
            <w:tcW w:w="2693" w:type="dxa"/>
          </w:tcPr>
          <w:p w14:paraId="0C9D01DA" w14:textId="77777777" w:rsidR="000171D5" w:rsidRPr="008428AF" w:rsidRDefault="000171D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28AF">
              <w:rPr>
                <w:rFonts w:cs="Times New Roman"/>
                <w:sz w:val="20"/>
                <w:szCs w:val="20"/>
              </w:rPr>
              <w:t>16</w:t>
            </w:r>
          </w:p>
        </w:tc>
      </w:tr>
      <w:tr w:rsidR="000171D5" w:rsidRPr="0092226B" w14:paraId="0C9C0B4B"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7" w:type="dxa"/>
          </w:tcPr>
          <w:p w14:paraId="44EF1A4C" w14:textId="77777777" w:rsidR="000171D5" w:rsidRPr="008428AF" w:rsidRDefault="000171D5" w:rsidP="00AD7202">
            <w:pPr>
              <w:spacing w:line="240" w:lineRule="auto"/>
              <w:rPr>
                <w:rFonts w:cs="Times New Roman"/>
                <w:b w:val="0"/>
                <w:sz w:val="20"/>
                <w:szCs w:val="20"/>
              </w:rPr>
            </w:pPr>
            <w:r w:rsidRPr="008428AF">
              <w:rPr>
                <w:rFonts w:cs="Times New Roman"/>
                <w:sz w:val="20"/>
                <w:szCs w:val="20"/>
              </w:rPr>
              <w:t>kujawsko-pomorskie</w:t>
            </w:r>
          </w:p>
        </w:tc>
        <w:tc>
          <w:tcPr>
            <w:tcW w:w="2059" w:type="dxa"/>
          </w:tcPr>
          <w:p w14:paraId="23D0AB41"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28AF">
              <w:rPr>
                <w:rFonts w:cs="Times New Roman"/>
                <w:sz w:val="20"/>
                <w:szCs w:val="20"/>
              </w:rPr>
              <w:t>144</w:t>
            </w:r>
          </w:p>
        </w:tc>
        <w:tc>
          <w:tcPr>
            <w:tcW w:w="2693" w:type="dxa"/>
          </w:tcPr>
          <w:p w14:paraId="1746A7B2"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28AF">
              <w:rPr>
                <w:rFonts w:cs="Times New Roman"/>
                <w:sz w:val="20"/>
                <w:szCs w:val="20"/>
              </w:rPr>
              <w:t>13</w:t>
            </w:r>
          </w:p>
        </w:tc>
      </w:tr>
      <w:tr w:rsidR="000171D5" w:rsidRPr="0092226B" w14:paraId="17F691D4" w14:textId="77777777" w:rsidTr="00AD7202">
        <w:tc>
          <w:tcPr>
            <w:cnfStyle w:val="001000000000" w:firstRow="0" w:lastRow="0" w:firstColumn="1" w:lastColumn="0" w:oddVBand="0" w:evenVBand="0" w:oddHBand="0" w:evenHBand="0" w:firstRowFirstColumn="0" w:firstRowLastColumn="0" w:lastRowFirstColumn="0" w:lastRowLastColumn="0"/>
            <w:tcW w:w="4177" w:type="dxa"/>
          </w:tcPr>
          <w:p w14:paraId="5969F57D" w14:textId="77777777" w:rsidR="000171D5" w:rsidRPr="008428AF" w:rsidRDefault="000171D5" w:rsidP="00AD7202">
            <w:pPr>
              <w:spacing w:line="240" w:lineRule="auto"/>
              <w:rPr>
                <w:rFonts w:cs="Times New Roman"/>
                <w:b w:val="0"/>
                <w:sz w:val="20"/>
                <w:szCs w:val="20"/>
              </w:rPr>
            </w:pPr>
            <w:r w:rsidRPr="008428AF">
              <w:rPr>
                <w:rFonts w:cs="Times New Roman"/>
                <w:sz w:val="20"/>
                <w:szCs w:val="20"/>
              </w:rPr>
              <w:t>lubuskie</w:t>
            </w:r>
          </w:p>
        </w:tc>
        <w:tc>
          <w:tcPr>
            <w:tcW w:w="2059" w:type="dxa"/>
          </w:tcPr>
          <w:p w14:paraId="50FBB3EC" w14:textId="77777777" w:rsidR="000171D5" w:rsidRPr="008428AF" w:rsidRDefault="000171D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28AF">
              <w:rPr>
                <w:rFonts w:cs="Times New Roman"/>
                <w:sz w:val="20"/>
                <w:szCs w:val="20"/>
              </w:rPr>
              <w:t>82</w:t>
            </w:r>
          </w:p>
        </w:tc>
        <w:tc>
          <w:tcPr>
            <w:tcW w:w="2693" w:type="dxa"/>
          </w:tcPr>
          <w:p w14:paraId="633233B5" w14:textId="77777777" w:rsidR="000171D5" w:rsidRPr="008428AF" w:rsidRDefault="000171D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28AF">
              <w:rPr>
                <w:rFonts w:cs="Times New Roman"/>
                <w:sz w:val="20"/>
                <w:szCs w:val="20"/>
              </w:rPr>
              <w:t>20</w:t>
            </w:r>
          </w:p>
        </w:tc>
      </w:tr>
      <w:tr w:rsidR="000171D5" w:rsidRPr="0092226B" w14:paraId="71D1F1A8" w14:textId="77777777" w:rsidTr="00AD7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7" w:type="dxa"/>
          </w:tcPr>
          <w:p w14:paraId="69453B25" w14:textId="77777777" w:rsidR="000171D5" w:rsidRPr="008428AF" w:rsidRDefault="000171D5" w:rsidP="00AD7202">
            <w:pPr>
              <w:spacing w:line="240" w:lineRule="auto"/>
              <w:rPr>
                <w:rFonts w:cs="Times New Roman"/>
                <w:b w:val="0"/>
                <w:sz w:val="20"/>
                <w:szCs w:val="20"/>
              </w:rPr>
            </w:pPr>
            <w:r w:rsidRPr="008428AF">
              <w:rPr>
                <w:rFonts w:cs="Times New Roman"/>
                <w:sz w:val="20"/>
                <w:szCs w:val="20"/>
              </w:rPr>
              <w:t>łódzkie</w:t>
            </w:r>
          </w:p>
        </w:tc>
        <w:tc>
          <w:tcPr>
            <w:tcW w:w="2059" w:type="dxa"/>
          </w:tcPr>
          <w:p w14:paraId="1FFADF13"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28AF">
              <w:rPr>
                <w:rFonts w:cs="Times New Roman"/>
                <w:sz w:val="20"/>
                <w:szCs w:val="20"/>
              </w:rPr>
              <w:t>177</w:t>
            </w:r>
          </w:p>
        </w:tc>
        <w:tc>
          <w:tcPr>
            <w:tcW w:w="2693" w:type="dxa"/>
          </w:tcPr>
          <w:p w14:paraId="764C8D34"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428AF">
              <w:rPr>
                <w:rFonts w:cs="Times New Roman"/>
                <w:sz w:val="20"/>
                <w:szCs w:val="20"/>
              </w:rPr>
              <w:t>13</w:t>
            </w:r>
          </w:p>
        </w:tc>
      </w:tr>
      <w:tr w:rsidR="000171D5" w:rsidRPr="0092226B" w14:paraId="6E73139C" w14:textId="77777777" w:rsidTr="00AD7202">
        <w:tc>
          <w:tcPr>
            <w:cnfStyle w:val="001000000000" w:firstRow="0" w:lastRow="0" w:firstColumn="1" w:lastColumn="0" w:oddVBand="0" w:evenVBand="0" w:oddHBand="0" w:evenHBand="0" w:firstRowFirstColumn="0" w:firstRowLastColumn="0" w:lastRowFirstColumn="0" w:lastRowLastColumn="0"/>
            <w:tcW w:w="4177" w:type="dxa"/>
          </w:tcPr>
          <w:p w14:paraId="1E30BE48" w14:textId="77777777" w:rsidR="000171D5" w:rsidRPr="008428AF" w:rsidRDefault="000171D5" w:rsidP="00AD7202">
            <w:pPr>
              <w:spacing w:line="240" w:lineRule="auto"/>
              <w:rPr>
                <w:rFonts w:cs="Times New Roman"/>
                <w:b w:val="0"/>
                <w:sz w:val="20"/>
                <w:szCs w:val="20"/>
              </w:rPr>
            </w:pPr>
            <w:r w:rsidRPr="008428AF">
              <w:rPr>
                <w:rFonts w:cs="Times New Roman"/>
                <w:sz w:val="20"/>
                <w:szCs w:val="20"/>
              </w:rPr>
              <w:t>podlaskie</w:t>
            </w:r>
          </w:p>
        </w:tc>
        <w:tc>
          <w:tcPr>
            <w:tcW w:w="2059" w:type="dxa"/>
          </w:tcPr>
          <w:p w14:paraId="4F009A8F" w14:textId="77777777" w:rsidR="000171D5" w:rsidRPr="008428AF" w:rsidRDefault="000171D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28AF">
              <w:rPr>
                <w:rFonts w:cs="Times New Roman"/>
                <w:sz w:val="20"/>
                <w:szCs w:val="20"/>
              </w:rPr>
              <w:t>118</w:t>
            </w:r>
          </w:p>
        </w:tc>
        <w:tc>
          <w:tcPr>
            <w:tcW w:w="2693" w:type="dxa"/>
          </w:tcPr>
          <w:p w14:paraId="653647F3" w14:textId="77777777" w:rsidR="000171D5" w:rsidRPr="008428AF" w:rsidRDefault="000171D5" w:rsidP="00AD720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428AF">
              <w:rPr>
                <w:rFonts w:cs="Times New Roman"/>
                <w:sz w:val="20"/>
                <w:szCs w:val="20"/>
              </w:rPr>
              <w:t>14</w:t>
            </w:r>
          </w:p>
        </w:tc>
      </w:tr>
      <w:tr w:rsidR="000171D5" w:rsidRPr="0092226B" w14:paraId="4458061C" w14:textId="77777777" w:rsidTr="00AD7202">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4177" w:type="dxa"/>
          </w:tcPr>
          <w:p w14:paraId="4FC43BCF" w14:textId="77777777" w:rsidR="000171D5" w:rsidRPr="008428AF" w:rsidRDefault="000171D5" w:rsidP="00AD7202">
            <w:pPr>
              <w:spacing w:line="240" w:lineRule="auto"/>
              <w:rPr>
                <w:rFonts w:cs="Times New Roman"/>
                <w:b w:val="0"/>
                <w:sz w:val="20"/>
                <w:szCs w:val="20"/>
              </w:rPr>
            </w:pPr>
            <w:r w:rsidRPr="008428AF">
              <w:rPr>
                <w:rFonts w:cs="Times New Roman"/>
                <w:sz w:val="20"/>
                <w:szCs w:val="20"/>
              </w:rPr>
              <w:t>Ogółem:</w:t>
            </w:r>
          </w:p>
        </w:tc>
        <w:tc>
          <w:tcPr>
            <w:tcW w:w="2059" w:type="dxa"/>
          </w:tcPr>
          <w:p w14:paraId="36376305"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8428AF">
              <w:rPr>
                <w:rFonts w:cs="Times New Roman"/>
                <w:sz w:val="20"/>
                <w:szCs w:val="20"/>
              </w:rPr>
              <w:t>2477</w:t>
            </w:r>
          </w:p>
        </w:tc>
        <w:tc>
          <w:tcPr>
            <w:tcW w:w="2693" w:type="dxa"/>
          </w:tcPr>
          <w:p w14:paraId="05DE8319" w14:textId="77777777" w:rsidR="000171D5" w:rsidRPr="008428AF" w:rsidRDefault="000171D5" w:rsidP="00AD7202">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8428AF">
              <w:rPr>
                <w:rFonts w:cs="Times New Roman"/>
                <w:b/>
                <w:sz w:val="20"/>
                <w:szCs w:val="20"/>
              </w:rPr>
              <w:t>377</w:t>
            </w:r>
          </w:p>
        </w:tc>
      </w:tr>
    </w:tbl>
    <w:p w14:paraId="7FEF4A91" w14:textId="77777777" w:rsidR="000171D5" w:rsidRDefault="000171D5" w:rsidP="000171D5">
      <w:pPr>
        <w:spacing w:after="120" w:line="259" w:lineRule="auto"/>
        <w:rPr>
          <w:rFonts w:cs="Times New Roman"/>
          <w:b/>
          <w:sz w:val="20"/>
          <w:szCs w:val="20"/>
        </w:rPr>
      </w:pPr>
      <w:r w:rsidRPr="008F6847">
        <w:rPr>
          <w:rFonts w:cs="Times New Roman"/>
          <w:b/>
          <w:sz w:val="20"/>
          <w:szCs w:val="20"/>
        </w:rPr>
        <w:t xml:space="preserve">Źródło: </w:t>
      </w:r>
      <w:r>
        <w:rPr>
          <w:rFonts w:cs="Times New Roman"/>
          <w:b/>
          <w:sz w:val="20"/>
          <w:szCs w:val="20"/>
        </w:rPr>
        <w:t>Dane Ministerstwa Spraw Wewnętrznych i Administracji.</w:t>
      </w:r>
    </w:p>
    <w:p w14:paraId="6CEE8927" w14:textId="77777777" w:rsidR="00687F06" w:rsidRPr="00D16515" w:rsidRDefault="00687F06" w:rsidP="000171D5">
      <w:pPr>
        <w:spacing w:after="120" w:line="259" w:lineRule="auto"/>
        <w:rPr>
          <w:rFonts w:cs="Times New Roman"/>
          <w:b/>
          <w:sz w:val="20"/>
          <w:szCs w:val="20"/>
          <w:highlight w:val="cyan"/>
        </w:rPr>
      </w:pPr>
    </w:p>
    <w:p w14:paraId="7083BA23" w14:textId="77777777" w:rsidR="000171D5" w:rsidRDefault="000171D5" w:rsidP="000171D5">
      <w:pPr>
        <w:pStyle w:val="Nagwek3"/>
      </w:pPr>
      <w:bookmarkStart w:id="50" w:name="_Toc77513894"/>
      <w:bookmarkStart w:id="51" w:name="_Toc80523054"/>
      <w:r>
        <w:t>Aktywność sportowa i rekreacyjna</w:t>
      </w:r>
      <w:bookmarkEnd w:id="50"/>
      <w:bookmarkEnd w:id="51"/>
    </w:p>
    <w:p w14:paraId="0888D258" w14:textId="77777777" w:rsidR="000171D5" w:rsidRPr="00D16515" w:rsidRDefault="000171D5" w:rsidP="000171D5">
      <w:pPr>
        <w:rPr>
          <w:rFonts w:cs="Times New Roman"/>
          <w:szCs w:val="24"/>
        </w:rPr>
      </w:pPr>
    </w:p>
    <w:p w14:paraId="03FA36BD" w14:textId="083937F6" w:rsidR="000171D5" w:rsidRPr="00D16515" w:rsidRDefault="000171D5" w:rsidP="000171D5">
      <w:pPr>
        <w:rPr>
          <w:rFonts w:cs="Times New Roman"/>
          <w:szCs w:val="24"/>
        </w:rPr>
      </w:pPr>
      <w:r w:rsidRPr="00D16515">
        <w:rPr>
          <w:rFonts w:cs="Times New Roman"/>
          <w:szCs w:val="24"/>
        </w:rPr>
        <w:t>Najbardziej aktualne dane wskazują, że osoby w wieku 60 lub więcej lat stosunkowo rzadko uczestniczyły w zajęciach sportowych lub rekreacji ruchowej, przy czym mężczyźni w tej grupie wiekowej byli nieco bardziej aktywni sportowo-rekreacyjnie niż kobiety</w:t>
      </w:r>
      <w:r w:rsidR="00BA0F26">
        <w:rPr>
          <w:rFonts w:cs="Times New Roman"/>
          <w:szCs w:val="24"/>
        </w:rPr>
        <w:t>.</w:t>
      </w:r>
    </w:p>
    <w:p w14:paraId="3112B00D" w14:textId="77777777" w:rsidR="000171D5" w:rsidRPr="0092226B" w:rsidRDefault="000171D5" w:rsidP="000171D5">
      <w:pPr>
        <w:spacing w:line="259" w:lineRule="auto"/>
        <w:rPr>
          <w:rFonts w:cs="Times New Roman"/>
          <w:color w:val="FF0000"/>
          <w:szCs w:val="24"/>
        </w:rPr>
      </w:pPr>
    </w:p>
    <w:p w14:paraId="34F8AFD3" w14:textId="59B8ECE5" w:rsidR="000171D5" w:rsidRPr="008F6847" w:rsidRDefault="000171D5" w:rsidP="000171D5">
      <w:pPr>
        <w:pStyle w:val="Legenda"/>
        <w:keepNext/>
        <w:rPr>
          <w:rFonts w:cs="Times New Roman"/>
          <w:b/>
          <w:i w:val="0"/>
          <w:color w:val="auto"/>
          <w:sz w:val="24"/>
        </w:rPr>
      </w:pPr>
      <w:bookmarkStart w:id="52" w:name="_Toc49171415"/>
      <w:r w:rsidRPr="008F6847">
        <w:rPr>
          <w:rFonts w:cs="Times New Roman"/>
          <w:b/>
          <w:i w:val="0"/>
          <w:color w:val="auto"/>
          <w:sz w:val="24"/>
        </w:rPr>
        <w:t xml:space="preserve">Tabela </w:t>
      </w:r>
      <w:r w:rsidR="00000D3F">
        <w:rPr>
          <w:rFonts w:cs="Times New Roman"/>
          <w:b/>
          <w:i w:val="0"/>
          <w:color w:val="auto"/>
          <w:sz w:val="24"/>
        </w:rPr>
        <w:t>35</w:t>
      </w:r>
      <w:r w:rsidR="00EE73AF">
        <w:rPr>
          <w:rFonts w:cs="Times New Roman"/>
          <w:b/>
          <w:i w:val="0"/>
          <w:color w:val="auto"/>
          <w:sz w:val="24"/>
        </w:rPr>
        <w:t>.</w:t>
      </w:r>
      <w:r w:rsidRPr="008F6847">
        <w:rPr>
          <w:rFonts w:cs="Times New Roman"/>
          <w:b/>
          <w:i w:val="0"/>
          <w:color w:val="auto"/>
          <w:sz w:val="24"/>
        </w:rPr>
        <w:t xml:space="preserve"> Uczestnictwo członków gospodarstw domowych w zajęciach sportowych lub rekreacji ruchowej w 2016 r.</w:t>
      </w:r>
      <w:bookmarkEnd w:id="52"/>
    </w:p>
    <w:tbl>
      <w:tblPr>
        <w:tblStyle w:val="Tabelasiatki5ciemnaakcent2"/>
        <w:tblW w:w="9073" w:type="dxa"/>
        <w:tblLook w:val="04A0" w:firstRow="1" w:lastRow="0" w:firstColumn="1" w:lastColumn="0" w:noHBand="0" w:noVBand="1"/>
      </w:tblPr>
      <w:tblGrid>
        <w:gridCol w:w="1937"/>
        <w:gridCol w:w="1040"/>
        <w:gridCol w:w="1305"/>
        <w:gridCol w:w="1276"/>
        <w:gridCol w:w="1263"/>
        <w:gridCol w:w="1134"/>
        <w:gridCol w:w="1118"/>
      </w:tblGrid>
      <w:tr w:rsidR="000171D5" w:rsidRPr="0092226B" w14:paraId="66752B87" w14:textId="77777777" w:rsidTr="00AD720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37" w:type="dxa"/>
            <w:vMerge w:val="restart"/>
            <w:hideMark/>
          </w:tcPr>
          <w:p w14:paraId="437E07F8" w14:textId="77777777" w:rsidR="000171D5" w:rsidRPr="008F6847" w:rsidRDefault="000171D5" w:rsidP="00AD7202">
            <w:pPr>
              <w:spacing w:line="240" w:lineRule="auto"/>
              <w:jc w:val="center"/>
              <w:rPr>
                <w:rFonts w:eastAsia="Times New Roman" w:cs="Times New Roman"/>
                <w:b w:val="0"/>
                <w:color w:val="auto"/>
                <w:sz w:val="20"/>
                <w:szCs w:val="18"/>
                <w:lang w:eastAsia="pl-PL"/>
              </w:rPr>
            </w:pPr>
            <w:r w:rsidRPr="008F6847">
              <w:rPr>
                <w:rFonts w:eastAsia="Times New Roman" w:cs="Times New Roman"/>
                <w:color w:val="auto"/>
                <w:sz w:val="20"/>
                <w:szCs w:val="18"/>
                <w:lang w:eastAsia="pl-PL"/>
              </w:rPr>
              <w:t>Wyszczególnienie</w:t>
            </w:r>
          </w:p>
        </w:tc>
        <w:tc>
          <w:tcPr>
            <w:tcW w:w="2345" w:type="dxa"/>
            <w:gridSpan w:val="2"/>
            <w:vMerge w:val="restart"/>
            <w:hideMark/>
          </w:tcPr>
          <w:p w14:paraId="55049886" w14:textId="77777777" w:rsidR="000171D5" w:rsidRPr="008F6847" w:rsidRDefault="000171D5"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18"/>
                <w:lang w:eastAsia="pl-PL"/>
              </w:rPr>
            </w:pPr>
            <w:r w:rsidRPr="008F6847">
              <w:rPr>
                <w:rFonts w:eastAsia="Times New Roman" w:cs="Times New Roman"/>
                <w:color w:val="auto"/>
                <w:sz w:val="20"/>
                <w:szCs w:val="18"/>
                <w:lang w:eastAsia="pl-PL"/>
              </w:rPr>
              <w:t>Ogółem</w:t>
            </w:r>
          </w:p>
        </w:tc>
        <w:tc>
          <w:tcPr>
            <w:tcW w:w="4791" w:type="dxa"/>
            <w:gridSpan w:val="4"/>
            <w:noWrap/>
            <w:hideMark/>
          </w:tcPr>
          <w:p w14:paraId="2C5C27F2" w14:textId="77777777" w:rsidR="000171D5" w:rsidRPr="008F6847" w:rsidRDefault="000171D5"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18"/>
                <w:lang w:eastAsia="pl-PL"/>
              </w:rPr>
            </w:pPr>
            <w:r w:rsidRPr="008F6847">
              <w:rPr>
                <w:rFonts w:eastAsia="Times New Roman" w:cs="Times New Roman"/>
                <w:color w:val="auto"/>
                <w:sz w:val="20"/>
                <w:szCs w:val="18"/>
                <w:lang w:eastAsia="pl-PL"/>
              </w:rPr>
              <w:t>Z liczby ogółem</w:t>
            </w:r>
          </w:p>
        </w:tc>
      </w:tr>
      <w:tr w:rsidR="000171D5" w:rsidRPr="0092226B" w14:paraId="01C7DDFD" w14:textId="77777777" w:rsidTr="00AD72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37" w:type="dxa"/>
            <w:vMerge/>
            <w:hideMark/>
          </w:tcPr>
          <w:p w14:paraId="3813D839" w14:textId="77777777" w:rsidR="000171D5" w:rsidRPr="008F6847" w:rsidRDefault="000171D5" w:rsidP="00AD7202">
            <w:pPr>
              <w:spacing w:line="240" w:lineRule="auto"/>
              <w:jc w:val="center"/>
              <w:rPr>
                <w:rFonts w:eastAsia="Times New Roman" w:cs="Times New Roman"/>
                <w:b w:val="0"/>
                <w:color w:val="auto"/>
                <w:sz w:val="20"/>
                <w:szCs w:val="18"/>
                <w:lang w:eastAsia="pl-PL"/>
              </w:rPr>
            </w:pPr>
          </w:p>
        </w:tc>
        <w:tc>
          <w:tcPr>
            <w:tcW w:w="2345" w:type="dxa"/>
            <w:gridSpan w:val="2"/>
            <w:vMerge/>
            <w:hideMark/>
          </w:tcPr>
          <w:p w14:paraId="6C5AD80C" w14:textId="77777777" w:rsidR="000171D5" w:rsidRPr="008F6847"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18"/>
                <w:lang w:eastAsia="pl-PL"/>
              </w:rPr>
            </w:pPr>
          </w:p>
        </w:tc>
        <w:tc>
          <w:tcPr>
            <w:tcW w:w="2539" w:type="dxa"/>
            <w:gridSpan w:val="2"/>
            <w:hideMark/>
          </w:tcPr>
          <w:p w14:paraId="741F404A" w14:textId="77777777" w:rsidR="000171D5" w:rsidRPr="008F6847"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18"/>
                <w:lang w:eastAsia="pl-PL"/>
              </w:rPr>
            </w:pPr>
            <w:r w:rsidRPr="008F6847">
              <w:rPr>
                <w:rFonts w:eastAsia="Times New Roman" w:cs="Times New Roman"/>
                <w:b/>
                <w:sz w:val="20"/>
                <w:szCs w:val="18"/>
                <w:lang w:eastAsia="pl-PL"/>
              </w:rPr>
              <w:t>Mężczyźni</w:t>
            </w:r>
          </w:p>
        </w:tc>
        <w:tc>
          <w:tcPr>
            <w:tcW w:w="2252" w:type="dxa"/>
            <w:gridSpan w:val="2"/>
            <w:hideMark/>
          </w:tcPr>
          <w:p w14:paraId="6DF24181" w14:textId="77777777" w:rsidR="000171D5" w:rsidRPr="008F6847"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18"/>
                <w:lang w:eastAsia="pl-PL"/>
              </w:rPr>
            </w:pPr>
            <w:r w:rsidRPr="008F6847">
              <w:rPr>
                <w:rFonts w:eastAsia="Times New Roman" w:cs="Times New Roman"/>
                <w:b/>
                <w:sz w:val="20"/>
                <w:szCs w:val="18"/>
                <w:lang w:eastAsia="pl-PL"/>
              </w:rPr>
              <w:t>Kobiety</w:t>
            </w:r>
          </w:p>
        </w:tc>
      </w:tr>
      <w:tr w:rsidR="000171D5" w:rsidRPr="0092226B" w14:paraId="4B0F5D4C" w14:textId="77777777" w:rsidTr="00AD7202">
        <w:trPr>
          <w:trHeight w:val="20"/>
        </w:trPr>
        <w:tc>
          <w:tcPr>
            <w:cnfStyle w:val="001000000000" w:firstRow="0" w:lastRow="0" w:firstColumn="1" w:lastColumn="0" w:oddVBand="0" w:evenVBand="0" w:oddHBand="0" w:evenHBand="0" w:firstRowFirstColumn="0" w:firstRowLastColumn="0" w:lastRowFirstColumn="0" w:lastRowLastColumn="0"/>
            <w:tcW w:w="1937" w:type="dxa"/>
            <w:vMerge/>
            <w:hideMark/>
          </w:tcPr>
          <w:p w14:paraId="6B9BEA94" w14:textId="77777777" w:rsidR="000171D5" w:rsidRPr="008F6847" w:rsidRDefault="000171D5" w:rsidP="00AD7202">
            <w:pPr>
              <w:spacing w:line="240" w:lineRule="auto"/>
              <w:jc w:val="center"/>
              <w:rPr>
                <w:rFonts w:eastAsia="Times New Roman" w:cs="Times New Roman"/>
                <w:b w:val="0"/>
                <w:color w:val="auto"/>
                <w:sz w:val="20"/>
                <w:szCs w:val="18"/>
                <w:lang w:eastAsia="pl-PL"/>
              </w:rPr>
            </w:pPr>
          </w:p>
        </w:tc>
        <w:tc>
          <w:tcPr>
            <w:tcW w:w="1040" w:type="dxa"/>
            <w:noWrap/>
            <w:hideMark/>
          </w:tcPr>
          <w:p w14:paraId="57832E65" w14:textId="77777777" w:rsidR="000171D5" w:rsidRPr="008F6847"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18"/>
                <w:lang w:eastAsia="pl-PL"/>
              </w:rPr>
            </w:pPr>
            <w:r w:rsidRPr="008F6847">
              <w:rPr>
                <w:rFonts w:eastAsia="Times New Roman" w:cs="Times New Roman"/>
                <w:b/>
                <w:sz w:val="20"/>
                <w:szCs w:val="18"/>
                <w:lang w:eastAsia="pl-PL"/>
              </w:rPr>
              <w:t>razem</w:t>
            </w:r>
          </w:p>
        </w:tc>
        <w:tc>
          <w:tcPr>
            <w:tcW w:w="1305" w:type="dxa"/>
            <w:hideMark/>
          </w:tcPr>
          <w:p w14:paraId="5E97C88F" w14:textId="77777777" w:rsidR="000171D5" w:rsidRPr="008F6847"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18"/>
                <w:lang w:eastAsia="pl-PL"/>
              </w:rPr>
            </w:pPr>
            <w:r w:rsidRPr="008F6847">
              <w:rPr>
                <w:rFonts w:eastAsia="Times New Roman" w:cs="Times New Roman"/>
                <w:b/>
                <w:sz w:val="20"/>
                <w:szCs w:val="18"/>
                <w:lang w:eastAsia="pl-PL"/>
              </w:rPr>
              <w:t>w tym regularnie / często</w:t>
            </w:r>
          </w:p>
        </w:tc>
        <w:tc>
          <w:tcPr>
            <w:tcW w:w="1276" w:type="dxa"/>
            <w:noWrap/>
            <w:hideMark/>
          </w:tcPr>
          <w:p w14:paraId="7FF5F70D" w14:textId="77777777" w:rsidR="000171D5" w:rsidRPr="008F6847"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18"/>
                <w:lang w:eastAsia="pl-PL"/>
              </w:rPr>
            </w:pPr>
            <w:r w:rsidRPr="008F6847">
              <w:rPr>
                <w:rFonts w:eastAsia="Times New Roman" w:cs="Times New Roman"/>
                <w:b/>
                <w:sz w:val="20"/>
                <w:szCs w:val="18"/>
                <w:lang w:eastAsia="pl-PL"/>
              </w:rPr>
              <w:t>razem</w:t>
            </w:r>
          </w:p>
        </w:tc>
        <w:tc>
          <w:tcPr>
            <w:tcW w:w="1263" w:type="dxa"/>
            <w:hideMark/>
          </w:tcPr>
          <w:p w14:paraId="1A13BD83" w14:textId="77777777" w:rsidR="000171D5" w:rsidRPr="008F6847"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18"/>
                <w:lang w:eastAsia="pl-PL"/>
              </w:rPr>
            </w:pPr>
            <w:r w:rsidRPr="008F6847">
              <w:rPr>
                <w:rFonts w:eastAsia="Times New Roman" w:cs="Times New Roman"/>
                <w:b/>
                <w:sz w:val="20"/>
                <w:szCs w:val="18"/>
                <w:lang w:eastAsia="pl-PL"/>
              </w:rPr>
              <w:t>w tym regularnie / często</w:t>
            </w:r>
          </w:p>
        </w:tc>
        <w:tc>
          <w:tcPr>
            <w:tcW w:w="1134" w:type="dxa"/>
            <w:noWrap/>
            <w:hideMark/>
          </w:tcPr>
          <w:p w14:paraId="025A13F3" w14:textId="77777777" w:rsidR="000171D5" w:rsidRPr="008F6847"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18"/>
                <w:lang w:eastAsia="pl-PL"/>
              </w:rPr>
            </w:pPr>
            <w:r w:rsidRPr="008F6847">
              <w:rPr>
                <w:rFonts w:eastAsia="Times New Roman" w:cs="Times New Roman"/>
                <w:b/>
                <w:sz w:val="20"/>
                <w:szCs w:val="18"/>
                <w:lang w:eastAsia="pl-PL"/>
              </w:rPr>
              <w:t>razem</w:t>
            </w:r>
          </w:p>
        </w:tc>
        <w:tc>
          <w:tcPr>
            <w:tcW w:w="1118" w:type="dxa"/>
            <w:hideMark/>
          </w:tcPr>
          <w:p w14:paraId="54BBFE15" w14:textId="77777777" w:rsidR="000171D5" w:rsidRPr="008F6847"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18"/>
                <w:lang w:eastAsia="pl-PL"/>
              </w:rPr>
            </w:pPr>
            <w:r w:rsidRPr="008F6847">
              <w:rPr>
                <w:rFonts w:eastAsia="Times New Roman" w:cs="Times New Roman"/>
                <w:b/>
                <w:sz w:val="20"/>
                <w:szCs w:val="18"/>
                <w:lang w:eastAsia="pl-PL"/>
              </w:rPr>
              <w:t>w tym regularnie / często</w:t>
            </w:r>
          </w:p>
        </w:tc>
      </w:tr>
      <w:tr w:rsidR="000171D5" w:rsidRPr="0092226B" w14:paraId="74E3F3DB" w14:textId="77777777" w:rsidTr="00AD72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37" w:type="dxa"/>
            <w:vMerge/>
            <w:hideMark/>
          </w:tcPr>
          <w:p w14:paraId="277B0C25" w14:textId="77777777" w:rsidR="000171D5" w:rsidRPr="008F6847" w:rsidRDefault="000171D5" w:rsidP="00AD7202">
            <w:pPr>
              <w:spacing w:line="240" w:lineRule="auto"/>
              <w:jc w:val="center"/>
              <w:rPr>
                <w:rFonts w:eastAsia="Times New Roman" w:cs="Times New Roman"/>
                <w:b w:val="0"/>
                <w:color w:val="auto"/>
                <w:sz w:val="20"/>
                <w:szCs w:val="18"/>
                <w:lang w:eastAsia="pl-PL"/>
              </w:rPr>
            </w:pPr>
          </w:p>
        </w:tc>
        <w:tc>
          <w:tcPr>
            <w:tcW w:w="7136" w:type="dxa"/>
            <w:gridSpan w:val="6"/>
            <w:noWrap/>
            <w:hideMark/>
          </w:tcPr>
          <w:p w14:paraId="368DB19F" w14:textId="77777777" w:rsidR="000171D5" w:rsidRPr="008F6847"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18"/>
                <w:lang w:eastAsia="pl-PL"/>
              </w:rPr>
            </w:pPr>
            <w:r w:rsidRPr="008F6847">
              <w:rPr>
                <w:rFonts w:eastAsia="Times New Roman" w:cs="Times New Roman"/>
                <w:b/>
                <w:sz w:val="20"/>
                <w:szCs w:val="18"/>
                <w:lang w:eastAsia="pl-PL"/>
              </w:rPr>
              <w:t>w odsetkach ogółu danej grupy</w:t>
            </w:r>
          </w:p>
        </w:tc>
      </w:tr>
      <w:tr w:rsidR="000171D5" w:rsidRPr="0092226B" w14:paraId="01C1656C" w14:textId="77777777" w:rsidTr="00AD7202">
        <w:trPr>
          <w:trHeight w:val="20"/>
        </w:trPr>
        <w:tc>
          <w:tcPr>
            <w:cnfStyle w:val="001000000000" w:firstRow="0" w:lastRow="0" w:firstColumn="1" w:lastColumn="0" w:oddVBand="0" w:evenVBand="0" w:oddHBand="0" w:evenHBand="0" w:firstRowFirstColumn="0" w:firstRowLastColumn="0" w:lastRowFirstColumn="0" w:lastRowLastColumn="0"/>
            <w:tcW w:w="1937" w:type="dxa"/>
            <w:hideMark/>
          </w:tcPr>
          <w:p w14:paraId="680F0341" w14:textId="77777777" w:rsidR="000171D5" w:rsidRPr="008F6847" w:rsidRDefault="000171D5" w:rsidP="00AD7202">
            <w:pPr>
              <w:spacing w:line="240" w:lineRule="auto"/>
              <w:jc w:val="center"/>
              <w:rPr>
                <w:rFonts w:eastAsia="Times New Roman" w:cs="Times New Roman"/>
                <w:b w:val="0"/>
                <w:color w:val="auto"/>
                <w:sz w:val="20"/>
                <w:szCs w:val="18"/>
                <w:lang w:eastAsia="pl-PL"/>
              </w:rPr>
            </w:pPr>
            <w:r w:rsidRPr="008F6847">
              <w:rPr>
                <w:rFonts w:eastAsia="Times New Roman" w:cs="Times New Roman"/>
                <w:color w:val="auto"/>
                <w:sz w:val="20"/>
                <w:szCs w:val="18"/>
                <w:lang w:eastAsia="pl-PL"/>
              </w:rPr>
              <w:t>średnia dla kraju - ogółem</w:t>
            </w:r>
          </w:p>
        </w:tc>
        <w:tc>
          <w:tcPr>
            <w:tcW w:w="1040" w:type="dxa"/>
            <w:hideMark/>
          </w:tcPr>
          <w:p w14:paraId="22FCC7A1" w14:textId="77777777" w:rsidR="000171D5" w:rsidRPr="008F6847"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18"/>
                <w:lang w:eastAsia="pl-PL"/>
              </w:rPr>
            </w:pPr>
            <w:r w:rsidRPr="008F6847">
              <w:rPr>
                <w:rFonts w:eastAsia="Times New Roman" w:cs="Times New Roman"/>
                <w:sz w:val="20"/>
                <w:szCs w:val="18"/>
                <w:lang w:eastAsia="pl-PL"/>
              </w:rPr>
              <w:t>46,4</w:t>
            </w:r>
          </w:p>
        </w:tc>
        <w:tc>
          <w:tcPr>
            <w:tcW w:w="1305" w:type="dxa"/>
            <w:hideMark/>
          </w:tcPr>
          <w:p w14:paraId="56833E5C" w14:textId="77777777" w:rsidR="000171D5" w:rsidRPr="008F6847"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18"/>
                <w:lang w:eastAsia="pl-PL"/>
              </w:rPr>
            </w:pPr>
            <w:r w:rsidRPr="008F6847">
              <w:rPr>
                <w:rFonts w:eastAsia="Times New Roman" w:cs="Times New Roman"/>
                <w:sz w:val="20"/>
                <w:szCs w:val="18"/>
                <w:lang w:eastAsia="pl-PL"/>
              </w:rPr>
              <w:t>21,7</w:t>
            </w:r>
          </w:p>
        </w:tc>
        <w:tc>
          <w:tcPr>
            <w:tcW w:w="1276" w:type="dxa"/>
            <w:hideMark/>
          </w:tcPr>
          <w:p w14:paraId="03FC2538" w14:textId="77777777" w:rsidR="000171D5" w:rsidRPr="008F6847"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18"/>
                <w:lang w:eastAsia="pl-PL"/>
              </w:rPr>
            </w:pPr>
            <w:r w:rsidRPr="008F6847">
              <w:rPr>
                <w:rFonts w:eastAsia="Times New Roman" w:cs="Times New Roman"/>
                <w:sz w:val="20"/>
                <w:szCs w:val="18"/>
                <w:lang w:eastAsia="pl-PL"/>
              </w:rPr>
              <w:t>48,4</w:t>
            </w:r>
          </w:p>
        </w:tc>
        <w:tc>
          <w:tcPr>
            <w:tcW w:w="1263" w:type="dxa"/>
            <w:hideMark/>
          </w:tcPr>
          <w:p w14:paraId="7B2C87FE" w14:textId="77777777" w:rsidR="000171D5" w:rsidRPr="008F6847"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18"/>
                <w:lang w:eastAsia="pl-PL"/>
              </w:rPr>
            </w:pPr>
            <w:r w:rsidRPr="008F6847">
              <w:rPr>
                <w:rFonts w:eastAsia="Times New Roman" w:cs="Times New Roman"/>
                <w:sz w:val="20"/>
                <w:szCs w:val="18"/>
                <w:lang w:eastAsia="pl-PL"/>
              </w:rPr>
              <w:t>22,8</w:t>
            </w:r>
          </w:p>
        </w:tc>
        <w:tc>
          <w:tcPr>
            <w:tcW w:w="1134" w:type="dxa"/>
            <w:hideMark/>
          </w:tcPr>
          <w:p w14:paraId="766A1361" w14:textId="77777777" w:rsidR="000171D5" w:rsidRPr="008F6847"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18"/>
                <w:lang w:eastAsia="pl-PL"/>
              </w:rPr>
            </w:pPr>
            <w:r w:rsidRPr="008F6847">
              <w:rPr>
                <w:rFonts w:eastAsia="Times New Roman" w:cs="Times New Roman"/>
                <w:sz w:val="20"/>
                <w:szCs w:val="18"/>
                <w:lang w:eastAsia="pl-PL"/>
              </w:rPr>
              <w:t>44,6</w:t>
            </w:r>
          </w:p>
        </w:tc>
        <w:tc>
          <w:tcPr>
            <w:tcW w:w="1118" w:type="dxa"/>
            <w:hideMark/>
          </w:tcPr>
          <w:p w14:paraId="5E767708" w14:textId="77777777" w:rsidR="000171D5" w:rsidRPr="008F6847"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18"/>
                <w:lang w:eastAsia="pl-PL"/>
              </w:rPr>
            </w:pPr>
            <w:r w:rsidRPr="008F6847">
              <w:rPr>
                <w:rFonts w:eastAsia="Times New Roman" w:cs="Times New Roman"/>
                <w:sz w:val="20"/>
                <w:szCs w:val="18"/>
                <w:lang w:eastAsia="pl-PL"/>
              </w:rPr>
              <w:t>20,6</w:t>
            </w:r>
          </w:p>
        </w:tc>
      </w:tr>
      <w:tr w:rsidR="000171D5" w:rsidRPr="0092226B" w14:paraId="31DEBFC4" w14:textId="77777777" w:rsidTr="00AD72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37" w:type="dxa"/>
            <w:hideMark/>
          </w:tcPr>
          <w:p w14:paraId="735C88D8" w14:textId="77777777" w:rsidR="000171D5" w:rsidRPr="008F6847" w:rsidRDefault="000171D5" w:rsidP="00AD7202">
            <w:pPr>
              <w:spacing w:line="240" w:lineRule="auto"/>
              <w:jc w:val="center"/>
              <w:rPr>
                <w:rFonts w:eastAsia="Times New Roman" w:cs="Times New Roman"/>
                <w:b w:val="0"/>
                <w:color w:val="auto"/>
                <w:sz w:val="20"/>
                <w:szCs w:val="18"/>
                <w:lang w:eastAsia="pl-PL"/>
              </w:rPr>
            </w:pPr>
            <w:r w:rsidRPr="008F6847">
              <w:rPr>
                <w:rFonts w:eastAsia="Times New Roman" w:cs="Times New Roman"/>
                <w:color w:val="auto"/>
                <w:sz w:val="20"/>
                <w:szCs w:val="18"/>
                <w:lang w:eastAsia="pl-PL"/>
              </w:rPr>
              <w:t>60 lat i więcej (60+)</w:t>
            </w:r>
          </w:p>
        </w:tc>
        <w:tc>
          <w:tcPr>
            <w:tcW w:w="1040" w:type="dxa"/>
            <w:hideMark/>
          </w:tcPr>
          <w:p w14:paraId="3FFAB18B" w14:textId="77777777" w:rsidR="000171D5" w:rsidRPr="008F6847"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18"/>
                <w:lang w:eastAsia="pl-PL"/>
              </w:rPr>
            </w:pPr>
            <w:r w:rsidRPr="008F6847">
              <w:rPr>
                <w:rFonts w:eastAsia="Times New Roman" w:cs="Times New Roman"/>
                <w:sz w:val="20"/>
                <w:szCs w:val="18"/>
                <w:lang w:eastAsia="pl-PL"/>
              </w:rPr>
              <w:t>25,1</w:t>
            </w:r>
          </w:p>
        </w:tc>
        <w:tc>
          <w:tcPr>
            <w:tcW w:w="1305" w:type="dxa"/>
            <w:hideMark/>
          </w:tcPr>
          <w:p w14:paraId="0F7A01A2" w14:textId="77777777" w:rsidR="000171D5" w:rsidRPr="008F6847"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18"/>
                <w:lang w:eastAsia="pl-PL"/>
              </w:rPr>
            </w:pPr>
            <w:r w:rsidRPr="008F6847">
              <w:rPr>
                <w:rFonts w:eastAsia="Times New Roman" w:cs="Times New Roman"/>
                <w:sz w:val="20"/>
                <w:szCs w:val="18"/>
                <w:lang w:eastAsia="pl-PL"/>
              </w:rPr>
              <w:t>10,6</w:t>
            </w:r>
          </w:p>
        </w:tc>
        <w:tc>
          <w:tcPr>
            <w:tcW w:w="1276" w:type="dxa"/>
            <w:hideMark/>
          </w:tcPr>
          <w:p w14:paraId="569D590D" w14:textId="77777777" w:rsidR="000171D5" w:rsidRPr="008F6847"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18"/>
                <w:lang w:eastAsia="pl-PL"/>
              </w:rPr>
            </w:pPr>
            <w:r w:rsidRPr="008F6847">
              <w:rPr>
                <w:rFonts w:eastAsia="Times New Roman" w:cs="Times New Roman"/>
                <w:sz w:val="20"/>
                <w:szCs w:val="18"/>
                <w:lang w:eastAsia="pl-PL"/>
              </w:rPr>
              <w:t>27,7</w:t>
            </w:r>
          </w:p>
        </w:tc>
        <w:tc>
          <w:tcPr>
            <w:tcW w:w="1263" w:type="dxa"/>
            <w:hideMark/>
          </w:tcPr>
          <w:p w14:paraId="6D6E2036" w14:textId="77777777" w:rsidR="000171D5" w:rsidRPr="008F6847"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18"/>
                <w:lang w:eastAsia="pl-PL"/>
              </w:rPr>
            </w:pPr>
            <w:r w:rsidRPr="008F6847">
              <w:rPr>
                <w:rFonts w:eastAsia="Times New Roman" w:cs="Times New Roman"/>
                <w:sz w:val="20"/>
                <w:szCs w:val="18"/>
                <w:lang w:eastAsia="pl-PL"/>
              </w:rPr>
              <w:t>10,1</w:t>
            </w:r>
          </w:p>
        </w:tc>
        <w:tc>
          <w:tcPr>
            <w:tcW w:w="1134" w:type="dxa"/>
            <w:hideMark/>
          </w:tcPr>
          <w:p w14:paraId="34D6A550" w14:textId="77777777" w:rsidR="000171D5" w:rsidRPr="008F6847"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18"/>
                <w:lang w:eastAsia="pl-PL"/>
              </w:rPr>
            </w:pPr>
            <w:r w:rsidRPr="008F6847">
              <w:rPr>
                <w:rFonts w:eastAsia="Times New Roman" w:cs="Times New Roman"/>
                <w:sz w:val="20"/>
                <w:szCs w:val="18"/>
                <w:lang w:eastAsia="pl-PL"/>
              </w:rPr>
              <w:t>23,2</w:t>
            </w:r>
          </w:p>
        </w:tc>
        <w:tc>
          <w:tcPr>
            <w:tcW w:w="1118" w:type="dxa"/>
            <w:hideMark/>
          </w:tcPr>
          <w:p w14:paraId="2990C4E8" w14:textId="77777777" w:rsidR="000171D5" w:rsidRPr="008F6847"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18"/>
                <w:lang w:eastAsia="pl-PL"/>
              </w:rPr>
            </w:pPr>
            <w:r w:rsidRPr="008F6847">
              <w:rPr>
                <w:rFonts w:eastAsia="Times New Roman" w:cs="Times New Roman"/>
                <w:sz w:val="20"/>
                <w:szCs w:val="18"/>
                <w:lang w:eastAsia="pl-PL"/>
              </w:rPr>
              <w:t>10,9</w:t>
            </w:r>
          </w:p>
        </w:tc>
      </w:tr>
    </w:tbl>
    <w:p w14:paraId="496F809E" w14:textId="77777777" w:rsidR="000171D5" w:rsidRPr="008F6847" w:rsidRDefault="000171D5" w:rsidP="000171D5">
      <w:pPr>
        <w:spacing w:after="120" w:line="259" w:lineRule="auto"/>
        <w:rPr>
          <w:rFonts w:cs="Times New Roman"/>
          <w:b/>
          <w:sz w:val="20"/>
          <w:szCs w:val="20"/>
          <w:highlight w:val="cyan"/>
        </w:rPr>
      </w:pPr>
      <w:r w:rsidRPr="008F6847">
        <w:rPr>
          <w:rFonts w:cs="Times New Roman"/>
          <w:b/>
          <w:sz w:val="20"/>
          <w:szCs w:val="20"/>
        </w:rPr>
        <w:t xml:space="preserve">Źródło: badanie 1.30.15 Uczestnictwo w sporcie i rekreacji ruchowej (dotyczy okresu </w:t>
      </w:r>
      <w:r w:rsidRPr="008F6847">
        <w:rPr>
          <w:rFonts w:cs="Times New Roman"/>
          <w:b/>
          <w:sz w:val="20"/>
          <w:szCs w:val="20"/>
        </w:rPr>
        <w:br/>
        <w:t>od 01/10/2015 do 30/09/2016)</w:t>
      </w:r>
    </w:p>
    <w:p w14:paraId="5F33CC87" w14:textId="39C57E5E" w:rsidR="000171D5" w:rsidRDefault="00340F91" w:rsidP="000171D5">
      <w:r w:rsidRPr="00340F91">
        <w:lastRenderedPageBreak/>
        <w:t>W 2020 r. wśród mieszkańców Polski w wieku 15 lat i więcej, odsetek osób w wieku 60 lat lub więcej, które uczestniczyły w podróżach (krajowych i/lub zagranicznych) z co najmniej 1 noclegiem w celu prywatnym (wypoczynek, rekreacja i wakacje, odwiedziny u krewnych lub znajomych, zdrowotny, religijny, pielgrzymka, edukacyjny, zakupy) – wyniósł 7,6%, co oznacza spadek o 5,8 p. proc w stosunku do roku poprzedniego. Mieszkańcy miast w wieku 60 lat lub więcej uczestniczący w podróżach (krajowych i/lub zagranicznych) z co najmniej jednym noclegiem w celu prywatnym stanowili w 2020 r. 5,8% ogółu ludności w wieku 15 lat lub więcej, a mieszkańcy wsi – 1,8%.</w:t>
      </w:r>
    </w:p>
    <w:p w14:paraId="729B61E1" w14:textId="77777777" w:rsidR="00687F06" w:rsidRDefault="00687F06" w:rsidP="000171D5"/>
    <w:p w14:paraId="613A359A" w14:textId="03195BD6" w:rsidR="000171D5" w:rsidRPr="004A5972" w:rsidRDefault="000171D5" w:rsidP="000171D5">
      <w:pPr>
        <w:pStyle w:val="Legenda"/>
        <w:keepNext/>
      </w:pPr>
      <w:r w:rsidRPr="008F6847">
        <w:rPr>
          <w:rFonts w:cs="Times New Roman"/>
          <w:b/>
          <w:i w:val="0"/>
          <w:color w:val="auto"/>
          <w:sz w:val="24"/>
        </w:rPr>
        <w:t xml:space="preserve">Tabela </w:t>
      </w:r>
      <w:r>
        <w:rPr>
          <w:rFonts w:cs="Times New Roman"/>
          <w:b/>
          <w:i w:val="0"/>
          <w:color w:val="auto"/>
          <w:sz w:val="24"/>
        </w:rPr>
        <w:t>36</w:t>
      </w:r>
      <w:r w:rsidR="00EE73AF">
        <w:rPr>
          <w:rFonts w:cs="Times New Roman"/>
          <w:b/>
          <w:i w:val="0"/>
          <w:color w:val="auto"/>
          <w:sz w:val="24"/>
        </w:rPr>
        <w:t>.</w:t>
      </w:r>
      <w:r w:rsidRPr="008F6847">
        <w:rPr>
          <w:rFonts w:cs="Times New Roman"/>
          <w:b/>
          <w:i w:val="0"/>
          <w:color w:val="auto"/>
          <w:sz w:val="24"/>
        </w:rPr>
        <w:t xml:space="preserve"> </w:t>
      </w:r>
      <w:r>
        <w:rPr>
          <w:rFonts w:cs="Times New Roman"/>
          <w:b/>
          <w:i w:val="0"/>
          <w:color w:val="auto"/>
          <w:sz w:val="24"/>
        </w:rPr>
        <w:t xml:space="preserve">Osoby starsze </w:t>
      </w:r>
      <w:r w:rsidRPr="00D16515">
        <w:rPr>
          <w:rFonts w:cs="Times New Roman"/>
          <w:b/>
          <w:i w:val="0"/>
          <w:color w:val="auto"/>
          <w:sz w:val="24"/>
        </w:rPr>
        <w:t>uczestnicząc</w:t>
      </w:r>
      <w:r>
        <w:rPr>
          <w:rFonts w:cs="Times New Roman"/>
          <w:b/>
          <w:i w:val="0"/>
          <w:color w:val="auto"/>
          <w:sz w:val="24"/>
        </w:rPr>
        <w:t>e</w:t>
      </w:r>
      <w:r w:rsidRPr="00D16515">
        <w:rPr>
          <w:rFonts w:cs="Times New Roman"/>
          <w:b/>
          <w:i w:val="0"/>
          <w:color w:val="auto"/>
          <w:sz w:val="24"/>
        </w:rPr>
        <w:t xml:space="preserve"> w podróżach w 20</w:t>
      </w:r>
      <w:r>
        <w:rPr>
          <w:rFonts w:cs="Times New Roman"/>
          <w:b/>
          <w:i w:val="0"/>
          <w:color w:val="auto"/>
          <w:sz w:val="24"/>
        </w:rPr>
        <w:t>20</w:t>
      </w:r>
      <w:r w:rsidRPr="00D16515">
        <w:rPr>
          <w:rFonts w:cs="Times New Roman"/>
          <w:b/>
          <w:i w:val="0"/>
          <w:color w:val="auto"/>
          <w:sz w:val="24"/>
        </w:rPr>
        <w:t xml:space="preserve"> r.</w:t>
      </w:r>
    </w:p>
    <w:tbl>
      <w:tblPr>
        <w:tblStyle w:val="Tabelasiatki5ciemnaakcent2"/>
        <w:tblW w:w="0" w:type="auto"/>
        <w:jc w:val="center"/>
        <w:tblLook w:val="04A0" w:firstRow="1" w:lastRow="0" w:firstColumn="1" w:lastColumn="0" w:noHBand="0" w:noVBand="1"/>
      </w:tblPr>
      <w:tblGrid>
        <w:gridCol w:w="1866"/>
        <w:gridCol w:w="1247"/>
        <w:gridCol w:w="1247"/>
        <w:gridCol w:w="1249"/>
        <w:gridCol w:w="1249"/>
        <w:gridCol w:w="1249"/>
      </w:tblGrid>
      <w:tr w:rsidR="000171D5" w:rsidRPr="004A5972" w14:paraId="648E7CC9" w14:textId="77777777" w:rsidTr="00AD72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6" w:type="dxa"/>
            <w:vMerge w:val="restart"/>
            <w:vAlign w:val="center"/>
          </w:tcPr>
          <w:p w14:paraId="112737A1" w14:textId="77777777" w:rsidR="000171D5" w:rsidRPr="004A5972" w:rsidRDefault="000171D5" w:rsidP="00AD7202">
            <w:pPr>
              <w:tabs>
                <w:tab w:val="left" w:pos="1440"/>
              </w:tabs>
              <w:spacing w:after="200"/>
              <w:jc w:val="center"/>
              <w:rPr>
                <w:rFonts w:cs="Times New Roman"/>
                <w:b w:val="0"/>
                <w:color w:val="auto"/>
                <w:sz w:val="20"/>
                <w:szCs w:val="20"/>
              </w:rPr>
            </w:pPr>
            <w:r w:rsidRPr="004A5972">
              <w:rPr>
                <w:rFonts w:cs="Times New Roman"/>
                <w:color w:val="auto"/>
                <w:sz w:val="20"/>
                <w:szCs w:val="20"/>
              </w:rPr>
              <w:t>Wyszczególnienie</w:t>
            </w:r>
          </w:p>
        </w:tc>
        <w:tc>
          <w:tcPr>
            <w:tcW w:w="6241" w:type="dxa"/>
            <w:gridSpan w:val="5"/>
            <w:vAlign w:val="center"/>
          </w:tcPr>
          <w:p w14:paraId="288DD76F" w14:textId="77777777" w:rsidR="000171D5" w:rsidRPr="004A5972" w:rsidRDefault="000171D5" w:rsidP="00AD7202">
            <w:pPr>
              <w:tabs>
                <w:tab w:val="left" w:pos="1440"/>
              </w:tabs>
              <w:spacing w:after="20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0"/>
                <w:szCs w:val="20"/>
              </w:rPr>
            </w:pPr>
            <w:r w:rsidRPr="004A5972">
              <w:rPr>
                <w:rFonts w:cs="Times New Roman"/>
                <w:b w:val="0"/>
                <w:color w:val="auto"/>
                <w:sz w:val="20"/>
                <w:szCs w:val="20"/>
              </w:rPr>
              <w:t>Osoby w wieku 60 lat i więcej</w:t>
            </w:r>
          </w:p>
        </w:tc>
      </w:tr>
      <w:tr w:rsidR="000171D5" w:rsidRPr="004A5972" w14:paraId="33BAC4EB" w14:textId="77777777" w:rsidTr="00F569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tcPr>
          <w:p w14:paraId="49562574" w14:textId="77777777" w:rsidR="000171D5" w:rsidRPr="004A5972" w:rsidRDefault="000171D5" w:rsidP="00AD7202">
            <w:pPr>
              <w:tabs>
                <w:tab w:val="left" w:pos="1440"/>
              </w:tabs>
              <w:spacing w:after="200"/>
              <w:jc w:val="center"/>
              <w:rPr>
                <w:rFonts w:cs="Times New Roman"/>
                <w:b w:val="0"/>
                <w:color w:val="auto"/>
                <w:sz w:val="20"/>
                <w:szCs w:val="20"/>
              </w:rPr>
            </w:pPr>
          </w:p>
        </w:tc>
        <w:tc>
          <w:tcPr>
            <w:tcW w:w="1247" w:type="dxa"/>
            <w:shd w:val="clear" w:color="auto" w:fill="ED7D31" w:themeFill="accent2"/>
            <w:vAlign w:val="center"/>
          </w:tcPr>
          <w:p w14:paraId="08E7A557"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b/>
                <w:sz w:val="20"/>
                <w:szCs w:val="20"/>
              </w:rPr>
              <w:t>razem</w:t>
            </w:r>
          </w:p>
        </w:tc>
        <w:tc>
          <w:tcPr>
            <w:tcW w:w="1247" w:type="dxa"/>
            <w:shd w:val="clear" w:color="auto" w:fill="ED7D31" w:themeFill="accent2"/>
            <w:vAlign w:val="center"/>
          </w:tcPr>
          <w:p w14:paraId="39BEB80C"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b/>
                <w:sz w:val="20"/>
                <w:szCs w:val="20"/>
              </w:rPr>
              <w:t>mężczyźni</w:t>
            </w:r>
          </w:p>
        </w:tc>
        <w:tc>
          <w:tcPr>
            <w:tcW w:w="1249" w:type="dxa"/>
            <w:shd w:val="clear" w:color="auto" w:fill="ED7D31" w:themeFill="accent2"/>
            <w:vAlign w:val="center"/>
          </w:tcPr>
          <w:p w14:paraId="64A77C19"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b/>
                <w:sz w:val="20"/>
                <w:szCs w:val="20"/>
              </w:rPr>
              <w:t>kobiety</w:t>
            </w:r>
          </w:p>
        </w:tc>
        <w:tc>
          <w:tcPr>
            <w:tcW w:w="1249" w:type="dxa"/>
            <w:shd w:val="clear" w:color="auto" w:fill="ED7D31" w:themeFill="accent2"/>
            <w:vAlign w:val="center"/>
          </w:tcPr>
          <w:p w14:paraId="0850BFD3"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b/>
                <w:sz w:val="20"/>
                <w:szCs w:val="20"/>
              </w:rPr>
              <w:t>miasto</w:t>
            </w:r>
          </w:p>
        </w:tc>
        <w:tc>
          <w:tcPr>
            <w:tcW w:w="1249" w:type="dxa"/>
            <w:shd w:val="clear" w:color="auto" w:fill="ED7D31" w:themeFill="accent2"/>
            <w:vAlign w:val="center"/>
          </w:tcPr>
          <w:p w14:paraId="1CDBB4FB"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b/>
                <w:sz w:val="20"/>
                <w:szCs w:val="20"/>
              </w:rPr>
              <w:t>wieś</w:t>
            </w:r>
          </w:p>
        </w:tc>
      </w:tr>
      <w:tr w:rsidR="000171D5" w:rsidRPr="004A5972" w14:paraId="54F1C6E6" w14:textId="77777777" w:rsidTr="00AD7202">
        <w:trPr>
          <w:jc w:val="center"/>
        </w:trPr>
        <w:tc>
          <w:tcPr>
            <w:cnfStyle w:val="001000000000" w:firstRow="0" w:lastRow="0" w:firstColumn="1" w:lastColumn="0" w:oddVBand="0" w:evenVBand="0" w:oddHBand="0" w:evenHBand="0" w:firstRowFirstColumn="0" w:firstRowLastColumn="0" w:lastRowFirstColumn="0" w:lastRowLastColumn="0"/>
            <w:tcW w:w="1866" w:type="dxa"/>
            <w:vMerge/>
            <w:vAlign w:val="center"/>
          </w:tcPr>
          <w:p w14:paraId="1F214D01" w14:textId="77777777" w:rsidR="000171D5" w:rsidRPr="004A5972" w:rsidRDefault="000171D5" w:rsidP="00AD7202">
            <w:pPr>
              <w:tabs>
                <w:tab w:val="left" w:pos="1440"/>
              </w:tabs>
              <w:spacing w:after="200"/>
              <w:jc w:val="center"/>
              <w:rPr>
                <w:rFonts w:cs="Times New Roman"/>
                <w:b w:val="0"/>
                <w:color w:val="auto"/>
                <w:sz w:val="20"/>
                <w:szCs w:val="20"/>
              </w:rPr>
            </w:pPr>
          </w:p>
        </w:tc>
        <w:tc>
          <w:tcPr>
            <w:tcW w:w="6241" w:type="dxa"/>
            <w:gridSpan w:val="5"/>
            <w:shd w:val="clear" w:color="auto" w:fill="ED7D31" w:themeFill="accent2"/>
            <w:vAlign w:val="center"/>
          </w:tcPr>
          <w:p w14:paraId="5B93ECD6" w14:textId="77777777" w:rsidR="000171D5" w:rsidRPr="004A5972" w:rsidRDefault="000171D5" w:rsidP="00AD7202">
            <w:pPr>
              <w:tabs>
                <w:tab w:val="left" w:pos="1440"/>
              </w:tabs>
              <w:spacing w:after="200"/>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4A5972">
              <w:rPr>
                <w:rFonts w:cs="Times New Roman"/>
                <w:b/>
                <w:sz w:val="20"/>
                <w:szCs w:val="20"/>
              </w:rPr>
              <w:t>w % ogółu ludności w wieku 15 lat i więcej</w:t>
            </w:r>
          </w:p>
        </w:tc>
      </w:tr>
      <w:tr w:rsidR="000171D5" w:rsidRPr="004A5972" w14:paraId="222AE1F8" w14:textId="77777777" w:rsidTr="00F56984">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14:paraId="5A685ABE" w14:textId="77777777" w:rsidR="000171D5" w:rsidRPr="004A5972" w:rsidRDefault="000171D5" w:rsidP="00AD7202">
            <w:pPr>
              <w:tabs>
                <w:tab w:val="left" w:pos="1440"/>
              </w:tabs>
              <w:spacing w:after="200"/>
              <w:jc w:val="center"/>
              <w:rPr>
                <w:rFonts w:cs="Times New Roman"/>
                <w:b w:val="0"/>
                <w:color w:val="auto"/>
                <w:sz w:val="20"/>
                <w:szCs w:val="20"/>
              </w:rPr>
            </w:pPr>
            <w:r w:rsidRPr="004A5972">
              <w:rPr>
                <w:color w:val="auto"/>
                <w:sz w:val="20"/>
                <w:szCs w:val="20"/>
              </w:rPr>
              <w:t>ROK a</w:t>
            </w:r>
          </w:p>
        </w:tc>
        <w:tc>
          <w:tcPr>
            <w:tcW w:w="1247" w:type="dxa"/>
            <w:vAlign w:val="center"/>
          </w:tcPr>
          <w:p w14:paraId="706E0828"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sz w:val="20"/>
                <w:szCs w:val="20"/>
              </w:rPr>
              <w:t>13,4</w:t>
            </w:r>
          </w:p>
        </w:tc>
        <w:tc>
          <w:tcPr>
            <w:tcW w:w="1247" w:type="dxa"/>
            <w:vAlign w:val="center"/>
          </w:tcPr>
          <w:p w14:paraId="483BDE44"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sz w:val="20"/>
                <w:szCs w:val="20"/>
              </w:rPr>
              <w:t>5,6</w:t>
            </w:r>
          </w:p>
        </w:tc>
        <w:tc>
          <w:tcPr>
            <w:tcW w:w="1249" w:type="dxa"/>
            <w:vAlign w:val="center"/>
          </w:tcPr>
          <w:p w14:paraId="3BCABABC"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sz w:val="20"/>
                <w:szCs w:val="20"/>
              </w:rPr>
              <w:t>7,8</w:t>
            </w:r>
          </w:p>
        </w:tc>
        <w:tc>
          <w:tcPr>
            <w:tcW w:w="1249" w:type="dxa"/>
            <w:vAlign w:val="center"/>
          </w:tcPr>
          <w:p w14:paraId="6B6A8494"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sz w:val="20"/>
                <w:szCs w:val="20"/>
              </w:rPr>
              <w:t>9,8</w:t>
            </w:r>
          </w:p>
        </w:tc>
        <w:tc>
          <w:tcPr>
            <w:tcW w:w="1249" w:type="dxa"/>
            <w:vAlign w:val="center"/>
          </w:tcPr>
          <w:p w14:paraId="706D0A23"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sz w:val="20"/>
                <w:szCs w:val="20"/>
              </w:rPr>
              <w:t>3,6</w:t>
            </w:r>
          </w:p>
        </w:tc>
      </w:tr>
      <w:tr w:rsidR="000171D5" w:rsidRPr="004A5972" w14:paraId="14BFD310" w14:textId="77777777" w:rsidTr="00F56984">
        <w:trPr>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14:paraId="622BA74E" w14:textId="77777777" w:rsidR="000171D5" w:rsidRPr="004A5972" w:rsidRDefault="000171D5" w:rsidP="00AD7202">
            <w:pPr>
              <w:tabs>
                <w:tab w:val="left" w:pos="1440"/>
              </w:tabs>
              <w:spacing w:after="200"/>
              <w:jc w:val="center"/>
              <w:rPr>
                <w:rFonts w:cs="Times New Roman"/>
                <w:b w:val="0"/>
                <w:color w:val="auto"/>
                <w:sz w:val="20"/>
                <w:szCs w:val="20"/>
              </w:rPr>
            </w:pPr>
            <w:r w:rsidRPr="004A5972">
              <w:rPr>
                <w:color w:val="auto"/>
                <w:sz w:val="20"/>
                <w:szCs w:val="20"/>
              </w:rPr>
              <w:t>I kwartał b</w:t>
            </w:r>
          </w:p>
        </w:tc>
        <w:tc>
          <w:tcPr>
            <w:tcW w:w="1247" w:type="dxa"/>
            <w:vAlign w:val="center"/>
          </w:tcPr>
          <w:p w14:paraId="3FBE4EBA" w14:textId="77777777" w:rsidR="000171D5" w:rsidRPr="004A5972" w:rsidRDefault="000171D5" w:rsidP="00AD7202">
            <w:pPr>
              <w:tabs>
                <w:tab w:val="left" w:pos="1440"/>
              </w:tabs>
              <w:spacing w:after="200"/>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4A5972">
              <w:rPr>
                <w:sz w:val="20"/>
                <w:szCs w:val="20"/>
              </w:rPr>
              <w:t>1,7</w:t>
            </w:r>
          </w:p>
        </w:tc>
        <w:tc>
          <w:tcPr>
            <w:tcW w:w="1247" w:type="dxa"/>
            <w:vAlign w:val="center"/>
          </w:tcPr>
          <w:p w14:paraId="02DF04EC" w14:textId="77777777" w:rsidR="000171D5" w:rsidRPr="004A5972" w:rsidRDefault="000171D5" w:rsidP="00AD7202">
            <w:pPr>
              <w:tabs>
                <w:tab w:val="left" w:pos="1440"/>
              </w:tabs>
              <w:spacing w:after="200"/>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4A5972">
              <w:rPr>
                <w:sz w:val="20"/>
                <w:szCs w:val="20"/>
              </w:rPr>
              <w:t>0,8</w:t>
            </w:r>
          </w:p>
        </w:tc>
        <w:tc>
          <w:tcPr>
            <w:tcW w:w="1249" w:type="dxa"/>
            <w:vAlign w:val="center"/>
          </w:tcPr>
          <w:p w14:paraId="40CC92EC" w14:textId="77777777" w:rsidR="000171D5" w:rsidRPr="004A5972" w:rsidRDefault="000171D5" w:rsidP="00AD7202">
            <w:pPr>
              <w:tabs>
                <w:tab w:val="left" w:pos="1440"/>
              </w:tabs>
              <w:spacing w:after="200"/>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4A5972">
              <w:rPr>
                <w:sz w:val="20"/>
                <w:szCs w:val="20"/>
              </w:rPr>
              <w:t>0,8</w:t>
            </w:r>
          </w:p>
        </w:tc>
        <w:tc>
          <w:tcPr>
            <w:tcW w:w="1249" w:type="dxa"/>
            <w:vAlign w:val="center"/>
          </w:tcPr>
          <w:p w14:paraId="032D42A1" w14:textId="77777777" w:rsidR="000171D5" w:rsidRPr="004A5972" w:rsidRDefault="000171D5" w:rsidP="00AD7202">
            <w:pPr>
              <w:tabs>
                <w:tab w:val="left" w:pos="1440"/>
              </w:tabs>
              <w:spacing w:after="200"/>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4A5972">
              <w:rPr>
                <w:sz w:val="20"/>
                <w:szCs w:val="20"/>
              </w:rPr>
              <w:t>1,3</w:t>
            </w:r>
          </w:p>
        </w:tc>
        <w:tc>
          <w:tcPr>
            <w:tcW w:w="1249" w:type="dxa"/>
            <w:vAlign w:val="center"/>
          </w:tcPr>
          <w:p w14:paraId="7A61CB43" w14:textId="77777777" w:rsidR="000171D5" w:rsidRPr="004A5972" w:rsidRDefault="000171D5" w:rsidP="00AD7202">
            <w:pPr>
              <w:tabs>
                <w:tab w:val="left" w:pos="1440"/>
              </w:tabs>
              <w:spacing w:after="200"/>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4A5972">
              <w:rPr>
                <w:sz w:val="20"/>
                <w:szCs w:val="20"/>
              </w:rPr>
              <w:t>0,3</w:t>
            </w:r>
          </w:p>
        </w:tc>
      </w:tr>
      <w:tr w:rsidR="000171D5" w:rsidRPr="004A5972" w14:paraId="171E737D" w14:textId="77777777" w:rsidTr="00F569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14:paraId="1E10D1D3" w14:textId="77777777" w:rsidR="000171D5" w:rsidRPr="004A5972" w:rsidRDefault="000171D5" w:rsidP="00AD7202">
            <w:pPr>
              <w:tabs>
                <w:tab w:val="left" w:pos="1440"/>
              </w:tabs>
              <w:spacing w:after="200"/>
              <w:jc w:val="center"/>
              <w:rPr>
                <w:rFonts w:cs="Times New Roman"/>
                <w:b w:val="0"/>
                <w:color w:val="auto"/>
                <w:sz w:val="20"/>
                <w:szCs w:val="20"/>
              </w:rPr>
            </w:pPr>
            <w:r w:rsidRPr="004A5972">
              <w:rPr>
                <w:color w:val="auto"/>
                <w:sz w:val="20"/>
                <w:szCs w:val="20"/>
              </w:rPr>
              <w:t>II kwartał b</w:t>
            </w:r>
          </w:p>
        </w:tc>
        <w:tc>
          <w:tcPr>
            <w:tcW w:w="1247" w:type="dxa"/>
            <w:vAlign w:val="center"/>
          </w:tcPr>
          <w:p w14:paraId="064E4A4C"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sz w:val="20"/>
                <w:szCs w:val="20"/>
              </w:rPr>
              <w:t>2,7</w:t>
            </w:r>
          </w:p>
        </w:tc>
        <w:tc>
          <w:tcPr>
            <w:tcW w:w="1247" w:type="dxa"/>
            <w:vAlign w:val="center"/>
          </w:tcPr>
          <w:p w14:paraId="0484F365"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sz w:val="20"/>
                <w:szCs w:val="20"/>
              </w:rPr>
              <w:t>1,1</w:t>
            </w:r>
          </w:p>
        </w:tc>
        <w:tc>
          <w:tcPr>
            <w:tcW w:w="1249" w:type="dxa"/>
            <w:vAlign w:val="center"/>
          </w:tcPr>
          <w:p w14:paraId="7B7A1C7D"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sz w:val="20"/>
                <w:szCs w:val="20"/>
              </w:rPr>
              <w:t>1,6</w:t>
            </w:r>
          </w:p>
        </w:tc>
        <w:tc>
          <w:tcPr>
            <w:tcW w:w="1249" w:type="dxa"/>
            <w:vAlign w:val="center"/>
          </w:tcPr>
          <w:p w14:paraId="16A3ED76"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sz w:val="20"/>
                <w:szCs w:val="20"/>
              </w:rPr>
              <w:t>2,1</w:t>
            </w:r>
          </w:p>
        </w:tc>
        <w:tc>
          <w:tcPr>
            <w:tcW w:w="1249" w:type="dxa"/>
            <w:vAlign w:val="center"/>
          </w:tcPr>
          <w:p w14:paraId="29D979B2"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sz w:val="20"/>
                <w:szCs w:val="20"/>
              </w:rPr>
              <w:t>0,6</w:t>
            </w:r>
          </w:p>
        </w:tc>
      </w:tr>
      <w:tr w:rsidR="000171D5" w:rsidRPr="004A5972" w14:paraId="317FD738" w14:textId="77777777" w:rsidTr="00F56984">
        <w:trPr>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14:paraId="06414360" w14:textId="77777777" w:rsidR="000171D5" w:rsidRPr="004A5972" w:rsidRDefault="000171D5" w:rsidP="00AD7202">
            <w:pPr>
              <w:tabs>
                <w:tab w:val="left" w:pos="1440"/>
              </w:tabs>
              <w:spacing w:after="200"/>
              <w:jc w:val="center"/>
              <w:rPr>
                <w:rFonts w:cs="Times New Roman"/>
                <w:b w:val="0"/>
                <w:color w:val="auto"/>
                <w:sz w:val="20"/>
                <w:szCs w:val="20"/>
              </w:rPr>
            </w:pPr>
            <w:r w:rsidRPr="004A5972">
              <w:rPr>
                <w:color w:val="auto"/>
                <w:sz w:val="20"/>
                <w:szCs w:val="20"/>
              </w:rPr>
              <w:t>III kwartał b</w:t>
            </w:r>
          </w:p>
        </w:tc>
        <w:tc>
          <w:tcPr>
            <w:tcW w:w="1247" w:type="dxa"/>
            <w:vAlign w:val="center"/>
          </w:tcPr>
          <w:p w14:paraId="10C27FDC" w14:textId="77777777" w:rsidR="000171D5" w:rsidRPr="004A5972" w:rsidRDefault="000171D5" w:rsidP="00AD7202">
            <w:pPr>
              <w:tabs>
                <w:tab w:val="left" w:pos="1440"/>
              </w:tabs>
              <w:spacing w:after="200"/>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4A5972">
              <w:rPr>
                <w:sz w:val="20"/>
                <w:szCs w:val="20"/>
              </w:rPr>
              <w:t>9,5</w:t>
            </w:r>
          </w:p>
        </w:tc>
        <w:tc>
          <w:tcPr>
            <w:tcW w:w="1247" w:type="dxa"/>
            <w:vAlign w:val="center"/>
          </w:tcPr>
          <w:p w14:paraId="10AFE76D" w14:textId="77777777" w:rsidR="000171D5" w:rsidRPr="004A5972" w:rsidRDefault="000171D5" w:rsidP="00AD7202">
            <w:pPr>
              <w:tabs>
                <w:tab w:val="left" w:pos="1440"/>
              </w:tabs>
              <w:spacing w:after="200"/>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4A5972">
              <w:rPr>
                <w:sz w:val="20"/>
                <w:szCs w:val="20"/>
              </w:rPr>
              <w:t>4,2</w:t>
            </w:r>
          </w:p>
        </w:tc>
        <w:tc>
          <w:tcPr>
            <w:tcW w:w="1249" w:type="dxa"/>
            <w:vAlign w:val="center"/>
          </w:tcPr>
          <w:p w14:paraId="474E0588" w14:textId="77777777" w:rsidR="000171D5" w:rsidRPr="004A5972" w:rsidRDefault="000171D5" w:rsidP="00AD7202">
            <w:pPr>
              <w:tabs>
                <w:tab w:val="left" w:pos="1440"/>
              </w:tabs>
              <w:spacing w:after="200"/>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4A5972">
              <w:rPr>
                <w:sz w:val="20"/>
                <w:szCs w:val="20"/>
              </w:rPr>
              <w:t>5,4</w:t>
            </w:r>
          </w:p>
        </w:tc>
        <w:tc>
          <w:tcPr>
            <w:tcW w:w="1249" w:type="dxa"/>
            <w:vAlign w:val="center"/>
          </w:tcPr>
          <w:p w14:paraId="17371072" w14:textId="77777777" w:rsidR="000171D5" w:rsidRPr="004A5972" w:rsidRDefault="000171D5" w:rsidP="00AD7202">
            <w:pPr>
              <w:tabs>
                <w:tab w:val="left" w:pos="1440"/>
              </w:tabs>
              <w:spacing w:after="200"/>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4A5972">
              <w:rPr>
                <w:sz w:val="20"/>
                <w:szCs w:val="20"/>
              </w:rPr>
              <w:t>7,7</w:t>
            </w:r>
          </w:p>
        </w:tc>
        <w:tc>
          <w:tcPr>
            <w:tcW w:w="1249" w:type="dxa"/>
            <w:vAlign w:val="center"/>
          </w:tcPr>
          <w:p w14:paraId="367E9751" w14:textId="77777777" w:rsidR="000171D5" w:rsidRPr="004A5972" w:rsidRDefault="000171D5" w:rsidP="00AD7202">
            <w:pPr>
              <w:tabs>
                <w:tab w:val="left" w:pos="1440"/>
              </w:tabs>
              <w:spacing w:after="200"/>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4A5972">
              <w:rPr>
                <w:sz w:val="20"/>
                <w:szCs w:val="20"/>
              </w:rPr>
              <w:t>1,8</w:t>
            </w:r>
          </w:p>
        </w:tc>
      </w:tr>
      <w:tr w:rsidR="000171D5" w:rsidRPr="004A5972" w14:paraId="3694DBF4" w14:textId="77777777" w:rsidTr="00F569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6" w:type="dxa"/>
            <w:vAlign w:val="center"/>
          </w:tcPr>
          <w:p w14:paraId="10703C30" w14:textId="77777777" w:rsidR="000171D5" w:rsidRPr="004A5972" w:rsidRDefault="000171D5" w:rsidP="00AD7202">
            <w:pPr>
              <w:tabs>
                <w:tab w:val="left" w:pos="1440"/>
              </w:tabs>
              <w:spacing w:after="200"/>
              <w:jc w:val="center"/>
              <w:rPr>
                <w:rFonts w:cs="Times New Roman"/>
                <w:b w:val="0"/>
                <w:color w:val="auto"/>
                <w:sz w:val="20"/>
                <w:szCs w:val="20"/>
              </w:rPr>
            </w:pPr>
            <w:r w:rsidRPr="004A5972">
              <w:rPr>
                <w:color w:val="auto"/>
                <w:sz w:val="20"/>
                <w:szCs w:val="20"/>
              </w:rPr>
              <w:t>IV kwartał b</w:t>
            </w:r>
          </w:p>
        </w:tc>
        <w:tc>
          <w:tcPr>
            <w:tcW w:w="1247" w:type="dxa"/>
            <w:vAlign w:val="center"/>
          </w:tcPr>
          <w:p w14:paraId="3CC1C3CC"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sz w:val="20"/>
                <w:szCs w:val="20"/>
              </w:rPr>
              <w:t>2,1</w:t>
            </w:r>
          </w:p>
        </w:tc>
        <w:tc>
          <w:tcPr>
            <w:tcW w:w="1247" w:type="dxa"/>
            <w:vAlign w:val="center"/>
          </w:tcPr>
          <w:p w14:paraId="70813216"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sz w:val="20"/>
                <w:szCs w:val="20"/>
              </w:rPr>
              <w:t>1,0</w:t>
            </w:r>
          </w:p>
        </w:tc>
        <w:tc>
          <w:tcPr>
            <w:tcW w:w="1249" w:type="dxa"/>
            <w:vAlign w:val="center"/>
          </w:tcPr>
          <w:p w14:paraId="276B730D"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sz w:val="20"/>
                <w:szCs w:val="20"/>
              </w:rPr>
              <w:t>1,1</w:t>
            </w:r>
          </w:p>
        </w:tc>
        <w:tc>
          <w:tcPr>
            <w:tcW w:w="1249" w:type="dxa"/>
            <w:vAlign w:val="center"/>
          </w:tcPr>
          <w:p w14:paraId="60297357"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sz w:val="20"/>
                <w:szCs w:val="20"/>
              </w:rPr>
              <w:t>1,5</w:t>
            </w:r>
          </w:p>
        </w:tc>
        <w:tc>
          <w:tcPr>
            <w:tcW w:w="1249" w:type="dxa"/>
            <w:vAlign w:val="center"/>
          </w:tcPr>
          <w:p w14:paraId="313AC498" w14:textId="77777777" w:rsidR="000171D5" w:rsidRPr="004A5972" w:rsidRDefault="000171D5" w:rsidP="00AD7202">
            <w:pPr>
              <w:tabs>
                <w:tab w:val="left" w:pos="1440"/>
              </w:tabs>
              <w:spacing w:after="20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A5972">
              <w:rPr>
                <w:sz w:val="20"/>
                <w:szCs w:val="20"/>
              </w:rPr>
              <w:t>0,6</w:t>
            </w:r>
          </w:p>
        </w:tc>
      </w:tr>
    </w:tbl>
    <w:p w14:paraId="4CDBDAF6" w14:textId="77777777" w:rsidR="00F56984" w:rsidRDefault="00F56984" w:rsidP="00F56984">
      <w:pPr>
        <w:tabs>
          <w:tab w:val="left" w:pos="1440"/>
        </w:tabs>
        <w:rPr>
          <w:rFonts w:cs="Times New Roman"/>
          <w:b/>
          <w:sz w:val="22"/>
        </w:rPr>
      </w:pPr>
      <w:r>
        <w:rPr>
          <w:rFonts w:cs="Times New Roman"/>
          <w:b/>
          <w:sz w:val="22"/>
        </w:rPr>
        <w:t xml:space="preserve">a </w:t>
      </w:r>
      <w:r w:rsidR="000171D5" w:rsidRPr="00D16515">
        <w:rPr>
          <w:rFonts w:cs="Times New Roman"/>
          <w:b/>
          <w:sz w:val="22"/>
        </w:rPr>
        <w:t>-</w:t>
      </w:r>
      <w:r>
        <w:rPr>
          <w:rFonts w:cs="Times New Roman"/>
          <w:b/>
          <w:sz w:val="22"/>
        </w:rPr>
        <w:t xml:space="preserve"> </w:t>
      </w:r>
      <w:r w:rsidR="000171D5" w:rsidRPr="00D16515">
        <w:rPr>
          <w:rFonts w:cs="Times New Roman"/>
          <w:b/>
          <w:sz w:val="22"/>
        </w:rPr>
        <w:t>dotyczy wszystkich podróży  łącznie (krajowych i zagranicznych z co najmniej z 1 noclegiem, w celu prywatnym - wypoczynek, rekreacja i wakacje, odwiedziny u krewnych lub znajomych, zdrowotny, religijny, pielgrzymka, edukacyjny, zakupy, inny ), dana osoba jest liczona jeden raz nawet jeśli uczestniczyła w więcej niż jednej podróży.</w:t>
      </w:r>
    </w:p>
    <w:p w14:paraId="747AF697" w14:textId="4EA5E1FF" w:rsidR="000171D5" w:rsidRPr="00D16515" w:rsidRDefault="000171D5" w:rsidP="00F56984">
      <w:pPr>
        <w:tabs>
          <w:tab w:val="left" w:pos="1440"/>
        </w:tabs>
        <w:rPr>
          <w:rFonts w:cs="Times New Roman"/>
          <w:b/>
          <w:sz w:val="22"/>
        </w:rPr>
      </w:pPr>
      <w:r w:rsidRPr="00D16515">
        <w:rPr>
          <w:rFonts w:cs="Times New Roman"/>
          <w:b/>
          <w:sz w:val="22"/>
        </w:rPr>
        <w:t xml:space="preserve">b </w:t>
      </w:r>
      <w:r w:rsidR="00F56984">
        <w:rPr>
          <w:rFonts w:cs="Times New Roman"/>
          <w:b/>
          <w:sz w:val="22"/>
        </w:rPr>
        <w:t xml:space="preserve">- </w:t>
      </w:r>
      <w:r w:rsidRPr="00D16515">
        <w:rPr>
          <w:rFonts w:cs="Times New Roman"/>
          <w:b/>
          <w:sz w:val="22"/>
        </w:rPr>
        <w:t>dotyczy wszystkich podróży łącznie (krajowych z noclegiem i zagranicznych z noclegiem i bez noclegu, w celu prywatnym - wypoczynek, rekreacja i wakacje), dana osoba jest liczona jeden raz nawet jeśli uczestniczyła w więcej niż jednej podróży.</w:t>
      </w:r>
    </w:p>
    <w:p w14:paraId="473934D5" w14:textId="04C36320" w:rsidR="00F56984" w:rsidRDefault="000171D5" w:rsidP="00F56984">
      <w:pPr>
        <w:tabs>
          <w:tab w:val="left" w:pos="1440"/>
        </w:tabs>
        <w:rPr>
          <w:rFonts w:cs="Times New Roman"/>
          <w:b/>
          <w:sz w:val="22"/>
        </w:rPr>
      </w:pPr>
      <w:r w:rsidRPr="00D16515">
        <w:rPr>
          <w:rFonts w:cs="Times New Roman"/>
          <w:b/>
          <w:sz w:val="22"/>
        </w:rPr>
        <w:t>Źródło:  Badanie "Uczestnictwo mieszkańców Polski (rezydentów) w podróżach", GUS</w:t>
      </w:r>
    </w:p>
    <w:p w14:paraId="56BE787F" w14:textId="77777777" w:rsidR="00F56984" w:rsidRPr="009C707F" w:rsidRDefault="00F56984" w:rsidP="00F56984">
      <w:pPr>
        <w:tabs>
          <w:tab w:val="left" w:pos="1440"/>
        </w:tabs>
        <w:rPr>
          <w:rFonts w:cs="Times New Roman"/>
          <w:b/>
          <w:sz w:val="22"/>
        </w:rPr>
      </w:pPr>
    </w:p>
    <w:p w14:paraId="558E4348" w14:textId="2E71D020" w:rsidR="000171D5" w:rsidRDefault="000171D5" w:rsidP="000171D5">
      <w:pPr>
        <w:pStyle w:val="Nagwek3"/>
      </w:pPr>
      <w:bookmarkStart w:id="53" w:name="_Toc77513895"/>
      <w:bookmarkStart w:id="54" w:name="_Toc80523055"/>
      <w:r>
        <w:t>Uczestnictwo w kulturze</w:t>
      </w:r>
      <w:bookmarkEnd w:id="53"/>
      <w:bookmarkEnd w:id="54"/>
    </w:p>
    <w:p w14:paraId="5F4A1B03" w14:textId="77777777" w:rsidR="00F56984" w:rsidRDefault="00F56984" w:rsidP="00F56984"/>
    <w:p w14:paraId="453FA759" w14:textId="7DB78757" w:rsidR="00F56984" w:rsidRPr="004A5972" w:rsidRDefault="00F56984" w:rsidP="00F56984">
      <w:pPr>
        <w:pStyle w:val="Legenda"/>
        <w:keepNext/>
        <w:rPr>
          <w:rFonts w:cs="Times New Roman"/>
          <w:b/>
          <w:i w:val="0"/>
          <w:color w:val="auto"/>
          <w:sz w:val="24"/>
        </w:rPr>
      </w:pPr>
      <w:r w:rsidRPr="004A5972">
        <w:rPr>
          <w:rFonts w:cs="Times New Roman"/>
          <w:b/>
          <w:i w:val="0"/>
          <w:color w:val="auto"/>
          <w:sz w:val="24"/>
        </w:rPr>
        <w:t>Tabela 3</w:t>
      </w:r>
      <w:r>
        <w:rPr>
          <w:rFonts w:cs="Times New Roman"/>
          <w:b/>
          <w:i w:val="0"/>
          <w:color w:val="auto"/>
          <w:sz w:val="24"/>
        </w:rPr>
        <w:t>7</w:t>
      </w:r>
      <w:r w:rsidR="00EE73AF">
        <w:rPr>
          <w:rFonts w:cs="Times New Roman"/>
          <w:b/>
          <w:i w:val="0"/>
          <w:color w:val="auto"/>
          <w:sz w:val="24"/>
        </w:rPr>
        <w:t>.</w:t>
      </w:r>
      <w:r w:rsidRPr="004A5972">
        <w:rPr>
          <w:rFonts w:cs="Times New Roman"/>
          <w:b/>
          <w:i w:val="0"/>
          <w:color w:val="auto"/>
          <w:sz w:val="24"/>
        </w:rPr>
        <w:t xml:space="preserve"> Udział osób starszych w formach aktywności kulturalnej w 2020 r.</w:t>
      </w:r>
    </w:p>
    <w:tbl>
      <w:tblPr>
        <w:tblStyle w:val="Tabelasiatki5ciemnaakcent2"/>
        <w:tblW w:w="9502" w:type="dxa"/>
        <w:tblLook w:val="04A0" w:firstRow="1" w:lastRow="0" w:firstColumn="1" w:lastColumn="0" w:noHBand="0" w:noVBand="1"/>
      </w:tblPr>
      <w:tblGrid>
        <w:gridCol w:w="1871"/>
        <w:gridCol w:w="1115"/>
        <w:gridCol w:w="1276"/>
        <w:gridCol w:w="1134"/>
        <w:gridCol w:w="1413"/>
        <w:gridCol w:w="1417"/>
        <w:gridCol w:w="1276"/>
      </w:tblGrid>
      <w:tr w:rsidR="00F56984" w:rsidRPr="004A5972" w14:paraId="376123F6" w14:textId="77777777" w:rsidTr="00AD7202">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871" w:type="dxa"/>
            <w:vMerge w:val="restart"/>
            <w:noWrap/>
            <w:hideMark/>
          </w:tcPr>
          <w:p w14:paraId="3603DC98" w14:textId="77777777" w:rsidR="00F56984" w:rsidRPr="004A5972" w:rsidRDefault="00F56984" w:rsidP="00AD7202">
            <w:pPr>
              <w:spacing w:line="240" w:lineRule="auto"/>
              <w:jc w:val="center"/>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Wyszczególnienie</w:t>
            </w:r>
          </w:p>
        </w:tc>
        <w:tc>
          <w:tcPr>
            <w:tcW w:w="1115" w:type="dxa"/>
            <w:vMerge w:val="restart"/>
            <w:hideMark/>
          </w:tcPr>
          <w:p w14:paraId="4D329633" w14:textId="77777777" w:rsidR="00F56984" w:rsidRPr="004A5972" w:rsidRDefault="00F56984"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Ogółem</w:t>
            </w:r>
          </w:p>
        </w:tc>
        <w:tc>
          <w:tcPr>
            <w:tcW w:w="1276" w:type="dxa"/>
            <w:vMerge w:val="restart"/>
            <w:hideMark/>
          </w:tcPr>
          <w:p w14:paraId="28B8FA58" w14:textId="77777777" w:rsidR="00F56984" w:rsidRPr="004A5972" w:rsidRDefault="00F56984"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Miasta</w:t>
            </w:r>
          </w:p>
        </w:tc>
        <w:tc>
          <w:tcPr>
            <w:tcW w:w="1134" w:type="dxa"/>
            <w:vMerge w:val="restart"/>
            <w:hideMark/>
          </w:tcPr>
          <w:p w14:paraId="5B68D750" w14:textId="77777777" w:rsidR="00F56984" w:rsidRPr="004A5972" w:rsidRDefault="00F56984"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Wieś</w:t>
            </w:r>
          </w:p>
        </w:tc>
        <w:tc>
          <w:tcPr>
            <w:tcW w:w="4106" w:type="dxa"/>
            <w:gridSpan w:val="3"/>
            <w:hideMark/>
          </w:tcPr>
          <w:p w14:paraId="6018EDA1" w14:textId="77777777" w:rsidR="00F56984" w:rsidRPr="004A5972" w:rsidRDefault="00F56984"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Z  ogółem osoby w wieku 60 lat i więcej</w:t>
            </w:r>
          </w:p>
        </w:tc>
      </w:tr>
      <w:tr w:rsidR="00F56984" w:rsidRPr="004A5972" w14:paraId="32766393" w14:textId="77777777" w:rsidTr="00AD7202">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871" w:type="dxa"/>
            <w:vMerge/>
            <w:hideMark/>
          </w:tcPr>
          <w:p w14:paraId="24AD727B" w14:textId="77777777" w:rsidR="00F56984" w:rsidRPr="004A5972" w:rsidRDefault="00F56984" w:rsidP="00AD7202">
            <w:pPr>
              <w:spacing w:line="240" w:lineRule="auto"/>
              <w:jc w:val="center"/>
              <w:rPr>
                <w:rFonts w:eastAsia="Times New Roman" w:cs="Times New Roman"/>
                <w:b w:val="0"/>
                <w:color w:val="auto"/>
                <w:sz w:val="20"/>
                <w:szCs w:val="20"/>
                <w:lang w:eastAsia="pl-PL"/>
              </w:rPr>
            </w:pPr>
          </w:p>
        </w:tc>
        <w:tc>
          <w:tcPr>
            <w:tcW w:w="1115" w:type="dxa"/>
            <w:vMerge/>
            <w:hideMark/>
          </w:tcPr>
          <w:p w14:paraId="2D0D918E"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276" w:type="dxa"/>
            <w:vMerge/>
            <w:hideMark/>
          </w:tcPr>
          <w:p w14:paraId="7C95C940"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134" w:type="dxa"/>
            <w:vMerge/>
            <w:hideMark/>
          </w:tcPr>
          <w:p w14:paraId="1956A632"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413" w:type="dxa"/>
            <w:shd w:val="clear" w:color="auto" w:fill="ED7D31" w:themeFill="accent2"/>
            <w:hideMark/>
          </w:tcPr>
          <w:p w14:paraId="2C328F14"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4A5972">
              <w:rPr>
                <w:rFonts w:eastAsia="Times New Roman" w:cs="Times New Roman"/>
                <w:b/>
                <w:sz w:val="20"/>
                <w:szCs w:val="20"/>
                <w:lang w:eastAsia="pl-PL"/>
              </w:rPr>
              <w:t>razem</w:t>
            </w:r>
          </w:p>
        </w:tc>
        <w:tc>
          <w:tcPr>
            <w:tcW w:w="1417" w:type="dxa"/>
            <w:shd w:val="clear" w:color="auto" w:fill="ED7D31" w:themeFill="accent2"/>
            <w:hideMark/>
          </w:tcPr>
          <w:p w14:paraId="2AA7AD9C"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4A5972">
              <w:rPr>
                <w:rFonts w:eastAsia="Times New Roman" w:cs="Times New Roman"/>
                <w:b/>
                <w:sz w:val="20"/>
                <w:szCs w:val="20"/>
                <w:lang w:eastAsia="pl-PL"/>
              </w:rPr>
              <w:t>miasta</w:t>
            </w:r>
          </w:p>
        </w:tc>
        <w:tc>
          <w:tcPr>
            <w:tcW w:w="1276" w:type="dxa"/>
            <w:shd w:val="clear" w:color="auto" w:fill="ED7D31" w:themeFill="accent2"/>
            <w:hideMark/>
          </w:tcPr>
          <w:p w14:paraId="7DBC0E1D"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4A5972">
              <w:rPr>
                <w:rFonts w:eastAsia="Times New Roman" w:cs="Times New Roman"/>
                <w:b/>
                <w:sz w:val="20"/>
                <w:szCs w:val="20"/>
                <w:lang w:eastAsia="pl-PL"/>
              </w:rPr>
              <w:t>wieś</w:t>
            </w:r>
          </w:p>
        </w:tc>
      </w:tr>
      <w:tr w:rsidR="00F56984" w:rsidRPr="004A5972" w14:paraId="05A0264E" w14:textId="77777777" w:rsidTr="00AD7202">
        <w:trPr>
          <w:trHeight w:val="398"/>
        </w:trPr>
        <w:tc>
          <w:tcPr>
            <w:cnfStyle w:val="001000000000" w:firstRow="0" w:lastRow="0" w:firstColumn="1" w:lastColumn="0" w:oddVBand="0" w:evenVBand="0" w:oddHBand="0" w:evenHBand="0" w:firstRowFirstColumn="0" w:firstRowLastColumn="0" w:lastRowFirstColumn="0" w:lastRowLastColumn="0"/>
            <w:tcW w:w="9502" w:type="dxa"/>
            <w:gridSpan w:val="7"/>
            <w:noWrap/>
            <w:hideMark/>
          </w:tcPr>
          <w:p w14:paraId="02D6CDC1" w14:textId="77777777" w:rsidR="00F56984" w:rsidRPr="004A5972" w:rsidRDefault="00F56984" w:rsidP="00AD7202">
            <w:pPr>
              <w:spacing w:line="240" w:lineRule="auto"/>
              <w:jc w:val="center"/>
              <w:rPr>
                <w:rFonts w:eastAsia="Times New Roman" w:cs="Times New Roman"/>
                <w:b w:val="0"/>
                <w:bCs w:val="0"/>
                <w:color w:val="auto"/>
                <w:sz w:val="20"/>
                <w:szCs w:val="20"/>
                <w:lang w:eastAsia="pl-PL"/>
              </w:rPr>
            </w:pPr>
            <w:r w:rsidRPr="004A5972">
              <w:rPr>
                <w:rFonts w:eastAsia="Times New Roman" w:cs="Times New Roman"/>
                <w:color w:val="auto"/>
                <w:sz w:val="20"/>
                <w:szCs w:val="20"/>
                <w:lang w:eastAsia="pl-PL"/>
              </w:rPr>
              <w:t>Członkowie grup artystycznych w domach, ośrodkach i centrach kultury, klubach i świetlicach</w:t>
            </w:r>
          </w:p>
        </w:tc>
      </w:tr>
      <w:tr w:rsidR="00F56984" w:rsidRPr="004A5972" w14:paraId="6420A99B"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6BEA32DC" w14:textId="77777777" w:rsidR="00F56984" w:rsidRPr="004A5972" w:rsidRDefault="00F56984" w:rsidP="00AD7202">
            <w:pPr>
              <w:spacing w:line="240" w:lineRule="auto"/>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Ogółem</w:t>
            </w:r>
          </w:p>
        </w:tc>
        <w:tc>
          <w:tcPr>
            <w:tcW w:w="1115" w:type="dxa"/>
            <w:noWrap/>
            <w:hideMark/>
          </w:tcPr>
          <w:p w14:paraId="12AE1F6C"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230 564</w:t>
            </w:r>
          </w:p>
        </w:tc>
        <w:tc>
          <w:tcPr>
            <w:tcW w:w="1276" w:type="dxa"/>
            <w:hideMark/>
          </w:tcPr>
          <w:p w14:paraId="3CF82004"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138 953</w:t>
            </w:r>
          </w:p>
        </w:tc>
        <w:tc>
          <w:tcPr>
            <w:tcW w:w="1134" w:type="dxa"/>
            <w:hideMark/>
          </w:tcPr>
          <w:p w14:paraId="15F1129F"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91 611</w:t>
            </w:r>
          </w:p>
        </w:tc>
        <w:tc>
          <w:tcPr>
            <w:tcW w:w="1413" w:type="dxa"/>
            <w:hideMark/>
          </w:tcPr>
          <w:p w14:paraId="5C641715"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48 011</w:t>
            </w:r>
          </w:p>
        </w:tc>
        <w:tc>
          <w:tcPr>
            <w:tcW w:w="1417" w:type="dxa"/>
            <w:hideMark/>
          </w:tcPr>
          <w:p w14:paraId="06D658C0"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27 263</w:t>
            </w:r>
          </w:p>
        </w:tc>
        <w:tc>
          <w:tcPr>
            <w:tcW w:w="1276" w:type="dxa"/>
            <w:hideMark/>
          </w:tcPr>
          <w:p w14:paraId="6817623D"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20 748</w:t>
            </w:r>
          </w:p>
        </w:tc>
      </w:tr>
      <w:tr w:rsidR="00F56984" w:rsidRPr="004A5972" w14:paraId="2647192E"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9502" w:type="dxa"/>
            <w:gridSpan w:val="7"/>
            <w:hideMark/>
          </w:tcPr>
          <w:p w14:paraId="54178B48" w14:textId="77777777" w:rsidR="00F56984" w:rsidRPr="004A5972" w:rsidRDefault="00F56984" w:rsidP="00AD7202">
            <w:pPr>
              <w:spacing w:line="240" w:lineRule="auto"/>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w tym:</w:t>
            </w:r>
          </w:p>
        </w:tc>
      </w:tr>
      <w:tr w:rsidR="00F56984" w:rsidRPr="004A5972" w14:paraId="1A6C5748"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109DD341"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teatralnych</w:t>
            </w:r>
          </w:p>
        </w:tc>
        <w:tc>
          <w:tcPr>
            <w:tcW w:w="1115" w:type="dxa"/>
            <w:noWrap/>
            <w:hideMark/>
          </w:tcPr>
          <w:p w14:paraId="11BE1A6A"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23 108</w:t>
            </w:r>
          </w:p>
        </w:tc>
        <w:tc>
          <w:tcPr>
            <w:tcW w:w="1276" w:type="dxa"/>
            <w:hideMark/>
          </w:tcPr>
          <w:p w14:paraId="45081805"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14 947</w:t>
            </w:r>
          </w:p>
        </w:tc>
        <w:tc>
          <w:tcPr>
            <w:tcW w:w="1134" w:type="dxa"/>
            <w:hideMark/>
          </w:tcPr>
          <w:p w14:paraId="628E448B"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8 161</w:t>
            </w:r>
          </w:p>
        </w:tc>
        <w:tc>
          <w:tcPr>
            <w:tcW w:w="1413" w:type="dxa"/>
            <w:hideMark/>
          </w:tcPr>
          <w:p w14:paraId="06E86257"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3 729</w:t>
            </w:r>
          </w:p>
        </w:tc>
        <w:tc>
          <w:tcPr>
            <w:tcW w:w="1417" w:type="dxa"/>
            <w:hideMark/>
          </w:tcPr>
          <w:p w14:paraId="1C114EEB"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2 494</w:t>
            </w:r>
          </w:p>
        </w:tc>
        <w:tc>
          <w:tcPr>
            <w:tcW w:w="1276" w:type="dxa"/>
            <w:hideMark/>
          </w:tcPr>
          <w:p w14:paraId="5F0D4065"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1 235</w:t>
            </w:r>
          </w:p>
        </w:tc>
      </w:tr>
      <w:tr w:rsidR="00F56984" w:rsidRPr="004A5972" w14:paraId="5C09CB85"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495D30E9"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muzycznych - instrumentalnych</w:t>
            </w:r>
          </w:p>
        </w:tc>
        <w:tc>
          <w:tcPr>
            <w:tcW w:w="1115" w:type="dxa"/>
            <w:noWrap/>
            <w:hideMark/>
          </w:tcPr>
          <w:p w14:paraId="172A26A0"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36 817</w:t>
            </w:r>
          </w:p>
        </w:tc>
        <w:tc>
          <w:tcPr>
            <w:tcW w:w="1276" w:type="dxa"/>
            <w:hideMark/>
          </w:tcPr>
          <w:p w14:paraId="471882A5"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19 764</w:t>
            </w:r>
          </w:p>
        </w:tc>
        <w:tc>
          <w:tcPr>
            <w:tcW w:w="1134" w:type="dxa"/>
            <w:hideMark/>
          </w:tcPr>
          <w:p w14:paraId="1258C877"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17 053</w:t>
            </w:r>
          </w:p>
        </w:tc>
        <w:tc>
          <w:tcPr>
            <w:tcW w:w="1413" w:type="dxa"/>
            <w:hideMark/>
          </w:tcPr>
          <w:p w14:paraId="730F2C82"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4 234</w:t>
            </w:r>
          </w:p>
        </w:tc>
        <w:tc>
          <w:tcPr>
            <w:tcW w:w="1417" w:type="dxa"/>
            <w:hideMark/>
          </w:tcPr>
          <w:p w14:paraId="282B68AB"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2 311</w:t>
            </w:r>
          </w:p>
        </w:tc>
        <w:tc>
          <w:tcPr>
            <w:tcW w:w="1276" w:type="dxa"/>
            <w:hideMark/>
          </w:tcPr>
          <w:p w14:paraId="245B4243"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1 923</w:t>
            </w:r>
          </w:p>
        </w:tc>
      </w:tr>
      <w:tr w:rsidR="00F56984" w:rsidRPr="004A5972" w14:paraId="2F9F3596"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7ED19C95"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lastRenderedPageBreak/>
              <w:t>wokalnych i chórów</w:t>
            </w:r>
          </w:p>
        </w:tc>
        <w:tc>
          <w:tcPr>
            <w:tcW w:w="1115" w:type="dxa"/>
            <w:noWrap/>
            <w:hideMark/>
          </w:tcPr>
          <w:p w14:paraId="4A70F637"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45 873</w:t>
            </w:r>
          </w:p>
        </w:tc>
        <w:tc>
          <w:tcPr>
            <w:tcW w:w="1276" w:type="dxa"/>
            <w:hideMark/>
          </w:tcPr>
          <w:p w14:paraId="6AA28002"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29 592</w:t>
            </w:r>
          </w:p>
        </w:tc>
        <w:tc>
          <w:tcPr>
            <w:tcW w:w="1134" w:type="dxa"/>
            <w:hideMark/>
          </w:tcPr>
          <w:p w14:paraId="7715B95F"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16 281</w:t>
            </w:r>
          </w:p>
        </w:tc>
        <w:tc>
          <w:tcPr>
            <w:tcW w:w="1413" w:type="dxa"/>
            <w:hideMark/>
          </w:tcPr>
          <w:p w14:paraId="177559E4"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18 547</w:t>
            </w:r>
          </w:p>
        </w:tc>
        <w:tc>
          <w:tcPr>
            <w:tcW w:w="1417" w:type="dxa"/>
            <w:hideMark/>
          </w:tcPr>
          <w:p w14:paraId="0C06345B"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11 970</w:t>
            </w:r>
          </w:p>
        </w:tc>
        <w:tc>
          <w:tcPr>
            <w:tcW w:w="1276" w:type="dxa"/>
            <w:hideMark/>
          </w:tcPr>
          <w:p w14:paraId="65134732"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6 577</w:t>
            </w:r>
          </w:p>
        </w:tc>
      </w:tr>
      <w:tr w:rsidR="00F56984" w:rsidRPr="004A5972" w14:paraId="678D2015"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09D78EF7"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folklorystycznych</w:t>
            </w:r>
          </w:p>
        </w:tc>
        <w:tc>
          <w:tcPr>
            <w:tcW w:w="1115" w:type="dxa"/>
            <w:noWrap/>
            <w:hideMark/>
          </w:tcPr>
          <w:p w14:paraId="2D945A8B"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48 311</w:t>
            </w:r>
          </w:p>
        </w:tc>
        <w:tc>
          <w:tcPr>
            <w:tcW w:w="1276" w:type="dxa"/>
            <w:hideMark/>
          </w:tcPr>
          <w:p w14:paraId="2F6264E8"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21 253</w:t>
            </w:r>
          </w:p>
        </w:tc>
        <w:tc>
          <w:tcPr>
            <w:tcW w:w="1134" w:type="dxa"/>
            <w:hideMark/>
          </w:tcPr>
          <w:p w14:paraId="6CC5ED06"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27 058</w:t>
            </w:r>
          </w:p>
        </w:tc>
        <w:tc>
          <w:tcPr>
            <w:tcW w:w="1413" w:type="dxa"/>
            <w:hideMark/>
          </w:tcPr>
          <w:p w14:paraId="0022E9BB"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16 831</w:t>
            </w:r>
          </w:p>
        </w:tc>
        <w:tc>
          <w:tcPr>
            <w:tcW w:w="1417" w:type="dxa"/>
            <w:hideMark/>
          </w:tcPr>
          <w:p w14:paraId="566D69CC"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6 717</w:t>
            </w:r>
          </w:p>
        </w:tc>
        <w:tc>
          <w:tcPr>
            <w:tcW w:w="1276" w:type="dxa"/>
            <w:hideMark/>
          </w:tcPr>
          <w:p w14:paraId="3E80A029"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10 114</w:t>
            </w:r>
          </w:p>
        </w:tc>
      </w:tr>
      <w:tr w:rsidR="00F56984" w:rsidRPr="004A5972" w14:paraId="4CEA3139"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2C14A1A4"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tanecznych</w:t>
            </w:r>
          </w:p>
        </w:tc>
        <w:tc>
          <w:tcPr>
            <w:tcW w:w="1115" w:type="dxa"/>
            <w:noWrap/>
            <w:hideMark/>
          </w:tcPr>
          <w:p w14:paraId="2E89EC84"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66 977</w:t>
            </w:r>
          </w:p>
        </w:tc>
        <w:tc>
          <w:tcPr>
            <w:tcW w:w="1276" w:type="dxa"/>
            <w:hideMark/>
          </w:tcPr>
          <w:p w14:paraId="7C4358EB"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46 939</w:t>
            </w:r>
          </w:p>
        </w:tc>
        <w:tc>
          <w:tcPr>
            <w:tcW w:w="1134" w:type="dxa"/>
            <w:hideMark/>
          </w:tcPr>
          <w:p w14:paraId="3EB72ED3"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20 038</w:t>
            </w:r>
          </w:p>
        </w:tc>
        <w:tc>
          <w:tcPr>
            <w:tcW w:w="1413" w:type="dxa"/>
            <w:hideMark/>
          </w:tcPr>
          <w:p w14:paraId="148C2D72"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2 668</w:t>
            </w:r>
          </w:p>
        </w:tc>
        <w:tc>
          <w:tcPr>
            <w:tcW w:w="1417" w:type="dxa"/>
            <w:hideMark/>
          </w:tcPr>
          <w:p w14:paraId="60B82B41"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2 277</w:t>
            </w:r>
          </w:p>
        </w:tc>
        <w:tc>
          <w:tcPr>
            <w:tcW w:w="1276" w:type="dxa"/>
            <w:hideMark/>
          </w:tcPr>
          <w:p w14:paraId="14604956"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391</w:t>
            </w:r>
          </w:p>
        </w:tc>
      </w:tr>
      <w:tr w:rsidR="00F56984" w:rsidRPr="004A5972" w14:paraId="7753DEF6" w14:textId="77777777" w:rsidTr="00AD7202">
        <w:trPr>
          <w:trHeight w:val="398"/>
        </w:trPr>
        <w:tc>
          <w:tcPr>
            <w:cnfStyle w:val="001000000000" w:firstRow="0" w:lastRow="0" w:firstColumn="1" w:lastColumn="0" w:oddVBand="0" w:evenVBand="0" w:oddHBand="0" w:evenHBand="0" w:firstRowFirstColumn="0" w:firstRowLastColumn="0" w:lastRowFirstColumn="0" w:lastRowLastColumn="0"/>
            <w:tcW w:w="9502" w:type="dxa"/>
            <w:gridSpan w:val="7"/>
            <w:noWrap/>
            <w:hideMark/>
          </w:tcPr>
          <w:p w14:paraId="4F6F2E66" w14:textId="77777777" w:rsidR="00F56984" w:rsidRPr="004A5972" w:rsidRDefault="00F56984" w:rsidP="00AD7202">
            <w:pPr>
              <w:spacing w:line="240" w:lineRule="auto"/>
              <w:jc w:val="center"/>
              <w:rPr>
                <w:rFonts w:eastAsia="Times New Roman" w:cs="Times New Roman"/>
                <w:b w:val="0"/>
                <w:bCs w:val="0"/>
                <w:color w:val="auto"/>
                <w:sz w:val="20"/>
                <w:szCs w:val="20"/>
                <w:lang w:eastAsia="pl-PL"/>
              </w:rPr>
            </w:pPr>
            <w:r w:rsidRPr="004A5972">
              <w:rPr>
                <w:rFonts w:eastAsia="Times New Roman" w:cs="Times New Roman"/>
                <w:color w:val="auto"/>
                <w:sz w:val="20"/>
                <w:szCs w:val="20"/>
                <w:lang w:eastAsia="pl-PL"/>
              </w:rPr>
              <w:t>Członkowie kół/klubów/sekcji w domach, ośrodkach i centrach kultury, klubach i świetlicach</w:t>
            </w:r>
          </w:p>
        </w:tc>
      </w:tr>
      <w:tr w:rsidR="00F56984" w:rsidRPr="004A5972" w14:paraId="0BDDDA3A"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679D7063"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Ogółem</w:t>
            </w:r>
          </w:p>
        </w:tc>
        <w:tc>
          <w:tcPr>
            <w:tcW w:w="1115" w:type="dxa"/>
            <w:noWrap/>
            <w:hideMark/>
          </w:tcPr>
          <w:p w14:paraId="1DED6AE5"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466 305</w:t>
            </w:r>
          </w:p>
        </w:tc>
        <w:tc>
          <w:tcPr>
            <w:tcW w:w="1276" w:type="dxa"/>
            <w:hideMark/>
          </w:tcPr>
          <w:p w14:paraId="382AA05E"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306 705</w:t>
            </w:r>
          </w:p>
        </w:tc>
        <w:tc>
          <w:tcPr>
            <w:tcW w:w="1134" w:type="dxa"/>
            <w:hideMark/>
          </w:tcPr>
          <w:p w14:paraId="5657136F"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159 600</w:t>
            </w:r>
          </w:p>
        </w:tc>
        <w:tc>
          <w:tcPr>
            <w:tcW w:w="1413" w:type="dxa"/>
            <w:hideMark/>
          </w:tcPr>
          <w:p w14:paraId="659168A2"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169 758</w:t>
            </w:r>
          </w:p>
        </w:tc>
        <w:tc>
          <w:tcPr>
            <w:tcW w:w="1417" w:type="dxa"/>
            <w:hideMark/>
          </w:tcPr>
          <w:p w14:paraId="1667EA7E"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111 121</w:t>
            </w:r>
          </w:p>
        </w:tc>
        <w:tc>
          <w:tcPr>
            <w:tcW w:w="1276" w:type="dxa"/>
            <w:hideMark/>
          </w:tcPr>
          <w:p w14:paraId="2B9B9CDF"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58 637</w:t>
            </w:r>
          </w:p>
        </w:tc>
      </w:tr>
      <w:tr w:rsidR="00F56984" w:rsidRPr="004A5972" w14:paraId="5F7CAF0E"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9502" w:type="dxa"/>
            <w:gridSpan w:val="7"/>
            <w:hideMark/>
          </w:tcPr>
          <w:p w14:paraId="590993EC" w14:textId="77777777" w:rsidR="00F56984" w:rsidRPr="004A5972" w:rsidRDefault="00F56984" w:rsidP="00AD7202">
            <w:pPr>
              <w:spacing w:line="240" w:lineRule="auto"/>
              <w:jc w:val="center"/>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w tym:</w:t>
            </w:r>
          </w:p>
        </w:tc>
      </w:tr>
      <w:tr w:rsidR="00F56984" w:rsidRPr="004A5972" w14:paraId="0273529A"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4D54A29F"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plastycznych/ technicznych</w:t>
            </w:r>
          </w:p>
        </w:tc>
        <w:tc>
          <w:tcPr>
            <w:tcW w:w="1115" w:type="dxa"/>
            <w:noWrap/>
            <w:hideMark/>
          </w:tcPr>
          <w:p w14:paraId="42EF953D"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77 245</w:t>
            </w:r>
          </w:p>
        </w:tc>
        <w:tc>
          <w:tcPr>
            <w:tcW w:w="1276" w:type="dxa"/>
            <w:hideMark/>
          </w:tcPr>
          <w:p w14:paraId="7C3D1914"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53 211</w:t>
            </w:r>
          </w:p>
        </w:tc>
        <w:tc>
          <w:tcPr>
            <w:tcW w:w="1134" w:type="dxa"/>
            <w:hideMark/>
          </w:tcPr>
          <w:p w14:paraId="4EF7FEE3"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24 034</w:t>
            </w:r>
          </w:p>
        </w:tc>
        <w:tc>
          <w:tcPr>
            <w:tcW w:w="1413" w:type="dxa"/>
            <w:hideMark/>
          </w:tcPr>
          <w:p w14:paraId="1AFA3697"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6 881</w:t>
            </w:r>
          </w:p>
        </w:tc>
        <w:tc>
          <w:tcPr>
            <w:tcW w:w="1417" w:type="dxa"/>
            <w:hideMark/>
          </w:tcPr>
          <w:p w14:paraId="0C0CF675"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5 244</w:t>
            </w:r>
          </w:p>
        </w:tc>
        <w:tc>
          <w:tcPr>
            <w:tcW w:w="1276" w:type="dxa"/>
            <w:hideMark/>
          </w:tcPr>
          <w:p w14:paraId="68579170"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1 637</w:t>
            </w:r>
          </w:p>
        </w:tc>
      </w:tr>
      <w:tr w:rsidR="00F56984" w:rsidRPr="004A5972" w14:paraId="58AB6DF7"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1D349A6A"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tanecznych</w:t>
            </w:r>
          </w:p>
        </w:tc>
        <w:tc>
          <w:tcPr>
            <w:tcW w:w="1115" w:type="dxa"/>
            <w:noWrap/>
            <w:hideMark/>
          </w:tcPr>
          <w:p w14:paraId="06149E65"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70 578</w:t>
            </w:r>
          </w:p>
        </w:tc>
        <w:tc>
          <w:tcPr>
            <w:tcW w:w="1276" w:type="dxa"/>
            <w:hideMark/>
          </w:tcPr>
          <w:p w14:paraId="600D308D"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54 544</w:t>
            </w:r>
          </w:p>
        </w:tc>
        <w:tc>
          <w:tcPr>
            <w:tcW w:w="1134" w:type="dxa"/>
            <w:hideMark/>
          </w:tcPr>
          <w:p w14:paraId="750C8356"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16 034</w:t>
            </w:r>
          </w:p>
        </w:tc>
        <w:tc>
          <w:tcPr>
            <w:tcW w:w="1413" w:type="dxa"/>
            <w:hideMark/>
          </w:tcPr>
          <w:p w14:paraId="7C176C94"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4 169</w:t>
            </w:r>
          </w:p>
        </w:tc>
        <w:tc>
          <w:tcPr>
            <w:tcW w:w="1417" w:type="dxa"/>
            <w:hideMark/>
          </w:tcPr>
          <w:p w14:paraId="29AD712A"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3 487</w:t>
            </w:r>
          </w:p>
        </w:tc>
        <w:tc>
          <w:tcPr>
            <w:tcW w:w="1276" w:type="dxa"/>
            <w:hideMark/>
          </w:tcPr>
          <w:p w14:paraId="7DDB146C"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682</w:t>
            </w:r>
          </w:p>
        </w:tc>
      </w:tr>
      <w:tr w:rsidR="00F56984" w:rsidRPr="004A5972" w14:paraId="30D6B078"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43A68AF3"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 xml:space="preserve">muzycznych </w:t>
            </w:r>
          </w:p>
        </w:tc>
        <w:tc>
          <w:tcPr>
            <w:tcW w:w="1115" w:type="dxa"/>
            <w:noWrap/>
            <w:hideMark/>
          </w:tcPr>
          <w:p w14:paraId="672D6D88"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39 221</w:t>
            </w:r>
          </w:p>
        </w:tc>
        <w:tc>
          <w:tcPr>
            <w:tcW w:w="1276" w:type="dxa"/>
            <w:hideMark/>
          </w:tcPr>
          <w:p w14:paraId="54CFF1C4"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26 826</w:t>
            </w:r>
          </w:p>
        </w:tc>
        <w:tc>
          <w:tcPr>
            <w:tcW w:w="1134" w:type="dxa"/>
            <w:hideMark/>
          </w:tcPr>
          <w:p w14:paraId="487AD39B"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12 395</w:t>
            </w:r>
          </w:p>
        </w:tc>
        <w:tc>
          <w:tcPr>
            <w:tcW w:w="1413" w:type="dxa"/>
            <w:hideMark/>
          </w:tcPr>
          <w:p w14:paraId="2B14AE43"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3 445</w:t>
            </w:r>
          </w:p>
        </w:tc>
        <w:tc>
          <w:tcPr>
            <w:tcW w:w="1417" w:type="dxa"/>
            <w:hideMark/>
          </w:tcPr>
          <w:p w14:paraId="536E08B8"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2 191</w:t>
            </w:r>
          </w:p>
        </w:tc>
        <w:tc>
          <w:tcPr>
            <w:tcW w:w="1276" w:type="dxa"/>
            <w:hideMark/>
          </w:tcPr>
          <w:p w14:paraId="3F516684"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1 254</w:t>
            </w:r>
          </w:p>
        </w:tc>
      </w:tr>
      <w:tr w:rsidR="00F56984" w:rsidRPr="004A5972" w14:paraId="5AAC2792"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373CAF41"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informatycznych</w:t>
            </w:r>
          </w:p>
        </w:tc>
        <w:tc>
          <w:tcPr>
            <w:tcW w:w="1115" w:type="dxa"/>
            <w:noWrap/>
            <w:hideMark/>
          </w:tcPr>
          <w:p w14:paraId="2E1C2B47"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4 164</w:t>
            </w:r>
          </w:p>
        </w:tc>
        <w:tc>
          <w:tcPr>
            <w:tcW w:w="1276" w:type="dxa"/>
            <w:hideMark/>
          </w:tcPr>
          <w:p w14:paraId="09B51465"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2 760</w:t>
            </w:r>
          </w:p>
        </w:tc>
        <w:tc>
          <w:tcPr>
            <w:tcW w:w="1134" w:type="dxa"/>
            <w:hideMark/>
          </w:tcPr>
          <w:p w14:paraId="02DC12C1"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1 404</w:t>
            </w:r>
          </w:p>
        </w:tc>
        <w:tc>
          <w:tcPr>
            <w:tcW w:w="1413" w:type="dxa"/>
            <w:hideMark/>
          </w:tcPr>
          <w:p w14:paraId="4FC82218"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1 268</w:t>
            </w:r>
          </w:p>
        </w:tc>
        <w:tc>
          <w:tcPr>
            <w:tcW w:w="1417" w:type="dxa"/>
            <w:hideMark/>
          </w:tcPr>
          <w:p w14:paraId="4BD0E476"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972</w:t>
            </w:r>
          </w:p>
        </w:tc>
        <w:tc>
          <w:tcPr>
            <w:tcW w:w="1276" w:type="dxa"/>
            <w:hideMark/>
          </w:tcPr>
          <w:p w14:paraId="27D9695F"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296</w:t>
            </w:r>
          </w:p>
        </w:tc>
      </w:tr>
      <w:tr w:rsidR="00F56984" w:rsidRPr="004A5972" w14:paraId="28293455"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1976DF83"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fotograficznych i filmowych</w:t>
            </w:r>
          </w:p>
        </w:tc>
        <w:tc>
          <w:tcPr>
            <w:tcW w:w="1115" w:type="dxa"/>
            <w:noWrap/>
            <w:hideMark/>
          </w:tcPr>
          <w:p w14:paraId="00696568"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5 144</w:t>
            </w:r>
          </w:p>
        </w:tc>
        <w:tc>
          <w:tcPr>
            <w:tcW w:w="1276" w:type="dxa"/>
            <w:hideMark/>
          </w:tcPr>
          <w:p w14:paraId="6663FED3"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4 408</w:t>
            </w:r>
          </w:p>
        </w:tc>
        <w:tc>
          <w:tcPr>
            <w:tcW w:w="1134" w:type="dxa"/>
            <w:hideMark/>
          </w:tcPr>
          <w:p w14:paraId="2533DFC3"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736</w:t>
            </w:r>
          </w:p>
        </w:tc>
        <w:tc>
          <w:tcPr>
            <w:tcW w:w="1413" w:type="dxa"/>
            <w:hideMark/>
          </w:tcPr>
          <w:p w14:paraId="521C0E69"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770</w:t>
            </w:r>
          </w:p>
        </w:tc>
        <w:tc>
          <w:tcPr>
            <w:tcW w:w="1417" w:type="dxa"/>
            <w:hideMark/>
          </w:tcPr>
          <w:p w14:paraId="1961B26E"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685</w:t>
            </w:r>
          </w:p>
        </w:tc>
        <w:tc>
          <w:tcPr>
            <w:tcW w:w="1276" w:type="dxa"/>
            <w:hideMark/>
          </w:tcPr>
          <w:p w14:paraId="5406E919"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85</w:t>
            </w:r>
          </w:p>
        </w:tc>
      </w:tr>
      <w:tr w:rsidR="00F56984" w:rsidRPr="004A5972" w14:paraId="68D2EFB9"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4FC968F6"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teatralnych</w:t>
            </w:r>
          </w:p>
        </w:tc>
        <w:tc>
          <w:tcPr>
            <w:tcW w:w="1115" w:type="dxa"/>
            <w:noWrap/>
            <w:hideMark/>
          </w:tcPr>
          <w:p w14:paraId="7CCC752A"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12 692</w:t>
            </w:r>
          </w:p>
        </w:tc>
        <w:tc>
          <w:tcPr>
            <w:tcW w:w="1276" w:type="dxa"/>
            <w:hideMark/>
          </w:tcPr>
          <w:p w14:paraId="4AB7B741"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8 845</w:t>
            </w:r>
          </w:p>
        </w:tc>
        <w:tc>
          <w:tcPr>
            <w:tcW w:w="1134" w:type="dxa"/>
            <w:hideMark/>
          </w:tcPr>
          <w:p w14:paraId="04FE2124"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3 847</w:t>
            </w:r>
          </w:p>
        </w:tc>
        <w:tc>
          <w:tcPr>
            <w:tcW w:w="1413" w:type="dxa"/>
            <w:hideMark/>
          </w:tcPr>
          <w:p w14:paraId="244A2477"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1 683</w:t>
            </w:r>
          </w:p>
        </w:tc>
        <w:tc>
          <w:tcPr>
            <w:tcW w:w="1417" w:type="dxa"/>
            <w:hideMark/>
          </w:tcPr>
          <w:p w14:paraId="4B65C086"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1 108</w:t>
            </w:r>
          </w:p>
        </w:tc>
        <w:tc>
          <w:tcPr>
            <w:tcW w:w="1276" w:type="dxa"/>
            <w:hideMark/>
          </w:tcPr>
          <w:p w14:paraId="19979F9C"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575</w:t>
            </w:r>
          </w:p>
        </w:tc>
      </w:tr>
      <w:tr w:rsidR="00F56984" w:rsidRPr="004A5972" w14:paraId="25CED3FE"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7F43740E"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turystycznych i sportowo-rekreacyjnych</w:t>
            </w:r>
          </w:p>
        </w:tc>
        <w:tc>
          <w:tcPr>
            <w:tcW w:w="1115" w:type="dxa"/>
            <w:noWrap/>
            <w:hideMark/>
          </w:tcPr>
          <w:p w14:paraId="59C833D9"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46 716</w:t>
            </w:r>
          </w:p>
        </w:tc>
        <w:tc>
          <w:tcPr>
            <w:tcW w:w="1276" w:type="dxa"/>
            <w:hideMark/>
          </w:tcPr>
          <w:p w14:paraId="7079E1EC"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32 482</w:t>
            </w:r>
          </w:p>
        </w:tc>
        <w:tc>
          <w:tcPr>
            <w:tcW w:w="1134" w:type="dxa"/>
            <w:hideMark/>
          </w:tcPr>
          <w:p w14:paraId="0EDD0FA0"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14 234</w:t>
            </w:r>
          </w:p>
        </w:tc>
        <w:tc>
          <w:tcPr>
            <w:tcW w:w="1413" w:type="dxa"/>
            <w:hideMark/>
          </w:tcPr>
          <w:p w14:paraId="51AD2E63"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14 723</w:t>
            </w:r>
          </w:p>
        </w:tc>
        <w:tc>
          <w:tcPr>
            <w:tcW w:w="1417" w:type="dxa"/>
            <w:hideMark/>
          </w:tcPr>
          <w:p w14:paraId="7BD96DD1"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12 181</w:t>
            </w:r>
          </w:p>
        </w:tc>
        <w:tc>
          <w:tcPr>
            <w:tcW w:w="1276" w:type="dxa"/>
            <w:hideMark/>
          </w:tcPr>
          <w:p w14:paraId="5F56F3AB"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2 542</w:t>
            </w:r>
          </w:p>
        </w:tc>
      </w:tr>
      <w:tr w:rsidR="00F56984" w:rsidRPr="004A5972" w14:paraId="252669E1"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0AA78E32"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seniora/ Uniwersytetów Trzeciego Wieku</w:t>
            </w:r>
          </w:p>
        </w:tc>
        <w:tc>
          <w:tcPr>
            <w:tcW w:w="1115" w:type="dxa"/>
            <w:noWrap/>
            <w:hideMark/>
          </w:tcPr>
          <w:p w14:paraId="5906BC40"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93 430</w:t>
            </w:r>
          </w:p>
        </w:tc>
        <w:tc>
          <w:tcPr>
            <w:tcW w:w="1276" w:type="dxa"/>
            <w:hideMark/>
          </w:tcPr>
          <w:p w14:paraId="7270C3E8"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69 579</w:t>
            </w:r>
          </w:p>
        </w:tc>
        <w:tc>
          <w:tcPr>
            <w:tcW w:w="1134" w:type="dxa"/>
            <w:hideMark/>
          </w:tcPr>
          <w:p w14:paraId="6B188142"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23 851</w:t>
            </w:r>
          </w:p>
        </w:tc>
        <w:tc>
          <w:tcPr>
            <w:tcW w:w="1413" w:type="dxa"/>
            <w:hideMark/>
          </w:tcPr>
          <w:p w14:paraId="2623A30F"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88 240</w:t>
            </w:r>
          </w:p>
        </w:tc>
        <w:tc>
          <w:tcPr>
            <w:tcW w:w="1417" w:type="dxa"/>
            <w:hideMark/>
          </w:tcPr>
          <w:p w14:paraId="40334772"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65 836</w:t>
            </w:r>
          </w:p>
        </w:tc>
        <w:tc>
          <w:tcPr>
            <w:tcW w:w="1276" w:type="dxa"/>
            <w:hideMark/>
          </w:tcPr>
          <w:p w14:paraId="0A48C7D2"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22 404</w:t>
            </w:r>
          </w:p>
        </w:tc>
      </w:tr>
      <w:tr w:rsidR="00F56984" w:rsidRPr="004A5972" w14:paraId="6A76C0AA"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4DB8A51E"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dyskusyjnych klubów filmowych</w:t>
            </w:r>
          </w:p>
        </w:tc>
        <w:tc>
          <w:tcPr>
            <w:tcW w:w="1115" w:type="dxa"/>
            <w:noWrap/>
            <w:hideMark/>
          </w:tcPr>
          <w:p w14:paraId="3FA35B92"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3 932</w:t>
            </w:r>
          </w:p>
        </w:tc>
        <w:tc>
          <w:tcPr>
            <w:tcW w:w="1276" w:type="dxa"/>
            <w:hideMark/>
          </w:tcPr>
          <w:p w14:paraId="78FCCA8D"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3 660</w:t>
            </w:r>
          </w:p>
        </w:tc>
        <w:tc>
          <w:tcPr>
            <w:tcW w:w="1134" w:type="dxa"/>
            <w:hideMark/>
          </w:tcPr>
          <w:p w14:paraId="14F36D40"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272</w:t>
            </w:r>
          </w:p>
        </w:tc>
        <w:tc>
          <w:tcPr>
            <w:tcW w:w="1413" w:type="dxa"/>
            <w:hideMark/>
          </w:tcPr>
          <w:p w14:paraId="59B2E4A0"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1 286</w:t>
            </w:r>
          </w:p>
        </w:tc>
        <w:tc>
          <w:tcPr>
            <w:tcW w:w="1417" w:type="dxa"/>
            <w:hideMark/>
          </w:tcPr>
          <w:p w14:paraId="3EF9A6B1"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1 188</w:t>
            </w:r>
          </w:p>
        </w:tc>
        <w:tc>
          <w:tcPr>
            <w:tcW w:w="1276" w:type="dxa"/>
            <w:hideMark/>
          </w:tcPr>
          <w:p w14:paraId="0A7CA29B"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98</w:t>
            </w:r>
          </w:p>
        </w:tc>
      </w:tr>
      <w:tr w:rsidR="00F56984" w:rsidRPr="004A5972" w14:paraId="5CB7BB0A"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68CA27FA"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kół gospodyń wiejskich</w:t>
            </w:r>
          </w:p>
        </w:tc>
        <w:tc>
          <w:tcPr>
            <w:tcW w:w="1115" w:type="dxa"/>
            <w:noWrap/>
            <w:hideMark/>
          </w:tcPr>
          <w:p w14:paraId="2E6C8314"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67 995</w:t>
            </w:r>
          </w:p>
        </w:tc>
        <w:tc>
          <w:tcPr>
            <w:tcW w:w="1276" w:type="dxa"/>
            <w:hideMark/>
          </w:tcPr>
          <w:p w14:paraId="13ED6744"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16 175</w:t>
            </w:r>
          </w:p>
        </w:tc>
        <w:tc>
          <w:tcPr>
            <w:tcW w:w="1134" w:type="dxa"/>
            <w:hideMark/>
          </w:tcPr>
          <w:p w14:paraId="159F5CBE"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51 820</w:t>
            </w:r>
          </w:p>
        </w:tc>
        <w:tc>
          <w:tcPr>
            <w:tcW w:w="1413" w:type="dxa"/>
            <w:hideMark/>
          </w:tcPr>
          <w:p w14:paraId="1DB5B1FA"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36 153</w:t>
            </w:r>
          </w:p>
        </w:tc>
        <w:tc>
          <w:tcPr>
            <w:tcW w:w="1417" w:type="dxa"/>
            <w:hideMark/>
          </w:tcPr>
          <w:p w14:paraId="5E798C33"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9 437</w:t>
            </w:r>
          </w:p>
        </w:tc>
        <w:tc>
          <w:tcPr>
            <w:tcW w:w="1276" w:type="dxa"/>
            <w:hideMark/>
          </w:tcPr>
          <w:p w14:paraId="78046C32"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26 716</w:t>
            </w:r>
          </w:p>
        </w:tc>
      </w:tr>
      <w:tr w:rsidR="00F56984" w:rsidRPr="004A5972" w14:paraId="4AC85DB9"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hideMark/>
          </w:tcPr>
          <w:p w14:paraId="0F8F58A9"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literackich</w:t>
            </w:r>
          </w:p>
        </w:tc>
        <w:tc>
          <w:tcPr>
            <w:tcW w:w="1115" w:type="dxa"/>
            <w:noWrap/>
            <w:hideMark/>
          </w:tcPr>
          <w:p w14:paraId="0948FFB3"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3 070</w:t>
            </w:r>
          </w:p>
        </w:tc>
        <w:tc>
          <w:tcPr>
            <w:tcW w:w="1276" w:type="dxa"/>
            <w:hideMark/>
          </w:tcPr>
          <w:p w14:paraId="50862143"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2 347</w:t>
            </w:r>
          </w:p>
        </w:tc>
        <w:tc>
          <w:tcPr>
            <w:tcW w:w="1134" w:type="dxa"/>
            <w:hideMark/>
          </w:tcPr>
          <w:p w14:paraId="44B6D9C3"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723</w:t>
            </w:r>
          </w:p>
        </w:tc>
        <w:tc>
          <w:tcPr>
            <w:tcW w:w="1413" w:type="dxa"/>
            <w:hideMark/>
          </w:tcPr>
          <w:p w14:paraId="35CCE030"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1 316</w:t>
            </w:r>
          </w:p>
        </w:tc>
        <w:tc>
          <w:tcPr>
            <w:tcW w:w="1417" w:type="dxa"/>
            <w:hideMark/>
          </w:tcPr>
          <w:p w14:paraId="0FC15CD2"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1 117</w:t>
            </w:r>
          </w:p>
        </w:tc>
        <w:tc>
          <w:tcPr>
            <w:tcW w:w="1276" w:type="dxa"/>
            <w:hideMark/>
          </w:tcPr>
          <w:p w14:paraId="08128D6E"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199</w:t>
            </w:r>
          </w:p>
        </w:tc>
      </w:tr>
      <w:tr w:rsidR="00F56984" w:rsidRPr="004A5972" w14:paraId="04841673" w14:textId="77777777" w:rsidTr="00AD7202">
        <w:trPr>
          <w:trHeight w:val="398"/>
        </w:trPr>
        <w:tc>
          <w:tcPr>
            <w:cnfStyle w:val="001000000000" w:firstRow="0" w:lastRow="0" w:firstColumn="1" w:lastColumn="0" w:oddVBand="0" w:evenVBand="0" w:oddHBand="0" w:evenHBand="0" w:firstRowFirstColumn="0" w:firstRowLastColumn="0" w:lastRowFirstColumn="0" w:lastRowLastColumn="0"/>
            <w:tcW w:w="9502" w:type="dxa"/>
            <w:gridSpan w:val="7"/>
            <w:noWrap/>
            <w:hideMark/>
          </w:tcPr>
          <w:p w14:paraId="03C054DB" w14:textId="77777777" w:rsidR="00F56984" w:rsidRPr="004A5972" w:rsidRDefault="00F56984" w:rsidP="00AD7202">
            <w:pPr>
              <w:spacing w:line="240" w:lineRule="auto"/>
              <w:jc w:val="center"/>
              <w:rPr>
                <w:rFonts w:eastAsia="Times New Roman" w:cs="Times New Roman"/>
                <w:b w:val="0"/>
                <w:bCs w:val="0"/>
                <w:color w:val="auto"/>
                <w:sz w:val="20"/>
                <w:szCs w:val="20"/>
                <w:lang w:eastAsia="pl-PL"/>
              </w:rPr>
            </w:pPr>
            <w:r w:rsidRPr="004A5972">
              <w:rPr>
                <w:rFonts w:eastAsia="Times New Roman" w:cs="Times New Roman"/>
                <w:color w:val="auto"/>
                <w:sz w:val="20"/>
                <w:szCs w:val="20"/>
                <w:lang w:eastAsia="pl-PL"/>
              </w:rPr>
              <w:t>Absolwenci kursów organizowanych przez domy, ośrodki i centra kultury, kluby i świetlice</w:t>
            </w:r>
          </w:p>
        </w:tc>
      </w:tr>
      <w:tr w:rsidR="00F56984" w:rsidRPr="004A5972" w14:paraId="70C9B8E5"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hideMark/>
          </w:tcPr>
          <w:p w14:paraId="5A5DF8CA" w14:textId="77777777" w:rsidR="00F56984" w:rsidRPr="004A5972" w:rsidRDefault="00F56984" w:rsidP="00AD7202">
            <w:pPr>
              <w:spacing w:line="240" w:lineRule="auto"/>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Ogółem</w:t>
            </w:r>
          </w:p>
        </w:tc>
        <w:tc>
          <w:tcPr>
            <w:tcW w:w="1115" w:type="dxa"/>
            <w:noWrap/>
            <w:hideMark/>
          </w:tcPr>
          <w:p w14:paraId="621E545E"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64 858</w:t>
            </w:r>
          </w:p>
        </w:tc>
        <w:tc>
          <w:tcPr>
            <w:tcW w:w="1276" w:type="dxa"/>
            <w:hideMark/>
          </w:tcPr>
          <w:p w14:paraId="40978512"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44 824</w:t>
            </w:r>
          </w:p>
        </w:tc>
        <w:tc>
          <w:tcPr>
            <w:tcW w:w="1134" w:type="dxa"/>
            <w:hideMark/>
          </w:tcPr>
          <w:p w14:paraId="0FD8E519"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20 034</w:t>
            </w:r>
          </w:p>
        </w:tc>
        <w:tc>
          <w:tcPr>
            <w:tcW w:w="1413" w:type="dxa"/>
            <w:hideMark/>
          </w:tcPr>
          <w:p w14:paraId="0ED9B698"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10 776</w:t>
            </w:r>
          </w:p>
        </w:tc>
        <w:tc>
          <w:tcPr>
            <w:tcW w:w="1417" w:type="dxa"/>
            <w:hideMark/>
          </w:tcPr>
          <w:p w14:paraId="513E95C6"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8 079</w:t>
            </w:r>
          </w:p>
        </w:tc>
        <w:tc>
          <w:tcPr>
            <w:tcW w:w="1276" w:type="dxa"/>
            <w:hideMark/>
          </w:tcPr>
          <w:p w14:paraId="69049B61"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2 697</w:t>
            </w:r>
          </w:p>
        </w:tc>
      </w:tr>
      <w:tr w:rsidR="00F56984" w:rsidRPr="004A5972" w14:paraId="409DC6B4"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9502" w:type="dxa"/>
            <w:gridSpan w:val="7"/>
            <w:hideMark/>
          </w:tcPr>
          <w:p w14:paraId="05C70F2C" w14:textId="77777777" w:rsidR="00F56984" w:rsidRPr="004A5972" w:rsidRDefault="00F56984" w:rsidP="00AD7202">
            <w:pPr>
              <w:spacing w:line="240" w:lineRule="auto"/>
              <w:jc w:val="center"/>
              <w:rPr>
                <w:rFonts w:eastAsia="Times New Roman" w:cs="Times New Roman"/>
                <w:color w:val="auto"/>
                <w:sz w:val="20"/>
                <w:szCs w:val="20"/>
                <w:lang w:eastAsia="pl-PL"/>
              </w:rPr>
            </w:pPr>
            <w:r w:rsidRPr="004A5972">
              <w:rPr>
                <w:rFonts w:eastAsia="Times New Roman" w:cs="Times New Roman"/>
                <w:color w:val="auto"/>
                <w:sz w:val="20"/>
                <w:szCs w:val="20"/>
                <w:lang w:eastAsia="pl-PL"/>
              </w:rPr>
              <w:t>w tym:</w:t>
            </w:r>
          </w:p>
        </w:tc>
      </w:tr>
      <w:tr w:rsidR="00F56984" w:rsidRPr="004A5972" w14:paraId="6B4A1D4D"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hideMark/>
          </w:tcPr>
          <w:p w14:paraId="7FDCB84F"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języków obcych</w:t>
            </w:r>
          </w:p>
        </w:tc>
        <w:tc>
          <w:tcPr>
            <w:tcW w:w="1115" w:type="dxa"/>
            <w:noWrap/>
            <w:hideMark/>
          </w:tcPr>
          <w:p w14:paraId="5197B57F"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14 550</w:t>
            </w:r>
          </w:p>
        </w:tc>
        <w:tc>
          <w:tcPr>
            <w:tcW w:w="1276" w:type="dxa"/>
            <w:hideMark/>
          </w:tcPr>
          <w:p w14:paraId="441A9A49"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9 783</w:t>
            </w:r>
          </w:p>
        </w:tc>
        <w:tc>
          <w:tcPr>
            <w:tcW w:w="1134" w:type="dxa"/>
            <w:hideMark/>
          </w:tcPr>
          <w:p w14:paraId="4B9DB17E"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4 767</w:t>
            </w:r>
          </w:p>
        </w:tc>
        <w:tc>
          <w:tcPr>
            <w:tcW w:w="1413" w:type="dxa"/>
            <w:hideMark/>
          </w:tcPr>
          <w:p w14:paraId="7BAF19D8"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3 285</w:t>
            </w:r>
          </w:p>
        </w:tc>
        <w:tc>
          <w:tcPr>
            <w:tcW w:w="1417" w:type="dxa"/>
            <w:hideMark/>
          </w:tcPr>
          <w:p w14:paraId="077F62F7"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2 755</w:t>
            </w:r>
          </w:p>
        </w:tc>
        <w:tc>
          <w:tcPr>
            <w:tcW w:w="1276" w:type="dxa"/>
            <w:hideMark/>
          </w:tcPr>
          <w:p w14:paraId="3D045BFF"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530</w:t>
            </w:r>
          </w:p>
        </w:tc>
      </w:tr>
      <w:tr w:rsidR="00F56984" w:rsidRPr="004A5972" w14:paraId="6230382B"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871" w:type="dxa"/>
            <w:noWrap/>
            <w:hideMark/>
          </w:tcPr>
          <w:p w14:paraId="155300BF"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plastycznych</w:t>
            </w:r>
          </w:p>
        </w:tc>
        <w:tc>
          <w:tcPr>
            <w:tcW w:w="1115" w:type="dxa"/>
            <w:noWrap/>
            <w:hideMark/>
          </w:tcPr>
          <w:p w14:paraId="2C5056E9"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10 086</w:t>
            </w:r>
          </w:p>
        </w:tc>
        <w:tc>
          <w:tcPr>
            <w:tcW w:w="1276" w:type="dxa"/>
            <w:hideMark/>
          </w:tcPr>
          <w:p w14:paraId="2122F2FA"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6 682</w:t>
            </w:r>
          </w:p>
        </w:tc>
        <w:tc>
          <w:tcPr>
            <w:tcW w:w="1134" w:type="dxa"/>
            <w:hideMark/>
          </w:tcPr>
          <w:p w14:paraId="54D01B7D"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3 404</w:t>
            </w:r>
          </w:p>
        </w:tc>
        <w:tc>
          <w:tcPr>
            <w:tcW w:w="1413" w:type="dxa"/>
            <w:hideMark/>
          </w:tcPr>
          <w:p w14:paraId="4EBB6CDE"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1 164</w:t>
            </w:r>
          </w:p>
        </w:tc>
        <w:tc>
          <w:tcPr>
            <w:tcW w:w="1417" w:type="dxa"/>
            <w:hideMark/>
          </w:tcPr>
          <w:p w14:paraId="074C4E0E"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860</w:t>
            </w:r>
          </w:p>
        </w:tc>
        <w:tc>
          <w:tcPr>
            <w:tcW w:w="1276" w:type="dxa"/>
            <w:hideMark/>
          </w:tcPr>
          <w:p w14:paraId="155B148E"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304</w:t>
            </w:r>
          </w:p>
        </w:tc>
      </w:tr>
      <w:tr w:rsidR="00F56984" w:rsidRPr="004A5972" w14:paraId="472B9AFE"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hideMark/>
          </w:tcPr>
          <w:p w14:paraId="6EE7A661"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nauki gry</w:t>
            </w:r>
            <w:r w:rsidRPr="004A5972">
              <w:rPr>
                <w:rFonts w:eastAsia="Times New Roman" w:cs="Times New Roman"/>
                <w:b w:val="0"/>
                <w:color w:val="auto"/>
                <w:sz w:val="20"/>
                <w:szCs w:val="20"/>
                <w:lang w:eastAsia="pl-PL"/>
              </w:rPr>
              <w:t xml:space="preserve"> </w:t>
            </w:r>
            <w:r w:rsidRPr="004A5972">
              <w:rPr>
                <w:rFonts w:eastAsia="Times New Roman" w:cs="Times New Roman"/>
                <w:color w:val="auto"/>
                <w:sz w:val="20"/>
                <w:szCs w:val="20"/>
                <w:lang w:eastAsia="pl-PL"/>
              </w:rPr>
              <w:t>na instrumentach</w:t>
            </w:r>
          </w:p>
        </w:tc>
        <w:tc>
          <w:tcPr>
            <w:tcW w:w="1115" w:type="dxa"/>
            <w:noWrap/>
            <w:hideMark/>
          </w:tcPr>
          <w:p w14:paraId="47E6D27F"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11 111</w:t>
            </w:r>
          </w:p>
        </w:tc>
        <w:tc>
          <w:tcPr>
            <w:tcW w:w="1276" w:type="dxa"/>
            <w:hideMark/>
          </w:tcPr>
          <w:p w14:paraId="7D262454"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7 136</w:t>
            </w:r>
          </w:p>
        </w:tc>
        <w:tc>
          <w:tcPr>
            <w:tcW w:w="1134" w:type="dxa"/>
            <w:hideMark/>
          </w:tcPr>
          <w:p w14:paraId="3B4CB4AF"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3 975</w:t>
            </w:r>
          </w:p>
        </w:tc>
        <w:tc>
          <w:tcPr>
            <w:tcW w:w="1413" w:type="dxa"/>
            <w:hideMark/>
          </w:tcPr>
          <w:p w14:paraId="08BC7552"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186</w:t>
            </w:r>
          </w:p>
        </w:tc>
        <w:tc>
          <w:tcPr>
            <w:tcW w:w="1417" w:type="dxa"/>
            <w:hideMark/>
          </w:tcPr>
          <w:p w14:paraId="40ED72CD"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104</w:t>
            </w:r>
          </w:p>
        </w:tc>
        <w:tc>
          <w:tcPr>
            <w:tcW w:w="1276" w:type="dxa"/>
            <w:hideMark/>
          </w:tcPr>
          <w:p w14:paraId="7059FC29"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82</w:t>
            </w:r>
          </w:p>
        </w:tc>
      </w:tr>
      <w:tr w:rsidR="00F56984" w:rsidRPr="004A5972" w14:paraId="2462F49A"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871" w:type="dxa"/>
            <w:noWrap/>
            <w:hideMark/>
          </w:tcPr>
          <w:p w14:paraId="6EE5E3E7"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wiedzy praktycznej</w:t>
            </w:r>
          </w:p>
        </w:tc>
        <w:tc>
          <w:tcPr>
            <w:tcW w:w="1115" w:type="dxa"/>
            <w:noWrap/>
            <w:hideMark/>
          </w:tcPr>
          <w:p w14:paraId="046508C3"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4 082</w:t>
            </w:r>
          </w:p>
        </w:tc>
        <w:tc>
          <w:tcPr>
            <w:tcW w:w="1276" w:type="dxa"/>
            <w:hideMark/>
          </w:tcPr>
          <w:p w14:paraId="330DCD6C"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2 400</w:t>
            </w:r>
          </w:p>
        </w:tc>
        <w:tc>
          <w:tcPr>
            <w:tcW w:w="1134" w:type="dxa"/>
            <w:hideMark/>
          </w:tcPr>
          <w:p w14:paraId="338E84FF"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1 682</w:t>
            </w:r>
          </w:p>
        </w:tc>
        <w:tc>
          <w:tcPr>
            <w:tcW w:w="1413" w:type="dxa"/>
            <w:hideMark/>
          </w:tcPr>
          <w:p w14:paraId="7D90FF87"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953</w:t>
            </w:r>
          </w:p>
        </w:tc>
        <w:tc>
          <w:tcPr>
            <w:tcW w:w="1417" w:type="dxa"/>
            <w:hideMark/>
          </w:tcPr>
          <w:p w14:paraId="3EA7D687"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497</w:t>
            </w:r>
          </w:p>
        </w:tc>
        <w:tc>
          <w:tcPr>
            <w:tcW w:w="1276" w:type="dxa"/>
            <w:hideMark/>
          </w:tcPr>
          <w:p w14:paraId="47DDD5E1"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456</w:t>
            </w:r>
          </w:p>
        </w:tc>
      </w:tr>
      <w:tr w:rsidR="00F56984" w:rsidRPr="004A5972" w14:paraId="1314B654"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hideMark/>
          </w:tcPr>
          <w:p w14:paraId="034E85F3" w14:textId="77777777" w:rsidR="00F56984" w:rsidRPr="004A5972" w:rsidRDefault="00F56984" w:rsidP="00AD7202">
            <w:pPr>
              <w:spacing w:line="240" w:lineRule="auto"/>
              <w:jc w:val="left"/>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tańca</w:t>
            </w:r>
          </w:p>
        </w:tc>
        <w:tc>
          <w:tcPr>
            <w:tcW w:w="1115" w:type="dxa"/>
            <w:noWrap/>
            <w:hideMark/>
          </w:tcPr>
          <w:p w14:paraId="7675721F"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12 243</w:t>
            </w:r>
          </w:p>
        </w:tc>
        <w:tc>
          <w:tcPr>
            <w:tcW w:w="1276" w:type="dxa"/>
            <w:hideMark/>
          </w:tcPr>
          <w:p w14:paraId="12A80DF9"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9 015</w:t>
            </w:r>
          </w:p>
        </w:tc>
        <w:tc>
          <w:tcPr>
            <w:tcW w:w="1134" w:type="dxa"/>
            <w:hideMark/>
          </w:tcPr>
          <w:p w14:paraId="542CB37E"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3 228</w:t>
            </w:r>
          </w:p>
        </w:tc>
        <w:tc>
          <w:tcPr>
            <w:tcW w:w="1413" w:type="dxa"/>
            <w:hideMark/>
          </w:tcPr>
          <w:p w14:paraId="51EEBECA"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1 190</w:t>
            </w:r>
          </w:p>
        </w:tc>
        <w:tc>
          <w:tcPr>
            <w:tcW w:w="1417" w:type="dxa"/>
            <w:hideMark/>
          </w:tcPr>
          <w:p w14:paraId="4F1A394D"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915</w:t>
            </w:r>
          </w:p>
        </w:tc>
        <w:tc>
          <w:tcPr>
            <w:tcW w:w="1276" w:type="dxa"/>
            <w:hideMark/>
          </w:tcPr>
          <w:p w14:paraId="3C152AB8" w14:textId="77777777" w:rsidR="00F56984" w:rsidRPr="004A5972" w:rsidRDefault="00F56984"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275</w:t>
            </w:r>
          </w:p>
        </w:tc>
      </w:tr>
      <w:tr w:rsidR="00F56984" w:rsidRPr="004A5972" w14:paraId="024AD7DE"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1871" w:type="dxa"/>
            <w:noWrap/>
            <w:hideMark/>
          </w:tcPr>
          <w:p w14:paraId="1CA3740F" w14:textId="77777777" w:rsidR="00F56984" w:rsidRPr="004A5972" w:rsidRDefault="00F56984" w:rsidP="00AD7202">
            <w:pPr>
              <w:spacing w:line="240" w:lineRule="auto"/>
              <w:rPr>
                <w:rFonts w:eastAsia="Times New Roman" w:cs="Times New Roman"/>
                <w:b w:val="0"/>
                <w:color w:val="auto"/>
                <w:sz w:val="20"/>
                <w:szCs w:val="20"/>
                <w:lang w:eastAsia="pl-PL"/>
              </w:rPr>
            </w:pPr>
            <w:r w:rsidRPr="004A5972">
              <w:rPr>
                <w:rFonts w:eastAsia="Times New Roman" w:cs="Times New Roman"/>
                <w:color w:val="auto"/>
                <w:sz w:val="20"/>
                <w:szCs w:val="20"/>
                <w:lang w:eastAsia="pl-PL"/>
              </w:rPr>
              <w:t>komputerowych</w:t>
            </w:r>
          </w:p>
        </w:tc>
        <w:tc>
          <w:tcPr>
            <w:tcW w:w="1115" w:type="dxa"/>
            <w:noWrap/>
            <w:hideMark/>
          </w:tcPr>
          <w:p w14:paraId="45A81820"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4 566</w:t>
            </w:r>
          </w:p>
        </w:tc>
        <w:tc>
          <w:tcPr>
            <w:tcW w:w="1276" w:type="dxa"/>
            <w:hideMark/>
          </w:tcPr>
          <w:p w14:paraId="5CB251B3"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3 016</w:t>
            </w:r>
          </w:p>
        </w:tc>
        <w:tc>
          <w:tcPr>
            <w:tcW w:w="1134" w:type="dxa"/>
            <w:hideMark/>
          </w:tcPr>
          <w:p w14:paraId="3FF52435"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1 550</w:t>
            </w:r>
          </w:p>
        </w:tc>
        <w:tc>
          <w:tcPr>
            <w:tcW w:w="1413" w:type="dxa"/>
            <w:hideMark/>
          </w:tcPr>
          <w:p w14:paraId="3A7AD979"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2 594</w:t>
            </w:r>
          </w:p>
        </w:tc>
        <w:tc>
          <w:tcPr>
            <w:tcW w:w="1417" w:type="dxa"/>
            <w:hideMark/>
          </w:tcPr>
          <w:p w14:paraId="15F5D718"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1 685</w:t>
            </w:r>
          </w:p>
        </w:tc>
        <w:tc>
          <w:tcPr>
            <w:tcW w:w="1276" w:type="dxa"/>
            <w:hideMark/>
          </w:tcPr>
          <w:p w14:paraId="134968EC" w14:textId="77777777" w:rsidR="00F56984" w:rsidRPr="004A5972" w:rsidRDefault="00F56984"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4A5972">
              <w:rPr>
                <w:rFonts w:cs="Times New Roman"/>
                <w:sz w:val="20"/>
                <w:szCs w:val="20"/>
              </w:rPr>
              <w:t>909</w:t>
            </w:r>
          </w:p>
        </w:tc>
      </w:tr>
    </w:tbl>
    <w:p w14:paraId="5ABCCD84" w14:textId="77777777" w:rsidR="001D734C" w:rsidRPr="000171D5" w:rsidRDefault="001D734C" w:rsidP="001D734C">
      <w:pPr>
        <w:rPr>
          <w:rFonts w:cs="Times New Roman"/>
          <w:b/>
          <w:sz w:val="22"/>
        </w:rPr>
      </w:pPr>
      <w:r w:rsidRPr="004A5972">
        <w:rPr>
          <w:rFonts w:cs="Times New Roman"/>
          <w:b/>
          <w:sz w:val="22"/>
        </w:rPr>
        <w:t>Źródło:  Badanie GUS (sprawozdanie K-07).</w:t>
      </w:r>
    </w:p>
    <w:p w14:paraId="4DB814EC" w14:textId="18252031" w:rsidR="000171D5" w:rsidRDefault="000171D5" w:rsidP="000171D5"/>
    <w:p w14:paraId="6350A61B" w14:textId="268DEEBB" w:rsidR="001D734C" w:rsidRDefault="00C1110C" w:rsidP="000171D5">
      <w:r w:rsidRPr="00C1110C">
        <w:t>Zgodnie z danymi GUS opublikowanymi w 20</w:t>
      </w:r>
      <w:r>
        <w:t>20</w:t>
      </w:r>
      <w:r w:rsidRPr="00C1110C">
        <w:t xml:space="preserve"> r. osoby starsze biorą aktywny udział w</w:t>
      </w:r>
      <w:r>
        <w:t> </w:t>
      </w:r>
      <w:r w:rsidRPr="00C1110C">
        <w:t>formach działalności kulturalnej organizowanych przez centra kultury, domy i ośrodki kultury oraz kluby i świetlice, choć należy zauważyć, że wybierane formy aktywności związane są często z miejscem zamieszkania i dostępną lokalnie ofertą kulturalną (różnice obserwowane są szczególnie między ofertą w miastach i na wsi).</w:t>
      </w:r>
    </w:p>
    <w:p w14:paraId="529CE82A" w14:textId="77777777" w:rsidR="001D734C" w:rsidRPr="00CF51D1" w:rsidRDefault="001D734C" w:rsidP="000171D5">
      <w:pPr>
        <w:rPr>
          <w:rFonts w:cs="Times New Roman"/>
          <w:szCs w:val="24"/>
        </w:rPr>
      </w:pPr>
    </w:p>
    <w:p w14:paraId="2AC4E82A" w14:textId="3EAF4AA5" w:rsidR="00F56984" w:rsidRDefault="00F56984" w:rsidP="00C1110C">
      <w:pPr>
        <w:rPr>
          <w:szCs w:val="24"/>
        </w:rPr>
      </w:pPr>
      <w:r w:rsidRPr="00CF51D1">
        <w:rPr>
          <w:szCs w:val="24"/>
        </w:rPr>
        <w:lastRenderedPageBreak/>
        <w:t>W 2020 r. biblioteki publiczne odnotowały ponad 4,9 mln czytelników, z czego 17% stanowiły osoby starsze. Największe zainteresowanie wykazali seniorzy z woj. zachodniopomorskiego i łódzkiego, a najmniejsze z woj. podkarpackiego i woj. małopolskiego.</w:t>
      </w:r>
    </w:p>
    <w:p w14:paraId="65CF7DDF" w14:textId="77777777" w:rsidR="00C1110C" w:rsidRPr="00C1110C" w:rsidRDefault="00C1110C" w:rsidP="00C1110C">
      <w:pPr>
        <w:rPr>
          <w:szCs w:val="24"/>
        </w:rPr>
      </w:pPr>
    </w:p>
    <w:p w14:paraId="2A076D90" w14:textId="03917701" w:rsidR="000171D5" w:rsidRPr="00CF51D1" w:rsidRDefault="000171D5" w:rsidP="000171D5">
      <w:pPr>
        <w:pStyle w:val="Legenda"/>
        <w:keepNext/>
        <w:rPr>
          <w:rFonts w:cs="Times New Roman"/>
          <w:b/>
          <w:i w:val="0"/>
          <w:color w:val="auto"/>
          <w:sz w:val="24"/>
        </w:rPr>
      </w:pPr>
      <w:r w:rsidRPr="00CF51D1">
        <w:rPr>
          <w:rFonts w:cs="Times New Roman"/>
          <w:b/>
          <w:i w:val="0"/>
          <w:color w:val="auto"/>
          <w:sz w:val="24"/>
        </w:rPr>
        <w:t xml:space="preserve">Tabela </w:t>
      </w:r>
      <w:r>
        <w:rPr>
          <w:rFonts w:cs="Times New Roman"/>
          <w:b/>
          <w:i w:val="0"/>
          <w:color w:val="auto"/>
          <w:sz w:val="24"/>
        </w:rPr>
        <w:t>3</w:t>
      </w:r>
      <w:r w:rsidR="00F56984">
        <w:rPr>
          <w:rFonts w:cs="Times New Roman"/>
          <w:b/>
          <w:i w:val="0"/>
          <w:color w:val="auto"/>
          <w:sz w:val="24"/>
        </w:rPr>
        <w:t>8</w:t>
      </w:r>
      <w:r w:rsidR="00EE73AF">
        <w:rPr>
          <w:rFonts w:cs="Times New Roman"/>
          <w:b/>
          <w:i w:val="0"/>
          <w:color w:val="auto"/>
          <w:sz w:val="24"/>
        </w:rPr>
        <w:t>.</w:t>
      </w:r>
      <w:r w:rsidRPr="00CF51D1">
        <w:rPr>
          <w:rFonts w:cs="Times New Roman"/>
          <w:b/>
          <w:i w:val="0"/>
          <w:color w:val="auto"/>
          <w:sz w:val="24"/>
        </w:rPr>
        <w:t xml:space="preserve"> Czytelnicy bibliotek publicznych w 20</w:t>
      </w:r>
      <w:r w:rsidR="00B401C8">
        <w:rPr>
          <w:rFonts w:cs="Times New Roman"/>
          <w:b/>
          <w:i w:val="0"/>
          <w:color w:val="auto"/>
          <w:sz w:val="24"/>
        </w:rPr>
        <w:t>20</w:t>
      </w:r>
      <w:r w:rsidRPr="00CF51D1">
        <w:rPr>
          <w:rFonts w:cs="Times New Roman"/>
          <w:b/>
          <w:i w:val="0"/>
          <w:color w:val="auto"/>
          <w:sz w:val="24"/>
        </w:rPr>
        <w:t xml:space="preserve"> r.</w:t>
      </w:r>
    </w:p>
    <w:tbl>
      <w:tblPr>
        <w:tblStyle w:val="Tabelasiatki5ciemnaakcent2"/>
        <w:tblW w:w="8220" w:type="dxa"/>
        <w:tblLook w:val="04A0" w:firstRow="1" w:lastRow="0" w:firstColumn="1" w:lastColumn="0" w:noHBand="0" w:noVBand="1"/>
      </w:tblPr>
      <w:tblGrid>
        <w:gridCol w:w="2648"/>
        <w:gridCol w:w="1860"/>
        <w:gridCol w:w="1857"/>
        <w:gridCol w:w="1855"/>
      </w:tblGrid>
      <w:tr w:rsidR="000171D5" w:rsidRPr="00CF51D1" w14:paraId="1F90C473" w14:textId="77777777" w:rsidTr="00AD7202">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648" w:type="dxa"/>
            <w:vMerge w:val="restart"/>
            <w:noWrap/>
            <w:hideMark/>
          </w:tcPr>
          <w:p w14:paraId="7A030041" w14:textId="77777777" w:rsidR="000171D5" w:rsidRPr="00CF51D1" w:rsidRDefault="000171D5" w:rsidP="00AD7202">
            <w:pPr>
              <w:spacing w:line="240" w:lineRule="auto"/>
              <w:jc w:val="center"/>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Województwa</w:t>
            </w:r>
          </w:p>
        </w:tc>
        <w:tc>
          <w:tcPr>
            <w:tcW w:w="1860" w:type="dxa"/>
            <w:vMerge w:val="restart"/>
            <w:noWrap/>
            <w:hideMark/>
          </w:tcPr>
          <w:p w14:paraId="602DC0BC" w14:textId="77777777" w:rsidR="000171D5" w:rsidRPr="00CF51D1" w:rsidRDefault="000171D5"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Ogółem</w:t>
            </w:r>
          </w:p>
        </w:tc>
        <w:tc>
          <w:tcPr>
            <w:tcW w:w="3712" w:type="dxa"/>
            <w:gridSpan w:val="2"/>
            <w:hideMark/>
          </w:tcPr>
          <w:p w14:paraId="5647E7B4" w14:textId="77777777" w:rsidR="000171D5" w:rsidRPr="00CF51D1" w:rsidRDefault="000171D5" w:rsidP="00AD720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W tym w wieku powyżej 60 lat</w:t>
            </w:r>
          </w:p>
        </w:tc>
      </w:tr>
      <w:tr w:rsidR="000171D5" w:rsidRPr="00CF51D1" w14:paraId="225116DD"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8" w:type="dxa"/>
            <w:vMerge/>
            <w:hideMark/>
          </w:tcPr>
          <w:p w14:paraId="0FCD4460" w14:textId="77777777" w:rsidR="000171D5" w:rsidRPr="00CF51D1" w:rsidRDefault="000171D5" w:rsidP="00AD7202">
            <w:pPr>
              <w:spacing w:line="240" w:lineRule="auto"/>
              <w:jc w:val="center"/>
              <w:rPr>
                <w:rFonts w:eastAsia="Times New Roman" w:cs="Times New Roman"/>
                <w:b w:val="0"/>
                <w:color w:val="auto"/>
                <w:sz w:val="20"/>
                <w:szCs w:val="20"/>
                <w:lang w:eastAsia="pl-PL"/>
              </w:rPr>
            </w:pPr>
          </w:p>
        </w:tc>
        <w:tc>
          <w:tcPr>
            <w:tcW w:w="1860" w:type="dxa"/>
            <w:vMerge/>
            <w:hideMark/>
          </w:tcPr>
          <w:p w14:paraId="50C4CD1F"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857" w:type="dxa"/>
            <w:noWrap/>
            <w:hideMark/>
          </w:tcPr>
          <w:p w14:paraId="28FE0B95"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CF51D1">
              <w:rPr>
                <w:rFonts w:eastAsia="Times New Roman" w:cs="Times New Roman"/>
                <w:b/>
                <w:sz w:val="20"/>
                <w:szCs w:val="20"/>
                <w:lang w:eastAsia="pl-PL"/>
              </w:rPr>
              <w:t>w osobach</w:t>
            </w:r>
          </w:p>
        </w:tc>
        <w:tc>
          <w:tcPr>
            <w:tcW w:w="1855" w:type="dxa"/>
            <w:hideMark/>
          </w:tcPr>
          <w:p w14:paraId="350F2D7E"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CF51D1">
              <w:rPr>
                <w:rFonts w:eastAsia="Times New Roman" w:cs="Times New Roman"/>
                <w:b/>
                <w:sz w:val="20"/>
                <w:szCs w:val="20"/>
                <w:lang w:eastAsia="pl-PL"/>
              </w:rPr>
              <w:t>w %</w:t>
            </w:r>
          </w:p>
        </w:tc>
      </w:tr>
      <w:tr w:rsidR="000171D5" w:rsidRPr="00CF51D1" w14:paraId="0941448D"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1BE6D8D4" w14:textId="77777777" w:rsidR="000171D5" w:rsidRPr="00CF51D1" w:rsidRDefault="000171D5" w:rsidP="00AD7202">
            <w:pPr>
              <w:spacing w:line="240" w:lineRule="auto"/>
              <w:rPr>
                <w:rFonts w:eastAsia="Times New Roman" w:cs="Times New Roman"/>
                <w:b w:val="0"/>
                <w:bCs w:val="0"/>
                <w:color w:val="auto"/>
                <w:sz w:val="20"/>
                <w:szCs w:val="20"/>
                <w:lang w:eastAsia="pl-PL"/>
              </w:rPr>
            </w:pPr>
            <w:r w:rsidRPr="00CF51D1">
              <w:rPr>
                <w:rFonts w:eastAsia="Times New Roman" w:cs="Times New Roman"/>
                <w:color w:val="auto"/>
                <w:sz w:val="20"/>
                <w:szCs w:val="20"/>
                <w:lang w:eastAsia="pl-PL"/>
              </w:rPr>
              <w:t xml:space="preserve">POLSKA   </w:t>
            </w:r>
          </w:p>
        </w:tc>
        <w:tc>
          <w:tcPr>
            <w:tcW w:w="1860" w:type="dxa"/>
            <w:hideMark/>
          </w:tcPr>
          <w:p w14:paraId="02190DDE"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CF51D1">
              <w:rPr>
                <w:rFonts w:cs="Times New Roman"/>
                <w:sz w:val="20"/>
                <w:szCs w:val="20"/>
              </w:rPr>
              <w:t>4 919 292</w:t>
            </w:r>
          </w:p>
        </w:tc>
        <w:tc>
          <w:tcPr>
            <w:tcW w:w="1857" w:type="dxa"/>
            <w:hideMark/>
          </w:tcPr>
          <w:p w14:paraId="1635B0C1"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CF51D1">
              <w:rPr>
                <w:rFonts w:cs="Times New Roman"/>
                <w:sz w:val="20"/>
                <w:szCs w:val="20"/>
              </w:rPr>
              <w:t>835 682</w:t>
            </w:r>
          </w:p>
        </w:tc>
        <w:tc>
          <w:tcPr>
            <w:tcW w:w="1855" w:type="dxa"/>
            <w:hideMark/>
          </w:tcPr>
          <w:p w14:paraId="24CA8AF3"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20"/>
                <w:szCs w:val="20"/>
                <w:lang w:eastAsia="pl-PL"/>
              </w:rPr>
            </w:pPr>
            <w:r w:rsidRPr="00CF51D1">
              <w:rPr>
                <w:rFonts w:cs="Times New Roman"/>
                <w:sz w:val="20"/>
                <w:szCs w:val="20"/>
              </w:rPr>
              <w:t>17,0</w:t>
            </w:r>
          </w:p>
        </w:tc>
      </w:tr>
      <w:tr w:rsidR="000171D5" w:rsidRPr="00CF51D1" w14:paraId="495470B1"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27EF9883" w14:textId="77777777" w:rsidR="000171D5" w:rsidRPr="00CF51D1" w:rsidRDefault="000171D5" w:rsidP="00AD7202">
            <w:pPr>
              <w:spacing w:line="240" w:lineRule="auto"/>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Dolnośląskie</w:t>
            </w:r>
          </w:p>
        </w:tc>
        <w:tc>
          <w:tcPr>
            <w:tcW w:w="1860" w:type="dxa"/>
            <w:hideMark/>
          </w:tcPr>
          <w:p w14:paraId="2DBA916A"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352 862</w:t>
            </w:r>
          </w:p>
        </w:tc>
        <w:tc>
          <w:tcPr>
            <w:tcW w:w="1857" w:type="dxa"/>
            <w:hideMark/>
          </w:tcPr>
          <w:p w14:paraId="69694F58"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67 521</w:t>
            </w:r>
          </w:p>
        </w:tc>
        <w:tc>
          <w:tcPr>
            <w:tcW w:w="1855" w:type="dxa"/>
            <w:hideMark/>
          </w:tcPr>
          <w:p w14:paraId="0815D9E2"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19,1</w:t>
            </w:r>
          </w:p>
        </w:tc>
      </w:tr>
      <w:tr w:rsidR="000171D5" w:rsidRPr="00CF51D1" w14:paraId="3658E48A"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47741BFA" w14:textId="77777777" w:rsidR="000171D5" w:rsidRPr="00CF51D1" w:rsidRDefault="000171D5" w:rsidP="00AD7202">
            <w:pPr>
              <w:spacing w:line="240" w:lineRule="auto"/>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Kujawsko-pomorskie</w:t>
            </w:r>
          </w:p>
        </w:tc>
        <w:tc>
          <w:tcPr>
            <w:tcW w:w="1860" w:type="dxa"/>
            <w:hideMark/>
          </w:tcPr>
          <w:p w14:paraId="4C623251"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202 190</w:t>
            </w:r>
          </w:p>
        </w:tc>
        <w:tc>
          <w:tcPr>
            <w:tcW w:w="1857" w:type="dxa"/>
            <w:hideMark/>
          </w:tcPr>
          <w:p w14:paraId="6E3127DD"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36 061</w:t>
            </w:r>
          </w:p>
        </w:tc>
        <w:tc>
          <w:tcPr>
            <w:tcW w:w="1855" w:type="dxa"/>
            <w:hideMark/>
          </w:tcPr>
          <w:p w14:paraId="6ED32C56"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17,8</w:t>
            </w:r>
          </w:p>
        </w:tc>
      </w:tr>
      <w:tr w:rsidR="000171D5" w:rsidRPr="00CF51D1" w14:paraId="0501268E"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0B44615F" w14:textId="77777777" w:rsidR="000171D5" w:rsidRPr="00CF51D1" w:rsidRDefault="000171D5" w:rsidP="00AD7202">
            <w:pPr>
              <w:spacing w:line="240" w:lineRule="auto"/>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Lubelskie</w:t>
            </w:r>
          </w:p>
        </w:tc>
        <w:tc>
          <w:tcPr>
            <w:tcW w:w="1860" w:type="dxa"/>
            <w:hideMark/>
          </w:tcPr>
          <w:p w14:paraId="595827D1"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293 883</w:t>
            </w:r>
          </w:p>
        </w:tc>
        <w:tc>
          <w:tcPr>
            <w:tcW w:w="1857" w:type="dxa"/>
            <w:hideMark/>
          </w:tcPr>
          <w:p w14:paraId="25FC6082"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43 934</w:t>
            </w:r>
          </w:p>
        </w:tc>
        <w:tc>
          <w:tcPr>
            <w:tcW w:w="1855" w:type="dxa"/>
            <w:hideMark/>
          </w:tcPr>
          <w:p w14:paraId="5E0F1E10"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14,9</w:t>
            </w:r>
          </w:p>
        </w:tc>
      </w:tr>
      <w:tr w:rsidR="000171D5" w:rsidRPr="00CF51D1" w14:paraId="3A5F977D"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1830C7CA" w14:textId="77777777" w:rsidR="000171D5" w:rsidRPr="00CF51D1" w:rsidRDefault="000171D5" w:rsidP="00AD7202">
            <w:pPr>
              <w:spacing w:line="240" w:lineRule="auto"/>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Lubuskie</w:t>
            </w:r>
          </w:p>
        </w:tc>
        <w:tc>
          <w:tcPr>
            <w:tcW w:w="1860" w:type="dxa"/>
            <w:hideMark/>
          </w:tcPr>
          <w:p w14:paraId="226D5EAF"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108 637</w:t>
            </w:r>
          </w:p>
        </w:tc>
        <w:tc>
          <w:tcPr>
            <w:tcW w:w="1857" w:type="dxa"/>
            <w:hideMark/>
          </w:tcPr>
          <w:p w14:paraId="58D6324B"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19 373</w:t>
            </w:r>
          </w:p>
        </w:tc>
        <w:tc>
          <w:tcPr>
            <w:tcW w:w="1855" w:type="dxa"/>
            <w:hideMark/>
          </w:tcPr>
          <w:p w14:paraId="2C545578"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17,8</w:t>
            </w:r>
          </w:p>
        </w:tc>
      </w:tr>
      <w:tr w:rsidR="000171D5" w:rsidRPr="00CF51D1" w14:paraId="159154BB"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00436769" w14:textId="77777777" w:rsidR="000171D5" w:rsidRPr="00CF51D1" w:rsidRDefault="000171D5" w:rsidP="00AD7202">
            <w:pPr>
              <w:spacing w:line="240" w:lineRule="auto"/>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Łódzkie</w:t>
            </w:r>
          </w:p>
        </w:tc>
        <w:tc>
          <w:tcPr>
            <w:tcW w:w="1860" w:type="dxa"/>
            <w:hideMark/>
          </w:tcPr>
          <w:p w14:paraId="34E2E82F"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313 978</w:t>
            </w:r>
          </w:p>
        </w:tc>
        <w:tc>
          <w:tcPr>
            <w:tcW w:w="1857" w:type="dxa"/>
            <w:hideMark/>
          </w:tcPr>
          <w:p w14:paraId="7FF22006"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61 883</w:t>
            </w:r>
          </w:p>
        </w:tc>
        <w:tc>
          <w:tcPr>
            <w:tcW w:w="1855" w:type="dxa"/>
            <w:hideMark/>
          </w:tcPr>
          <w:p w14:paraId="06C38350"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19,7</w:t>
            </w:r>
          </w:p>
        </w:tc>
      </w:tr>
      <w:tr w:rsidR="000171D5" w:rsidRPr="00CF51D1" w14:paraId="757E875E"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036C340C" w14:textId="77777777" w:rsidR="000171D5" w:rsidRPr="00CF51D1" w:rsidRDefault="000171D5" w:rsidP="00AD7202">
            <w:pPr>
              <w:spacing w:line="240" w:lineRule="auto"/>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Małopolskie</w:t>
            </w:r>
          </w:p>
        </w:tc>
        <w:tc>
          <w:tcPr>
            <w:tcW w:w="1860" w:type="dxa"/>
            <w:hideMark/>
          </w:tcPr>
          <w:p w14:paraId="691566FB"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545 862</w:t>
            </w:r>
          </w:p>
        </w:tc>
        <w:tc>
          <w:tcPr>
            <w:tcW w:w="1857" w:type="dxa"/>
            <w:hideMark/>
          </w:tcPr>
          <w:p w14:paraId="751C94FB"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77 140</w:t>
            </w:r>
          </w:p>
        </w:tc>
        <w:tc>
          <w:tcPr>
            <w:tcW w:w="1855" w:type="dxa"/>
            <w:hideMark/>
          </w:tcPr>
          <w:p w14:paraId="648C4D4E"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14,1</w:t>
            </w:r>
          </w:p>
        </w:tc>
      </w:tr>
      <w:tr w:rsidR="000171D5" w:rsidRPr="00CF51D1" w14:paraId="7E5DB4E7"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121C1FC8" w14:textId="77777777" w:rsidR="000171D5" w:rsidRPr="00CF51D1" w:rsidRDefault="000171D5" w:rsidP="00AD7202">
            <w:pPr>
              <w:spacing w:line="240" w:lineRule="auto"/>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Mazowieckie</w:t>
            </w:r>
          </w:p>
        </w:tc>
        <w:tc>
          <w:tcPr>
            <w:tcW w:w="1860" w:type="dxa"/>
            <w:hideMark/>
          </w:tcPr>
          <w:p w14:paraId="5BFBEE3B"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777 032</w:t>
            </w:r>
          </w:p>
        </w:tc>
        <w:tc>
          <w:tcPr>
            <w:tcW w:w="1857" w:type="dxa"/>
            <w:hideMark/>
          </w:tcPr>
          <w:p w14:paraId="6AEF3E93"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130 948</w:t>
            </w:r>
          </w:p>
        </w:tc>
        <w:tc>
          <w:tcPr>
            <w:tcW w:w="1855" w:type="dxa"/>
            <w:hideMark/>
          </w:tcPr>
          <w:p w14:paraId="774071E1"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16,9</w:t>
            </w:r>
          </w:p>
        </w:tc>
      </w:tr>
      <w:tr w:rsidR="000171D5" w:rsidRPr="00CF51D1" w14:paraId="3651E79A"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6BF1FEF9" w14:textId="77777777" w:rsidR="000171D5" w:rsidRPr="00CF51D1" w:rsidRDefault="000171D5" w:rsidP="00AD7202">
            <w:pPr>
              <w:spacing w:line="240" w:lineRule="auto"/>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Opolskie</w:t>
            </w:r>
          </w:p>
        </w:tc>
        <w:tc>
          <w:tcPr>
            <w:tcW w:w="1860" w:type="dxa"/>
            <w:hideMark/>
          </w:tcPr>
          <w:p w14:paraId="3DCF7671"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121 621</w:t>
            </w:r>
          </w:p>
        </w:tc>
        <w:tc>
          <w:tcPr>
            <w:tcW w:w="1857" w:type="dxa"/>
            <w:hideMark/>
          </w:tcPr>
          <w:p w14:paraId="5AFF9AC0"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20 305</w:t>
            </w:r>
          </w:p>
        </w:tc>
        <w:tc>
          <w:tcPr>
            <w:tcW w:w="1855" w:type="dxa"/>
            <w:hideMark/>
          </w:tcPr>
          <w:p w14:paraId="1AE09F74"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16,7</w:t>
            </w:r>
          </w:p>
        </w:tc>
      </w:tr>
      <w:tr w:rsidR="000171D5" w:rsidRPr="00CF51D1" w14:paraId="19C43676"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7F2EDD34" w14:textId="77777777" w:rsidR="000171D5" w:rsidRPr="00CF51D1" w:rsidRDefault="000171D5" w:rsidP="00AD7202">
            <w:pPr>
              <w:spacing w:line="240" w:lineRule="auto"/>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Podkarpackie</w:t>
            </w:r>
          </w:p>
        </w:tc>
        <w:tc>
          <w:tcPr>
            <w:tcW w:w="1860" w:type="dxa"/>
            <w:hideMark/>
          </w:tcPr>
          <w:p w14:paraId="43E90110"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273 761</w:t>
            </w:r>
          </w:p>
        </w:tc>
        <w:tc>
          <w:tcPr>
            <w:tcW w:w="1857" w:type="dxa"/>
            <w:hideMark/>
          </w:tcPr>
          <w:p w14:paraId="5CDA8F50"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36 745</w:t>
            </w:r>
          </w:p>
        </w:tc>
        <w:tc>
          <w:tcPr>
            <w:tcW w:w="1855" w:type="dxa"/>
            <w:hideMark/>
          </w:tcPr>
          <w:p w14:paraId="47B8DB5C"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13,4</w:t>
            </w:r>
          </w:p>
        </w:tc>
      </w:tr>
      <w:tr w:rsidR="000171D5" w:rsidRPr="00CF51D1" w14:paraId="4FD053CB"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1769FEC6" w14:textId="77777777" w:rsidR="000171D5" w:rsidRPr="00CF51D1" w:rsidRDefault="000171D5" w:rsidP="00AD7202">
            <w:pPr>
              <w:spacing w:line="240" w:lineRule="auto"/>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Podlaskie</w:t>
            </w:r>
          </w:p>
        </w:tc>
        <w:tc>
          <w:tcPr>
            <w:tcW w:w="1860" w:type="dxa"/>
            <w:hideMark/>
          </w:tcPr>
          <w:p w14:paraId="585FA45B"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121 871</w:t>
            </w:r>
          </w:p>
        </w:tc>
        <w:tc>
          <w:tcPr>
            <w:tcW w:w="1857" w:type="dxa"/>
            <w:hideMark/>
          </w:tcPr>
          <w:p w14:paraId="68311A43"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18 385</w:t>
            </w:r>
          </w:p>
        </w:tc>
        <w:tc>
          <w:tcPr>
            <w:tcW w:w="1855" w:type="dxa"/>
            <w:hideMark/>
          </w:tcPr>
          <w:p w14:paraId="3EC96910"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15,1</w:t>
            </w:r>
          </w:p>
        </w:tc>
      </w:tr>
      <w:tr w:rsidR="000171D5" w:rsidRPr="00CF51D1" w14:paraId="79D4F9A8"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062B6971" w14:textId="77777777" w:rsidR="000171D5" w:rsidRPr="00CF51D1" w:rsidRDefault="000171D5" w:rsidP="00AD7202">
            <w:pPr>
              <w:spacing w:line="240" w:lineRule="auto"/>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Pomorskie</w:t>
            </w:r>
          </w:p>
        </w:tc>
        <w:tc>
          <w:tcPr>
            <w:tcW w:w="1860" w:type="dxa"/>
            <w:hideMark/>
          </w:tcPr>
          <w:p w14:paraId="4A78CD98"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310 331</w:t>
            </w:r>
          </w:p>
        </w:tc>
        <w:tc>
          <w:tcPr>
            <w:tcW w:w="1857" w:type="dxa"/>
            <w:hideMark/>
          </w:tcPr>
          <w:p w14:paraId="17742D3E"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55 776</w:t>
            </w:r>
          </w:p>
        </w:tc>
        <w:tc>
          <w:tcPr>
            <w:tcW w:w="1855" w:type="dxa"/>
            <w:hideMark/>
          </w:tcPr>
          <w:p w14:paraId="5EF86203"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18,0</w:t>
            </w:r>
          </w:p>
        </w:tc>
      </w:tr>
      <w:tr w:rsidR="000171D5" w:rsidRPr="00CF51D1" w14:paraId="06F447D8"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7A7AA9CC" w14:textId="77777777" w:rsidR="000171D5" w:rsidRPr="00CF51D1" w:rsidRDefault="000171D5" w:rsidP="00AD7202">
            <w:pPr>
              <w:spacing w:line="240" w:lineRule="auto"/>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Śląskie</w:t>
            </w:r>
          </w:p>
        </w:tc>
        <w:tc>
          <w:tcPr>
            <w:tcW w:w="1860" w:type="dxa"/>
            <w:hideMark/>
          </w:tcPr>
          <w:p w14:paraId="4ED0FC68"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616 874</w:t>
            </w:r>
          </w:p>
        </w:tc>
        <w:tc>
          <w:tcPr>
            <w:tcW w:w="1857" w:type="dxa"/>
            <w:hideMark/>
          </w:tcPr>
          <w:p w14:paraId="42700104"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117 531</w:t>
            </w:r>
          </w:p>
        </w:tc>
        <w:tc>
          <w:tcPr>
            <w:tcW w:w="1855" w:type="dxa"/>
            <w:hideMark/>
          </w:tcPr>
          <w:p w14:paraId="5DE3CB1F"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19,1</w:t>
            </w:r>
          </w:p>
        </w:tc>
      </w:tr>
      <w:tr w:rsidR="000171D5" w:rsidRPr="00CF51D1" w14:paraId="3EB444A7"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6474EC4E" w14:textId="77777777" w:rsidR="000171D5" w:rsidRPr="00CF51D1" w:rsidRDefault="000171D5" w:rsidP="00AD7202">
            <w:pPr>
              <w:spacing w:line="240" w:lineRule="auto"/>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Świętokrzyskie</w:t>
            </w:r>
          </w:p>
        </w:tc>
        <w:tc>
          <w:tcPr>
            <w:tcW w:w="1860" w:type="dxa"/>
            <w:hideMark/>
          </w:tcPr>
          <w:p w14:paraId="749A4712"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126 390</w:t>
            </w:r>
          </w:p>
        </w:tc>
        <w:tc>
          <w:tcPr>
            <w:tcW w:w="1857" w:type="dxa"/>
            <w:hideMark/>
          </w:tcPr>
          <w:p w14:paraId="5DA57C77"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20 299</w:t>
            </w:r>
          </w:p>
        </w:tc>
        <w:tc>
          <w:tcPr>
            <w:tcW w:w="1855" w:type="dxa"/>
            <w:hideMark/>
          </w:tcPr>
          <w:p w14:paraId="30A4D60C"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16,1</w:t>
            </w:r>
          </w:p>
        </w:tc>
      </w:tr>
      <w:tr w:rsidR="000171D5" w:rsidRPr="00CF51D1" w14:paraId="6170249B"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24BAA0A6" w14:textId="77777777" w:rsidR="000171D5" w:rsidRPr="00CF51D1" w:rsidRDefault="000171D5" w:rsidP="00AD7202">
            <w:pPr>
              <w:spacing w:line="240" w:lineRule="auto"/>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Warmińsko-mazurskie</w:t>
            </w:r>
          </w:p>
        </w:tc>
        <w:tc>
          <w:tcPr>
            <w:tcW w:w="1860" w:type="dxa"/>
            <w:hideMark/>
          </w:tcPr>
          <w:p w14:paraId="26B1BBF3"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159 454</w:t>
            </w:r>
          </w:p>
        </w:tc>
        <w:tc>
          <w:tcPr>
            <w:tcW w:w="1857" w:type="dxa"/>
            <w:hideMark/>
          </w:tcPr>
          <w:p w14:paraId="0B84233C"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28 496</w:t>
            </w:r>
          </w:p>
        </w:tc>
        <w:tc>
          <w:tcPr>
            <w:tcW w:w="1855" w:type="dxa"/>
            <w:hideMark/>
          </w:tcPr>
          <w:p w14:paraId="674872FC"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17,9</w:t>
            </w:r>
          </w:p>
        </w:tc>
      </w:tr>
      <w:tr w:rsidR="000171D5" w:rsidRPr="00CF51D1" w14:paraId="4B992CE9" w14:textId="77777777" w:rsidTr="00AD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26394034" w14:textId="77777777" w:rsidR="000171D5" w:rsidRPr="00CF51D1" w:rsidRDefault="000171D5" w:rsidP="00AD7202">
            <w:pPr>
              <w:spacing w:line="240" w:lineRule="auto"/>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Wielkopolskie</w:t>
            </w:r>
          </w:p>
        </w:tc>
        <w:tc>
          <w:tcPr>
            <w:tcW w:w="1860" w:type="dxa"/>
            <w:hideMark/>
          </w:tcPr>
          <w:p w14:paraId="7D60C1F6"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419 776</w:t>
            </w:r>
          </w:p>
        </w:tc>
        <w:tc>
          <w:tcPr>
            <w:tcW w:w="1857" w:type="dxa"/>
            <w:hideMark/>
          </w:tcPr>
          <w:p w14:paraId="03FDE79E"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65 490</w:t>
            </w:r>
          </w:p>
        </w:tc>
        <w:tc>
          <w:tcPr>
            <w:tcW w:w="1855" w:type="dxa"/>
            <w:hideMark/>
          </w:tcPr>
          <w:p w14:paraId="3EAB4595" w14:textId="77777777" w:rsidR="000171D5" w:rsidRPr="00CF51D1" w:rsidRDefault="000171D5" w:rsidP="00AD720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15,6</w:t>
            </w:r>
          </w:p>
        </w:tc>
      </w:tr>
      <w:tr w:rsidR="000171D5" w:rsidRPr="00CF51D1" w14:paraId="00C4644D" w14:textId="77777777" w:rsidTr="00AD7202">
        <w:trPr>
          <w:trHeight w:val="300"/>
        </w:trPr>
        <w:tc>
          <w:tcPr>
            <w:cnfStyle w:val="001000000000" w:firstRow="0" w:lastRow="0" w:firstColumn="1" w:lastColumn="0" w:oddVBand="0" w:evenVBand="0" w:oddHBand="0" w:evenHBand="0" w:firstRowFirstColumn="0" w:firstRowLastColumn="0" w:lastRowFirstColumn="0" w:lastRowLastColumn="0"/>
            <w:tcW w:w="2648" w:type="dxa"/>
            <w:noWrap/>
            <w:hideMark/>
          </w:tcPr>
          <w:p w14:paraId="4E5CC0EF" w14:textId="77777777" w:rsidR="000171D5" w:rsidRPr="00CF51D1" w:rsidRDefault="000171D5" w:rsidP="00AD7202">
            <w:pPr>
              <w:spacing w:line="240" w:lineRule="auto"/>
              <w:rPr>
                <w:rFonts w:eastAsia="Times New Roman" w:cs="Times New Roman"/>
                <w:b w:val="0"/>
                <w:color w:val="auto"/>
                <w:sz w:val="20"/>
                <w:szCs w:val="20"/>
                <w:lang w:eastAsia="pl-PL"/>
              </w:rPr>
            </w:pPr>
            <w:r w:rsidRPr="00CF51D1">
              <w:rPr>
                <w:rFonts w:eastAsia="Times New Roman" w:cs="Times New Roman"/>
                <w:color w:val="auto"/>
                <w:sz w:val="20"/>
                <w:szCs w:val="20"/>
                <w:lang w:eastAsia="pl-PL"/>
              </w:rPr>
              <w:t>Zachodniopomorskie</w:t>
            </w:r>
          </w:p>
        </w:tc>
        <w:tc>
          <w:tcPr>
            <w:tcW w:w="1860" w:type="dxa"/>
            <w:hideMark/>
          </w:tcPr>
          <w:p w14:paraId="576265F1"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174 770</w:t>
            </w:r>
          </w:p>
        </w:tc>
        <w:tc>
          <w:tcPr>
            <w:tcW w:w="1857" w:type="dxa"/>
            <w:hideMark/>
          </w:tcPr>
          <w:p w14:paraId="74EDB593"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35 795</w:t>
            </w:r>
          </w:p>
        </w:tc>
        <w:tc>
          <w:tcPr>
            <w:tcW w:w="1855" w:type="dxa"/>
            <w:hideMark/>
          </w:tcPr>
          <w:p w14:paraId="5E5BBF3D" w14:textId="77777777" w:rsidR="000171D5" w:rsidRPr="00CF51D1" w:rsidRDefault="000171D5" w:rsidP="00AD720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F51D1">
              <w:rPr>
                <w:rFonts w:cs="Times New Roman"/>
                <w:sz w:val="20"/>
                <w:szCs w:val="20"/>
              </w:rPr>
              <w:t>20,5</w:t>
            </w:r>
          </w:p>
        </w:tc>
      </w:tr>
    </w:tbl>
    <w:p w14:paraId="094888FC" w14:textId="77777777" w:rsidR="000171D5" w:rsidRPr="00CF51D1" w:rsidRDefault="000171D5" w:rsidP="000171D5">
      <w:pPr>
        <w:rPr>
          <w:rFonts w:cs="Times New Roman"/>
          <w:b/>
        </w:rPr>
      </w:pPr>
      <w:r w:rsidRPr="00CF51D1">
        <w:rPr>
          <w:rFonts w:cs="Times New Roman"/>
          <w:b/>
        </w:rPr>
        <w:t>Źródło:  Badanie GUS (sprawozdanie K-03)</w:t>
      </w:r>
    </w:p>
    <w:p w14:paraId="6C5B2FF5" w14:textId="77777777" w:rsidR="00687F06" w:rsidRPr="00687F06" w:rsidRDefault="00687F06" w:rsidP="00687F06"/>
    <w:p w14:paraId="5D354CE6" w14:textId="370876D1" w:rsidR="007574FB" w:rsidRPr="00430970" w:rsidRDefault="007574FB" w:rsidP="00392F2F">
      <w:pPr>
        <w:pStyle w:val="Nagwek2"/>
        <w:ind w:hanging="788"/>
      </w:pPr>
      <w:bookmarkStart w:id="55" w:name="_Toc80523056"/>
      <w:r w:rsidRPr="00430970">
        <w:t>Równe traktowanie i przeciwdziałanie dyskryminacji</w:t>
      </w:r>
      <w:bookmarkEnd w:id="55"/>
    </w:p>
    <w:p w14:paraId="60D3F46F" w14:textId="3D995B19" w:rsidR="007574FB" w:rsidRPr="00430970" w:rsidRDefault="007574FB" w:rsidP="007574FB">
      <w:pPr>
        <w:pStyle w:val="Teksttreci0"/>
        <w:shd w:val="clear" w:color="auto" w:fill="auto"/>
        <w:spacing w:after="0" w:line="276" w:lineRule="auto"/>
        <w:ind w:left="20" w:right="20" w:firstLine="0"/>
        <w:jc w:val="both"/>
        <w:rPr>
          <w:sz w:val="24"/>
        </w:rPr>
      </w:pPr>
      <w:r w:rsidRPr="00430970">
        <w:rPr>
          <w:sz w:val="24"/>
        </w:rPr>
        <w:t>Zgodnie ze zmianą wprowadzoną na podstawie art. 70 ustawy z dnia 23 stycznia 2020 r. o</w:t>
      </w:r>
      <w:r w:rsidR="00C1110C">
        <w:rPr>
          <w:sz w:val="24"/>
        </w:rPr>
        <w:t> </w:t>
      </w:r>
      <w:r w:rsidRPr="00430970">
        <w:rPr>
          <w:sz w:val="24"/>
        </w:rPr>
        <w:t>zmianie ustawy o  działaniach administracji rządowej oraz niektórych innych ustaw (Dz.</w:t>
      </w:r>
      <w:r w:rsidR="00E959A7">
        <w:rPr>
          <w:sz w:val="24"/>
        </w:rPr>
        <w:t xml:space="preserve"> </w:t>
      </w:r>
      <w:r w:rsidRPr="00430970">
        <w:rPr>
          <w:sz w:val="24"/>
        </w:rPr>
        <w:t>U. 2020 r. poz. 284) Pełnomocnik Rządu do Spraw Równego Traktowania został przeniesiony z dniem 29 lutego 2020 r</w:t>
      </w:r>
      <w:r>
        <w:rPr>
          <w:sz w:val="24"/>
        </w:rPr>
        <w:t>. do Ministerstwa Rodziny</w:t>
      </w:r>
      <w:r w:rsidRPr="00430970">
        <w:rPr>
          <w:sz w:val="24"/>
        </w:rPr>
        <w:t xml:space="preserve"> i Polityki Społecznej.</w:t>
      </w:r>
    </w:p>
    <w:p w14:paraId="3E554135" w14:textId="77777777" w:rsidR="007574FB" w:rsidRDefault="007574FB" w:rsidP="007574FB">
      <w:pPr>
        <w:pStyle w:val="Teksttreci0"/>
        <w:shd w:val="clear" w:color="auto" w:fill="auto"/>
        <w:spacing w:after="0" w:line="276" w:lineRule="auto"/>
        <w:ind w:left="20" w:right="20" w:firstLine="0"/>
        <w:jc w:val="both"/>
        <w:rPr>
          <w:color w:val="FF0000"/>
          <w:sz w:val="24"/>
        </w:rPr>
      </w:pPr>
    </w:p>
    <w:p w14:paraId="67B363E5" w14:textId="2E70529D" w:rsidR="007574FB" w:rsidRDefault="007574FB" w:rsidP="007574FB">
      <w:pPr>
        <w:pStyle w:val="Teksttreci0"/>
        <w:shd w:val="clear" w:color="auto" w:fill="auto"/>
        <w:spacing w:after="0" w:line="276" w:lineRule="auto"/>
        <w:ind w:left="20" w:right="20" w:firstLine="0"/>
        <w:jc w:val="both"/>
        <w:rPr>
          <w:bCs/>
          <w:color w:val="FF0000"/>
          <w:sz w:val="24"/>
        </w:rPr>
      </w:pPr>
      <w:r w:rsidRPr="00430970">
        <w:rPr>
          <w:sz w:val="24"/>
        </w:rPr>
        <w:t xml:space="preserve">W 2020 </w:t>
      </w:r>
      <w:r w:rsidR="00E959A7">
        <w:rPr>
          <w:sz w:val="24"/>
        </w:rPr>
        <w:t>r.</w:t>
      </w:r>
      <w:r w:rsidRPr="00430970">
        <w:rPr>
          <w:sz w:val="24"/>
        </w:rPr>
        <w:t xml:space="preserve"> nastąpiło nowe otwarcie prac nad dokumentem pn. ,,</w:t>
      </w:r>
      <w:r w:rsidRPr="00430970">
        <w:t xml:space="preserve"> </w:t>
      </w:r>
      <w:r w:rsidRPr="00430970">
        <w:rPr>
          <w:sz w:val="24"/>
        </w:rPr>
        <w:t>Krajowy Program Działań na rzecz Równego Traktowania na lata 2021-2030”. Przygotowany projekt ww. opracowania został poddany konsultacją wewnątrz resor</w:t>
      </w:r>
      <w:r>
        <w:rPr>
          <w:sz w:val="24"/>
        </w:rPr>
        <w:t xml:space="preserve">towych, a następnie był </w:t>
      </w:r>
      <w:r w:rsidRPr="00430970">
        <w:rPr>
          <w:sz w:val="24"/>
        </w:rPr>
        <w:t>przedmiotem prac</w:t>
      </w:r>
      <w:r w:rsidRPr="00430970">
        <w:rPr>
          <w:bCs/>
          <w:sz w:val="24"/>
        </w:rPr>
        <w:t xml:space="preserve"> międzyresortowych</w:t>
      </w:r>
      <w:r>
        <w:rPr>
          <w:bCs/>
          <w:sz w:val="24"/>
        </w:rPr>
        <w:t>, w których uczestniczyły</w:t>
      </w:r>
      <w:r w:rsidRPr="00430970">
        <w:rPr>
          <w:bCs/>
          <w:sz w:val="24"/>
        </w:rPr>
        <w:t xml:space="preserve"> organy administracji rządowej i urzędy centralne, Komisja Wspólna Rządu i Samorządu Terytorialnego, Rada Dialogu Społecznego, Komisja Europejska oraz organizacje pozarządowe. </w:t>
      </w:r>
    </w:p>
    <w:p w14:paraId="680C39A1" w14:textId="77777777" w:rsidR="007574FB" w:rsidRDefault="007574FB" w:rsidP="007574FB">
      <w:pPr>
        <w:pStyle w:val="Teksttreci0"/>
        <w:shd w:val="clear" w:color="auto" w:fill="auto"/>
        <w:spacing w:after="0" w:line="276" w:lineRule="auto"/>
        <w:ind w:left="20" w:right="20" w:firstLine="0"/>
        <w:jc w:val="both"/>
        <w:rPr>
          <w:bCs/>
          <w:color w:val="FF0000"/>
          <w:sz w:val="24"/>
        </w:rPr>
      </w:pPr>
    </w:p>
    <w:p w14:paraId="380BD5D7" w14:textId="2A711976" w:rsidR="007574FB" w:rsidRDefault="007574FB" w:rsidP="007574FB">
      <w:pPr>
        <w:pStyle w:val="Teksttreci0"/>
        <w:shd w:val="clear" w:color="auto" w:fill="auto"/>
        <w:spacing w:after="0" w:line="276" w:lineRule="auto"/>
        <w:ind w:left="20" w:right="20" w:firstLine="0"/>
        <w:jc w:val="both"/>
        <w:rPr>
          <w:bCs/>
          <w:sz w:val="24"/>
        </w:rPr>
      </w:pPr>
      <w:r w:rsidRPr="00430970">
        <w:rPr>
          <w:bCs/>
          <w:sz w:val="24"/>
        </w:rPr>
        <w:t>Biuro Pełnomocnika Rządu ds. Równego Traktowania zaprosiło również obywateli do</w:t>
      </w:r>
      <w:r w:rsidR="00C1110C">
        <w:rPr>
          <w:bCs/>
          <w:sz w:val="24"/>
        </w:rPr>
        <w:t> </w:t>
      </w:r>
      <w:r w:rsidRPr="00430970">
        <w:rPr>
          <w:bCs/>
          <w:sz w:val="24"/>
        </w:rPr>
        <w:t xml:space="preserve">zgłaszania swoich pomysłów i sugestii do uwzględnienia w dokumencie - między 4 lipca </w:t>
      </w:r>
      <w:r w:rsidRPr="00430970">
        <w:rPr>
          <w:bCs/>
          <w:sz w:val="24"/>
        </w:rPr>
        <w:lastRenderedPageBreak/>
        <w:t>a</w:t>
      </w:r>
      <w:r w:rsidR="00C1110C">
        <w:rPr>
          <w:bCs/>
          <w:sz w:val="24"/>
        </w:rPr>
        <w:t> </w:t>
      </w:r>
      <w:r w:rsidRPr="00430970">
        <w:rPr>
          <w:bCs/>
          <w:sz w:val="24"/>
        </w:rPr>
        <w:t>19 listopada 2020 r. za pośrednictwem formularza internetowego „Zgłoś pomysł”, umieszczonego na stronie internetowej Pełnomocnika Rządu ds. Równego Traktowania wpłynęło 1150 formularzy. Projekt został również skierowany do konsultacji publicznych, które odbywały się między 24 listopada a 18 grudnia 2020 r. za pośrednictwem formularza internetowego, umieszczonego na stronie internetowej Pełnomocnika Rządu ds. Równego Traktowania – w ich wyniku wpłynęły uwagi i propozycje od 29 podmiotów oraz osób prywatnych.</w:t>
      </w:r>
    </w:p>
    <w:p w14:paraId="391778B7" w14:textId="77777777" w:rsidR="007574FB" w:rsidRDefault="007574FB" w:rsidP="007574FB">
      <w:pPr>
        <w:pStyle w:val="Teksttreci0"/>
        <w:shd w:val="clear" w:color="auto" w:fill="auto"/>
        <w:spacing w:after="0" w:line="276" w:lineRule="auto"/>
        <w:ind w:left="20" w:right="20" w:firstLine="0"/>
        <w:jc w:val="both"/>
        <w:rPr>
          <w:bCs/>
          <w:sz w:val="24"/>
        </w:rPr>
      </w:pPr>
    </w:p>
    <w:p w14:paraId="547ED5A0" w14:textId="77777777" w:rsidR="007574FB" w:rsidRDefault="007574FB" w:rsidP="007574FB">
      <w:pPr>
        <w:pStyle w:val="Teksttreci0"/>
        <w:shd w:val="clear" w:color="auto" w:fill="auto"/>
        <w:spacing w:after="0" w:line="276" w:lineRule="auto"/>
        <w:ind w:left="20" w:right="20" w:firstLine="0"/>
        <w:jc w:val="both"/>
        <w:rPr>
          <w:bCs/>
          <w:sz w:val="24"/>
        </w:rPr>
      </w:pPr>
      <w:r>
        <w:rPr>
          <w:bCs/>
          <w:sz w:val="24"/>
        </w:rPr>
        <w:t>Opracowany dokument będzie również zawierał obszary interwencji adresowane do grupy osób starszych wśród których należy wymienić:</w:t>
      </w:r>
    </w:p>
    <w:p w14:paraId="20D65077" w14:textId="77777777" w:rsidR="007574FB" w:rsidRDefault="007574FB" w:rsidP="00FE70E3">
      <w:pPr>
        <w:pStyle w:val="Teksttreci0"/>
        <w:numPr>
          <w:ilvl w:val="0"/>
          <w:numId w:val="43"/>
        </w:numPr>
        <w:shd w:val="clear" w:color="auto" w:fill="auto"/>
        <w:spacing w:after="0" w:line="276" w:lineRule="auto"/>
        <w:ind w:right="20"/>
        <w:jc w:val="both"/>
        <w:rPr>
          <w:sz w:val="24"/>
        </w:rPr>
      </w:pPr>
      <w:r>
        <w:rPr>
          <w:sz w:val="24"/>
        </w:rPr>
        <w:t>poprawę</w:t>
      </w:r>
      <w:r w:rsidRPr="004130B8">
        <w:rPr>
          <w:sz w:val="24"/>
        </w:rPr>
        <w:t xml:space="preserve"> dostępności usług publicznych</w:t>
      </w:r>
      <w:r>
        <w:rPr>
          <w:sz w:val="24"/>
        </w:rPr>
        <w:t>,</w:t>
      </w:r>
    </w:p>
    <w:p w14:paraId="58D9A9F0" w14:textId="3696FD58" w:rsidR="007574FB" w:rsidRDefault="007574FB" w:rsidP="00FE70E3">
      <w:pPr>
        <w:pStyle w:val="Teksttreci0"/>
        <w:numPr>
          <w:ilvl w:val="0"/>
          <w:numId w:val="43"/>
        </w:numPr>
        <w:shd w:val="clear" w:color="auto" w:fill="auto"/>
        <w:spacing w:after="0" w:line="276" w:lineRule="auto"/>
        <w:ind w:right="20"/>
        <w:jc w:val="both"/>
        <w:rPr>
          <w:sz w:val="24"/>
        </w:rPr>
      </w:pPr>
      <w:r>
        <w:rPr>
          <w:sz w:val="24"/>
        </w:rPr>
        <w:t>r</w:t>
      </w:r>
      <w:r w:rsidRPr="004130B8">
        <w:rPr>
          <w:sz w:val="24"/>
        </w:rPr>
        <w:t>ealizacja działań zmierzających do kształtowania pozytywnego postrzegania starości i</w:t>
      </w:r>
      <w:r w:rsidR="00C1110C">
        <w:rPr>
          <w:sz w:val="24"/>
        </w:rPr>
        <w:t> </w:t>
      </w:r>
      <w:r w:rsidRPr="004130B8">
        <w:rPr>
          <w:sz w:val="24"/>
        </w:rPr>
        <w:t>osób starszych w społeczeństwie</w:t>
      </w:r>
      <w:r>
        <w:rPr>
          <w:sz w:val="24"/>
        </w:rPr>
        <w:t>,</w:t>
      </w:r>
    </w:p>
    <w:p w14:paraId="31594BAF" w14:textId="69398C61" w:rsidR="007574FB" w:rsidRDefault="007574FB" w:rsidP="00FE70E3">
      <w:pPr>
        <w:pStyle w:val="Teksttreci0"/>
        <w:numPr>
          <w:ilvl w:val="0"/>
          <w:numId w:val="43"/>
        </w:numPr>
        <w:shd w:val="clear" w:color="auto" w:fill="auto"/>
        <w:spacing w:after="0" w:line="276" w:lineRule="auto"/>
        <w:ind w:right="20"/>
        <w:jc w:val="both"/>
        <w:rPr>
          <w:sz w:val="24"/>
        </w:rPr>
      </w:pPr>
      <w:r>
        <w:rPr>
          <w:sz w:val="24"/>
        </w:rPr>
        <w:t>oraz w</w:t>
      </w:r>
      <w:r w:rsidRPr="004130B8">
        <w:rPr>
          <w:sz w:val="24"/>
        </w:rPr>
        <w:t>spieranie osób starszych w pełnieniu roli liderów społecznych</w:t>
      </w:r>
      <w:r>
        <w:rPr>
          <w:sz w:val="24"/>
        </w:rPr>
        <w:t>.</w:t>
      </w:r>
    </w:p>
    <w:p w14:paraId="5FCB42AC" w14:textId="13C9ADBC" w:rsidR="00B61FF5" w:rsidRDefault="00B61FF5" w:rsidP="00B61FF5">
      <w:pPr>
        <w:pStyle w:val="Teksttreci0"/>
        <w:shd w:val="clear" w:color="auto" w:fill="auto"/>
        <w:spacing w:after="0" w:line="276" w:lineRule="auto"/>
        <w:ind w:right="20" w:firstLine="0"/>
        <w:jc w:val="both"/>
        <w:rPr>
          <w:sz w:val="24"/>
        </w:rPr>
      </w:pPr>
    </w:p>
    <w:p w14:paraId="0A3820BA" w14:textId="77777777" w:rsidR="00B61FF5" w:rsidRPr="00B61FF5" w:rsidRDefault="00B61FF5" w:rsidP="00B61FF5">
      <w:pPr>
        <w:pStyle w:val="Nagwek2"/>
        <w:ind w:hanging="788"/>
      </w:pPr>
      <w:bookmarkStart w:id="56" w:name="_Toc80523057"/>
      <w:r w:rsidRPr="00B61FF5">
        <w:t>Sytuacja niepełnosprawnych osób starszych</w:t>
      </w:r>
      <w:bookmarkEnd w:id="56"/>
    </w:p>
    <w:p w14:paraId="7334789C" w14:textId="0BD164E0" w:rsidR="00B61FF5" w:rsidRDefault="009F2D8C" w:rsidP="00340F91">
      <w:pPr>
        <w:rPr>
          <w:rFonts w:eastAsia="Times New Roman" w:cs="Times New Roman"/>
          <w:szCs w:val="24"/>
          <w:lang w:eastAsia="pl-PL"/>
        </w:rPr>
      </w:pPr>
      <w:r w:rsidRPr="00901F5A">
        <w:rPr>
          <w:rFonts w:eastAsia="Times New Roman" w:cs="Times New Roman"/>
          <w:szCs w:val="24"/>
          <w:lang w:eastAsia="pl-PL"/>
        </w:rPr>
        <w:t xml:space="preserve">Naturalną konsekwencją </w:t>
      </w:r>
      <w:r>
        <w:rPr>
          <w:rFonts w:eastAsia="Times New Roman" w:cs="Times New Roman"/>
          <w:szCs w:val="24"/>
          <w:lang w:eastAsia="pl-PL"/>
        </w:rPr>
        <w:t>postępującego procesu starzenia się</w:t>
      </w:r>
      <w:r w:rsidRPr="00901F5A">
        <w:rPr>
          <w:rFonts w:eastAsia="Times New Roman" w:cs="Times New Roman"/>
          <w:szCs w:val="24"/>
          <w:lang w:eastAsia="pl-PL"/>
        </w:rPr>
        <w:t xml:space="preserve"> jest pojawiająca się z czasem niepełnosprawność. </w:t>
      </w:r>
      <w:r>
        <w:rPr>
          <w:rFonts w:eastAsia="Times New Roman" w:cs="Times New Roman"/>
          <w:szCs w:val="24"/>
          <w:lang w:eastAsia="pl-PL"/>
        </w:rPr>
        <w:t>Wraz z wiekiem nasilają się procesy degeneracyjne i chorobowe, które skutkują ograniczeniem funkcji organizmu. Po osiągnięciu wieku starszego wraz z dalszym upływem czasu występuje nieuchronnie wcześniej</w:t>
      </w:r>
      <w:r w:rsidR="00340F91">
        <w:rPr>
          <w:rFonts w:eastAsia="Times New Roman" w:cs="Times New Roman"/>
          <w:szCs w:val="24"/>
          <w:lang w:eastAsia="pl-PL"/>
        </w:rPr>
        <w:t xml:space="preserve"> czy później utrata sprawności.</w:t>
      </w:r>
    </w:p>
    <w:p w14:paraId="7B178C42" w14:textId="77777777" w:rsidR="00340F91" w:rsidRPr="00340F91" w:rsidRDefault="00340F91" w:rsidP="00340F91">
      <w:pPr>
        <w:rPr>
          <w:rFonts w:eastAsia="Times New Roman" w:cs="Times New Roman"/>
          <w:szCs w:val="24"/>
          <w:lang w:eastAsia="pl-PL"/>
        </w:rPr>
      </w:pPr>
    </w:p>
    <w:p w14:paraId="3F03F25B" w14:textId="41729E3F" w:rsidR="00B61FF5" w:rsidRPr="00B61FF5" w:rsidRDefault="00B61FF5" w:rsidP="00B61FF5">
      <w:pPr>
        <w:pStyle w:val="Legenda"/>
        <w:keepNext/>
        <w:rPr>
          <w:rFonts w:cs="Times New Roman"/>
          <w:b/>
          <w:i w:val="0"/>
          <w:color w:val="auto"/>
          <w:sz w:val="24"/>
        </w:rPr>
      </w:pPr>
      <w:bookmarkStart w:id="57" w:name="_Toc49171419"/>
      <w:r w:rsidRPr="00B61FF5">
        <w:rPr>
          <w:rFonts w:cs="Times New Roman"/>
          <w:b/>
          <w:i w:val="0"/>
          <w:color w:val="auto"/>
          <w:sz w:val="24"/>
        </w:rPr>
        <w:t xml:space="preserve">Tabela </w:t>
      </w:r>
      <w:r w:rsidR="009F2D8C">
        <w:rPr>
          <w:rFonts w:cs="Times New Roman"/>
          <w:b/>
          <w:i w:val="0"/>
          <w:color w:val="auto"/>
          <w:sz w:val="24"/>
        </w:rPr>
        <w:t>39</w:t>
      </w:r>
      <w:r w:rsidR="00EE73AF">
        <w:rPr>
          <w:rFonts w:cs="Times New Roman"/>
          <w:b/>
          <w:i w:val="0"/>
          <w:color w:val="auto"/>
          <w:sz w:val="24"/>
        </w:rPr>
        <w:t>.</w:t>
      </w:r>
      <w:r w:rsidRPr="00B61FF5">
        <w:rPr>
          <w:rFonts w:cs="Times New Roman"/>
          <w:b/>
          <w:i w:val="0"/>
          <w:color w:val="auto"/>
          <w:sz w:val="24"/>
        </w:rPr>
        <w:t xml:space="preserve"> Osoby niepełnosprawne w wieku 60 lat i więcej według płci, grup wieku i miejsca zamieszkania</w:t>
      </w:r>
      <w:bookmarkEnd w:id="57"/>
    </w:p>
    <w:tbl>
      <w:tblPr>
        <w:tblStyle w:val="Tabelasiatki5ciemnaakcent2"/>
        <w:tblW w:w="9067" w:type="dxa"/>
        <w:tblLook w:val="04A0" w:firstRow="1" w:lastRow="0" w:firstColumn="1" w:lastColumn="0" w:noHBand="0" w:noVBand="1"/>
      </w:tblPr>
      <w:tblGrid>
        <w:gridCol w:w="3828"/>
        <w:gridCol w:w="1815"/>
        <w:gridCol w:w="1301"/>
        <w:gridCol w:w="2123"/>
      </w:tblGrid>
      <w:tr w:rsidR="00B61FF5" w:rsidRPr="00B61FF5" w14:paraId="770B6C78" w14:textId="77777777" w:rsidTr="009F2D8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8" w:type="dxa"/>
            <w:vMerge w:val="restart"/>
            <w:vAlign w:val="center"/>
            <w:hideMark/>
          </w:tcPr>
          <w:p w14:paraId="1575664D" w14:textId="77777777" w:rsidR="00B61FF5" w:rsidRPr="00B61FF5" w:rsidRDefault="00B61FF5" w:rsidP="009F2D8C">
            <w:pPr>
              <w:spacing w:line="240" w:lineRule="auto"/>
              <w:jc w:val="center"/>
              <w:rPr>
                <w:rFonts w:eastAsia="Times New Roman" w:cs="Times New Roman"/>
                <w:b w:val="0"/>
                <w:color w:val="auto"/>
                <w:sz w:val="20"/>
                <w:szCs w:val="20"/>
                <w:lang w:eastAsia="pl-PL"/>
              </w:rPr>
            </w:pPr>
            <w:r w:rsidRPr="00B61FF5">
              <w:rPr>
                <w:rFonts w:eastAsia="Times New Roman" w:cs="Times New Roman"/>
                <w:color w:val="auto"/>
                <w:sz w:val="20"/>
                <w:szCs w:val="20"/>
                <w:lang w:eastAsia="pl-PL"/>
              </w:rPr>
              <w:t>Wyszczególnienie</w:t>
            </w:r>
          </w:p>
        </w:tc>
        <w:tc>
          <w:tcPr>
            <w:tcW w:w="1815" w:type="dxa"/>
            <w:vMerge w:val="restart"/>
            <w:vAlign w:val="center"/>
            <w:hideMark/>
          </w:tcPr>
          <w:p w14:paraId="53E25843" w14:textId="77777777" w:rsidR="00B61FF5" w:rsidRPr="00B61FF5" w:rsidRDefault="00B61FF5" w:rsidP="009F2D8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B61FF5">
              <w:rPr>
                <w:rFonts w:eastAsia="Times New Roman" w:cs="Times New Roman"/>
                <w:color w:val="auto"/>
                <w:sz w:val="20"/>
                <w:szCs w:val="20"/>
                <w:lang w:eastAsia="pl-PL"/>
              </w:rPr>
              <w:t>Ogółem</w:t>
            </w:r>
          </w:p>
        </w:tc>
        <w:tc>
          <w:tcPr>
            <w:tcW w:w="3424" w:type="dxa"/>
            <w:gridSpan w:val="2"/>
            <w:vAlign w:val="center"/>
            <w:hideMark/>
          </w:tcPr>
          <w:p w14:paraId="2D60D656" w14:textId="77777777" w:rsidR="00B61FF5" w:rsidRPr="00B61FF5" w:rsidRDefault="00B61FF5" w:rsidP="009F2D8C">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auto"/>
                <w:sz w:val="20"/>
                <w:szCs w:val="20"/>
                <w:lang w:eastAsia="pl-PL"/>
              </w:rPr>
            </w:pPr>
            <w:r w:rsidRPr="00B61FF5">
              <w:rPr>
                <w:rFonts w:eastAsia="Times New Roman" w:cs="Times New Roman"/>
                <w:color w:val="auto"/>
                <w:sz w:val="20"/>
                <w:szCs w:val="20"/>
                <w:lang w:eastAsia="pl-PL"/>
              </w:rPr>
              <w:t>Osoby niepełnosprawne</w:t>
            </w:r>
          </w:p>
        </w:tc>
      </w:tr>
      <w:tr w:rsidR="00B61FF5" w:rsidRPr="00B61FF5" w14:paraId="5C0DACE4" w14:textId="77777777" w:rsidTr="009F2D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8" w:type="dxa"/>
            <w:vMerge/>
            <w:vAlign w:val="center"/>
            <w:hideMark/>
          </w:tcPr>
          <w:p w14:paraId="0C4D1F86" w14:textId="77777777" w:rsidR="00B61FF5" w:rsidRPr="00B61FF5" w:rsidRDefault="00B61FF5" w:rsidP="009F2D8C">
            <w:pPr>
              <w:spacing w:line="240" w:lineRule="auto"/>
              <w:jc w:val="center"/>
              <w:rPr>
                <w:rFonts w:eastAsia="Times New Roman" w:cs="Times New Roman"/>
                <w:b w:val="0"/>
                <w:color w:val="auto"/>
                <w:sz w:val="20"/>
                <w:szCs w:val="20"/>
                <w:lang w:eastAsia="pl-PL"/>
              </w:rPr>
            </w:pPr>
          </w:p>
        </w:tc>
        <w:tc>
          <w:tcPr>
            <w:tcW w:w="1815" w:type="dxa"/>
            <w:vMerge/>
            <w:vAlign w:val="center"/>
            <w:hideMark/>
          </w:tcPr>
          <w:p w14:paraId="05BF08C3"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p>
        </w:tc>
        <w:tc>
          <w:tcPr>
            <w:tcW w:w="1301" w:type="dxa"/>
            <w:vAlign w:val="center"/>
            <w:hideMark/>
          </w:tcPr>
          <w:p w14:paraId="0CBFD358"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B61FF5">
              <w:rPr>
                <w:rFonts w:eastAsia="Times New Roman" w:cs="Times New Roman"/>
                <w:b/>
                <w:sz w:val="20"/>
                <w:szCs w:val="20"/>
                <w:lang w:eastAsia="pl-PL"/>
              </w:rPr>
              <w:t>z orzeczeniem prawnym</w:t>
            </w:r>
          </w:p>
        </w:tc>
        <w:tc>
          <w:tcPr>
            <w:tcW w:w="2123" w:type="dxa"/>
            <w:vAlign w:val="center"/>
            <w:hideMark/>
          </w:tcPr>
          <w:p w14:paraId="361B9AC8"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lang w:eastAsia="pl-PL"/>
              </w:rPr>
            </w:pPr>
            <w:r w:rsidRPr="00B61FF5">
              <w:rPr>
                <w:rFonts w:eastAsia="Times New Roman" w:cs="Times New Roman"/>
                <w:b/>
                <w:sz w:val="20"/>
                <w:szCs w:val="20"/>
                <w:lang w:eastAsia="pl-PL"/>
              </w:rPr>
              <w:t>tylko biologicznie</w:t>
            </w:r>
          </w:p>
        </w:tc>
      </w:tr>
      <w:tr w:rsidR="00B61FF5" w:rsidRPr="00B61FF5" w14:paraId="3DBB9A36" w14:textId="77777777" w:rsidTr="009F2D8C">
        <w:trPr>
          <w:trHeight w:val="20"/>
        </w:trPr>
        <w:tc>
          <w:tcPr>
            <w:cnfStyle w:val="001000000000" w:firstRow="0" w:lastRow="0" w:firstColumn="1" w:lastColumn="0" w:oddVBand="0" w:evenVBand="0" w:oddHBand="0" w:evenHBand="0" w:firstRowFirstColumn="0" w:firstRowLastColumn="0" w:lastRowFirstColumn="0" w:lastRowLastColumn="0"/>
            <w:tcW w:w="3828" w:type="dxa"/>
            <w:vMerge/>
            <w:hideMark/>
          </w:tcPr>
          <w:p w14:paraId="13AE968D" w14:textId="77777777" w:rsidR="00B61FF5" w:rsidRPr="00B61FF5" w:rsidRDefault="00B61FF5" w:rsidP="00AD7202">
            <w:pPr>
              <w:spacing w:line="240" w:lineRule="auto"/>
              <w:rPr>
                <w:rFonts w:eastAsia="Times New Roman" w:cs="Times New Roman"/>
                <w:b w:val="0"/>
                <w:color w:val="auto"/>
                <w:sz w:val="20"/>
                <w:szCs w:val="20"/>
                <w:lang w:eastAsia="pl-PL"/>
              </w:rPr>
            </w:pPr>
          </w:p>
        </w:tc>
        <w:tc>
          <w:tcPr>
            <w:tcW w:w="5239" w:type="dxa"/>
            <w:gridSpan w:val="3"/>
            <w:vAlign w:val="center"/>
            <w:hideMark/>
          </w:tcPr>
          <w:p w14:paraId="2BD24C08" w14:textId="77777777" w:rsidR="00B61FF5" w:rsidRPr="00B61FF5" w:rsidRDefault="00B61FF5" w:rsidP="009F2D8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lang w:eastAsia="pl-PL"/>
              </w:rPr>
            </w:pPr>
            <w:r w:rsidRPr="00B61FF5">
              <w:rPr>
                <w:rFonts w:eastAsia="Times New Roman" w:cs="Times New Roman"/>
                <w:b/>
                <w:sz w:val="20"/>
                <w:szCs w:val="20"/>
                <w:lang w:eastAsia="pl-PL"/>
              </w:rPr>
              <w:t>w tysiącach</w:t>
            </w:r>
          </w:p>
        </w:tc>
      </w:tr>
      <w:tr w:rsidR="00B61FF5" w:rsidRPr="00B61FF5" w14:paraId="2756BDFB" w14:textId="77777777" w:rsidTr="009F2D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117D225" w14:textId="77777777" w:rsidR="00B61FF5" w:rsidRPr="00B61FF5" w:rsidRDefault="00B61FF5" w:rsidP="009F2D8C">
            <w:pPr>
              <w:spacing w:line="240" w:lineRule="auto"/>
              <w:jc w:val="left"/>
              <w:rPr>
                <w:rFonts w:eastAsia="Times New Roman" w:cs="Times New Roman"/>
                <w:b w:val="0"/>
                <w:color w:val="auto"/>
                <w:sz w:val="20"/>
                <w:szCs w:val="20"/>
                <w:lang w:eastAsia="pl-PL"/>
              </w:rPr>
            </w:pPr>
            <w:r w:rsidRPr="00B61FF5">
              <w:rPr>
                <w:rFonts w:eastAsia="Times New Roman" w:cs="Times New Roman"/>
                <w:color w:val="auto"/>
                <w:sz w:val="20"/>
                <w:szCs w:val="20"/>
                <w:lang w:eastAsia="pl-PL"/>
              </w:rPr>
              <w:t>Ogółem</w:t>
            </w:r>
          </w:p>
        </w:tc>
        <w:tc>
          <w:tcPr>
            <w:tcW w:w="1815" w:type="dxa"/>
            <w:noWrap/>
            <w:vAlign w:val="center"/>
            <w:hideMark/>
          </w:tcPr>
          <w:p w14:paraId="69E5CF0C"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B61FF5">
              <w:rPr>
                <w:rFonts w:eastAsia="Times New Roman" w:cs="Times New Roman"/>
                <w:b/>
                <w:bCs/>
                <w:sz w:val="20"/>
                <w:szCs w:val="20"/>
                <w:lang w:eastAsia="pl-PL"/>
              </w:rPr>
              <w:t>2 513</w:t>
            </w:r>
          </w:p>
        </w:tc>
        <w:tc>
          <w:tcPr>
            <w:tcW w:w="1301" w:type="dxa"/>
            <w:noWrap/>
            <w:vAlign w:val="center"/>
            <w:hideMark/>
          </w:tcPr>
          <w:p w14:paraId="3044F7FF"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B61FF5">
              <w:rPr>
                <w:rFonts w:eastAsia="Times New Roman" w:cs="Times New Roman"/>
                <w:b/>
                <w:bCs/>
                <w:sz w:val="20"/>
                <w:szCs w:val="20"/>
                <w:lang w:eastAsia="pl-PL"/>
              </w:rPr>
              <w:t>1 501</w:t>
            </w:r>
          </w:p>
        </w:tc>
        <w:tc>
          <w:tcPr>
            <w:tcW w:w="2123" w:type="dxa"/>
            <w:noWrap/>
            <w:vAlign w:val="center"/>
            <w:hideMark/>
          </w:tcPr>
          <w:p w14:paraId="60EAB60B"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B61FF5">
              <w:rPr>
                <w:rFonts w:eastAsia="Times New Roman" w:cs="Times New Roman"/>
                <w:b/>
                <w:bCs/>
                <w:sz w:val="20"/>
                <w:szCs w:val="20"/>
                <w:lang w:eastAsia="pl-PL"/>
              </w:rPr>
              <w:t>1 012</w:t>
            </w:r>
          </w:p>
        </w:tc>
      </w:tr>
      <w:tr w:rsidR="00B61FF5" w:rsidRPr="00B61FF5" w14:paraId="6C71E7C4" w14:textId="77777777" w:rsidTr="009F2D8C">
        <w:trPr>
          <w:trHeight w:val="2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45C314EF" w14:textId="77777777" w:rsidR="00B61FF5" w:rsidRPr="00B61FF5" w:rsidRDefault="00B61FF5" w:rsidP="009F2D8C">
            <w:pPr>
              <w:spacing w:line="240" w:lineRule="auto"/>
              <w:jc w:val="left"/>
              <w:rPr>
                <w:rFonts w:eastAsia="Times New Roman" w:cs="Times New Roman"/>
                <w:b w:val="0"/>
                <w:iCs/>
                <w:color w:val="auto"/>
                <w:sz w:val="20"/>
                <w:szCs w:val="20"/>
                <w:lang w:eastAsia="pl-PL"/>
              </w:rPr>
            </w:pPr>
            <w:r w:rsidRPr="00B61FF5">
              <w:rPr>
                <w:rFonts w:eastAsia="Times New Roman" w:cs="Times New Roman"/>
                <w:iCs/>
                <w:color w:val="auto"/>
                <w:sz w:val="20"/>
                <w:szCs w:val="20"/>
                <w:lang w:eastAsia="pl-PL"/>
              </w:rPr>
              <w:t>w tym w wieku:</w:t>
            </w:r>
          </w:p>
        </w:tc>
        <w:tc>
          <w:tcPr>
            <w:tcW w:w="5239" w:type="dxa"/>
            <w:gridSpan w:val="3"/>
            <w:noWrap/>
            <w:vAlign w:val="center"/>
            <w:hideMark/>
          </w:tcPr>
          <w:p w14:paraId="6806EAFD" w14:textId="77777777" w:rsidR="00B61FF5" w:rsidRPr="00B61FF5" w:rsidRDefault="00B61FF5" w:rsidP="009F2D8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p>
        </w:tc>
      </w:tr>
      <w:tr w:rsidR="00B61FF5" w:rsidRPr="00B61FF5" w14:paraId="5DC3AF47" w14:textId="77777777" w:rsidTr="009F2D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8D52DB5" w14:textId="77777777" w:rsidR="00B61FF5" w:rsidRPr="00B61FF5" w:rsidRDefault="00B61FF5" w:rsidP="009F2D8C">
            <w:pPr>
              <w:spacing w:line="240" w:lineRule="auto"/>
              <w:jc w:val="left"/>
              <w:rPr>
                <w:rFonts w:eastAsia="Times New Roman" w:cs="Times New Roman"/>
                <w:b w:val="0"/>
                <w:color w:val="auto"/>
                <w:sz w:val="20"/>
                <w:szCs w:val="20"/>
                <w:lang w:eastAsia="pl-PL"/>
              </w:rPr>
            </w:pPr>
            <w:r w:rsidRPr="00B61FF5">
              <w:rPr>
                <w:rFonts w:eastAsia="Times New Roman" w:cs="Times New Roman"/>
                <w:color w:val="auto"/>
                <w:sz w:val="20"/>
                <w:szCs w:val="20"/>
                <w:lang w:eastAsia="pl-PL"/>
              </w:rPr>
              <w:t>60-64 lata</w:t>
            </w:r>
          </w:p>
        </w:tc>
        <w:tc>
          <w:tcPr>
            <w:tcW w:w="1815" w:type="dxa"/>
            <w:noWrap/>
            <w:vAlign w:val="center"/>
            <w:hideMark/>
          </w:tcPr>
          <w:p w14:paraId="55475AFC"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597</w:t>
            </w:r>
          </w:p>
        </w:tc>
        <w:tc>
          <w:tcPr>
            <w:tcW w:w="1301" w:type="dxa"/>
            <w:noWrap/>
            <w:vAlign w:val="center"/>
            <w:hideMark/>
          </w:tcPr>
          <w:p w14:paraId="2D7A5468"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411</w:t>
            </w:r>
          </w:p>
        </w:tc>
        <w:tc>
          <w:tcPr>
            <w:tcW w:w="2123" w:type="dxa"/>
            <w:noWrap/>
            <w:vAlign w:val="center"/>
            <w:hideMark/>
          </w:tcPr>
          <w:p w14:paraId="4904F1F9"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186</w:t>
            </w:r>
          </w:p>
        </w:tc>
      </w:tr>
      <w:tr w:rsidR="00B61FF5" w:rsidRPr="00B61FF5" w14:paraId="05127F61" w14:textId="77777777" w:rsidTr="009F2D8C">
        <w:trPr>
          <w:trHeight w:val="2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37281E1F" w14:textId="77777777" w:rsidR="00B61FF5" w:rsidRPr="00B61FF5" w:rsidRDefault="00B61FF5" w:rsidP="009F2D8C">
            <w:pPr>
              <w:spacing w:line="240" w:lineRule="auto"/>
              <w:jc w:val="left"/>
              <w:rPr>
                <w:rFonts w:eastAsia="Times New Roman" w:cs="Times New Roman"/>
                <w:b w:val="0"/>
                <w:color w:val="auto"/>
                <w:sz w:val="20"/>
                <w:szCs w:val="20"/>
                <w:lang w:eastAsia="pl-PL"/>
              </w:rPr>
            </w:pPr>
            <w:r w:rsidRPr="00B61FF5">
              <w:rPr>
                <w:rFonts w:eastAsia="Times New Roman" w:cs="Times New Roman"/>
                <w:color w:val="auto"/>
                <w:sz w:val="20"/>
                <w:szCs w:val="20"/>
                <w:lang w:eastAsia="pl-PL"/>
              </w:rPr>
              <w:t>65-69 lat</w:t>
            </w:r>
          </w:p>
        </w:tc>
        <w:tc>
          <w:tcPr>
            <w:tcW w:w="1815" w:type="dxa"/>
            <w:noWrap/>
            <w:vAlign w:val="center"/>
            <w:hideMark/>
          </w:tcPr>
          <w:p w14:paraId="1918513F" w14:textId="77777777" w:rsidR="00B61FF5" w:rsidRPr="00B61FF5" w:rsidRDefault="00B61FF5" w:rsidP="009F2D8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402</w:t>
            </w:r>
          </w:p>
        </w:tc>
        <w:tc>
          <w:tcPr>
            <w:tcW w:w="1301" w:type="dxa"/>
            <w:noWrap/>
            <w:vAlign w:val="center"/>
            <w:hideMark/>
          </w:tcPr>
          <w:p w14:paraId="54F1AA63" w14:textId="77777777" w:rsidR="00B61FF5" w:rsidRPr="00B61FF5" w:rsidRDefault="00B61FF5" w:rsidP="009F2D8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253</w:t>
            </w:r>
          </w:p>
        </w:tc>
        <w:tc>
          <w:tcPr>
            <w:tcW w:w="2123" w:type="dxa"/>
            <w:noWrap/>
            <w:vAlign w:val="center"/>
            <w:hideMark/>
          </w:tcPr>
          <w:p w14:paraId="56228343" w14:textId="77777777" w:rsidR="00B61FF5" w:rsidRPr="00B61FF5" w:rsidRDefault="00B61FF5" w:rsidP="009F2D8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149</w:t>
            </w:r>
          </w:p>
        </w:tc>
      </w:tr>
      <w:tr w:rsidR="00B61FF5" w:rsidRPr="00B61FF5" w14:paraId="5F90695A" w14:textId="77777777" w:rsidTr="009F2D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31AD5E24" w14:textId="77777777" w:rsidR="00B61FF5" w:rsidRPr="00B61FF5" w:rsidRDefault="00B61FF5" w:rsidP="009F2D8C">
            <w:pPr>
              <w:spacing w:line="240" w:lineRule="auto"/>
              <w:jc w:val="left"/>
              <w:rPr>
                <w:rFonts w:eastAsia="Times New Roman" w:cs="Times New Roman"/>
                <w:b w:val="0"/>
                <w:color w:val="auto"/>
                <w:sz w:val="20"/>
                <w:szCs w:val="20"/>
                <w:lang w:eastAsia="pl-PL"/>
              </w:rPr>
            </w:pPr>
            <w:r w:rsidRPr="00B61FF5">
              <w:rPr>
                <w:rFonts w:eastAsia="Times New Roman" w:cs="Times New Roman"/>
                <w:color w:val="auto"/>
                <w:sz w:val="20"/>
                <w:szCs w:val="20"/>
                <w:lang w:eastAsia="pl-PL"/>
              </w:rPr>
              <w:t>70-74 lata</w:t>
            </w:r>
          </w:p>
        </w:tc>
        <w:tc>
          <w:tcPr>
            <w:tcW w:w="1815" w:type="dxa"/>
            <w:noWrap/>
            <w:vAlign w:val="center"/>
            <w:hideMark/>
          </w:tcPr>
          <w:p w14:paraId="630163DE"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463</w:t>
            </w:r>
          </w:p>
        </w:tc>
        <w:tc>
          <w:tcPr>
            <w:tcW w:w="1301" w:type="dxa"/>
            <w:noWrap/>
            <w:vAlign w:val="center"/>
            <w:hideMark/>
          </w:tcPr>
          <w:p w14:paraId="47611EDA"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281</w:t>
            </w:r>
          </w:p>
        </w:tc>
        <w:tc>
          <w:tcPr>
            <w:tcW w:w="2123" w:type="dxa"/>
            <w:noWrap/>
            <w:vAlign w:val="center"/>
            <w:hideMark/>
          </w:tcPr>
          <w:p w14:paraId="73E97DEA"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182</w:t>
            </w:r>
          </w:p>
        </w:tc>
      </w:tr>
      <w:tr w:rsidR="00B61FF5" w:rsidRPr="00B61FF5" w14:paraId="21F1A1CA" w14:textId="77777777" w:rsidTr="009F2D8C">
        <w:trPr>
          <w:trHeight w:val="2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4226788A" w14:textId="77777777" w:rsidR="00B61FF5" w:rsidRPr="00B61FF5" w:rsidRDefault="00B61FF5" w:rsidP="009F2D8C">
            <w:pPr>
              <w:spacing w:line="240" w:lineRule="auto"/>
              <w:jc w:val="left"/>
              <w:rPr>
                <w:rFonts w:eastAsia="Times New Roman" w:cs="Times New Roman"/>
                <w:b w:val="0"/>
                <w:color w:val="auto"/>
                <w:sz w:val="20"/>
                <w:szCs w:val="20"/>
                <w:lang w:eastAsia="pl-PL"/>
              </w:rPr>
            </w:pPr>
            <w:r w:rsidRPr="00B61FF5">
              <w:rPr>
                <w:rFonts w:eastAsia="Times New Roman" w:cs="Times New Roman"/>
                <w:color w:val="auto"/>
                <w:sz w:val="20"/>
                <w:szCs w:val="20"/>
                <w:lang w:eastAsia="pl-PL"/>
              </w:rPr>
              <w:t>75-79 lat</w:t>
            </w:r>
          </w:p>
        </w:tc>
        <w:tc>
          <w:tcPr>
            <w:tcW w:w="1815" w:type="dxa"/>
            <w:noWrap/>
            <w:vAlign w:val="center"/>
            <w:hideMark/>
          </w:tcPr>
          <w:p w14:paraId="58EB0D9D" w14:textId="77777777" w:rsidR="00B61FF5" w:rsidRPr="00B61FF5" w:rsidRDefault="00B61FF5" w:rsidP="009F2D8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456</w:t>
            </w:r>
          </w:p>
        </w:tc>
        <w:tc>
          <w:tcPr>
            <w:tcW w:w="1301" w:type="dxa"/>
            <w:noWrap/>
            <w:vAlign w:val="center"/>
            <w:hideMark/>
          </w:tcPr>
          <w:p w14:paraId="4C7624D0" w14:textId="77777777" w:rsidR="00B61FF5" w:rsidRPr="00B61FF5" w:rsidRDefault="00B61FF5" w:rsidP="009F2D8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259</w:t>
            </w:r>
          </w:p>
        </w:tc>
        <w:tc>
          <w:tcPr>
            <w:tcW w:w="2123" w:type="dxa"/>
            <w:noWrap/>
            <w:vAlign w:val="center"/>
            <w:hideMark/>
          </w:tcPr>
          <w:p w14:paraId="6B6F252A" w14:textId="77777777" w:rsidR="00B61FF5" w:rsidRPr="00B61FF5" w:rsidRDefault="00B61FF5" w:rsidP="009F2D8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197</w:t>
            </w:r>
          </w:p>
        </w:tc>
      </w:tr>
      <w:tr w:rsidR="00B61FF5" w:rsidRPr="00B61FF5" w14:paraId="372DE2EC" w14:textId="77777777" w:rsidTr="009F2D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4DD87AA7" w14:textId="77777777" w:rsidR="00B61FF5" w:rsidRPr="00B61FF5" w:rsidRDefault="00B61FF5" w:rsidP="009F2D8C">
            <w:pPr>
              <w:spacing w:line="240" w:lineRule="auto"/>
              <w:jc w:val="left"/>
              <w:rPr>
                <w:rFonts w:eastAsia="Times New Roman" w:cs="Times New Roman"/>
                <w:b w:val="0"/>
                <w:color w:val="auto"/>
                <w:sz w:val="20"/>
                <w:szCs w:val="20"/>
                <w:lang w:eastAsia="pl-PL"/>
              </w:rPr>
            </w:pPr>
            <w:r w:rsidRPr="00B61FF5">
              <w:rPr>
                <w:rFonts w:eastAsia="Times New Roman" w:cs="Times New Roman"/>
                <w:color w:val="auto"/>
                <w:sz w:val="20"/>
                <w:szCs w:val="20"/>
                <w:lang w:eastAsia="pl-PL"/>
              </w:rPr>
              <w:t>80 lat i więcej</w:t>
            </w:r>
          </w:p>
        </w:tc>
        <w:tc>
          <w:tcPr>
            <w:tcW w:w="1815" w:type="dxa"/>
            <w:noWrap/>
            <w:vAlign w:val="center"/>
            <w:hideMark/>
          </w:tcPr>
          <w:p w14:paraId="04E64252"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594</w:t>
            </w:r>
          </w:p>
        </w:tc>
        <w:tc>
          <w:tcPr>
            <w:tcW w:w="1301" w:type="dxa"/>
            <w:noWrap/>
            <w:vAlign w:val="center"/>
            <w:hideMark/>
          </w:tcPr>
          <w:p w14:paraId="108AFB9D"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296</w:t>
            </w:r>
          </w:p>
        </w:tc>
        <w:tc>
          <w:tcPr>
            <w:tcW w:w="2123" w:type="dxa"/>
            <w:noWrap/>
            <w:vAlign w:val="center"/>
            <w:hideMark/>
          </w:tcPr>
          <w:p w14:paraId="3EE375E0"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298</w:t>
            </w:r>
          </w:p>
        </w:tc>
      </w:tr>
      <w:tr w:rsidR="00B61FF5" w:rsidRPr="00B61FF5" w14:paraId="7635549D" w14:textId="77777777" w:rsidTr="009F2D8C">
        <w:trPr>
          <w:trHeight w:val="20"/>
        </w:trPr>
        <w:tc>
          <w:tcPr>
            <w:cnfStyle w:val="001000000000" w:firstRow="0" w:lastRow="0" w:firstColumn="1" w:lastColumn="0" w:oddVBand="0" w:evenVBand="0" w:oddHBand="0" w:evenHBand="0" w:firstRowFirstColumn="0" w:firstRowLastColumn="0" w:lastRowFirstColumn="0" w:lastRowLastColumn="0"/>
            <w:tcW w:w="9067" w:type="dxa"/>
            <w:gridSpan w:val="4"/>
            <w:noWrap/>
            <w:vAlign w:val="center"/>
            <w:hideMark/>
          </w:tcPr>
          <w:p w14:paraId="76675BB0" w14:textId="77777777" w:rsidR="00B61FF5" w:rsidRPr="00B61FF5" w:rsidRDefault="00B61FF5" w:rsidP="009F2D8C">
            <w:pPr>
              <w:spacing w:line="240" w:lineRule="auto"/>
              <w:jc w:val="center"/>
              <w:rPr>
                <w:rFonts w:eastAsia="Times New Roman" w:cs="Times New Roman"/>
                <w:b w:val="0"/>
                <w:color w:val="auto"/>
                <w:sz w:val="20"/>
                <w:szCs w:val="20"/>
                <w:lang w:eastAsia="pl-PL"/>
              </w:rPr>
            </w:pPr>
          </w:p>
        </w:tc>
      </w:tr>
      <w:tr w:rsidR="00B61FF5" w:rsidRPr="00B61FF5" w14:paraId="13B555EB" w14:textId="77777777" w:rsidTr="009F2D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76FBF79A" w14:textId="77777777" w:rsidR="00B61FF5" w:rsidRPr="00B61FF5" w:rsidRDefault="00B61FF5" w:rsidP="009F2D8C">
            <w:pPr>
              <w:spacing w:line="240" w:lineRule="auto"/>
              <w:jc w:val="left"/>
              <w:rPr>
                <w:rFonts w:eastAsia="Times New Roman" w:cs="Times New Roman"/>
                <w:b w:val="0"/>
                <w:color w:val="auto"/>
                <w:sz w:val="20"/>
                <w:szCs w:val="20"/>
                <w:lang w:eastAsia="pl-PL"/>
              </w:rPr>
            </w:pPr>
            <w:r w:rsidRPr="00B61FF5">
              <w:rPr>
                <w:rFonts w:eastAsia="Times New Roman" w:cs="Times New Roman"/>
                <w:color w:val="auto"/>
                <w:sz w:val="20"/>
                <w:szCs w:val="20"/>
                <w:lang w:eastAsia="pl-PL"/>
              </w:rPr>
              <w:t>Miasta</w:t>
            </w:r>
          </w:p>
        </w:tc>
        <w:tc>
          <w:tcPr>
            <w:tcW w:w="1815" w:type="dxa"/>
            <w:noWrap/>
            <w:vAlign w:val="center"/>
            <w:hideMark/>
          </w:tcPr>
          <w:p w14:paraId="3B56D6CA"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1 654</w:t>
            </w:r>
          </w:p>
        </w:tc>
        <w:tc>
          <w:tcPr>
            <w:tcW w:w="1301" w:type="dxa"/>
            <w:noWrap/>
            <w:vAlign w:val="center"/>
            <w:hideMark/>
          </w:tcPr>
          <w:p w14:paraId="0D7AE95D"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1 041</w:t>
            </w:r>
          </w:p>
        </w:tc>
        <w:tc>
          <w:tcPr>
            <w:tcW w:w="2123" w:type="dxa"/>
            <w:noWrap/>
            <w:vAlign w:val="center"/>
            <w:hideMark/>
          </w:tcPr>
          <w:p w14:paraId="3F57506E"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613</w:t>
            </w:r>
          </w:p>
        </w:tc>
      </w:tr>
      <w:tr w:rsidR="00B61FF5" w:rsidRPr="00B61FF5" w14:paraId="1CB457A0" w14:textId="77777777" w:rsidTr="009F2D8C">
        <w:trPr>
          <w:trHeight w:val="2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2EADD690" w14:textId="77777777" w:rsidR="00B61FF5" w:rsidRPr="00B61FF5" w:rsidRDefault="00B61FF5" w:rsidP="009F2D8C">
            <w:pPr>
              <w:spacing w:line="240" w:lineRule="auto"/>
              <w:jc w:val="left"/>
              <w:rPr>
                <w:rFonts w:eastAsia="Times New Roman" w:cs="Times New Roman"/>
                <w:b w:val="0"/>
                <w:color w:val="auto"/>
                <w:sz w:val="20"/>
                <w:szCs w:val="20"/>
                <w:lang w:eastAsia="pl-PL"/>
              </w:rPr>
            </w:pPr>
            <w:r w:rsidRPr="00B61FF5">
              <w:rPr>
                <w:rFonts w:eastAsia="Times New Roman" w:cs="Times New Roman"/>
                <w:color w:val="auto"/>
                <w:sz w:val="20"/>
                <w:szCs w:val="20"/>
                <w:lang w:eastAsia="pl-PL"/>
              </w:rPr>
              <w:t>Wieś</w:t>
            </w:r>
          </w:p>
        </w:tc>
        <w:tc>
          <w:tcPr>
            <w:tcW w:w="1815" w:type="dxa"/>
            <w:noWrap/>
            <w:vAlign w:val="center"/>
            <w:hideMark/>
          </w:tcPr>
          <w:p w14:paraId="5E0D2302" w14:textId="77777777" w:rsidR="00B61FF5" w:rsidRPr="00B61FF5" w:rsidRDefault="00B61FF5" w:rsidP="009F2D8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859</w:t>
            </w:r>
          </w:p>
        </w:tc>
        <w:tc>
          <w:tcPr>
            <w:tcW w:w="1301" w:type="dxa"/>
            <w:noWrap/>
            <w:vAlign w:val="center"/>
            <w:hideMark/>
          </w:tcPr>
          <w:p w14:paraId="3904F59E" w14:textId="77777777" w:rsidR="00B61FF5" w:rsidRPr="00B61FF5" w:rsidRDefault="00B61FF5" w:rsidP="009F2D8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460</w:t>
            </w:r>
          </w:p>
        </w:tc>
        <w:tc>
          <w:tcPr>
            <w:tcW w:w="2123" w:type="dxa"/>
            <w:noWrap/>
            <w:vAlign w:val="center"/>
            <w:hideMark/>
          </w:tcPr>
          <w:p w14:paraId="0E4F8BD6" w14:textId="77777777" w:rsidR="00B61FF5" w:rsidRPr="00B61FF5" w:rsidRDefault="00B61FF5" w:rsidP="009F2D8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399</w:t>
            </w:r>
          </w:p>
        </w:tc>
      </w:tr>
      <w:tr w:rsidR="00B61FF5" w:rsidRPr="00B61FF5" w14:paraId="04C09687" w14:textId="77777777" w:rsidTr="009F2D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67" w:type="dxa"/>
            <w:gridSpan w:val="4"/>
            <w:noWrap/>
            <w:vAlign w:val="center"/>
            <w:hideMark/>
          </w:tcPr>
          <w:p w14:paraId="4D926885" w14:textId="77777777" w:rsidR="00B61FF5" w:rsidRPr="00B61FF5" w:rsidRDefault="00B61FF5" w:rsidP="009F2D8C">
            <w:pPr>
              <w:spacing w:line="240" w:lineRule="auto"/>
              <w:jc w:val="center"/>
              <w:rPr>
                <w:rFonts w:eastAsia="Times New Roman" w:cs="Times New Roman"/>
                <w:b w:val="0"/>
                <w:color w:val="auto"/>
                <w:sz w:val="20"/>
                <w:szCs w:val="20"/>
                <w:lang w:eastAsia="pl-PL"/>
              </w:rPr>
            </w:pPr>
          </w:p>
        </w:tc>
      </w:tr>
      <w:tr w:rsidR="00B61FF5" w:rsidRPr="00B61FF5" w14:paraId="372FD4DE" w14:textId="77777777" w:rsidTr="009F2D8C">
        <w:trPr>
          <w:trHeight w:val="2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6B5B7535" w14:textId="77777777" w:rsidR="00B61FF5" w:rsidRPr="00B61FF5" w:rsidRDefault="00B61FF5" w:rsidP="009F2D8C">
            <w:pPr>
              <w:spacing w:line="240" w:lineRule="auto"/>
              <w:jc w:val="left"/>
              <w:rPr>
                <w:rFonts w:eastAsia="Times New Roman" w:cs="Times New Roman"/>
                <w:b w:val="0"/>
                <w:color w:val="auto"/>
                <w:sz w:val="20"/>
                <w:szCs w:val="20"/>
                <w:lang w:eastAsia="pl-PL"/>
              </w:rPr>
            </w:pPr>
            <w:r w:rsidRPr="00B61FF5">
              <w:rPr>
                <w:rFonts w:eastAsia="Times New Roman" w:cs="Times New Roman"/>
                <w:color w:val="auto"/>
                <w:sz w:val="20"/>
                <w:szCs w:val="20"/>
                <w:lang w:eastAsia="pl-PL"/>
              </w:rPr>
              <w:t>Mężczyźni</w:t>
            </w:r>
          </w:p>
        </w:tc>
        <w:tc>
          <w:tcPr>
            <w:tcW w:w="1815" w:type="dxa"/>
            <w:noWrap/>
            <w:vAlign w:val="center"/>
            <w:hideMark/>
          </w:tcPr>
          <w:p w14:paraId="2EAC6CFD" w14:textId="77777777" w:rsidR="00B61FF5" w:rsidRPr="00B61FF5" w:rsidRDefault="00B61FF5" w:rsidP="009F2D8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1 011</w:t>
            </w:r>
          </w:p>
        </w:tc>
        <w:tc>
          <w:tcPr>
            <w:tcW w:w="1301" w:type="dxa"/>
            <w:noWrap/>
            <w:vAlign w:val="center"/>
            <w:hideMark/>
          </w:tcPr>
          <w:p w14:paraId="27DDEDC5" w14:textId="77777777" w:rsidR="00B61FF5" w:rsidRPr="00B61FF5" w:rsidRDefault="00B61FF5" w:rsidP="009F2D8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669</w:t>
            </w:r>
          </w:p>
        </w:tc>
        <w:tc>
          <w:tcPr>
            <w:tcW w:w="2123" w:type="dxa"/>
            <w:noWrap/>
            <w:vAlign w:val="center"/>
            <w:hideMark/>
          </w:tcPr>
          <w:p w14:paraId="07F75977" w14:textId="77777777" w:rsidR="00B61FF5" w:rsidRPr="00B61FF5" w:rsidRDefault="00B61FF5" w:rsidP="009F2D8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342</w:t>
            </w:r>
          </w:p>
        </w:tc>
      </w:tr>
      <w:tr w:rsidR="00B61FF5" w:rsidRPr="00B61FF5" w14:paraId="62604A9D" w14:textId="77777777" w:rsidTr="009F2D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8" w:type="dxa"/>
            <w:noWrap/>
            <w:hideMark/>
          </w:tcPr>
          <w:p w14:paraId="410609B0" w14:textId="77777777" w:rsidR="00B61FF5" w:rsidRPr="00B61FF5" w:rsidRDefault="00B61FF5" w:rsidP="009F2D8C">
            <w:pPr>
              <w:spacing w:line="240" w:lineRule="auto"/>
              <w:jc w:val="left"/>
              <w:rPr>
                <w:rFonts w:eastAsia="Times New Roman" w:cs="Times New Roman"/>
                <w:b w:val="0"/>
                <w:color w:val="auto"/>
                <w:sz w:val="20"/>
                <w:szCs w:val="20"/>
                <w:lang w:eastAsia="pl-PL"/>
              </w:rPr>
            </w:pPr>
            <w:r w:rsidRPr="00B61FF5">
              <w:rPr>
                <w:rFonts w:eastAsia="Times New Roman" w:cs="Times New Roman"/>
                <w:color w:val="auto"/>
                <w:sz w:val="20"/>
                <w:szCs w:val="20"/>
                <w:lang w:eastAsia="pl-PL"/>
              </w:rPr>
              <w:t>Kobiety</w:t>
            </w:r>
          </w:p>
        </w:tc>
        <w:tc>
          <w:tcPr>
            <w:tcW w:w="1815" w:type="dxa"/>
            <w:noWrap/>
            <w:vAlign w:val="center"/>
            <w:hideMark/>
          </w:tcPr>
          <w:p w14:paraId="1FAE71E4"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1 502</w:t>
            </w:r>
          </w:p>
        </w:tc>
        <w:tc>
          <w:tcPr>
            <w:tcW w:w="1301" w:type="dxa"/>
            <w:noWrap/>
            <w:vAlign w:val="center"/>
            <w:hideMark/>
          </w:tcPr>
          <w:p w14:paraId="02540037"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831</w:t>
            </w:r>
          </w:p>
        </w:tc>
        <w:tc>
          <w:tcPr>
            <w:tcW w:w="2123" w:type="dxa"/>
            <w:noWrap/>
            <w:vAlign w:val="center"/>
            <w:hideMark/>
          </w:tcPr>
          <w:p w14:paraId="6B98DCEC"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670</w:t>
            </w:r>
          </w:p>
        </w:tc>
      </w:tr>
      <w:tr w:rsidR="00B61FF5" w:rsidRPr="00B61FF5" w14:paraId="6803DB7E" w14:textId="77777777" w:rsidTr="009F2D8C">
        <w:trPr>
          <w:trHeight w:val="20"/>
        </w:trPr>
        <w:tc>
          <w:tcPr>
            <w:cnfStyle w:val="001000000000" w:firstRow="0" w:lastRow="0" w:firstColumn="1" w:lastColumn="0" w:oddVBand="0" w:evenVBand="0" w:oddHBand="0" w:evenHBand="0" w:firstRowFirstColumn="0" w:firstRowLastColumn="0" w:lastRowFirstColumn="0" w:lastRowLastColumn="0"/>
            <w:tcW w:w="9067" w:type="dxa"/>
            <w:gridSpan w:val="4"/>
            <w:noWrap/>
            <w:vAlign w:val="center"/>
            <w:hideMark/>
          </w:tcPr>
          <w:p w14:paraId="231B43C7" w14:textId="77777777" w:rsidR="00B61FF5" w:rsidRPr="00B61FF5" w:rsidRDefault="00B61FF5" w:rsidP="009F2D8C">
            <w:pPr>
              <w:spacing w:line="240" w:lineRule="auto"/>
              <w:jc w:val="center"/>
              <w:rPr>
                <w:rFonts w:eastAsia="Times New Roman" w:cs="Times New Roman"/>
                <w:b w:val="0"/>
                <w:color w:val="auto"/>
                <w:sz w:val="20"/>
                <w:szCs w:val="20"/>
                <w:lang w:eastAsia="pl-PL"/>
              </w:rPr>
            </w:pPr>
          </w:p>
        </w:tc>
      </w:tr>
      <w:tr w:rsidR="00B61FF5" w:rsidRPr="00B61FF5" w14:paraId="432B91F9" w14:textId="77777777" w:rsidTr="009F2D8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28" w:type="dxa"/>
            <w:hideMark/>
          </w:tcPr>
          <w:p w14:paraId="7708656F" w14:textId="77777777" w:rsidR="00B61FF5" w:rsidRPr="00B61FF5" w:rsidRDefault="00B61FF5" w:rsidP="009F2D8C">
            <w:pPr>
              <w:spacing w:line="240" w:lineRule="auto"/>
              <w:jc w:val="left"/>
              <w:rPr>
                <w:rFonts w:eastAsia="Times New Roman" w:cs="Times New Roman"/>
                <w:b w:val="0"/>
                <w:color w:val="auto"/>
                <w:sz w:val="20"/>
                <w:szCs w:val="20"/>
                <w:lang w:eastAsia="pl-PL"/>
              </w:rPr>
            </w:pPr>
            <w:r w:rsidRPr="00B61FF5">
              <w:rPr>
                <w:rFonts w:eastAsia="Times New Roman" w:cs="Times New Roman"/>
                <w:color w:val="auto"/>
                <w:sz w:val="20"/>
                <w:szCs w:val="20"/>
                <w:lang w:eastAsia="pl-PL"/>
              </w:rPr>
              <w:t>Z liczby ogółem</w:t>
            </w:r>
            <w:r w:rsidRPr="00B61FF5">
              <w:rPr>
                <w:rFonts w:eastAsia="Times New Roman" w:cs="Times New Roman"/>
                <w:color w:val="auto"/>
                <w:sz w:val="20"/>
                <w:szCs w:val="20"/>
                <w:lang w:eastAsia="pl-PL"/>
              </w:rPr>
              <w:br/>
              <w:t>osoby mieszkające w 1-osobowych gospodarstwach domowych</w:t>
            </w:r>
          </w:p>
        </w:tc>
        <w:tc>
          <w:tcPr>
            <w:tcW w:w="1815" w:type="dxa"/>
            <w:noWrap/>
            <w:vAlign w:val="center"/>
            <w:hideMark/>
          </w:tcPr>
          <w:p w14:paraId="18284C69"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613</w:t>
            </w:r>
          </w:p>
        </w:tc>
        <w:tc>
          <w:tcPr>
            <w:tcW w:w="1301" w:type="dxa"/>
            <w:noWrap/>
            <w:vAlign w:val="center"/>
            <w:hideMark/>
          </w:tcPr>
          <w:p w14:paraId="5D082000"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341</w:t>
            </w:r>
          </w:p>
        </w:tc>
        <w:tc>
          <w:tcPr>
            <w:tcW w:w="2123" w:type="dxa"/>
            <w:noWrap/>
            <w:vAlign w:val="center"/>
            <w:hideMark/>
          </w:tcPr>
          <w:p w14:paraId="1BC08142" w14:textId="77777777" w:rsidR="00B61FF5" w:rsidRPr="00B61FF5" w:rsidRDefault="00B61FF5" w:rsidP="009F2D8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B61FF5">
              <w:rPr>
                <w:rFonts w:eastAsia="Times New Roman" w:cs="Times New Roman"/>
                <w:sz w:val="20"/>
                <w:szCs w:val="20"/>
                <w:lang w:eastAsia="pl-PL"/>
              </w:rPr>
              <w:t>271</w:t>
            </w:r>
          </w:p>
        </w:tc>
      </w:tr>
    </w:tbl>
    <w:p w14:paraId="3B1AB254" w14:textId="045F7342" w:rsidR="00B61FF5" w:rsidRDefault="00B61FF5" w:rsidP="00C1110C">
      <w:pPr>
        <w:autoSpaceDE w:val="0"/>
        <w:autoSpaceDN w:val="0"/>
        <w:adjustRightInd w:val="0"/>
        <w:spacing w:after="120"/>
        <w:rPr>
          <w:rFonts w:cs="Times New Roman"/>
          <w:b/>
          <w:sz w:val="22"/>
        </w:rPr>
      </w:pPr>
      <w:r w:rsidRPr="009F2D8C">
        <w:rPr>
          <w:rFonts w:cs="Times New Roman"/>
          <w:b/>
          <w:sz w:val="22"/>
        </w:rPr>
        <w:t>Źródło: Narodowy Spis Powszechny 2011</w:t>
      </w:r>
      <w:r w:rsidR="00C1110C">
        <w:rPr>
          <w:rFonts w:cs="Times New Roman"/>
          <w:b/>
          <w:sz w:val="22"/>
        </w:rPr>
        <w:t>.</w:t>
      </w:r>
    </w:p>
    <w:p w14:paraId="31A2E99C" w14:textId="77777777" w:rsidR="00340F91" w:rsidRPr="00B61FF5" w:rsidRDefault="00340F91" w:rsidP="00340F91">
      <w:pPr>
        <w:rPr>
          <w:rFonts w:eastAsia="Times New Roman" w:cs="Times New Roman"/>
          <w:szCs w:val="24"/>
          <w:lang w:eastAsia="pl-PL"/>
        </w:rPr>
      </w:pPr>
      <w:r w:rsidRPr="00B61FF5">
        <w:rPr>
          <w:rFonts w:eastAsia="Times New Roman" w:cs="Times New Roman"/>
          <w:szCs w:val="24"/>
          <w:lang w:eastAsia="pl-PL"/>
        </w:rPr>
        <w:t xml:space="preserve">Starsze osoby niepełnosprawne zdecydowanie częściej (prawie 66%) mieszkały w miastach niż na wsi, jak również częściej posiadały orzeczenie potwierdzające niepełnosprawność. </w:t>
      </w:r>
      <w:r w:rsidRPr="00B61FF5">
        <w:rPr>
          <w:rFonts w:eastAsia="Times New Roman" w:cs="Times New Roman"/>
          <w:szCs w:val="24"/>
          <w:lang w:eastAsia="pl-PL"/>
        </w:rPr>
        <w:lastRenderedPageBreak/>
        <w:t>Ze</w:t>
      </w:r>
      <w:r>
        <w:rPr>
          <w:rFonts w:eastAsia="Times New Roman" w:cs="Times New Roman"/>
          <w:szCs w:val="24"/>
          <w:lang w:eastAsia="pl-PL"/>
        </w:rPr>
        <w:t> </w:t>
      </w:r>
      <w:r w:rsidRPr="00B61FF5">
        <w:rPr>
          <w:rFonts w:eastAsia="Times New Roman" w:cs="Times New Roman"/>
          <w:szCs w:val="24"/>
          <w:lang w:eastAsia="pl-PL"/>
        </w:rPr>
        <w:t>względu na przewagę liczebną kobiet w całej populacji osób w wieku 60 lat i więcej, także wśród niepełnosprawnych osób starszych było więcej kobiet i stanowiły one 60%. Kobiety również dominowały w zbiorowości osób niepełnosprawnych tylko biologicznie.</w:t>
      </w:r>
    </w:p>
    <w:p w14:paraId="5CD570E2" w14:textId="77777777" w:rsidR="00340F91" w:rsidRDefault="00340F91" w:rsidP="00C1110C">
      <w:pPr>
        <w:autoSpaceDE w:val="0"/>
        <w:autoSpaceDN w:val="0"/>
        <w:adjustRightInd w:val="0"/>
        <w:spacing w:after="120"/>
        <w:rPr>
          <w:rFonts w:cs="Times New Roman"/>
          <w:b/>
          <w:sz w:val="22"/>
        </w:rPr>
      </w:pPr>
    </w:p>
    <w:p w14:paraId="75A04662" w14:textId="77777777" w:rsidR="0075104E" w:rsidRPr="0075104E" w:rsidRDefault="0075104E" w:rsidP="0075104E">
      <w:pPr>
        <w:keepNext/>
        <w:keepLines/>
        <w:numPr>
          <w:ilvl w:val="2"/>
          <w:numId w:val="1"/>
        </w:numPr>
        <w:spacing w:before="40"/>
        <w:outlineLvl w:val="2"/>
        <w:rPr>
          <w:rFonts w:eastAsiaTheme="majorEastAsia" w:cstheme="majorBidi"/>
          <w:b/>
          <w:color w:val="ED7D31" w:themeColor="accent2"/>
          <w:szCs w:val="24"/>
        </w:rPr>
      </w:pPr>
      <w:bookmarkStart w:id="58" w:name="_Toc80523058"/>
      <w:r w:rsidRPr="0075104E">
        <w:rPr>
          <w:rFonts w:eastAsiaTheme="majorEastAsia" w:cstheme="majorBidi"/>
          <w:b/>
          <w:color w:val="ED7D31" w:themeColor="accent2"/>
          <w:szCs w:val="24"/>
        </w:rPr>
        <w:t>Sprawność narządów zmysłu i ruchu oraz poziom możliwości samoobsługi i wykonania czynności domowych</w:t>
      </w:r>
      <w:bookmarkEnd w:id="58"/>
      <w:r w:rsidRPr="0075104E">
        <w:rPr>
          <w:rFonts w:eastAsiaTheme="majorEastAsia" w:cstheme="majorBidi"/>
          <w:b/>
          <w:color w:val="ED7D31" w:themeColor="accent2"/>
          <w:szCs w:val="24"/>
        </w:rPr>
        <w:t xml:space="preserve"> </w:t>
      </w:r>
    </w:p>
    <w:p w14:paraId="5190EADD" w14:textId="77777777" w:rsidR="0075104E" w:rsidRDefault="0075104E" w:rsidP="0075104E"/>
    <w:p w14:paraId="20B920E1" w14:textId="0A6EA3DC" w:rsidR="0075104E" w:rsidRPr="0075104E" w:rsidRDefault="0075104E" w:rsidP="0075104E">
      <w:r w:rsidRPr="0075104E">
        <w:t xml:space="preserve">Z aktualnych badań GUS wynika, że blisko 85% osób w grupie wieku 60 lat  i więcej używała okularów lub szkieł kontaktowych. Pomimo korzystania z tych urządzeń ponad 36% osób starszych miało problemy z widzeniem. Problemy te narastają wraz z wiekiem. W grupie wieku 80 lat i więcej problemy z widzeniem zgłaszała ponad połowa osób starszych, a co 8 osoba deklarowała, że ma duże trudności z widzeniem lub w ogóle nie widzi. </w:t>
      </w:r>
    </w:p>
    <w:p w14:paraId="792F1434" w14:textId="77777777" w:rsidR="0075104E" w:rsidRPr="0075104E" w:rsidRDefault="0075104E" w:rsidP="0075104E"/>
    <w:p w14:paraId="1E26FF23" w14:textId="77777777" w:rsidR="0075104E" w:rsidRPr="0075104E" w:rsidRDefault="0075104E" w:rsidP="0075104E">
      <w:r w:rsidRPr="0075104E">
        <w:t>Niespełna 7% osób starszych używało aparatu słuchowego, przy czym w grupie najstarszych seniorów odsetek ten wyniósł blisko 16%.  Rozmowę z 1 osobą w cichym pomieszczeniu źle słyszało 21% osób starszych, podczas gdy wśród osiemdziesięciolatków blisko połowa.</w:t>
      </w:r>
    </w:p>
    <w:p w14:paraId="59169916" w14:textId="77777777" w:rsidR="0075104E" w:rsidRPr="0075104E" w:rsidRDefault="0075104E" w:rsidP="0075104E"/>
    <w:p w14:paraId="52FBC3BF" w14:textId="77777777" w:rsidR="0075104E" w:rsidRPr="0075104E" w:rsidRDefault="0075104E" w:rsidP="0075104E">
      <w:r w:rsidRPr="0075104E">
        <w:t xml:space="preserve">Co trzecia osoba starsza zgłosiła w wywiadzie, że ma trudności w przejściu 500 m po płaskim terenie samodzielnie (bez korzystania z pomocy innej osoby czy urządzenia takiego jak laska, kula, balkonik). Problemy z przejściem na odległość 500 m dotyczyły najczęściej osób 80- letnich i starszych. W tej grupie wieku problem ten dotyczył blisko 72% analizowanej populacji. Kłopoty z samodzielnym wejściem i zejściem po schodach (na 1 kondygnację i bez żadnej pomocy) zadeklarowało blisko 24% osób w grupie wieku 60-69 lat, 43% w grupie 70 - 79 lat i 3/4 osób 80-letnich lub starszych. </w:t>
      </w:r>
    </w:p>
    <w:p w14:paraId="1F915FAA" w14:textId="77777777" w:rsidR="0075104E" w:rsidRPr="0075104E" w:rsidRDefault="0075104E" w:rsidP="0075104E"/>
    <w:p w14:paraId="270FB81A" w14:textId="77777777" w:rsidR="0075104E" w:rsidRPr="0075104E" w:rsidRDefault="0075104E" w:rsidP="0075104E">
      <w:r w:rsidRPr="0075104E">
        <w:t xml:space="preserve">W badaniu stanu zdrowia wśród osób w wieku 65 lat i więcej badano również zdolność do samoobsługi (tj. czy badana osoba może wykonać czynności, które każdy człowiek dorosły wykonuje codziennie) oraz do prowadzenia gospodarstwa domowego. </w:t>
      </w:r>
    </w:p>
    <w:p w14:paraId="211691E4" w14:textId="77777777" w:rsidR="0075104E" w:rsidRPr="0075104E" w:rsidRDefault="0075104E" w:rsidP="0075104E"/>
    <w:p w14:paraId="2C08F7F4" w14:textId="402BA1E7" w:rsidR="0075104E" w:rsidRPr="00340F91" w:rsidRDefault="0075104E" w:rsidP="00340F91">
      <w:pPr>
        <w:sectPr w:rsidR="0075104E" w:rsidRPr="00340F91" w:rsidSect="00232245">
          <w:pgSz w:w="11906" w:h="16840"/>
          <w:pgMar w:top="1418" w:right="1418" w:bottom="2127" w:left="1418" w:header="708" w:footer="708" w:gutter="0"/>
          <w:cols w:space="708"/>
          <w:docGrid w:linePitch="360"/>
        </w:sectPr>
      </w:pPr>
      <w:r w:rsidRPr="0075104E">
        <w:t>Jak pokazują wyniki badania około 1/5 osób w wieku 65 lat i więcej miała trudności z wykonaniem codziennych czynności związanych z samoobsługą. Dla tej grupy osób największą trudność stanowiło kładzenie się i wstawanie z łóżka lub siadanie i wstawanie z krzesła, w następnej kolejności kąpanie się lub mycie pod prysznicem oraz ubieranie się i rozbieranie. Problemy z wykonaniem co najmniej jednej z tych czynności zadeklarowała co piata osoba w wieku 65 lat i więcej. Poziom codziennej samoobsługi maleje wraz z wiekiem. Wśród osób najstarszych (80 lat i więcej) problemy z samoobsługą deklarowało ponad 42%. Blisko 47% osób starszych mających problemy z podstawową samoobsługą musiało samotnie zmagać się z tymi problemami, bo nie miało żadnej pomocy</w:t>
      </w:r>
      <w:r w:rsidR="00340F91">
        <w:t xml:space="preserve">, ze strony osób lub urządzeń. </w:t>
      </w:r>
    </w:p>
    <w:p w14:paraId="740BFF2A" w14:textId="77777777" w:rsidR="00510206" w:rsidRPr="00510206" w:rsidRDefault="00891D5D" w:rsidP="00FE70E3">
      <w:pPr>
        <w:pStyle w:val="Nagwek1"/>
        <w:numPr>
          <w:ilvl w:val="0"/>
          <w:numId w:val="23"/>
        </w:numPr>
        <w:spacing w:after="240"/>
        <w:ind w:left="0" w:hanging="426"/>
        <w:rPr>
          <w:rFonts w:cs="Times New Roman"/>
          <w:sz w:val="36"/>
        </w:rPr>
      </w:pPr>
      <w:bookmarkStart w:id="59" w:name="_Toc80523059"/>
      <w:r w:rsidRPr="00454337">
        <w:rPr>
          <w:rFonts w:cs="Times New Roman"/>
          <w:sz w:val="36"/>
        </w:rPr>
        <w:lastRenderedPageBreak/>
        <w:t>Polityka społeczna wobec osób starszych na szczeblu centralnym</w:t>
      </w:r>
      <w:bookmarkEnd w:id="59"/>
      <w:r w:rsidRPr="00454337">
        <w:rPr>
          <w:rFonts w:cs="Times New Roman"/>
          <w:sz w:val="36"/>
        </w:rPr>
        <w:t xml:space="preserve"> </w:t>
      </w:r>
    </w:p>
    <w:p w14:paraId="0B48F488" w14:textId="77777777" w:rsidR="00454337" w:rsidRPr="00454337" w:rsidRDefault="00454337" w:rsidP="00FE70E3">
      <w:pPr>
        <w:pStyle w:val="Nagwek2"/>
        <w:numPr>
          <w:ilvl w:val="1"/>
          <w:numId w:val="23"/>
        </w:numPr>
        <w:spacing w:before="240" w:after="240"/>
        <w:ind w:left="0" w:hanging="142"/>
        <w:rPr>
          <w:rFonts w:cs="Times New Roman"/>
          <w:sz w:val="40"/>
          <w:lang w:eastAsia="ar-SA"/>
        </w:rPr>
      </w:pPr>
      <w:bookmarkStart w:id="60" w:name="_Toc80523060"/>
      <w:r w:rsidRPr="00454337">
        <w:rPr>
          <w:rFonts w:cs="Times New Roman"/>
          <w:sz w:val="40"/>
          <w:lang w:eastAsia="ar-SA"/>
        </w:rPr>
        <w:t>Ministerstwo Cyfryzacji</w:t>
      </w:r>
      <w:bookmarkEnd w:id="60"/>
    </w:p>
    <w:p w14:paraId="08D9CC11" w14:textId="0C3B861D" w:rsidR="00454337" w:rsidRPr="00454337" w:rsidRDefault="00454337" w:rsidP="00454337">
      <w:pPr>
        <w:autoSpaceDE w:val="0"/>
        <w:autoSpaceDN w:val="0"/>
        <w:adjustRightInd w:val="0"/>
        <w:rPr>
          <w:rFonts w:cs="Times New Roman"/>
          <w:szCs w:val="24"/>
        </w:rPr>
      </w:pPr>
      <w:r w:rsidRPr="00454337">
        <w:rPr>
          <w:rFonts w:cs="Times New Roman"/>
          <w:szCs w:val="24"/>
        </w:rPr>
        <w:t>Realizacja działań podejmowanych przez Ministra Cyfryzacji na rzecz osób starszych, w tym w szczególności inicjatyw związanych z ochroną seniorów przed negatywnymi skutkami pandemii COVID-19, dotyczyły przede wszystkim zachęcania</w:t>
      </w:r>
      <w:r w:rsidR="00C60771">
        <w:rPr>
          <w:rFonts w:cs="Times New Roman"/>
          <w:szCs w:val="24"/>
        </w:rPr>
        <w:t xml:space="preserve"> osób starszych do pozostania w </w:t>
      </w:r>
      <w:r w:rsidRPr="00454337">
        <w:rPr>
          <w:rFonts w:cs="Times New Roman"/>
          <w:szCs w:val="24"/>
        </w:rPr>
        <w:t xml:space="preserve">domu i korzystania z Internetu oraz promowania tymczasowego profilu zaufanego, który był zakładany bez wychodzenia z domu i umożliwiał załatwianie spraw urzędowych online, jak również promowania aplikacji wspierających walkę z epidemią: „Kwarantanna domowa” oraz „STOP COVID </w:t>
      </w:r>
      <w:proofErr w:type="spellStart"/>
      <w:r w:rsidRPr="00454337">
        <w:rPr>
          <w:rFonts w:cs="Times New Roman"/>
          <w:szCs w:val="24"/>
        </w:rPr>
        <w:t>ProteGO</w:t>
      </w:r>
      <w:proofErr w:type="spellEnd"/>
      <w:r w:rsidRPr="00454337">
        <w:rPr>
          <w:rFonts w:cs="Times New Roman"/>
          <w:szCs w:val="24"/>
        </w:rPr>
        <w:t xml:space="preserve"> </w:t>
      </w:r>
      <w:proofErr w:type="spellStart"/>
      <w:r w:rsidRPr="00454337">
        <w:rPr>
          <w:rFonts w:cs="Times New Roman"/>
          <w:szCs w:val="24"/>
        </w:rPr>
        <w:t>Safe</w:t>
      </w:r>
      <w:proofErr w:type="spellEnd"/>
      <w:r w:rsidRPr="00454337">
        <w:rPr>
          <w:rFonts w:cs="Times New Roman"/>
          <w:szCs w:val="24"/>
        </w:rPr>
        <w:t>”.</w:t>
      </w:r>
    </w:p>
    <w:p w14:paraId="267666AB" w14:textId="77777777" w:rsidR="00454337" w:rsidRPr="00454337" w:rsidRDefault="00454337" w:rsidP="00454337">
      <w:pPr>
        <w:autoSpaceDE w:val="0"/>
        <w:autoSpaceDN w:val="0"/>
        <w:adjustRightInd w:val="0"/>
        <w:rPr>
          <w:rFonts w:cs="Times New Roman"/>
          <w:szCs w:val="24"/>
        </w:rPr>
      </w:pPr>
    </w:p>
    <w:p w14:paraId="274D7455" w14:textId="77777777" w:rsidR="00454337" w:rsidRPr="00454337" w:rsidRDefault="00454337" w:rsidP="00454337">
      <w:pPr>
        <w:autoSpaceDE w:val="0"/>
        <w:autoSpaceDN w:val="0"/>
        <w:adjustRightInd w:val="0"/>
        <w:rPr>
          <w:rFonts w:cs="Times New Roman"/>
          <w:szCs w:val="24"/>
        </w:rPr>
      </w:pPr>
      <w:r w:rsidRPr="00454337">
        <w:rPr>
          <w:rFonts w:cs="Times New Roman"/>
          <w:szCs w:val="24"/>
        </w:rPr>
        <w:t>Ponadto, w ramach wyżej wskazanego projektu, realizowane są dwie kampanie w obszarach:</w:t>
      </w:r>
    </w:p>
    <w:p w14:paraId="7A266FB1" w14:textId="77777777" w:rsidR="00687F06" w:rsidRDefault="00454337" w:rsidP="00FE70E3">
      <w:pPr>
        <w:pStyle w:val="Akapitzlist"/>
        <w:numPr>
          <w:ilvl w:val="0"/>
          <w:numId w:val="75"/>
        </w:numPr>
        <w:autoSpaceDE w:val="0"/>
        <w:autoSpaceDN w:val="0"/>
        <w:adjustRightInd w:val="0"/>
        <w:rPr>
          <w:rFonts w:cs="Times New Roman"/>
          <w:szCs w:val="24"/>
        </w:rPr>
      </w:pPr>
      <w:r w:rsidRPr="00687F06">
        <w:rPr>
          <w:rFonts w:cs="Times New Roman"/>
          <w:szCs w:val="24"/>
        </w:rPr>
        <w:t>e-usług publicznych – nakierowane na zachęcanie Polaków do korzystania z e-usług publicznych;</w:t>
      </w:r>
    </w:p>
    <w:p w14:paraId="518E8BAB" w14:textId="6EE4C297" w:rsidR="00454337" w:rsidRPr="00687F06" w:rsidRDefault="00454337" w:rsidP="00FE70E3">
      <w:pPr>
        <w:pStyle w:val="Akapitzlist"/>
        <w:numPr>
          <w:ilvl w:val="0"/>
          <w:numId w:val="75"/>
        </w:numPr>
        <w:autoSpaceDE w:val="0"/>
        <w:autoSpaceDN w:val="0"/>
        <w:adjustRightInd w:val="0"/>
        <w:rPr>
          <w:rFonts w:cs="Times New Roman"/>
          <w:szCs w:val="24"/>
        </w:rPr>
      </w:pPr>
      <w:r w:rsidRPr="00687F06">
        <w:rPr>
          <w:rFonts w:cs="Times New Roman"/>
          <w:szCs w:val="24"/>
        </w:rPr>
        <w:t>bezpieczeństwa w sieci internetowej – polegające na informowaniu o zagrożeniach w</w:t>
      </w:r>
      <w:r w:rsidR="00687F06">
        <w:rPr>
          <w:rFonts w:cs="Times New Roman"/>
          <w:szCs w:val="24"/>
        </w:rPr>
        <w:t> </w:t>
      </w:r>
      <w:r w:rsidR="0020761D" w:rsidRPr="00687F06">
        <w:rPr>
          <w:rFonts w:cs="Times New Roman"/>
          <w:szCs w:val="24"/>
        </w:rPr>
        <w:t>Internecie</w:t>
      </w:r>
      <w:r w:rsidRPr="00687F06">
        <w:rPr>
          <w:rFonts w:cs="Times New Roman"/>
          <w:szCs w:val="24"/>
        </w:rPr>
        <w:t xml:space="preserve"> oraz edukowaniu o sposobach radzenia sobie z nimi.</w:t>
      </w:r>
    </w:p>
    <w:p w14:paraId="6490FE47" w14:textId="77777777" w:rsidR="00454337" w:rsidRPr="00454337" w:rsidRDefault="00454337" w:rsidP="00454337">
      <w:pPr>
        <w:tabs>
          <w:tab w:val="left" w:pos="2295"/>
        </w:tabs>
        <w:autoSpaceDE w:val="0"/>
        <w:autoSpaceDN w:val="0"/>
        <w:adjustRightInd w:val="0"/>
        <w:rPr>
          <w:rFonts w:cs="Times New Roman"/>
          <w:color w:val="FF0000"/>
          <w:szCs w:val="24"/>
        </w:rPr>
      </w:pPr>
      <w:r>
        <w:rPr>
          <w:rFonts w:cs="Times New Roman"/>
          <w:color w:val="FF0000"/>
          <w:szCs w:val="24"/>
        </w:rPr>
        <w:tab/>
      </w:r>
    </w:p>
    <w:p w14:paraId="54CE55E6" w14:textId="6B8DED7A" w:rsidR="00705A19" w:rsidRDefault="00454337" w:rsidP="00705A19">
      <w:pPr>
        <w:autoSpaceDE w:val="0"/>
        <w:autoSpaceDN w:val="0"/>
        <w:adjustRightInd w:val="0"/>
        <w:rPr>
          <w:rFonts w:cs="Times New Roman"/>
          <w:szCs w:val="24"/>
        </w:rPr>
      </w:pPr>
      <w:r w:rsidRPr="00454337">
        <w:rPr>
          <w:rFonts w:cs="Times New Roman"/>
          <w:szCs w:val="24"/>
        </w:rPr>
        <w:t>Pozostałe podejmowane działania przez Ministra Cyfryzacji na rzecz osób starszych dotyczą serwisu GOV.PL. Prezentowane informacje i usługi w serwisie GOV.PL przygotowywane były i nadal są pod kątem osób starszych zarówno na poziomie technicznym - dającym możliwość obsługi za pomocą myszy i klawiatury, jak również na poziomie funkcjonalnym - wspomagającym zrozumienie treści dla tych seniorów, którzy dopiero rozpoczęli bądź rozpoczynają pracę z Internetem. Specjalista do spraw dostępności cyfrowej na bieżąco monitoruje techniczną i funkcjonalną obsługę serwisu GOV.PL również pod kątem osób starszych pod względem problemów w dostępie do informacji tej grupy użytkowników.</w:t>
      </w:r>
    </w:p>
    <w:p w14:paraId="0AC240B5" w14:textId="77777777" w:rsidR="00454337" w:rsidRPr="00454337" w:rsidRDefault="00454337" w:rsidP="00FE70E3">
      <w:pPr>
        <w:pStyle w:val="Nagwek2"/>
        <w:numPr>
          <w:ilvl w:val="1"/>
          <w:numId w:val="23"/>
        </w:numPr>
        <w:spacing w:before="240" w:after="240"/>
        <w:ind w:left="0" w:hanging="142"/>
        <w:rPr>
          <w:rFonts w:cs="Times New Roman"/>
          <w:sz w:val="40"/>
          <w:lang w:eastAsia="ar-SA"/>
        </w:rPr>
      </w:pPr>
      <w:bookmarkStart w:id="61" w:name="_Toc80523061"/>
      <w:r w:rsidRPr="00454337">
        <w:rPr>
          <w:rFonts w:cs="Times New Roman"/>
          <w:sz w:val="40"/>
          <w:lang w:eastAsia="ar-SA"/>
        </w:rPr>
        <w:t xml:space="preserve">Ministerstwo </w:t>
      </w:r>
      <w:r>
        <w:rPr>
          <w:rFonts w:cs="Times New Roman"/>
          <w:sz w:val="40"/>
          <w:lang w:eastAsia="ar-SA"/>
        </w:rPr>
        <w:t>Finansów</w:t>
      </w:r>
      <w:bookmarkEnd w:id="61"/>
    </w:p>
    <w:p w14:paraId="593925A9" w14:textId="6D7F6F22" w:rsidR="00454337" w:rsidRPr="00454337" w:rsidRDefault="00454337" w:rsidP="00454337">
      <w:pPr>
        <w:autoSpaceDE w:val="0"/>
        <w:autoSpaceDN w:val="0"/>
        <w:adjustRightInd w:val="0"/>
        <w:rPr>
          <w:rFonts w:cs="Times New Roman"/>
          <w:szCs w:val="24"/>
        </w:rPr>
      </w:pPr>
      <w:r w:rsidRPr="00454337">
        <w:rPr>
          <w:rFonts w:cs="Times New Roman"/>
          <w:szCs w:val="24"/>
        </w:rPr>
        <w:t>Ministerstwo Finansów wraz z Krajową Administracją Skarbową realizując działania mające na celu wsparcie podatników w wypełnianiu przez nich obowiązków podatkowych. W tym zakresie resort finansów wprowadził już dwa lata temu rozwiązania dedykowane bezpośrednio osobom starszym. Jednym z nich był PIT-OP czyli formularz umożliwiający w 2020 r</w:t>
      </w:r>
      <w:r w:rsidR="00E959A7">
        <w:rPr>
          <w:rFonts w:cs="Times New Roman"/>
          <w:szCs w:val="24"/>
        </w:rPr>
        <w:t>.</w:t>
      </w:r>
      <w:r w:rsidRPr="00454337">
        <w:rPr>
          <w:rFonts w:cs="Times New Roman"/>
          <w:szCs w:val="24"/>
        </w:rPr>
        <w:t xml:space="preserve"> rencistom i emerytom możliwość „automatycznego” przekazania 1% podatku dla wybranej Organizacji Pożytku Publicznego.</w:t>
      </w:r>
    </w:p>
    <w:p w14:paraId="0066B04C" w14:textId="77777777" w:rsidR="00454337" w:rsidRDefault="00454337" w:rsidP="00454337">
      <w:pPr>
        <w:autoSpaceDE w:val="0"/>
        <w:autoSpaceDN w:val="0"/>
        <w:adjustRightInd w:val="0"/>
        <w:rPr>
          <w:rFonts w:cs="Times New Roman"/>
          <w:szCs w:val="24"/>
        </w:rPr>
      </w:pPr>
    </w:p>
    <w:p w14:paraId="7E85F64C" w14:textId="32242DB8" w:rsidR="00454337" w:rsidRPr="00454337" w:rsidRDefault="00454337" w:rsidP="00454337">
      <w:pPr>
        <w:autoSpaceDE w:val="0"/>
        <w:autoSpaceDN w:val="0"/>
        <w:adjustRightInd w:val="0"/>
        <w:rPr>
          <w:rFonts w:cs="Times New Roman"/>
          <w:szCs w:val="24"/>
        </w:rPr>
      </w:pPr>
      <w:r w:rsidRPr="00454337">
        <w:rPr>
          <w:rFonts w:cs="Times New Roman"/>
          <w:szCs w:val="24"/>
        </w:rPr>
        <w:t>W listopadzie 2020 r</w:t>
      </w:r>
      <w:r w:rsidR="00E959A7">
        <w:rPr>
          <w:rFonts w:cs="Times New Roman"/>
          <w:szCs w:val="24"/>
        </w:rPr>
        <w:t>.</w:t>
      </w:r>
      <w:r w:rsidRPr="00454337">
        <w:rPr>
          <w:rFonts w:cs="Times New Roman"/>
          <w:szCs w:val="24"/>
        </w:rPr>
        <w:t xml:space="preserve"> została udostępniona dla podatników usługa </w:t>
      </w:r>
      <w:r w:rsidR="00E959A7">
        <w:rPr>
          <w:rFonts w:cs="Times New Roman"/>
          <w:szCs w:val="24"/>
        </w:rPr>
        <w:t>„</w:t>
      </w:r>
      <w:r w:rsidRPr="00454337">
        <w:rPr>
          <w:rFonts w:cs="Times New Roman"/>
          <w:szCs w:val="24"/>
        </w:rPr>
        <w:t>Umów wizytę w</w:t>
      </w:r>
      <w:r w:rsidR="005F5A42">
        <w:rPr>
          <w:rFonts w:cs="Times New Roman"/>
          <w:szCs w:val="24"/>
        </w:rPr>
        <w:t> </w:t>
      </w:r>
      <w:r w:rsidRPr="00454337">
        <w:rPr>
          <w:rFonts w:cs="Times New Roman"/>
          <w:szCs w:val="24"/>
        </w:rPr>
        <w:t>urzędzie skarbowym</w:t>
      </w:r>
      <w:r w:rsidR="00E959A7">
        <w:rPr>
          <w:rFonts w:cs="Times New Roman"/>
          <w:szCs w:val="24"/>
        </w:rPr>
        <w:t>”</w:t>
      </w:r>
      <w:r w:rsidRPr="00454337">
        <w:rPr>
          <w:rFonts w:cs="Times New Roman"/>
          <w:szCs w:val="24"/>
        </w:rPr>
        <w:t xml:space="preserve">. Umożliwia ona szybkie i komfortowe załatwienie spraw w urzędzie, bez </w:t>
      </w:r>
      <w:r w:rsidRPr="00454337">
        <w:rPr>
          <w:rFonts w:cs="Times New Roman"/>
          <w:szCs w:val="24"/>
        </w:rPr>
        <w:lastRenderedPageBreak/>
        <w:t>konieczności stania w kolejkach i z zachowaniem istotnych w czasie pandemii środków ostrożności, wobec czego zwiększa to poziom bezpieczeństwa zarówno podatników, jak i</w:t>
      </w:r>
      <w:r w:rsidR="005F5A42">
        <w:rPr>
          <w:rFonts w:cs="Times New Roman"/>
          <w:szCs w:val="24"/>
        </w:rPr>
        <w:t> </w:t>
      </w:r>
      <w:r w:rsidRPr="00454337">
        <w:rPr>
          <w:rFonts w:cs="Times New Roman"/>
          <w:szCs w:val="24"/>
        </w:rPr>
        <w:t>urzędników. Umawianie wizyty zwiększa komfort podatników podczas załatwiania spraw - mogą umówić się i przyjść w dogodnym dla siebie terminie. Usługa ta była skierowana również do seniorów, aby ułatwić im w tak trudnym czasie kontakt z urzędem skarbowym. Umówić wizytę można za pomocą strony internetowej podatki.gov.pl ale również, mając na uwadze m.in. wykluczenie cyfrowe dużej części osób spośród tej grupy, telefonicznie lub osobiście w</w:t>
      </w:r>
      <w:r w:rsidR="005F5A42">
        <w:rPr>
          <w:rFonts w:cs="Times New Roman"/>
          <w:szCs w:val="24"/>
        </w:rPr>
        <w:t> </w:t>
      </w:r>
      <w:r w:rsidRPr="00454337">
        <w:rPr>
          <w:rFonts w:cs="Times New Roman"/>
          <w:szCs w:val="24"/>
        </w:rPr>
        <w:t>urzędzie.</w:t>
      </w:r>
    </w:p>
    <w:p w14:paraId="7446C5A2" w14:textId="77777777" w:rsidR="00454337" w:rsidRDefault="00454337" w:rsidP="00454337">
      <w:pPr>
        <w:autoSpaceDE w:val="0"/>
        <w:autoSpaceDN w:val="0"/>
        <w:adjustRightInd w:val="0"/>
        <w:rPr>
          <w:rFonts w:cs="Times New Roman"/>
          <w:szCs w:val="24"/>
        </w:rPr>
      </w:pPr>
    </w:p>
    <w:p w14:paraId="5A18C206" w14:textId="77777777" w:rsidR="00454337" w:rsidRPr="00454337" w:rsidRDefault="00454337" w:rsidP="00454337">
      <w:pPr>
        <w:autoSpaceDE w:val="0"/>
        <w:autoSpaceDN w:val="0"/>
        <w:adjustRightInd w:val="0"/>
        <w:rPr>
          <w:rFonts w:cs="Times New Roman"/>
          <w:szCs w:val="24"/>
        </w:rPr>
      </w:pPr>
      <w:r w:rsidRPr="00454337">
        <w:rPr>
          <w:rFonts w:cs="Times New Roman"/>
          <w:szCs w:val="24"/>
        </w:rPr>
        <w:t>Ministerstwo Finansów jest reprezentowane w Międzynarodowej Sieci Edukacji Finansowej OECD (OECD/INFE) poprzez zaangażowanie w prace grup roboczych, wśród których jest grupa ds. edukacji finansowej w kontekście starzejącego się społeczeństwa. Przedstawiciele MF włączeni byli w prace nad dokumentem dotyczącym tematu dobrobytu finansowego osób</w:t>
      </w:r>
    </w:p>
    <w:p w14:paraId="02D848DC" w14:textId="30FABC05" w:rsidR="00454337" w:rsidRPr="00454337" w:rsidRDefault="00454337" w:rsidP="00454337">
      <w:pPr>
        <w:autoSpaceDE w:val="0"/>
        <w:autoSpaceDN w:val="0"/>
        <w:adjustRightInd w:val="0"/>
        <w:rPr>
          <w:rFonts w:cs="Times New Roman"/>
          <w:szCs w:val="24"/>
        </w:rPr>
      </w:pPr>
      <w:r w:rsidRPr="00454337">
        <w:rPr>
          <w:rFonts w:cs="Times New Roman"/>
          <w:szCs w:val="24"/>
        </w:rPr>
        <w:t xml:space="preserve">starszych. Prace nad nim rozpoczęły się w 2019 </w:t>
      </w:r>
      <w:r w:rsidR="00E959A7">
        <w:rPr>
          <w:rFonts w:cs="Times New Roman"/>
          <w:szCs w:val="24"/>
        </w:rPr>
        <w:t xml:space="preserve">r. </w:t>
      </w:r>
      <w:r w:rsidRPr="00454337">
        <w:rPr>
          <w:rFonts w:cs="Times New Roman"/>
          <w:szCs w:val="24"/>
        </w:rPr>
        <w:t>i zakończyły pod koniec 2020 r. Jednocześnie grupa zainicjowała pracę nad notą, która będzie dotyczyła wyzwań związanych z</w:t>
      </w:r>
      <w:r w:rsidR="005F5A42">
        <w:rPr>
          <w:rFonts w:cs="Times New Roman"/>
          <w:szCs w:val="24"/>
        </w:rPr>
        <w:t> </w:t>
      </w:r>
      <w:r w:rsidRPr="00454337">
        <w:rPr>
          <w:rFonts w:cs="Times New Roman"/>
          <w:szCs w:val="24"/>
        </w:rPr>
        <w:t>planowaniem finansów na czas emerytury, w szczególności w związku ze zmianami w</w:t>
      </w:r>
      <w:r w:rsidR="005F5A42">
        <w:rPr>
          <w:rFonts w:cs="Times New Roman"/>
          <w:szCs w:val="24"/>
        </w:rPr>
        <w:t> </w:t>
      </w:r>
      <w:r w:rsidRPr="00454337">
        <w:rPr>
          <w:rFonts w:cs="Times New Roman"/>
          <w:szCs w:val="24"/>
        </w:rPr>
        <w:t>systemach emerytalnych i sytuacją wywołaną pandemią COVID-19.</w:t>
      </w:r>
    </w:p>
    <w:p w14:paraId="3E6FC9E2" w14:textId="77777777" w:rsidR="00EA07DE" w:rsidRDefault="00EA07DE" w:rsidP="00454337">
      <w:pPr>
        <w:autoSpaceDE w:val="0"/>
        <w:autoSpaceDN w:val="0"/>
        <w:adjustRightInd w:val="0"/>
        <w:rPr>
          <w:rFonts w:cs="Times New Roman"/>
          <w:szCs w:val="24"/>
        </w:rPr>
      </w:pPr>
    </w:p>
    <w:p w14:paraId="61A0B227" w14:textId="36E63F22" w:rsidR="00454337" w:rsidRPr="00454337" w:rsidRDefault="00454337" w:rsidP="00454337">
      <w:pPr>
        <w:autoSpaceDE w:val="0"/>
        <w:autoSpaceDN w:val="0"/>
        <w:adjustRightInd w:val="0"/>
        <w:rPr>
          <w:rFonts w:cs="Times New Roman"/>
          <w:szCs w:val="24"/>
        </w:rPr>
      </w:pPr>
      <w:r w:rsidRPr="00454337">
        <w:rPr>
          <w:rFonts w:cs="Times New Roman"/>
          <w:szCs w:val="24"/>
        </w:rPr>
        <w:t xml:space="preserve">Przedstawiciele MF są </w:t>
      </w:r>
      <w:r w:rsidR="005F5A42">
        <w:rPr>
          <w:rFonts w:cs="Times New Roman"/>
          <w:szCs w:val="24"/>
        </w:rPr>
        <w:t xml:space="preserve">również </w:t>
      </w:r>
      <w:r w:rsidRPr="00454337">
        <w:rPr>
          <w:rFonts w:cs="Times New Roman"/>
          <w:szCs w:val="24"/>
        </w:rPr>
        <w:t>członkami Rady Edukacji Finansowej. Jednym z zadań Rady jest wyznaczanie kierunków i sposobów realizacji zadań Funduszu Edukacji Finansowej (Fundusz). Osoby starsze są jedną z grup odbiorców, do których będą adresowane projekty z</w:t>
      </w:r>
      <w:r w:rsidR="005F5A42">
        <w:rPr>
          <w:rFonts w:cs="Times New Roman"/>
          <w:szCs w:val="24"/>
        </w:rPr>
        <w:t> </w:t>
      </w:r>
      <w:r w:rsidRPr="00454337">
        <w:rPr>
          <w:rFonts w:cs="Times New Roman"/>
          <w:szCs w:val="24"/>
        </w:rPr>
        <w:t>zakresu edukacji finansowej finansowane z Funduszu.</w:t>
      </w:r>
    </w:p>
    <w:p w14:paraId="6CDF64D9" w14:textId="77777777" w:rsidR="00EA07DE" w:rsidRDefault="00EA07DE" w:rsidP="00454337">
      <w:pPr>
        <w:autoSpaceDE w:val="0"/>
        <w:autoSpaceDN w:val="0"/>
        <w:adjustRightInd w:val="0"/>
        <w:rPr>
          <w:rFonts w:cs="Times New Roman"/>
          <w:szCs w:val="24"/>
        </w:rPr>
      </w:pPr>
    </w:p>
    <w:p w14:paraId="512CBB23" w14:textId="77777777" w:rsidR="00454337" w:rsidRPr="00454337" w:rsidRDefault="00454337" w:rsidP="00454337">
      <w:pPr>
        <w:autoSpaceDE w:val="0"/>
        <w:autoSpaceDN w:val="0"/>
        <w:adjustRightInd w:val="0"/>
        <w:rPr>
          <w:rFonts w:cs="Times New Roman"/>
          <w:szCs w:val="24"/>
        </w:rPr>
      </w:pPr>
      <w:r w:rsidRPr="00454337">
        <w:rPr>
          <w:rFonts w:cs="Times New Roman"/>
          <w:szCs w:val="24"/>
        </w:rPr>
        <w:t>Osoby starsze to liczna grupa społeczna, która wymaga ułatwień w korzystaniu z Internetu (serwisy internetowe i usługowe). Jest to szczególnie ważne w przypadku administracji publicznej, do serwisów których każdy obywatel powinien mieć swobodny dostęp. MF zrealizowało następujące działania, z zakresu dostępności cyfrowej:</w:t>
      </w:r>
    </w:p>
    <w:p w14:paraId="3C14138B" w14:textId="7BCC897E" w:rsidR="00454337" w:rsidRPr="00454337" w:rsidRDefault="00454337" w:rsidP="00454337">
      <w:pPr>
        <w:autoSpaceDE w:val="0"/>
        <w:autoSpaceDN w:val="0"/>
        <w:adjustRightInd w:val="0"/>
        <w:rPr>
          <w:rFonts w:cs="Times New Roman"/>
          <w:szCs w:val="24"/>
        </w:rPr>
      </w:pPr>
      <w:r w:rsidRPr="00454337">
        <w:rPr>
          <w:rFonts w:cs="Times New Roman"/>
          <w:szCs w:val="24"/>
        </w:rPr>
        <w:t>1</w:t>
      </w:r>
      <w:r w:rsidR="005F5A42">
        <w:rPr>
          <w:rFonts w:cs="Times New Roman"/>
          <w:szCs w:val="24"/>
        </w:rPr>
        <w:t>. </w:t>
      </w:r>
      <w:r w:rsidRPr="00454337">
        <w:rPr>
          <w:rFonts w:cs="Times New Roman"/>
          <w:szCs w:val="24"/>
        </w:rPr>
        <w:t>Powołano Zespół Koordynatorów do spraw dostępności, do którego zadań należy między innymi wsparcie osób ze szczególnymi potrzebami, w tym osób starszych, w dostępie do</w:t>
      </w:r>
      <w:r w:rsidR="005F5A42">
        <w:rPr>
          <w:rFonts w:cs="Times New Roman"/>
          <w:szCs w:val="24"/>
        </w:rPr>
        <w:t> </w:t>
      </w:r>
      <w:r w:rsidRPr="00454337">
        <w:rPr>
          <w:rFonts w:cs="Times New Roman"/>
          <w:szCs w:val="24"/>
        </w:rPr>
        <w:t>informacji i usług świadczonych przez ministerstwo.</w:t>
      </w:r>
    </w:p>
    <w:p w14:paraId="693E8F90" w14:textId="1DD54BF7" w:rsidR="00454337" w:rsidRPr="00454337" w:rsidRDefault="00454337" w:rsidP="00454337">
      <w:pPr>
        <w:autoSpaceDE w:val="0"/>
        <w:autoSpaceDN w:val="0"/>
        <w:adjustRightInd w:val="0"/>
        <w:rPr>
          <w:rFonts w:cs="Times New Roman"/>
          <w:szCs w:val="24"/>
        </w:rPr>
      </w:pPr>
      <w:r w:rsidRPr="00454337">
        <w:rPr>
          <w:rFonts w:cs="Times New Roman"/>
          <w:szCs w:val="24"/>
        </w:rPr>
        <w:t>2.</w:t>
      </w:r>
      <w:r w:rsidR="005F5A42">
        <w:rPr>
          <w:rFonts w:cs="Times New Roman"/>
          <w:szCs w:val="24"/>
        </w:rPr>
        <w:t> </w:t>
      </w:r>
      <w:r w:rsidRPr="00454337">
        <w:rPr>
          <w:rFonts w:cs="Times New Roman"/>
          <w:szCs w:val="24"/>
        </w:rPr>
        <w:t xml:space="preserve">Utworzono na MS </w:t>
      </w:r>
      <w:proofErr w:type="spellStart"/>
      <w:r w:rsidRPr="00454337">
        <w:rPr>
          <w:rFonts w:cs="Times New Roman"/>
          <w:szCs w:val="24"/>
        </w:rPr>
        <w:t>Teams</w:t>
      </w:r>
      <w:proofErr w:type="spellEnd"/>
      <w:r w:rsidRPr="00454337">
        <w:rPr>
          <w:rFonts w:cs="Times New Roman"/>
          <w:szCs w:val="24"/>
        </w:rPr>
        <w:t xml:space="preserve"> forum dla koordynatorów ds. dostępności cyfrowej w izbach administracji skarbowej, Krajowej Szkoły Skarbowości, Centrum Informatyki Resortu Finansów i Krajowej Informacji Skarbowej, które stanowią bazę wymiany wiedzy i dobrych praktyk w obszarze dostępności cyfrowej, w tym również na rzecz osób starszych.</w:t>
      </w:r>
    </w:p>
    <w:p w14:paraId="54C9C026" w14:textId="77777777" w:rsidR="005F5A42" w:rsidRDefault="00454337" w:rsidP="00454337">
      <w:pPr>
        <w:autoSpaceDE w:val="0"/>
        <w:autoSpaceDN w:val="0"/>
        <w:adjustRightInd w:val="0"/>
        <w:rPr>
          <w:rFonts w:cs="Times New Roman"/>
          <w:szCs w:val="24"/>
        </w:rPr>
      </w:pPr>
      <w:r w:rsidRPr="00454337">
        <w:rPr>
          <w:rFonts w:cs="Times New Roman"/>
          <w:szCs w:val="24"/>
        </w:rPr>
        <w:t>3.</w:t>
      </w:r>
      <w:r w:rsidR="005F5A42">
        <w:rPr>
          <w:rFonts w:cs="Times New Roman"/>
          <w:szCs w:val="24"/>
        </w:rPr>
        <w:t> </w:t>
      </w:r>
      <w:r w:rsidRPr="00454337">
        <w:rPr>
          <w:rFonts w:cs="Times New Roman"/>
          <w:szCs w:val="24"/>
        </w:rPr>
        <w:t>Redaktorzy portalu MF i serwisów izb administracji skarbowej, Krajowej Szkoły Skarbowości, Centrum Informatyki Resortu Finansów i Krajowej Informacji Skarbowej brali udział w szkoleniach z zakresu:</w:t>
      </w:r>
    </w:p>
    <w:p w14:paraId="3026E11E" w14:textId="77777777" w:rsidR="005F5A42" w:rsidRDefault="00454337" w:rsidP="00FE70E3">
      <w:pPr>
        <w:pStyle w:val="Akapitzlist"/>
        <w:numPr>
          <w:ilvl w:val="0"/>
          <w:numId w:val="76"/>
        </w:numPr>
        <w:autoSpaceDE w:val="0"/>
        <w:autoSpaceDN w:val="0"/>
        <w:adjustRightInd w:val="0"/>
        <w:rPr>
          <w:rFonts w:cs="Times New Roman"/>
          <w:szCs w:val="24"/>
        </w:rPr>
      </w:pPr>
      <w:r w:rsidRPr="005F5A42">
        <w:rPr>
          <w:rFonts w:cs="Times New Roman"/>
          <w:szCs w:val="24"/>
        </w:rPr>
        <w:t>tworzenia dostępnych cyfrowo dokumentów,</w:t>
      </w:r>
    </w:p>
    <w:p w14:paraId="274E8F65" w14:textId="77777777" w:rsidR="005F5A42" w:rsidRDefault="00454337" w:rsidP="00FE70E3">
      <w:pPr>
        <w:pStyle w:val="Akapitzlist"/>
        <w:numPr>
          <w:ilvl w:val="0"/>
          <w:numId w:val="76"/>
        </w:numPr>
        <w:autoSpaceDE w:val="0"/>
        <w:autoSpaceDN w:val="0"/>
        <w:adjustRightInd w:val="0"/>
        <w:rPr>
          <w:rFonts w:cs="Times New Roman"/>
          <w:szCs w:val="24"/>
        </w:rPr>
      </w:pPr>
      <w:r w:rsidRPr="005F5A42">
        <w:rPr>
          <w:rFonts w:cs="Times New Roman"/>
          <w:szCs w:val="24"/>
        </w:rPr>
        <w:t>tworzenia dostępnych treści,</w:t>
      </w:r>
    </w:p>
    <w:p w14:paraId="71DB9CEE" w14:textId="77777777" w:rsidR="005F5A42" w:rsidRDefault="00454337" w:rsidP="00FE70E3">
      <w:pPr>
        <w:pStyle w:val="Akapitzlist"/>
        <w:numPr>
          <w:ilvl w:val="0"/>
          <w:numId w:val="76"/>
        </w:numPr>
        <w:autoSpaceDE w:val="0"/>
        <w:autoSpaceDN w:val="0"/>
        <w:adjustRightInd w:val="0"/>
        <w:rPr>
          <w:rFonts w:cs="Times New Roman"/>
          <w:szCs w:val="24"/>
        </w:rPr>
      </w:pPr>
      <w:r w:rsidRPr="005F5A42">
        <w:rPr>
          <w:rFonts w:cs="Times New Roman"/>
          <w:szCs w:val="24"/>
        </w:rPr>
        <w:t>prostego języka,</w:t>
      </w:r>
    </w:p>
    <w:p w14:paraId="23405EA3" w14:textId="77777777" w:rsidR="005F5A42" w:rsidRDefault="00454337" w:rsidP="00FE70E3">
      <w:pPr>
        <w:pStyle w:val="Akapitzlist"/>
        <w:numPr>
          <w:ilvl w:val="0"/>
          <w:numId w:val="76"/>
        </w:numPr>
        <w:autoSpaceDE w:val="0"/>
        <w:autoSpaceDN w:val="0"/>
        <w:adjustRightInd w:val="0"/>
        <w:rPr>
          <w:rFonts w:cs="Times New Roman"/>
          <w:szCs w:val="24"/>
        </w:rPr>
      </w:pPr>
      <w:r w:rsidRPr="005F5A42">
        <w:rPr>
          <w:rFonts w:cs="Times New Roman"/>
          <w:szCs w:val="24"/>
        </w:rPr>
        <w:t>przygotowania informacji o działalności podmiotu, w tekście łatwym do czytania,</w:t>
      </w:r>
    </w:p>
    <w:p w14:paraId="64B5B1C0" w14:textId="5FDFAEC3" w:rsidR="00454337" w:rsidRPr="005F5A42" w:rsidRDefault="00454337" w:rsidP="00FE70E3">
      <w:pPr>
        <w:pStyle w:val="Akapitzlist"/>
        <w:numPr>
          <w:ilvl w:val="0"/>
          <w:numId w:val="76"/>
        </w:numPr>
        <w:autoSpaceDE w:val="0"/>
        <w:autoSpaceDN w:val="0"/>
        <w:adjustRightInd w:val="0"/>
        <w:rPr>
          <w:rFonts w:cs="Times New Roman"/>
          <w:szCs w:val="24"/>
        </w:rPr>
      </w:pPr>
      <w:r w:rsidRPr="005F5A42">
        <w:rPr>
          <w:rFonts w:cs="Times New Roman"/>
          <w:szCs w:val="24"/>
        </w:rPr>
        <w:lastRenderedPageBreak/>
        <w:t>przygotowania deklaracji dostępności.</w:t>
      </w:r>
    </w:p>
    <w:p w14:paraId="2970F462" w14:textId="17E9E59D" w:rsidR="00454337" w:rsidRPr="00454337" w:rsidRDefault="00454337" w:rsidP="00454337">
      <w:pPr>
        <w:autoSpaceDE w:val="0"/>
        <w:autoSpaceDN w:val="0"/>
        <w:adjustRightInd w:val="0"/>
        <w:rPr>
          <w:rFonts w:cs="Times New Roman"/>
          <w:szCs w:val="24"/>
        </w:rPr>
      </w:pPr>
      <w:r w:rsidRPr="00454337">
        <w:rPr>
          <w:rFonts w:cs="Times New Roman"/>
          <w:szCs w:val="24"/>
        </w:rPr>
        <w:t>4.</w:t>
      </w:r>
      <w:r w:rsidR="005F5A42">
        <w:rPr>
          <w:rFonts w:cs="Times New Roman"/>
          <w:szCs w:val="24"/>
        </w:rPr>
        <w:t> </w:t>
      </w:r>
      <w:r w:rsidRPr="00454337">
        <w:rPr>
          <w:rFonts w:cs="Times New Roman"/>
          <w:szCs w:val="24"/>
        </w:rPr>
        <w:t>Ministerstwo Finansów od lat dba o to, aby wszelkie treści publikowane na stronach internetowych i w mediach społecznościowych były jak najbardziej dostępne. 21 maja 2020 r. w Światowy Dzień Wiedzy o Dostępności w specjalnym komunikacie na stronie internetowej i intranetowej MF oraz PAP, ponownie zwrócono uwagę na temat dostępności i związanych z</w:t>
      </w:r>
      <w:r w:rsidR="005F5A42">
        <w:rPr>
          <w:rFonts w:cs="Times New Roman"/>
          <w:szCs w:val="24"/>
        </w:rPr>
        <w:t> </w:t>
      </w:r>
      <w:r w:rsidRPr="00454337">
        <w:rPr>
          <w:rFonts w:cs="Times New Roman"/>
          <w:szCs w:val="24"/>
        </w:rPr>
        <w:t>tym potrzeb osób z różnego rodzaju niepełnosprawnościami, w tym osób starszych.</w:t>
      </w:r>
    </w:p>
    <w:p w14:paraId="6D5C2113" w14:textId="2068E970" w:rsidR="00454337" w:rsidRPr="00454337" w:rsidRDefault="00454337" w:rsidP="00454337">
      <w:pPr>
        <w:autoSpaceDE w:val="0"/>
        <w:autoSpaceDN w:val="0"/>
        <w:adjustRightInd w:val="0"/>
        <w:rPr>
          <w:rFonts w:cs="Times New Roman"/>
          <w:szCs w:val="24"/>
        </w:rPr>
      </w:pPr>
      <w:r w:rsidRPr="00454337">
        <w:rPr>
          <w:rFonts w:cs="Times New Roman"/>
          <w:szCs w:val="24"/>
        </w:rPr>
        <w:t>5.</w:t>
      </w:r>
      <w:r w:rsidR="005F5A42">
        <w:rPr>
          <w:rFonts w:cs="Times New Roman"/>
          <w:szCs w:val="24"/>
        </w:rPr>
        <w:t> </w:t>
      </w:r>
      <w:r w:rsidRPr="00454337">
        <w:rPr>
          <w:rFonts w:cs="Times New Roman"/>
          <w:szCs w:val="24"/>
        </w:rPr>
        <w:t>Utworzono w Intranecie MF zakładkę pt. Dostępność, w której publikowane są dla</w:t>
      </w:r>
      <w:r w:rsidR="005F5A42">
        <w:rPr>
          <w:rFonts w:cs="Times New Roman"/>
          <w:szCs w:val="24"/>
        </w:rPr>
        <w:t xml:space="preserve"> </w:t>
      </w:r>
      <w:r w:rsidRPr="00454337">
        <w:rPr>
          <w:rFonts w:cs="Times New Roman"/>
          <w:szCs w:val="24"/>
        </w:rPr>
        <w:t>pracowników MF najważniejsze informacje z obszaru dostępności, w tym dla osób starszych.</w:t>
      </w:r>
    </w:p>
    <w:p w14:paraId="026DCF11" w14:textId="12A37949" w:rsidR="00454337" w:rsidRPr="00454337" w:rsidRDefault="00454337" w:rsidP="00454337">
      <w:pPr>
        <w:autoSpaceDE w:val="0"/>
        <w:autoSpaceDN w:val="0"/>
        <w:adjustRightInd w:val="0"/>
        <w:rPr>
          <w:rFonts w:cs="Times New Roman"/>
          <w:szCs w:val="24"/>
        </w:rPr>
      </w:pPr>
      <w:r w:rsidRPr="00454337">
        <w:rPr>
          <w:rFonts w:cs="Times New Roman"/>
          <w:szCs w:val="24"/>
        </w:rPr>
        <w:t>6.</w:t>
      </w:r>
      <w:r w:rsidR="005F5A42">
        <w:rPr>
          <w:rFonts w:cs="Times New Roman"/>
          <w:szCs w:val="24"/>
        </w:rPr>
        <w:t> </w:t>
      </w:r>
      <w:r w:rsidRPr="00454337">
        <w:rPr>
          <w:rFonts w:cs="Times New Roman"/>
          <w:szCs w:val="24"/>
        </w:rPr>
        <w:t>Prowadzono prace związane z przeglądem stron izb administracji skarbowej, Krajowej Szkoły Skarbowości, Centrum Informatyki Resortu Finansów i Krajowej Informacji Skarbowej pod kątem dostępności cyfrowej, w tym dostępu do informacji dla osób starszych.</w:t>
      </w:r>
    </w:p>
    <w:p w14:paraId="49AD67B6" w14:textId="1145224F" w:rsidR="00454337" w:rsidRPr="00454337" w:rsidRDefault="00454337" w:rsidP="00454337">
      <w:pPr>
        <w:autoSpaceDE w:val="0"/>
        <w:autoSpaceDN w:val="0"/>
        <w:adjustRightInd w:val="0"/>
        <w:rPr>
          <w:rFonts w:cs="Times New Roman"/>
          <w:szCs w:val="24"/>
        </w:rPr>
      </w:pPr>
      <w:r w:rsidRPr="00454337">
        <w:rPr>
          <w:rFonts w:cs="Times New Roman"/>
          <w:szCs w:val="24"/>
        </w:rPr>
        <w:t>7.</w:t>
      </w:r>
      <w:r w:rsidR="005F5A42">
        <w:rPr>
          <w:rFonts w:cs="Times New Roman"/>
          <w:szCs w:val="24"/>
        </w:rPr>
        <w:t> </w:t>
      </w:r>
      <w:r w:rsidRPr="00454337">
        <w:rPr>
          <w:rFonts w:cs="Times New Roman"/>
          <w:szCs w:val="24"/>
        </w:rPr>
        <w:t>Przygotowano materiały z zakresu działalności resortu finansów:</w:t>
      </w:r>
    </w:p>
    <w:p w14:paraId="693D1233" w14:textId="77777777" w:rsidR="005F5A42" w:rsidRDefault="00454337" w:rsidP="00FE70E3">
      <w:pPr>
        <w:pStyle w:val="Akapitzlist"/>
        <w:numPr>
          <w:ilvl w:val="0"/>
          <w:numId w:val="77"/>
        </w:numPr>
        <w:autoSpaceDE w:val="0"/>
        <w:autoSpaceDN w:val="0"/>
        <w:adjustRightInd w:val="0"/>
        <w:rPr>
          <w:rFonts w:cs="Times New Roman"/>
          <w:szCs w:val="24"/>
        </w:rPr>
      </w:pPr>
      <w:r w:rsidRPr="005F5A42">
        <w:rPr>
          <w:rFonts w:cs="Times New Roman"/>
          <w:szCs w:val="24"/>
        </w:rPr>
        <w:t xml:space="preserve">tekstu w postaci </w:t>
      </w:r>
      <w:proofErr w:type="spellStart"/>
      <w:r w:rsidRPr="005F5A42">
        <w:rPr>
          <w:rFonts w:cs="Times New Roman"/>
          <w:szCs w:val="24"/>
        </w:rPr>
        <w:t>Easy</w:t>
      </w:r>
      <w:proofErr w:type="spellEnd"/>
      <w:r w:rsidRPr="005F5A42">
        <w:rPr>
          <w:rFonts w:cs="Times New Roman"/>
          <w:szCs w:val="24"/>
        </w:rPr>
        <w:t xml:space="preserve"> to Read,</w:t>
      </w:r>
    </w:p>
    <w:p w14:paraId="26198FF7" w14:textId="6D3A1B7A" w:rsidR="00454337" w:rsidRPr="005F5A42" w:rsidRDefault="00454337" w:rsidP="00FE70E3">
      <w:pPr>
        <w:pStyle w:val="Akapitzlist"/>
        <w:numPr>
          <w:ilvl w:val="0"/>
          <w:numId w:val="77"/>
        </w:numPr>
        <w:autoSpaceDE w:val="0"/>
        <w:autoSpaceDN w:val="0"/>
        <w:adjustRightInd w:val="0"/>
        <w:rPr>
          <w:rFonts w:cs="Times New Roman"/>
          <w:szCs w:val="24"/>
        </w:rPr>
      </w:pPr>
      <w:r w:rsidRPr="005F5A42">
        <w:rPr>
          <w:rFonts w:cs="Times New Roman"/>
          <w:szCs w:val="24"/>
        </w:rPr>
        <w:t>tekstu do odczytu maszynowego.</w:t>
      </w:r>
    </w:p>
    <w:p w14:paraId="3DB4AB8E" w14:textId="77777777" w:rsidR="00454337" w:rsidRPr="00454337" w:rsidRDefault="00454337" w:rsidP="00454337">
      <w:pPr>
        <w:autoSpaceDE w:val="0"/>
        <w:autoSpaceDN w:val="0"/>
        <w:adjustRightInd w:val="0"/>
        <w:rPr>
          <w:rFonts w:cs="Times New Roman"/>
          <w:szCs w:val="24"/>
        </w:rPr>
      </w:pPr>
      <w:r w:rsidRPr="00454337">
        <w:rPr>
          <w:rFonts w:cs="Times New Roman"/>
          <w:szCs w:val="24"/>
        </w:rPr>
        <w:t>Materiały zostały opublikowane na stronach internetowych MF, izb administracji skarbowej, Krajowej Szkoły Skarbowości, Centrum Informatyki Resortu Finansów i Krajowej Informacji Skarbowej.</w:t>
      </w:r>
    </w:p>
    <w:p w14:paraId="57264299" w14:textId="269C94D9" w:rsidR="00454337" w:rsidRPr="00454337" w:rsidRDefault="00454337" w:rsidP="00454337">
      <w:pPr>
        <w:autoSpaceDE w:val="0"/>
        <w:autoSpaceDN w:val="0"/>
        <w:adjustRightInd w:val="0"/>
        <w:rPr>
          <w:rFonts w:cs="Times New Roman"/>
          <w:szCs w:val="24"/>
        </w:rPr>
      </w:pPr>
      <w:r w:rsidRPr="00454337">
        <w:rPr>
          <w:rFonts w:cs="Times New Roman"/>
          <w:szCs w:val="24"/>
        </w:rPr>
        <w:t>8.</w:t>
      </w:r>
      <w:r w:rsidR="005F5A42">
        <w:rPr>
          <w:rFonts w:cs="Times New Roman"/>
          <w:szCs w:val="24"/>
        </w:rPr>
        <w:t> </w:t>
      </w:r>
      <w:r w:rsidRPr="00454337">
        <w:rPr>
          <w:rFonts w:cs="Times New Roman"/>
          <w:szCs w:val="24"/>
        </w:rPr>
        <w:t>Opracowano poradniki pt.:</w:t>
      </w:r>
    </w:p>
    <w:p w14:paraId="558D9C90" w14:textId="77777777" w:rsidR="005F5A42" w:rsidRDefault="00454337" w:rsidP="00FE70E3">
      <w:pPr>
        <w:pStyle w:val="Akapitzlist"/>
        <w:numPr>
          <w:ilvl w:val="0"/>
          <w:numId w:val="78"/>
        </w:numPr>
        <w:autoSpaceDE w:val="0"/>
        <w:autoSpaceDN w:val="0"/>
        <w:adjustRightInd w:val="0"/>
        <w:rPr>
          <w:rFonts w:cs="Times New Roman"/>
          <w:szCs w:val="24"/>
        </w:rPr>
      </w:pPr>
      <w:r w:rsidRPr="005F5A42">
        <w:rPr>
          <w:rFonts w:cs="Times New Roman"/>
          <w:szCs w:val="24"/>
        </w:rPr>
        <w:t>Praktyczne przykłady stosowania WCAG w zakresie multimediów,</w:t>
      </w:r>
    </w:p>
    <w:p w14:paraId="1B35BE45" w14:textId="77777777" w:rsidR="005F5A42" w:rsidRDefault="00454337" w:rsidP="00FE70E3">
      <w:pPr>
        <w:pStyle w:val="Akapitzlist"/>
        <w:numPr>
          <w:ilvl w:val="0"/>
          <w:numId w:val="78"/>
        </w:numPr>
        <w:autoSpaceDE w:val="0"/>
        <w:autoSpaceDN w:val="0"/>
        <w:adjustRightInd w:val="0"/>
        <w:rPr>
          <w:rFonts w:cs="Times New Roman"/>
          <w:szCs w:val="24"/>
        </w:rPr>
      </w:pPr>
      <w:r w:rsidRPr="005F5A42">
        <w:rPr>
          <w:rFonts w:cs="Times New Roman"/>
          <w:szCs w:val="24"/>
        </w:rPr>
        <w:t>Praktyczne przykłady stosowania WCAG w zakresie tworzenia napisów,</w:t>
      </w:r>
    </w:p>
    <w:p w14:paraId="36D276EE" w14:textId="77777777" w:rsidR="005F5A42" w:rsidRDefault="00454337" w:rsidP="00FE70E3">
      <w:pPr>
        <w:pStyle w:val="Akapitzlist"/>
        <w:numPr>
          <w:ilvl w:val="0"/>
          <w:numId w:val="78"/>
        </w:numPr>
        <w:autoSpaceDE w:val="0"/>
        <w:autoSpaceDN w:val="0"/>
        <w:adjustRightInd w:val="0"/>
        <w:rPr>
          <w:rFonts w:cs="Times New Roman"/>
          <w:szCs w:val="24"/>
        </w:rPr>
      </w:pPr>
      <w:r w:rsidRPr="005F5A42">
        <w:rPr>
          <w:rFonts w:cs="Times New Roman"/>
          <w:szCs w:val="24"/>
        </w:rPr>
        <w:t>Praktyczne przykłady stosowania WCAG w zakresie dostępnych dokumentów,</w:t>
      </w:r>
    </w:p>
    <w:p w14:paraId="0F7B5EC8" w14:textId="11CF45B1" w:rsidR="00E9293F" w:rsidRPr="005F5A42" w:rsidRDefault="00454337" w:rsidP="00FE70E3">
      <w:pPr>
        <w:pStyle w:val="Akapitzlist"/>
        <w:numPr>
          <w:ilvl w:val="0"/>
          <w:numId w:val="78"/>
        </w:numPr>
        <w:autoSpaceDE w:val="0"/>
        <w:autoSpaceDN w:val="0"/>
        <w:adjustRightInd w:val="0"/>
        <w:rPr>
          <w:rFonts w:cs="Times New Roman"/>
          <w:szCs w:val="24"/>
        </w:rPr>
      </w:pPr>
      <w:r w:rsidRPr="005F5A42">
        <w:rPr>
          <w:rFonts w:cs="Times New Roman"/>
          <w:szCs w:val="24"/>
        </w:rPr>
        <w:t>Wybrane aspekty dostępności serwisu GOV/Finanse i KAS</w:t>
      </w:r>
      <w:r w:rsidR="005F5A42">
        <w:rPr>
          <w:rFonts w:cs="Times New Roman"/>
          <w:szCs w:val="24"/>
        </w:rPr>
        <w:t>.</w:t>
      </w:r>
    </w:p>
    <w:p w14:paraId="0AEFD728" w14:textId="77777777" w:rsidR="00E9293F" w:rsidRPr="00454337" w:rsidRDefault="00E9293F" w:rsidP="00FE70E3">
      <w:pPr>
        <w:pStyle w:val="Nagwek2"/>
        <w:numPr>
          <w:ilvl w:val="1"/>
          <w:numId w:val="23"/>
        </w:numPr>
        <w:spacing w:before="240" w:after="240"/>
        <w:ind w:left="0" w:hanging="142"/>
        <w:rPr>
          <w:rFonts w:cs="Times New Roman"/>
          <w:sz w:val="40"/>
          <w:lang w:eastAsia="ar-SA"/>
        </w:rPr>
      </w:pPr>
      <w:bookmarkStart w:id="62" w:name="_Toc80523062"/>
      <w:r w:rsidRPr="00454337">
        <w:rPr>
          <w:rFonts w:cs="Times New Roman"/>
          <w:sz w:val="40"/>
          <w:lang w:eastAsia="ar-SA"/>
        </w:rPr>
        <w:t xml:space="preserve">Ministerstwo </w:t>
      </w:r>
      <w:r>
        <w:rPr>
          <w:rFonts w:cs="Times New Roman"/>
          <w:sz w:val="40"/>
          <w:lang w:eastAsia="ar-SA"/>
        </w:rPr>
        <w:t>Funduszy i Polityki Regionalnej</w:t>
      </w:r>
      <w:bookmarkEnd w:id="62"/>
    </w:p>
    <w:p w14:paraId="2E1DCB5C" w14:textId="46AE4355" w:rsidR="00E9293F" w:rsidRPr="00E9293F" w:rsidRDefault="00E9293F" w:rsidP="00E9293F">
      <w:pPr>
        <w:autoSpaceDE w:val="0"/>
        <w:autoSpaceDN w:val="0"/>
        <w:adjustRightInd w:val="0"/>
        <w:rPr>
          <w:rFonts w:cs="Times New Roman"/>
          <w:szCs w:val="24"/>
        </w:rPr>
      </w:pPr>
      <w:r w:rsidRPr="00E9293F">
        <w:rPr>
          <w:rFonts w:cs="Times New Roman"/>
          <w:szCs w:val="24"/>
        </w:rPr>
        <w:t>W 2020 r. kontynuowano działania projektowe w ramach dwóch konkursów na tzw. makro - innowacje społeczne: „</w:t>
      </w:r>
      <w:proofErr w:type="spellStart"/>
      <w:r w:rsidRPr="00E9293F">
        <w:rPr>
          <w:rFonts w:cs="Times New Roman"/>
          <w:szCs w:val="24"/>
        </w:rPr>
        <w:t>deinstytucjonalizacja</w:t>
      </w:r>
      <w:proofErr w:type="spellEnd"/>
      <w:r w:rsidRPr="00E9293F">
        <w:rPr>
          <w:rFonts w:cs="Times New Roman"/>
          <w:szCs w:val="24"/>
        </w:rPr>
        <w:t xml:space="preserve"> usług świadczonych na rzecz osób z zaburzeniami i chorobami psychicznymi” oraz „środowiskowy system wsparcia osób dorosłych z</w:t>
      </w:r>
      <w:r w:rsidR="005452F1">
        <w:rPr>
          <w:rFonts w:cs="Times New Roman"/>
          <w:szCs w:val="24"/>
        </w:rPr>
        <w:t> </w:t>
      </w:r>
      <w:r w:rsidRPr="00E9293F">
        <w:rPr>
          <w:rFonts w:cs="Times New Roman"/>
          <w:szCs w:val="24"/>
        </w:rPr>
        <w:t>niepełnosprawnością intelektualną”. Przedsięwzięcia te realizują jedną z rekomendacji z</w:t>
      </w:r>
      <w:r w:rsidR="005452F1">
        <w:rPr>
          <w:rFonts w:cs="Times New Roman"/>
          <w:szCs w:val="24"/>
        </w:rPr>
        <w:t> </w:t>
      </w:r>
      <w:r w:rsidRPr="00E9293F">
        <w:rPr>
          <w:rFonts w:cs="Times New Roman"/>
          <w:szCs w:val="24"/>
        </w:rPr>
        <w:t>2016</w:t>
      </w:r>
      <w:r w:rsidR="005452F1">
        <w:rPr>
          <w:rFonts w:cs="Times New Roman"/>
          <w:szCs w:val="24"/>
        </w:rPr>
        <w:t> </w:t>
      </w:r>
      <w:r w:rsidRPr="00E9293F">
        <w:rPr>
          <w:rFonts w:cs="Times New Roman"/>
          <w:szCs w:val="24"/>
        </w:rPr>
        <w:t>r.  – „Kontynuowanie oraz podejmowanie działań na rzecz osób niepełnosprawnych i</w:t>
      </w:r>
      <w:r w:rsidR="005452F1">
        <w:rPr>
          <w:rFonts w:cs="Times New Roman"/>
          <w:szCs w:val="24"/>
        </w:rPr>
        <w:t> </w:t>
      </w:r>
      <w:r w:rsidRPr="00E9293F">
        <w:rPr>
          <w:rFonts w:cs="Times New Roman"/>
          <w:szCs w:val="24"/>
        </w:rPr>
        <w:t xml:space="preserve">niesamodzielnych oraz ich opiekunów poprzez wprowadzenie zmian w systemie wsparcia osób niepełnosprawnych, ich rodzin oraz opiekunów osób niepełnosprawnych, w szczególności uwzględniających postulaty i propozycje rozwiązań zgłaszane przez środowiska skupiające osoby niepełnosprawne oraz opiekunów osób niepełnosprawnych”. </w:t>
      </w:r>
    </w:p>
    <w:p w14:paraId="643ACF6B" w14:textId="77777777" w:rsidR="005452F1" w:rsidRDefault="005452F1" w:rsidP="00E9293F">
      <w:pPr>
        <w:autoSpaceDE w:val="0"/>
        <w:autoSpaceDN w:val="0"/>
        <w:adjustRightInd w:val="0"/>
        <w:rPr>
          <w:rFonts w:cs="Times New Roman"/>
          <w:szCs w:val="24"/>
        </w:rPr>
      </w:pPr>
    </w:p>
    <w:p w14:paraId="1005E3DA" w14:textId="5F147BA2" w:rsidR="00E9293F" w:rsidRDefault="00E9293F" w:rsidP="00E9293F">
      <w:pPr>
        <w:autoSpaceDE w:val="0"/>
        <w:autoSpaceDN w:val="0"/>
        <w:adjustRightInd w:val="0"/>
        <w:rPr>
          <w:rFonts w:cs="Times New Roman"/>
          <w:szCs w:val="24"/>
        </w:rPr>
      </w:pPr>
      <w:r w:rsidRPr="00E9293F">
        <w:rPr>
          <w:rFonts w:cs="Times New Roman"/>
          <w:szCs w:val="24"/>
        </w:rPr>
        <w:t xml:space="preserve">Pierwszy z konkursów ukierunkowany jest na wypracowanie nowego kompleksowego modelu leczenia środowiskowego zaburzeń psychicznych, a jedną z grup docelowych są osoby starsze chorujące na zespoły otępienne. Celem przedsięwzięcia jest stworzenie w Polsce systemu pomocy, który pozwoli na wczesne wykrywanie i zapobieganie rozwojowi chorób i zaburzeń psychicznych, tak aby osoby w stanie kryzysu psychicznego lub po przebytym kryzysie mogły uzyskać wsparcie w ich środowisku lokalnym bez konieczności hospitalizacji. Istotą tego </w:t>
      </w:r>
      <w:r w:rsidRPr="00E9293F">
        <w:rPr>
          <w:rFonts w:cs="Times New Roman"/>
          <w:szCs w:val="24"/>
        </w:rPr>
        <w:lastRenderedPageBreak/>
        <w:t>systemu jest uzupełnianie usług zdrowotnych usługami społecznymi i odwrotnie, objęcie wsparciem rodziny i najbliższego otoczenia oraz stworzenie instrumentów przeciwdziałania izolacji w życiu społecznym jak i zawodowym po odbytym leczeniu czy terapii. Jeden z</w:t>
      </w:r>
      <w:r w:rsidR="005452F1">
        <w:rPr>
          <w:rFonts w:cs="Times New Roman"/>
          <w:szCs w:val="24"/>
        </w:rPr>
        <w:t> </w:t>
      </w:r>
      <w:r w:rsidRPr="00E9293F">
        <w:rPr>
          <w:rFonts w:cs="Times New Roman"/>
          <w:szCs w:val="24"/>
        </w:rPr>
        <w:t xml:space="preserve">testowanych innowacyjnych model opieki środowiskowej zakłada funkcjonowanie Domu Dziennej Rehabilitacji czy Mobilnych Domów Pomocy dla osób chorych na chorobę Alzheimera z głębokim otępieniem z miejscami </w:t>
      </w:r>
      <w:proofErr w:type="spellStart"/>
      <w:r w:rsidRPr="00E9293F">
        <w:rPr>
          <w:rFonts w:cs="Times New Roman"/>
          <w:szCs w:val="24"/>
        </w:rPr>
        <w:t>wytchnieniowymi</w:t>
      </w:r>
      <w:proofErr w:type="spellEnd"/>
      <w:r w:rsidRPr="00E9293F">
        <w:rPr>
          <w:rFonts w:cs="Times New Roman"/>
          <w:szCs w:val="24"/>
        </w:rPr>
        <w:t>. Kluczowym elementem jest bezpośrednie zaangażowanie uczestników, planowanie i realizacja programu własnego zdrowienia poza szpitalnym systemem opieki psychiatrycznej.</w:t>
      </w:r>
      <w:r w:rsidR="005452F1">
        <w:rPr>
          <w:rFonts w:cs="Times New Roman"/>
          <w:szCs w:val="24"/>
        </w:rPr>
        <w:t xml:space="preserve"> </w:t>
      </w:r>
      <w:r w:rsidRPr="00E9293F">
        <w:rPr>
          <w:rFonts w:cs="Times New Roman"/>
          <w:szCs w:val="24"/>
        </w:rPr>
        <w:t>W 2020 r</w:t>
      </w:r>
      <w:r w:rsidR="00E959A7">
        <w:rPr>
          <w:rFonts w:cs="Times New Roman"/>
          <w:szCs w:val="24"/>
        </w:rPr>
        <w:t>.</w:t>
      </w:r>
      <w:r w:rsidRPr="00E9293F">
        <w:rPr>
          <w:rFonts w:cs="Times New Roman"/>
          <w:szCs w:val="24"/>
        </w:rPr>
        <w:t xml:space="preserve"> zakończono realizację działań merytorycznych dedykowanych osobom starszym z chorobami</w:t>
      </w:r>
      <w:r w:rsidR="001E0F91">
        <w:rPr>
          <w:rFonts w:cs="Times New Roman"/>
          <w:szCs w:val="24"/>
        </w:rPr>
        <w:t xml:space="preserve"> otępiennymi w dwóch projektach</w:t>
      </w:r>
      <w:r w:rsidRPr="00E9293F">
        <w:rPr>
          <w:rFonts w:cs="Times New Roman"/>
          <w:szCs w:val="24"/>
        </w:rPr>
        <w:t>.</w:t>
      </w:r>
      <w:r w:rsidR="001E0F91">
        <w:rPr>
          <w:rFonts w:cs="Times New Roman"/>
          <w:szCs w:val="24"/>
        </w:rPr>
        <w:t xml:space="preserve"> </w:t>
      </w:r>
      <w:r w:rsidRPr="00E9293F">
        <w:rPr>
          <w:rFonts w:cs="Times New Roman"/>
          <w:szCs w:val="24"/>
        </w:rPr>
        <w:t>Rezultatem tych projektów są przetestowane mod</w:t>
      </w:r>
      <w:r w:rsidR="001E0F91">
        <w:rPr>
          <w:rFonts w:cs="Times New Roman"/>
          <w:szCs w:val="24"/>
        </w:rPr>
        <w:t>ele wsparcia takich osób, np. z </w:t>
      </w:r>
      <w:r w:rsidRPr="00E9293F">
        <w:rPr>
          <w:rFonts w:cs="Times New Roman"/>
          <w:szCs w:val="24"/>
        </w:rPr>
        <w:t xml:space="preserve">wykorzystanie elementów </w:t>
      </w:r>
      <w:proofErr w:type="spellStart"/>
      <w:r w:rsidRPr="00E9293F">
        <w:rPr>
          <w:rFonts w:cs="Times New Roman"/>
          <w:szCs w:val="24"/>
        </w:rPr>
        <w:t>teleopieki</w:t>
      </w:r>
      <w:proofErr w:type="spellEnd"/>
      <w:r w:rsidRPr="00E9293F">
        <w:rPr>
          <w:rFonts w:cs="Times New Roman"/>
          <w:szCs w:val="24"/>
        </w:rPr>
        <w:t xml:space="preserve">. </w:t>
      </w:r>
    </w:p>
    <w:p w14:paraId="0959161F" w14:textId="77777777" w:rsidR="005452F1" w:rsidRPr="00E9293F" w:rsidRDefault="005452F1" w:rsidP="00E9293F">
      <w:pPr>
        <w:autoSpaceDE w:val="0"/>
        <w:autoSpaceDN w:val="0"/>
        <w:adjustRightInd w:val="0"/>
        <w:rPr>
          <w:rFonts w:cs="Times New Roman"/>
          <w:szCs w:val="24"/>
        </w:rPr>
      </w:pPr>
    </w:p>
    <w:p w14:paraId="4D02E82E" w14:textId="77777777" w:rsidR="00E9293F" w:rsidRPr="00E9293F" w:rsidRDefault="00E9293F" w:rsidP="00E9293F">
      <w:pPr>
        <w:autoSpaceDE w:val="0"/>
        <w:autoSpaceDN w:val="0"/>
        <w:adjustRightInd w:val="0"/>
        <w:rPr>
          <w:rFonts w:cs="Times New Roman"/>
          <w:szCs w:val="24"/>
        </w:rPr>
      </w:pPr>
      <w:r w:rsidRPr="00E9293F">
        <w:rPr>
          <w:rFonts w:cs="Times New Roman"/>
          <w:szCs w:val="24"/>
        </w:rPr>
        <w:t>Projekty realizowane w drugim konkursie mają na celu testowanie opracowanych teoretycznie innowacyjnych modeli usług w obrębie społeczności lokalnych będących alternatywą dla opieki instytucjonalnej (w tym głównie zapewnianej przez Domy Pomocy Społecznej) dla osób z niepełnosprawnością intelektualną.</w:t>
      </w:r>
    </w:p>
    <w:p w14:paraId="0391F937" w14:textId="77777777" w:rsidR="00E9293F" w:rsidRPr="00E9293F" w:rsidRDefault="00E9293F" w:rsidP="00E9293F">
      <w:pPr>
        <w:autoSpaceDE w:val="0"/>
        <w:autoSpaceDN w:val="0"/>
        <w:adjustRightInd w:val="0"/>
        <w:rPr>
          <w:rFonts w:cs="Times New Roman"/>
          <w:szCs w:val="24"/>
        </w:rPr>
      </w:pPr>
    </w:p>
    <w:p w14:paraId="121277EB" w14:textId="77777777" w:rsidR="00E9293F" w:rsidRDefault="00E9293F" w:rsidP="00E9293F">
      <w:pPr>
        <w:autoSpaceDE w:val="0"/>
        <w:autoSpaceDN w:val="0"/>
        <w:adjustRightInd w:val="0"/>
        <w:rPr>
          <w:rFonts w:cs="Times New Roman"/>
          <w:szCs w:val="24"/>
        </w:rPr>
      </w:pPr>
      <w:r w:rsidRPr="00E9293F">
        <w:rPr>
          <w:rFonts w:cs="Times New Roman"/>
          <w:szCs w:val="24"/>
        </w:rPr>
        <w:t>W 2020 r. 5 tzw. inkubatorów dostępności, które w 2019 r. zostały wyłonione w ramach konkursu na inkubację innowacji społecznych w temacie dostępności, weszło w zasadniczą fazę realizacji swoich przedsięwzięć. Ich celem jest wsparcie procesu inkubacji nowych pomysłów, które pozwolą na szybsze, skuteczniejsze i bardziej wydajne rozwiązywanie problemów społecznych w Polsce, związanych z brakiem wystarczającej dostępności przestrzeni publicznej dla osób z niepełnosprawnościami oraz osób starszych o ograniczonej mobilności lub percepcji.</w:t>
      </w:r>
    </w:p>
    <w:p w14:paraId="698F2A0A" w14:textId="77777777" w:rsidR="00E9293F" w:rsidRPr="00E9293F" w:rsidRDefault="00E9293F" w:rsidP="00E9293F">
      <w:pPr>
        <w:autoSpaceDE w:val="0"/>
        <w:autoSpaceDN w:val="0"/>
        <w:adjustRightInd w:val="0"/>
        <w:rPr>
          <w:rFonts w:cs="Times New Roman"/>
          <w:szCs w:val="24"/>
        </w:rPr>
      </w:pPr>
    </w:p>
    <w:p w14:paraId="344CC043" w14:textId="20EC94F8" w:rsidR="00E9293F" w:rsidRPr="00E9293F" w:rsidRDefault="00E9293F" w:rsidP="00E9293F">
      <w:pPr>
        <w:autoSpaceDE w:val="0"/>
        <w:autoSpaceDN w:val="0"/>
        <w:adjustRightInd w:val="0"/>
        <w:rPr>
          <w:rFonts w:cs="Times New Roman"/>
          <w:szCs w:val="24"/>
        </w:rPr>
      </w:pPr>
      <w:r w:rsidRPr="00E9293F">
        <w:rPr>
          <w:rFonts w:cs="Times New Roman"/>
          <w:szCs w:val="24"/>
        </w:rPr>
        <w:t>Do zakresu obowiązków inkubatorów należy poszukiwanie najciekawszych inicjatyw w ww. obszarze, udzielenie niezbędnej pomocy, aby mogły się one rozwinąć w konkretne rozwiązania, a na końcu wdrożenie do praktyki tych rozwiązań, które w trakcie testowania sprawdzą się najlepiej. Inkubatory udzielają pomocy eksperckiej i finansowej w formie grantu osobom indywidualnym, grupom nieformalnym lub innym małym podmiotom (np. firmom, organizacjom pozarządowym), które mają pomysł na to, jak sprawić, aby osoby z</w:t>
      </w:r>
      <w:r w:rsidR="005452F1">
        <w:rPr>
          <w:rFonts w:cs="Times New Roman"/>
          <w:szCs w:val="24"/>
        </w:rPr>
        <w:t> </w:t>
      </w:r>
      <w:r w:rsidRPr="00E9293F">
        <w:rPr>
          <w:rFonts w:cs="Times New Roman"/>
          <w:szCs w:val="24"/>
        </w:rPr>
        <w:t>niepełnosprawnościami czy osoby starsze o ograniczonej mobilności lub percepcji w jak największym stopniu mogły samodzielnie funkcjonować w codziennym życiu (np. robić zakupy) i nie były wykluczone z możliwości korzystania z usług publicznych oraz innych o</w:t>
      </w:r>
      <w:r w:rsidR="005452F1">
        <w:rPr>
          <w:rFonts w:cs="Times New Roman"/>
          <w:szCs w:val="24"/>
        </w:rPr>
        <w:t> </w:t>
      </w:r>
      <w:r w:rsidRPr="00E9293F">
        <w:rPr>
          <w:rFonts w:cs="Times New Roman"/>
          <w:szCs w:val="24"/>
        </w:rPr>
        <w:t>charakterze powszechnym (np. dostęp do mediów elektronicznych, dóbr kultury czy usług ochrony zdrowia). Wszystkie inkubatory przeprowadziły pierwsze nabory pomysłów, w</w:t>
      </w:r>
      <w:r w:rsidR="005452F1">
        <w:rPr>
          <w:rFonts w:cs="Times New Roman"/>
          <w:szCs w:val="24"/>
        </w:rPr>
        <w:t> </w:t>
      </w:r>
      <w:r w:rsidRPr="00E9293F">
        <w:rPr>
          <w:rFonts w:cs="Times New Roman"/>
          <w:szCs w:val="24"/>
        </w:rPr>
        <w:t>wyniku których zawarto 60 umów o powierzenie grantu na testowanie wypracowanych w</w:t>
      </w:r>
      <w:r w:rsidR="005452F1">
        <w:rPr>
          <w:rFonts w:cs="Times New Roman"/>
          <w:szCs w:val="24"/>
        </w:rPr>
        <w:t> </w:t>
      </w:r>
      <w:r w:rsidRPr="00E9293F">
        <w:rPr>
          <w:rFonts w:cs="Times New Roman"/>
          <w:szCs w:val="24"/>
        </w:rPr>
        <w:t xml:space="preserve">inkubatorach innowacyjnych rozwiązań. Około 30 % z nich skierowane jest na poprawę jakości życia osób starszych, np. urządzenie o nazwie </w:t>
      </w:r>
      <w:r w:rsidR="00E959A7">
        <w:rPr>
          <w:rFonts w:cs="Times New Roman"/>
          <w:szCs w:val="24"/>
        </w:rPr>
        <w:t>„</w:t>
      </w:r>
      <w:r w:rsidRPr="00E9293F">
        <w:rPr>
          <w:rFonts w:cs="Times New Roman"/>
          <w:szCs w:val="24"/>
        </w:rPr>
        <w:t>Multi łyżka</w:t>
      </w:r>
      <w:r w:rsidR="00E959A7">
        <w:rPr>
          <w:rFonts w:cs="Times New Roman"/>
          <w:szCs w:val="24"/>
        </w:rPr>
        <w:t>”</w:t>
      </w:r>
      <w:r w:rsidRPr="00E9293F">
        <w:rPr>
          <w:rFonts w:cs="Times New Roman"/>
          <w:szCs w:val="24"/>
        </w:rPr>
        <w:t xml:space="preserve"> usprawniające samodzielne zakładanie obuwia przez osoby starsze z ograniczeniami mobilności czy model obuwia domowego dla osób starszych zmniejszający ryzyko upadku. </w:t>
      </w:r>
    </w:p>
    <w:p w14:paraId="6E62D2E0" w14:textId="77777777" w:rsidR="005452F1" w:rsidRDefault="005452F1" w:rsidP="00E9293F">
      <w:pPr>
        <w:autoSpaceDE w:val="0"/>
        <w:autoSpaceDN w:val="0"/>
        <w:adjustRightInd w:val="0"/>
        <w:rPr>
          <w:rFonts w:cs="Times New Roman"/>
          <w:szCs w:val="24"/>
        </w:rPr>
      </w:pPr>
    </w:p>
    <w:p w14:paraId="7F78A320" w14:textId="3203F326" w:rsidR="00E9293F" w:rsidRDefault="00E9293F" w:rsidP="00E9293F">
      <w:pPr>
        <w:autoSpaceDE w:val="0"/>
        <w:autoSpaceDN w:val="0"/>
        <w:adjustRightInd w:val="0"/>
        <w:rPr>
          <w:rFonts w:cs="Times New Roman"/>
          <w:szCs w:val="24"/>
        </w:rPr>
      </w:pPr>
      <w:r w:rsidRPr="00E9293F">
        <w:rPr>
          <w:rFonts w:cs="Times New Roman"/>
          <w:szCs w:val="24"/>
        </w:rPr>
        <w:lastRenderedPageBreak/>
        <w:t>W 2020 r. została rozstrzygnięta II edycja konkursu na inkubację innowacji społecznych. Jednym z trzech obszarów tematycznych w ramach konkursu jest włączenie społeczne, i jak pokazuje doświadczenie z przeprowadzenia I edycji, w ramach 6 projektów wybranych do</w:t>
      </w:r>
      <w:r w:rsidR="005452F1">
        <w:rPr>
          <w:rFonts w:cs="Times New Roman"/>
          <w:szCs w:val="24"/>
        </w:rPr>
        <w:t> </w:t>
      </w:r>
      <w:r w:rsidRPr="00E9293F">
        <w:rPr>
          <w:rFonts w:cs="Times New Roman"/>
          <w:szCs w:val="24"/>
        </w:rPr>
        <w:t xml:space="preserve">dofinansowania będą także opracowywane nowatorskie rozwiązania, które przyczynią się do poprawy komfortu życia osób starszych. W 2020 r. inkubatory uruchomiły pierwsze nabory, a ich efekty będą znane w 2021 r. </w:t>
      </w:r>
    </w:p>
    <w:p w14:paraId="52170C31" w14:textId="77777777" w:rsidR="00E9293F" w:rsidRPr="00E9293F" w:rsidRDefault="00E9293F" w:rsidP="00E9293F">
      <w:pPr>
        <w:autoSpaceDE w:val="0"/>
        <w:autoSpaceDN w:val="0"/>
        <w:adjustRightInd w:val="0"/>
        <w:rPr>
          <w:rFonts w:cs="Times New Roman"/>
          <w:szCs w:val="24"/>
        </w:rPr>
      </w:pPr>
    </w:p>
    <w:p w14:paraId="593BA085" w14:textId="4669B21E" w:rsidR="00E9293F" w:rsidRDefault="00E9293F" w:rsidP="00E9293F">
      <w:pPr>
        <w:autoSpaceDE w:val="0"/>
        <w:autoSpaceDN w:val="0"/>
        <w:adjustRightInd w:val="0"/>
        <w:rPr>
          <w:rFonts w:cs="Times New Roman"/>
          <w:szCs w:val="24"/>
        </w:rPr>
      </w:pPr>
      <w:r w:rsidRPr="00E9293F">
        <w:rPr>
          <w:rFonts w:cs="Times New Roman"/>
          <w:szCs w:val="24"/>
        </w:rPr>
        <w:t xml:space="preserve">Aby wykorzystać rezultaty I edycji konkursu na inkubację innowacji społecznych, </w:t>
      </w:r>
      <w:proofErr w:type="spellStart"/>
      <w:r w:rsidRPr="00E9293F">
        <w:rPr>
          <w:rFonts w:cs="Times New Roman"/>
          <w:szCs w:val="24"/>
        </w:rPr>
        <w:t>MFiPR</w:t>
      </w:r>
      <w:proofErr w:type="spellEnd"/>
      <w:r w:rsidRPr="00E9293F">
        <w:rPr>
          <w:rFonts w:cs="Times New Roman"/>
          <w:szCs w:val="24"/>
        </w:rPr>
        <w:t xml:space="preserve"> w</w:t>
      </w:r>
      <w:r w:rsidR="005452F1">
        <w:rPr>
          <w:rFonts w:cs="Times New Roman"/>
          <w:szCs w:val="24"/>
        </w:rPr>
        <w:t> </w:t>
      </w:r>
      <w:r w:rsidRPr="00E9293F">
        <w:rPr>
          <w:rFonts w:cs="Times New Roman"/>
          <w:szCs w:val="24"/>
        </w:rPr>
        <w:t>2020 r. podjęło decyzję o wyskalowaniu innowacji, która została wypracowana w jednym z</w:t>
      </w:r>
      <w:r w:rsidR="005452F1">
        <w:rPr>
          <w:rFonts w:cs="Times New Roman"/>
          <w:szCs w:val="24"/>
        </w:rPr>
        <w:t> </w:t>
      </w:r>
      <w:r w:rsidRPr="00E9293F">
        <w:rPr>
          <w:rFonts w:cs="Times New Roman"/>
          <w:szCs w:val="24"/>
        </w:rPr>
        <w:t>inkubatorów i jest ukierunkowana na wsparcie osób starszych. Przedsięwzięcie „Obiady terapeutyczne” polega na zapewnieniu zdrowych posiłków osobom starszym wymagającym wsparcia w codziennym funkcjonowaniu, przebywającym w swoich domach przez uczestników warsztatów terapii zajęciowej (WTZ), którzy trenują m.in. umiejętności kulinarne. Dzięki temu rozwiązaniu zyskują seniorzy, którzy otrzymują do domu zdrowe, przygotowane przez uczestników warsztatów w oparciu o zalecenia dietetyka posiłki. Dla uczestników WTZ zaangażowanie się w pomoc seniorom jest formą rehabilitacji, pozwala rozwijać umiejętności społeczne i zawodowe, daje możliwość do nawiązywania nowych kontaktów. Osoba starsza i</w:t>
      </w:r>
      <w:r w:rsidR="005452F1">
        <w:rPr>
          <w:rFonts w:cs="Times New Roman"/>
          <w:szCs w:val="24"/>
        </w:rPr>
        <w:t> </w:t>
      </w:r>
      <w:r w:rsidRPr="00E9293F">
        <w:rPr>
          <w:rFonts w:cs="Times New Roman"/>
          <w:szCs w:val="24"/>
        </w:rPr>
        <w:t>uczestnik WTZ mogą się lepiej poznać i zbudować bliską więź, która oddziałuje terapeutycznie na obie strony. Rozstrzygnięcie konkursu nastąpi w 2021 r.</w:t>
      </w:r>
    </w:p>
    <w:p w14:paraId="5F89FDA9" w14:textId="77777777" w:rsidR="00E9293F" w:rsidRPr="00E9293F" w:rsidRDefault="00E9293F" w:rsidP="00E9293F">
      <w:pPr>
        <w:autoSpaceDE w:val="0"/>
        <w:autoSpaceDN w:val="0"/>
        <w:adjustRightInd w:val="0"/>
        <w:rPr>
          <w:rFonts w:cs="Times New Roman"/>
          <w:szCs w:val="24"/>
        </w:rPr>
      </w:pPr>
    </w:p>
    <w:p w14:paraId="4BD51316" w14:textId="30AB65EB" w:rsidR="00E9293F" w:rsidRPr="00E9293F" w:rsidRDefault="00E9293F" w:rsidP="00E9293F">
      <w:pPr>
        <w:pStyle w:val="Nagwek3"/>
      </w:pPr>
      <w:bookmarkStart w:id="63" w:name="_Toc77513909"/>
      <w:bookmarkStart w:id="64" w:name="_Toc80523063"/>
      <w:r w:rsidRPr="00E9293F">
        <w:t>P</w:t>
      </w:r>
      <w:r w:rsidR="005452F1" w:rsidRPr="00E9293F">
        <w:t>rogram</w:t>
      </w:r>
      <w:r w:rsidRPr="00E9293F">
        <w:t xml:space="preserve"> </w:t>
      </w:r>
      <w:r w:rsidR="005452F1" w:rsidRPr="00E9293F">
        <w:t>Dostępność Plus</w:t>
      </w:r>
      <w:bookmarkEnd w:id="63"/>
      <w:bookmarkEnd w:id="64"/>
    </w:p>
    <w:p w14:paraId="36296656" w14:textId="77777777" w:rsidR="005452F1" w:rsidRDefault="005452F1" w:rsidP="00E9293F">
      <w:pPr>
        <w:autoSpaceDE w:val="0"/>
        <w:autoSpaceDN w:val="0"/>
        <w:adjustRightInd w:val="0"/>
        <w:rPr>
          <w:rFonts w:cs="Times New Roman"/>
          <w:szCs w:val="24"/>
        </w:rPr>
      </w:pPr>
    </w:p>
    <w:p w14:paraId="28E5D2E8" w14:textId="2F1BC516" w:rsidR="005452F1" w:rsidRDefault="00E9293F" w:rsidP="00E9293F">
      <w:pPr>
        <w:autoSpaceDE w:val="0"/>
        <w:autoSpaceDN w:val="0"/>
        <w:adjustRightInd w:val="0"/>
        <w:rPr>
          <w:rFonts w:cs="Times New Roman"/>
          <w:szCs w:val="24"/>
        </w:rPr>
      </w:pPr>
      <w:r w:rsidRPr="00E9293F">
        <w:rPr>
          <w:rFonts w:cs="Times New Roman"/>
          <w:szCs w:val="24"/>
        </w:rPr>
        <w:t xml:space="preserve">W 2020 r. kontynuowano działania rozpoczęte w poprzednich dwóch latach realizacji rządowego Programu Dostępność Plus służące podniesieniu jakości i zapewnieniu niezależności życia dla osób ze szczególnymi potrzebami, w tym osób starszych. Uruchomiono również nowe inicjatyw. Łącznie od początku realizacji programu na poprawę dostępność zaangażowano 8,7 mln </w:t>
      </w:r>
      <w:r w:rsidR="005452F1">
        <w:rPr>
          <w:rFonts w:cs="Times New Roman"/>
          <w:szCs w:val="24"/>
        </w:rPr>
        <w:t>zł</w:t>
      </w:r>
      <w:r w:rsidRPr="00E9293F">
        <w:rPr>
          <w:rFonts w:cs="Times New Roman"/>
          <w:szCs w:val="24"/>
        </w:rPr>
        <w:t xml:space="preserve">. </w:t>
      </w:r>
    </w:p>
    <w:p w14:paraId="01C6D087" w14:textId="77777777" w:rsidR="005452F1" w:rsidRDefault="005452F1" w:rsidP="00E9293F">
      <w:pPr>
        <w:autoSpaceDE w:val="0"/>
        <w:autoSpaceDN w:val="0"/>
        <w:adjustRightInd w:val="0"/>
        <w:rPr>
          <w:rFonts w:cs="Times New Roman"/>
          <w:szCs w:val="24"/>
        </w:rPr>
      </w:pPr>
    </w:p>
    <w:p w14:paraId="050D19A9" w14:textId="58D17A70" w:rsidR="005452F1" w:rsidRDefault="00E9293F" w:rsidP="00E9293F">
      <w:pPr>
        <w:autoSpaceDE w:val="0"/>
        <w:autoSpaceDN w:val="0"/>
        <w:adjustRightInd w:val="0"/>
        <w:rPr>
          <w:rFonts w:cs="Times New Roman"/>
          <w:szCs w:val="24"/>
        </w:rPr>
      </w:pPr>
      <w:r w:rsidRPr="00E9293F">
        <w:rPr>
          <w:rFonts w:cs="Times New Roman"/>
          <w:szCs w:val="24"/>
        </w:rPr>
        <w:t>Działania realizowane w 2020 r. dotyczyły przede wszystkim tworzenia standardów i prawa. Ważnym elementem były prace dotyczące wdrożenia przepisów ustawy z dnia 19 lipca 2019 r. o zapewnianiu dostępności osobom ze szczególnymi potrzebami (Dz. U. z 2020 r. poz. 1062</w:t>
      </w:r>
      <w:r w:rsidR="004849F1">
        <w:rPr>
          <w:rFonts w:cs="Times New Roman"/>
          <w:szCs w:val="24"/>
        </w:rPr>
        <w:t>)</w:t>
      </w:r>
      <w:r w:rsidRPr="00E9293F">
        <w:rPr>
          <w:rFonts w:cs="Times New Roman"/>
          <w:szCs w:val="24"/>
        </w:rPr>
        <w:t>, dalej jako „ustawa o zapewnianiu dostępności”), w tym tych związanych z wyznaczaniem koordynatorów dostępności w podmiotach publicznych. Osoby pełniące tę funkcję mają za</w:t>
      </w:r>
      <w:r w:rsidR="005452F1">
        <w:rPr>
          <w:rFonts w:cs="Times New Roman"/>
          <w:szCs w:val="24"/>
        </w:rPr>
        <w:t> </w:t>
      </w:r>
      <w:r w:rsidRPr="00E9293F">
        <w:rPr>
          <w:rFonts w:cs="Times New Roman"/>
          <w:szCs w:val="24"/>
        </w:rPr>
        <w:t>zadanie wsparcie klientów podmiotów publicznych, którzy mają szczególne potrzeby, w</w:t>
      </w:r>
      <w:r w:rsidR="005452F1">
        <w:rPr>
          <w:rFonts w:cs="Times New Roman"/>
          <w:szCs w:val="24"/>
        </w:rPr>
        <w:t> </w:t>
      </w:r>
      <w:r w:rsidRPr="00E9293F">
        <w:rPr>
          <w:rFonts w:cs="Times New Roman"/>
          <w:szCs w:val="24"/>
        </w:rPr>
        <w:t xml:space="preserve">kontakcie z daną instytucją, po to, by ułatwić im załatwienie spraw urzędowych. Na koniec 2020 r. wyznaczono koordynatorów w ok. 2 tysiącach podmiotów publicznych szczebla rządowego i samorządowego. </w:t>
      </w:r>
    </w:p>
    <w:p w14:paraId="664CBDCE" w14:textId="77777777" w:rsidR="005452F1" w:rsidRDefault="005452F1" w:rsidP="00E9293F">
      <w:pPr>
        <w:autoSpaceDE w:val="0"/>
        <w:autoSpaceDN w:val="0"/>
        <w:adjustRightInd w:val="0"/>
        <w:rPr>
          <w:rFonts w:cs="Times New Roman"/>
          <w:szCs w:val="24"/>
        </w:rPr>
      </w:pPr>
    </w:p>
    <w:p w14:paraId="5CC3EE93" w14:textId="629E19B2" w:rsidR="00E9293F" w:rsidRPr="00E9293F" w:rsidRDefault="00E9293F" w:rsidP="00E9293F">
      <w:pPr>
        <w:autoSpaceDE w:val="0"/>
        <w:autoSpaceDN w:val="0"/>
        <w:adjustRightInd w:val="0"/>
        <w:rPr>
          <w:rFonts w:cs="Times New Roman"/>
          <w:szCs w:val="24"/>
        </w:rPr>
      </w:pPr>
      <w:r w:rsidRPr="00E9293F">
        <w:rPr>
          <w:rFonts w:cs="Times New Roman"/>
          <w:szCs w:val="24"/>
        </w:rPr>
        <w:t xml:space="preserve">W Programie, w 2020 r. zaplanowano także projekty służące szkoleniu tych osób, tak by skutecznie wykonywały swoje zadania. Ze względu na pandemie COVID realizacja tych projektów rozpoczęła się dopiero w  2021 r.        </w:t>
      </w:r>
    </w:p>
    <w:p w14:paraId="63A46241" w14:textId="7805DD9E" w:rsidR="00E9293F" w:rsidRDefault="00E9293F" w:rsidP="00E9293F">
      <w:pPr>
        <w:autoSpaceDE w:val="0"/>
        <w:autoSpaceDN w:val="0"/>
        <w:adjustRightInd w:val="0"/>
        <w:rPr>
          <w:rFonts w:cs="Times New Roman"/>
          <w:szCs w:val="24"/>
        </w:rPr>
      </w:pPr>
      <w:r w:rsidRPr="00E9293F">
        <w:rPr>
          <w:rFonts w:cs="Times New Roman"/>
          <w:szCs w:val="24"/>
        </w:rPr>
        <w:lastRenderedPageBreak/>
        <w:t xml:space="preserve">Z uwagi na brak jednolitych, uniwersalnych rozwiązań w zakresie dostępności w przepisach prawa, w projektach tworzone są standardy dostępności, istotne też z punku widzenia osób starszych, min.: standardy dla POZ oraz dla szpitali. W 2020 r. kontynuowane były działania w projekcie „100 placówek służby zdrowia bez barier” służące praktycznemu wdrożeniu tych standardów docelowo w 150 placówkach opieki medycznej. W 2020 r. granty na ten celu uzyskało 19 POZ.  Dzięki nim zwiększy się zarówno dostępność architektoniczna jak i sposób świadczenia usług przez te placówki, tak aby były one przyjazne m.in. seniorom.  </w:t>
      </w:r>
    </w:p>
    <w:p w14:paraId="1413E5BF" w14:textId="77777777" w:rsidR="00EC2E5A" w:rsidRPr="00E9293F" w:rsidRDefault="00EC2E5A" w:rsidP="00E9293F">
      <w:pPr>
        <w:autoSpaceDE w:val="0"/>
        <w:autoSpaceDN w:val="0"/>
        <w:adjustRightInd w:val="0"/>
        <w:rPr>
          <w:rFonts w:cs="Times New Roman"/>
          <w:szCs w:val="24"/>
        </w:rPr>
      </w:pPr>
    </w:p>
    <w:p w14:paraId="345A442F" w14:textId="69998C21" w:rsidR="00E9293F" w:rsidRDefault="00E9293F" w:rsidP="00E9293F">
      <w:pPr>
        <w:autoSpaceDE w:val="0"/>
        <w:autoSpaceDN w:val="0"/>
        <w:adjustRightInd w:val="0"/>
        <w:rPr>
          <w:rFonts w:cs="Times New Roman"/>
          <w:szCs w:val="24"/>
        </w:rPr>
      </w:pPr>
      <w:r w:rsidRPr="00E9293F">
        <w:rPr>
          <w:rFonts w:cs="Times New Roman"/>
          <w:szCs w:val="24"/>
        </w:rPr>
        <w:t>Wiele działań Programu ma na celu także wypracowanie nowych rozwiązań w zakresie sposobu  funkcjonowania urzędów, by w większym stopniu uwzględniał on otwartość na klientów o</w:t>
      </w:r>
      <w:r w:rsidR="00EC2E5A">
        <w:rPr>
          <w:rFonts w:cs="Times New Roman"/>
          <w:szCs w:val="24"/>
        </w:rPr>
        <w:t> </w:t>
      </w:r>
      <w:r w:rsidRPr="00E9293F">
        <w:rPr>
          <w:rFonts w:cs="Times New Roman"/>
          <w:szCs w:val="24"/>
        </w:rPr>
        <w:t xml:space="preserve">mniejszej sprawności. Przykładem może być projekt „Mobilny urzędnik. Poprawa dostępności usług publicznych dla mieszkańców o szczególnych potrzebach” zakładający wypracowanie modelu świadczenia usług publicznych przez pracownika poza urzędem gminy. W projekcie bierze udział 40 gmin.  </w:t>
      </w:r>
    </w:p>
    <w:p w14:paraId="05F6A07C" w14:textId="77777777" w:rsidR="00E9293F" w:rsidRPr="00E9293F" w:rsidRDefault="00E9293F" w:rsidP="00E9293F">
      <w:pPr>
        <w:autoSpaceDE w:val="0"/>
        <w:autoSpaceDN w:val="0"/>
        <w:adjustRightInd w:val="0"/>
        <w:rPr>
          <w:rFonts w:cs="Times New Roman"/>
          <w:szCs w:val="24"/>
        </w:rPr>
      </w:pPr>
    </w:p>
    <w:p w14:paraId="61776D9E" w14:textId="77777777" w:rsidR="00E9293F" w:rsidRDefault="00E9293F" w:rsidP="00E9293F">
      <w:pPr>
        <w:autoSpaceDE w:val="0"/>
        <w:autoSpaceDN w:val="0"/>
        <w:adjustRightInd w:val="0"/>
        <w:rPr>
          <w:rFonts w:cs="Times New Roman"/>
          <w:szCs w:val="24"/>
        </w:rPr>
      </w:pPr>
      <w:r w:rsidRPr="00E9293F">
        <w:rPr>
          <w:rFonts w:cs="Times New Roman"/>
          <w:szCs w:val="24"/>
        </w:rPr>
        <w:t xml:space="preserve">Można także odnotować, iż na zlecenie </w:t>
      </w:r>
      <w:proofErr w:type="spellStart"/>
      <w:r w:rsidRPr="00E9293F">
        <w:rPr>
          <w:rFonts w:cs="Times New Roman"/>
          <w:szCs w:val="24"/>
        </w:rPr>
        <w:t>MFiPR</w:t>
      </w:r>
      <w:proofErr w:type="spellEnd"/>
      <w:r w:rsidRPr="00E9293F">
        <w:rPr>
          <w:rFonts w:cs="Times New Roman"/>
          <w:szCs w:val="24"/>
        </w:rPr>
        <w:t xml:space="preserve"> Polska Radą Centrów Handlowych opracowała dobre praktyki dla centrów handlowych w zakresie dostępności, uwzględniające potrzeby wszystkich klientów, również rosnącej grupy seniorów. </w:t>
      </w:r>
    </w:p>
    <w:p w14:paraId="3DB5258F" w14:textId="77777777" w:rsidR="00E9293F" w:rsidRPr="00E9293F" w:rsidRDefault="00E9293F" w:rsidP="00E9293F">
      <w:pPr>
        <w:autoSpaceDE w:val="0"/>
        <w:autoSpaceDN w:val="0"/>
        <w:adjustRightInd w:val="0"/>
        <w:rPr>
          <w:rFonts w:cs="Times New Roman"/>
          <w:szCs w:val="24"/>
        </w:rPr>
      </w:pPr>
    </w:p>
    <w:p w14:paraId="55E24401" w14:textId="13B4E059" w:rsidR="00E9293F" w:rsidRDefault="00E9293F" w:rsidP="00E9293F">
      <w:pPr>
        <w:autoSpaceDE w:val="0"/>
        <w:autoSpaceDN w:val="0"/>
        <w:adjustRightInd w:val="0"/>
        <w:rPr>
          <w:rFonts w:cs="Times New Roman"/>
          <w:szCs w:val="24"/>
        </w:rPr>
      </w:pPr>
      <w:r w:rsidRPr="00E9293F">
        <w:rPr>
          <w:rFonts w:cs="Times New Roman"/>
          <w:szCs w:val="24"/>
        </w:rPr>
        <w:t>Realizując działania świadomościowe i promujące tematykę dostępności w konkursie pn.</w:t>
      </w:r>
      <w:r w:rsidR="00EC2E5A">
        <w:rPr>
          <w:rFonts w:cs="Times New Roman"/>
          <w:szCs w:val="24"/>
        </w:rPr>
        <w:t> </w:t>
      </w:r>
      <w:r w:rsidRPr="00E9293F">
        <w:rPr>
          <w:rFonts w:cs="Times New Roman"/>
          <w:szCs w:val="24"/>
        </w:rPr>
        <w:t>„Fundusze Europejskie dla dostępności” Fundacja Edukacji Nowoczesnej – zrealizowała projekt pn. „Cyfryzacja dostępna dla osób z niepełnosprawnością i starszych”. Powstało w nim 6 filmów edukacyjno-instruktażowych dla osób starszych i z niepełnosprawnościami (szczególnie wzroku) dotyczących  korzystania z serwisów: gov.pl (m.in. jak stworzyć profil zaufany), dane.gov.pl, podatki.gov.pl, pacjent.gov.pl, euslugi.policja.pl, biblioteki cyfrowe.</w:t>
      </w:r>
      <w:r w:rsidR="00EC2E5A">
        <w:rPr>
          <w:rFonts w:cs="Times New Roman"/>
          <w:szCs w:val="24"/>
        </w:rPr>
        <w:t xml:space="preserve"> </w:t>
      </w:r>
      <w:r w:rsidRPr="00E9293F">
        <w:rPr>
          <w:rFonts w:cs="Times New Roman"/>
          <w:szCs w:val="24"/>
        </w:rPr>
        <w:t>Ponadto, dzięki współpracy MFIPR ze Stowarzyszeniem Manko w magazynie Głos Seniora opublikowano 3 artykuły na temat dostępności informujące m. in. na temat funkcji koordynatora dostępności, czy skargi na brak zapewnienia dostępności.</w:t>
      </w:r>
    </w:p>
    <w:p w14:paraId="6457C330" w14:textId="77777777" w:rsidR="00E9293F" w:rsidRPr="00E9293F" w:rsidRDefault="00E9293F" w:rsidP="00E9293F">
      <w:pPr>
        <w:autoSpaceDE w:val="0"/>
        <w:autoSpaceDN w:val="0"/>
        <w:adjustRightInd w:val="0"/>
        <w:rPr>
          <w:rFonts w:cs="Times New Roman"/>
          <w:szCs w:val="24"/>
        </w:rPr>
      </w:pPr>
    </w:p>
    <w:p w14:paraId="15E7E6B3" w14:textId="74AE2C9C" w:rsidR="00E9293F" w:rsidRDefault="00E9293F" w:rsidP="00E9293F">
      <w:pPr>
        <w:autoSpaceDE w:val="0"/>
        <w:autoSpaceDN w:val="0"/>
        <w:adjustRightInd w:val="0"/>
        <w:rPr>
          <w:rFonts w:cs="Times New Roman"/>
          <w:szCs w:val="24"/>
        </w:rPr>
      </w:pPr>
      <w:r w:rsidRPr="00E9293F">
        <w:rPr>
          <w:rFonts w:cs="Times New Roman"/>
          <w:szCs w:val="24"/>
        </w:rPr>
        <w:t>W obszarze architektury kontynuowano prace nad zmianami w prawie, w tym zmiany w</w:t>
      </w:r>
      <w:r w:rsidR="00EC2E5A">
        <w:rPr>
          <w:rFonts w:cs="Times New Roman"/>
          <w:szCs w:val="24"/>
        </w:rPr>
        <w:t> </w:t>
      </w:r>
      <w:r w:rsidRPr="00E9293F">
        <w:rPr>
          <w:rFonts w:cs="Times New Roman"/>
          <w:szCs w:val="24"/>
        </w:rPr>
        <w:t xml:space="preserve">warunkach technicznych, które mają zapewnić, że nowe inwestycje będą przewidywały określoną pulę mieszkań dostępnych oraz będą musiały w budynkach użyteczności publicznej i zamieszkania zbiorowego mających  dwie lub więcej kondygnacji instalować windy. </w:t>
      </w:r>
    </w:p>
    <w:p w14:paraId="7C8A27D5" w14:textId="77777777" w:rsidR="00E9293F" w:rsidRPr="00E9293F" w:rsidRDefault="00E9293F" w:rsidP="00E9293F">
      <w:pPr>
        <w:autoSpaceDE w:val="0"/>
        <w:autoSpaceDN w:val="0"/>
        <w:adjustRightInd w:val="0"/>
        <w:rPr>
          <w:rFonts w:cs="Times New Roman"/>
          <w:szCs w:val="24"/>
        </w:rPr>
      </w:pPr>
      <w:r w:rsidRPr="00E9293F">
        <w:rPr>
          <w:rFonts w:cs="Times New Roman"/>
          <w:szCs w:val="24"/>
        </w:rPr>
        <w:t xml:space="preserve">  </w:t>
      </w:r>
    </w:p>
    <w:p w14:paraId="5B27092B" w14:textId="60EDFCA5" w:rsidR="00E9293F" w:rsidRDefault="00E9293F" w:rsidP="00E9293F">
      <w:pPr>
        <w:autoSpaceDE w:val="0"/>
        <w:autoSpaceDN w:val="0"/>
        <w:adjustRightInd w:val="0"/>
        <w:rPr>
          <w:rFonts w:cs="Times New Roman"/>
          <w:szCs w:val="24"/>
        </w:rPr>
      </w:pPr>
      <w:r w:rsidRPr="00E9293F">
        <w:rPr>
          <w:rFonts w:cs="Times New Roman"/>
          <w:szCs w:val="24"/>
        </w:rPr>
        <w:t>Ponadto Fundusz Dostępności udzielał pożyczek na dofinansowanie przedsięwzięć polegających na dostosowaniu wielorodzinnych budynków mieszkalnych oraz budynków użyteczności publicznej do potrzeb osób mających trwałe lub czasowe ograniczenia w</w:t>
      </w:r>
      <w:r w:rsidR="00EC2E5A">
        <w:rPr>
          <w:rFonts w:cs="Times New Roman"/>
          <w:szCs w:val="24"/>
        </w:rPr>
        <w:t> </w:t>
      </w:r>
      <w:r w:rsidRPr="00E9293F">
        <w:rPr>
          <w:rFonts w:cs="Times New Roman"/>
          <w:szCs w:val="24"/>
        </w:rPr>
        <w:t xml:space="preserve">mobilności, czy percepcji. Z rozwiązań tych (windy, poręcze), korzystają przede wszystkim seniorzy. W 2020 r. udzielono 30 takich pożyczek na kwotę 10,8 mln zł. Już 18 inwestycji tego typu zostało zakończonych. </w:t>
      </w:r>
    </w:p>
    <w:p w14:paraId="03979AF4" w14:textId="77777777" w:rsidR="00E9293F" w:rsidRPr="00E9293F" w:rsidRDefault="00E9293F" w:rsidP="00E9293F">
      <w:pPr>
        <w:autoSpaceDE w:val="0"/>
        <w:autoSpaceDN w:val="0"/>
        <w:adjustRightInd w:val="0"/>
        <w:rPr>
          <w:rFonts w:cs="Times New Roman"/>
          <w:szCs w:val="24"/>
        </w:rPr>
      </w:pPr>
    </w:p>
    <w:p w14:paraId="6A203E6E" w14:textId="25021F1C" w:rsidR="00E9293F" w:rsidRDefault="00E9293F" w:rsidP="00E9293F">
      <w:pPr>
        <w:autoSpaceDE w:val="0"/>
        <w:autoSpaceDN w:val="0"/>
        <w:adjustRightInd w:val="0"/>
        <w:rPr>
          <w:rFonts w:cs="Times New Roman"/>
          <w:szCs w:val="24"/>
        </w:rPr>
      </w:pPr>
      <w:r w:rsidRPr="00E9293F">
        <w:rPr>
          <w:rFonts w:cs="Times New Roman"/>
          <w:szCs w:val="24"/>
        </w:rPr>
        <w:lastRenderedPageBreak/>
        <w:t xml:space="preserve">Ważną inicjatywą jest skierowany również do seniorów projekt pn. „Usługi indywidualnego transportu </w:t>
      </w:r>
      <w:proofErr w:type="spellStart"/>
      <w:r w:rsidRPr="00E9293F">
        <w:rPr>
          <w:rFonts w:cs="Times New Roman"/>
          <w:szCs w:val="24"/>
        </w:rPr>
        <w:t>door</w:t>
      </w:r>
      <w:proofErr w:type="spellEnd"/>
      <w:r w:rsidRPr="00E9293F">
        <w:rPr>
          <w:rFonts w:cs="Times New Roman"/>
          <w:szCs w:val="24"/>
        </w:rPr>
        <w:t>-to-</w:t>
      </w:r>
      <w:proofErr w:type="spellStart"/>
      <w:r w:rsidRPr="00E9293F">
        <w:rPr>
          <w:rFonts w:cs="Times New Roman"/>
          <w:szCs w:val="24"/>
        </w:rPr>
        <w:t>door</w:t>
      </w:r>
      <w:proofErr w:type="spellEnd"/>
      <w:r w:rsidRPr="00E9293F">
        <w:rPr>
          <w:rFonts w:cs="Times New Roman"/>
          <w:szCs w:val="24"/>
        </w:rPr>
        <w:t xml:space="preserve"> oraz poprawa dostępności architektonicznej wielorodzinnych budynków mieszkalnych” . W projekcie w 2020 r. wyłoniono 116 gmin, które uzyska  wsparcie na uruchomienie usług indywidualnego transportu </w:t>
      </w:r>
      <w:proofErr w:type="spellStart"/>
      <w:r w:rsidRPr="00E9293F">
        <w:rPr>
          <w:rFonts w:cs="Times New Roman"/>
          <w:szCs w:val="24"/>
        </w:rPr>
        <w:t>door</w:t>
      </w:r>
      <w:proofErr w:type="spellEnd"/>
      <w:r w:rsidRPr="00E9293F">
        <w:rPr>
          <w:rFonts w:cs="Times New Roman"/>
          <w:szCs w:val="24"/>
        </w:rPr>
        <w:t>-to-</w:t>
      </w:r>
      <w:proofErr w:type="spellStart"/>
      <w:r w:rsidRPr="00E9293F">
        <w:rPr>
          <w:rFonts w:cs="Times New Roman"/>
          <w:szCs w:val="24"/>
        </w:rPr>
        <w:t>door</w:t>
      </w:r>
      <w:proofErr w:type="spellEnd"/>
      <w:r w:rsidRPr="00E9293F">
        <w:rPr>
          <w:rFonts w:cs="Times New Roman"/>
          <w:szCs w:val="24"/>
        </w:rPr>
        <w:t xml:space="preserve">. Ponadto 27 JST uzyskało dodatkowe środki na adaptacje architektoniczne wspomagające dostępność w budynkach mieszkalnych. Do końca IV kwartału 2020 r. zawartych zostało 68 umów o przyznanie grantu, na łączną kwotę 35,4 mln zł. </w:t>
      </w:r>
    </w:p>
    <w:p w14:paraId="72080036" w14:textId="77777777" w:rsidR="00E9293F" w:rsidRPr="00E9293F" w:rsidRDefault="00E9293F" w:rsidP="00E9293F">
      <w:pPr>
        <w:autoSpaceDE w:val="0"/>
        <w:autoSpaceDN w:val="0"/>
        <w:adjustRightInd w:val="0"/>
        <w:rPr>
          <w:rFonts w:cs="Times New Roman"/>
          <w:szCs w:val="24"/>
        </w:rPr>
      </w:pPr>
    </w:p>
    <w:p w14:paraId="37FD1A4B" w14:textId="7BE4690D" w:rsidR="00E9293F" w:rsidRDefault="00E9293F" w:rsidP="00E9293F">
      <w:pPr>
        <w:autoSpaceDE w:val="0"/>
        <w:autoSpaceDN w:val="0"/>
        <w:adjustRightInd w:val="0"/>
        <w:rPr>
          <w:rFonts w:cs="Times New Roman"/>
          <w:szCs w:val="24"/>
        </w:rPr>
      </w:pPr>
      <w:r w:rsidRPr="00E9293F">
        <w:rPr>
          <w:rFonts w:cs="Times New Roman"/>
          <w:szCs w:val="24"/>
        </w:rPr>
        <w:t>W 2020 r. uruchomiono także pilotaż centrów usług społecznych. Ma on na celu wpracowanie 30 modelowych rozwiązań w zakresie integracji i rozwoju usług społecznych adresowanych zarówno do ogółu mieszkańców, jak i do grup o szczególnych potrzebach, np. osób z</w:t>
      </w:r>
      <w:r w:rsidR="00EC2E5A">
        <w:rPr>
          <w:rFonts w:cs="Times New Roman"/>
          <w:szCs w:val="24"/>
        </w:rPr>
        <w:t> </w:t>
      </w:r>
      <w:r w:rsidRPr="00E9293F">
        <w:rPr>
          <w:rFonts w:cs="Times New Roman"/>
          <w:szCs w:val="24"/>
        </w:rPr>
        <w:t>niepełnosprawnościami, osób starszych, rodzin wielodzietnych. Pozwoli to gminom na</w:t>
      </w:r>
      <w:r w:rsidR="00EC2E5A">
        <w:rPr>
          <w:rFonts w:cs="Times New Roman"/>
          <w:szCs w:val="24"/>
        </w:rPr>
        <w:t> </w:t>
      </w:r>
      <w:r w:rsidRPr="00E9293F">
        <w:rPr>
          <w:rFonts w:cs="Times New Roman"/>
          <w:szCs w:val="24"/>
        </w:rPr>
        <w:t xml:space="preserve">dostosowanie świadczonych usług i do potrzeb mieszkańców gminy, i do własnych możliwości finansowych. W 2020 r. podpisano 31 umów na realizację projektów na utworzenie centrów usług społecznych tzw. CUS-ów, które będą tworzyć i testować ww. rozwiązania modelowe. Zawarte w 2020 r. umowy opiewają na kwotę prawie 90 mln zł (89 864 911,50 </w:t>
      </w:r>
      <w:r w:rsidR="00EC2E5A">
        <w:rPr>
          <w:rFonts w:cs="Times New Roman"/>
          <w:szCs w:val="24"/>
        </w:rPr>
        <w:t>zł</w:t>
      </w:r>
      <w:r w:rsidRPr="00E9293F">
        <w:rPr>
          <w:rFonts w:cs="Times New Roman"/>
          <w:szCs w:val="24"/>
        </w:rPr>
        <w:t>). Większość projektów rozpocznie realizację od stycznia 2021 r.</w:t>
      </w:r>
    </w:p>
    <w:p w14:paraId="03E680B2" w14:textId="77777777" w:rsidR="00E9293F" w:rsidRPr="00E9293F" w:rsidRDefault="00E9293F" w:rsidP="00E9293F">
      <w:pPr>
        <w:autoSpaceDE w:val="0"/>
        <w:autoSpaceDN w:val="0"/>
        <w:adjustRightInd w:val="0"/>
        <w:rPr>
          <w:rFonts w:cs="Times New Roman"/>
          <w:szCs w:val="24"/>
        </w:rPr>
      </w:pPr>
    </w:p>
    <w:p w14:paraId="09BE935D" w14:textId="77777777" w:rsidR="00EC2E5A" w:rsidRDefault="00E9293F" w:rsidP="00E9293F">
      <w:pPr>
        <w:autoSpaceDE w:val="0"/>
        <w:autoSpaceDN w:val="0"/>
        <w:adjustRightInd w:val="0"/>
        <w:rPr>
          <w:rFonts w:cs="Times New Roman"/>
          <w:szCs w:val="24"/>
        </w:rPr>
      </w:pPr>
      <w:r w:rsidRPr="00E9293F">
        <w:rPr>
          <w:rFonts w:cs="Times New Roman"/>
          <w:szCs w:val="24"/>
        </w:rPr>
        <w:t>Kontynuowano także prace nad konkretnymi rozwiązaniami produktowymi i</w:t>
      </w:r>
      <w:r w:rsidR="00EC2E5A">
        <w:rPr>
          <w:rFonts w:cs="Times New Roman"/>
          <w:szCs w:val="24"/>
        </w:rPr>
        <w:t> </w:t>
      </w:r>
      <w:r w:rsidRPr="00E9293F">
        <w:rPr>
          <w:rFonts w:cs="Times New Roman"/>
          <w:szCs w:val="24"/>
        </w:rPr>
        <w:t>technologicznymi, służącymi osobom ze szczególnymi potrzebami, w tym osobom starszym. Uruchamiano konkursy dla przedsiębiorców i innowatorów takie jak: "Design dla przedsiębiorców" - finansowanie profesjonalnego procesu projektowego (PARP);  „Bony na innowacje” – finansowanie innowacji technologicznych lub produktowych dedykowanych osobom ze szczególnymi potrzebami (PARP); „Badania na rynek” - na wdrażanie przez MŚP innowacji produktowych na skali całego kraju związanych z zaspokajaniem specyficznych potrzeb osób z ograniczeniami funkcjonalnymi lub poznawczymi (PARP); „Reczy są dla ludzi” - finasowanie badań nad zastosowaniem uniwersalnego projektowania w różnych obszarach, na przykład w architekturze, cyfryzacji, edukacji, transporcie (</w:t>
      </w:r>
      <w:proofErr w:type="spellStart"/>
      <w:r w:rsidRPr="00E9293F">
        <w:rPr>
          <w:rFonts w:cs="Times New Roman"/>
          <w:szCs w:val="24"/>
        </w:rPr>
        <w:t>NCBiR</w:t>
      </w:r>
      <w:proofErr w:type="spellEnd"/>
      <w:r w:rsidRPr="00E9293F">
        <w:rPr>
          <w:rFonts w:cs="Times New Roman"/>
          <w:szCs w:val="24"/>
        </w:rPr>
        <w:t>). Łączna wartość ww.</w:t>
      </w:r>
      <w:r w:rsidR="00EC2E5A">
        <w:rPr>
          <w:rFonts w:cs="Times New Roman"/>
          <w:szCs w:val="24"/>
        </w:rPr>
        <w:t> </w:t>
      </w:r>
      <w:r w:rsidRPr="00E9293F">
        <w:rPr>
          <w:rFonts w:cs="Times New Roman"/>
          <w:szCs w:val="24"/>
        </w:rPr>
        <w:t xml:space="preserve">konkursów to ok. 277 mln zł. Dzięki temu wsparciu przedsiębiorcy otrzymali środki na działalność badawczo – rozwojową służącą kreowaniu produktów i usług, z których będą mogły skorzystać osoby starsze i dzięki którym jakość ich codziennego życia i samodzielność wzrosną. </w:t>
      </w:r>
    </w:p>
    <w:p w14:paraId="6F327198" w14:textId="77777777" w:rsidR="00EC2E5A" w:rsidRDefault="00EC2E5A" w:rsidP="00E9293F">
      <w:pPr>
        <w:autoSpaceDE w:val="0"/>
        <w:autoSpaceDN w:val="0"/>
        <w:adjustRightInd w:val="0"/>
        <w:rPr>
          <w:rFonts w:cs="Times New Roman"/>
          <w:szCs w:val="24"/>
        </w:rPr>
      </w:pPr>
    </w:p>
    <w:p w14:paraId="3CE3F126" w14:textId="1CB79274" w:rsidR="00E9293F" w:rsidRDefault="00E9293F" w:rsidP="00E9293F">
      <w:pPr>
        <w:autoSpaceDE w:val="0"/>
        <w:autoSpaceDN w:val="0"/>
        <w:adjustRightInd w:val="0"/>
        <w:rPr>
          <w:rFonts w:cs="Times New Roman"/>
          <w:szCs w:val="24"/>
        </w:rPr>
      </w:pPr>
      <w:r w:rsidRPr="00E9293F">
        <w:rPr>
          <w:rFonts w:cs="Times New Roman"/>
          <w:szCs w:val="24"/>
        </w:rPr>
        <w:t>Ponadto kontynuowano wsparcie dla tzw. innowacji społecznych, które poszukują najciekawszych inicjatyw, które szybko i skutecznie pomogą rozwiązać problemy związane z niedoborem dostępnych produktów i usług, czy brakiem dostępności przestrzeni publicznej dla osób z niepełnosprawnościami i seniorów. Efektem ich pracy będzie 200 nowych innowacji na rzecz dostępności. Do końca 2020 r. podpisano 60 umów o powierzenie grantów na dopracowanie i przetestowanie innowacyjnych rozwiązań w ww. temacie dostępności.</w:t>
      </w:r>
      <w:r w:rsidR="007D707D">
        <w:rPr>
          <w:rFonts w:cs="Times New Roman"/>
          <w:szCs w:val="24"/>
        </w:rPr>
        <w:t xml:space="preserve"> </w:t>
      </w:r>
      <w:r w:rsidRPr="00E9293F">
        <w:rPr>
          <w:rFonts w:cs="Times New Roman"/>
          <w:szCs w:val="24"/>
        </w:rPr>
        <w:t>Oprócz działań w wyżej wymienionych obszarach prowadzane są kampanie informacyjne i edukacyjne, których celem jest uwrażliwianie opinii społecznej na problemy osób ze szczególnymi potrzebami i osób starszych.</w:t>
      </w:r>
    </w:p>
    <w:p w14:paraId="0FA71965" w14:textId="77777777" w:rsidR="00E9293F" w:rsidRPr="00E9293F" w:rsidRDefault="00E9293F" w:rsidP="00E9293F">
      <w:pPr>
        <w:autoSpaceDE w:val="0"/>
        <w:autoSpaceDN w:val="0"/>
        <w:adjustRightInd w:val="0"/>
        <w:rPr>
          <w:rFonts w:cs="Times New Roman"/>
          <w:szCs w:val="24"/>
        </w:rPr>
      </w:pPr>
    </w:p>
    <w:p w14:paraId="18860253" w14:textId="42811562" w:rsidR="00E9293F" w:rsidRDefault="007D707D" w:rsidP="00E9293F">
      <w:pPr>
        <w:pStyle w:val="Nagwek3"/>
      </w:pPr>
      <w:bookmarkStart w:id="65" w:name="_Toc77513910"/>
      <w:bookmarkStart w:id="66" w:name="_Toc80523064"/>
      <w:r>
        <w:t>W</w:t>
      </w:r>
      <w:r w:rsidRPr="00E9293F">
        <w:t>sparcie osób starszych w dobie COVID-19</w:t>
      </w:r>
      <w:bookmarkEnd w:id="65"/>
      <w:bookmarkEnd w:id="66"/>
    </w:p>
    <w:p w14:paraId="6D1E1801" w14:textId="77777777" w:rsidR="00154145" w:rsidRPr="00154145" w:rsidRDefault="00154145" w:rsidP="00154145"/>
    <w:p w14:paraId="6813DA54" w14:textId="0C65E5AF" w:rsidR="00E9293F" w:rsidRDefault="00E9293F" w:rsidP="00E9293F">
      <w:pPr>
        <w:autoSpaceDE w:val="0"/>
        <w:autoSpaceDN w:val="0"/>
        <w:adjustRightInd w:val="0"/>
        <w:rPr>
          <w:rFonts w:cs="Times New Roman"/>
          <w:szCs w:val="24"/>
        </w:rPr>
      </w:pPr>
      <w:r w:rsidRPr="00E9293F">
        <w:rPr>
          <w:rFonts w:cs="Times New Roman"/>
          <w:szCs w:val="24"/>
        </w:rPr>
        <w:t>Osoby w wieku 50+ mogą skorzystać ze wsparcia oferowanego z Europejskiego Funduszu Społecznego realizowanego w ramach Regionalnych Programów Operacyjnych. W ramach takich projektów osoby w wieku 50+ mogą skorzystać z takich form wsparcia jak szkolenia, dzięki którym osoby starsze mogą zdobyć nową wiedzę i umiejętności, kursy mające na celu uzupełnienie lub podwyższenie umiejętności na rynku pracy, staże przyczyniające się do zdobycia doświadczenia zawodowego, pośrednictwo pracy służące do stworzenia Indywidualnego Planu Działania uczestnika, wsparcie psychologiczne, doradztwo zawodowe jak również możliwość skorzystania z dotacji na rozpoczęcie prowadzenia działalności gospodarczej. Osoba w wieku 50+ może także skorzystać z dotacji na założenie działalności w</w:t>
      </w:r>
      <w:r w:rsidR="007D707D">
        <w:rPr>
          <w:rFonts w:cs="Times New Roman"/>
          <w:szCs w:val="24"/>
        </w:rPr>
        <w:t> </w:t>
      </w:r>
      <w:r w:rsidRPr="00E9293F">
        <w:rPr>
          <w:rFonts w:cs="Times New Roman"/>
          <w:szCs w:val="24"/>
        </w:rPr>
        <w:t>wysokości  ok. 23 tys.</w:t>
      </w:r>
      <w:r w:rsidR="007D707D">
        <w:rPr>
          <w:rFonts w:cs="Times New Roman"/>
          <w:szCs w:val="24"/>
        </w:rPr>
        <w:t xml:space="preserve"> zł</w:t>
      </w:r>
      <w:r w:rsidRPr="00E9293F">
        <w:rPr>
          <w:rFonts w:cs="Times New Roman"/>
          <w:szCs w:val="24"/>
        </w:rPr>
        <w:t>. Dodatkowo, możliwe jest również skorzystanie z wsparcia pomostowego, które wspiera nowego przedsiębiorcę w zakresie pokrycia składek ZUS, księgowości i innych bieżących wydatków, które są niezbędne do prowadzenia działalności. Dodatkowo, na etapie poprzedzającym założenie firmy, osoba w wieku 50+ może skorzystać z</w:t>
      </w:r>
      <w:r w:rsidR="007D707D">
        <w:rPr>
          <w:rFonts w:cs="Times New Roman"/>
          <w:szCs w:val="24"/>
        </w:rPr>
        <w:t> </w:t>
      </w:r>
      <w:r w:rsidRPr="00E9293F">
        <w:rPr>
          <w:rFonts w:cs="Times New Roman"/>
          <w:szCs w:val="24"/>
        </w:rPr>
        <w:t>usług szkoleniowych.</w:t>
      </w:r>
    </w:p>
    <w:p w14:paraId="5CABC0D9" w14:textId="77777777" w:rsidR="00E9293F" w:rsidRPr="00E9293F" w:rsidRDefault="00E9293F" w:rsidP="00E9293F">
      <w:pPr>
        <w:autoSpaceDE w:val="0"/>
        <w:autoSpaceDN w:val="0"/>
        <w:adjustRightInd w:val="0"/>
        <w:rPr>
          <w:rFonts w:cs="Times New Roman"/>
          <w:szCs w:val="24"/>
        </w:rPr>
      </w:pPr>
    </w:p>
    <w:p w14:paraId="44123A18" w14:textId="4D1D42AE" w:rsidR="00E9293F" w:rsidRPr="00E9293F" w:rsidRDefault="00E9293F" w:rsidP="00E9293F">
      <w:pPr>
        <w:autoSpaceDE w:val="0"/>
        <w:autoSpaceDN w:val="0"/>
        <w:adjustRightInd w:val="0"/>
        <w:rPr>
          <w:rFonts w:cs="Times New Roman"/>
          <w:szCs w:val="24"/>
        </w:rPr>
      </w:pPr>
      <w:r w:rsidRPr="00E9293F">
        <w:rPr>
          <w:rFonts w:cs="Times New Roman"/>
          <w:szCs w:val="24"/>
        </w:rPr>
        <w:t>Od 2020 r</w:t>
      </w:r>
      <w:r w:rsidR="006C0E8B">
        <w:rPr>
          <w:rFonts w:cs="Times New Roman"/>
          <w:szCs w:val="24"/>
        </w:rPr>
        <w:t>.</w:t>
      </w:r>
      <w:r w:rsidRPr="00E9293F">
        <w:rPr>
          <w:rFonts w:cs="Times New Roman"/>
          <w:szCs w:val="24"/>
        </w:rPr>
        <w:t xml:space="preserve"> w celu ochrony miejsc pracy w dobie pandemii konieczne stało się zapewnienie ochrony pracowników (w tym osób pracujących na własny rachunek) przed utratą dochodów, a także zagwarantowanie najbardziej dotkniętym przedsiębiorstwom (zwłaszcza MŚP) niezbędnego wsparcia i płynności finansowej. W 2020 r. wprowadzono dlatego działania mające na celu redukcję skutków spowolnienia gospodarczego i przeciwdziałanie wzrostowi bezrobocia, spowodowanych pandemią COVID-19, w postaci:</w:t>
      </w:r>
    </w:p>
    <w:p w14:paraId="0A4B8ED4" w14:textId="77777777" w:rsidR="00E9293F" w:rsidRDefault="00E9293F" w:rsidP="00FE70E3">
      <w:pPr>
        <w:pStyle w:val="Akapitzlist"/>
        <w:numPr>
          <w:ilvl w:val="0"/>
          <w:numId w:val="37"/>
        </w:numPr>
        <w:autoSpaceDE w:val="0"/>
        <w:autoSpaceDN w:val="0"/>
        <w:adjustRightInd w:val="0"/>
        <w:rPr>
          <w:rFonts w:cs="Times New Roman"/>
          <w:szCs w:val="24"/>
        </w:rPr>
      </w:pPr>
      <w:r w:rsidRPr="00E9293F">
        <w:rPr>
          <w:rFonts w:cs="Times New Roman"/>
          <w:szCs w:val="24"/>
        </w:rPr>
        <w:t>dofinansowania wynagrodzeń pracowników oraz należnych od tych wynagrodzeń składek na ubezpieczenia społeczne oraz</w:t>
      </w:r>
    </w:p>
    <w:p w14:paraId="0FB301E8" w14:textId="77777777" w:rsidR="00E9293F" w:rsidRPr="00E9293F" w:rsidRDefault="00E9293F" w:rsidP="00FE70E3">
      <w:pPr>
        <w:pStyle w:val="Akapitzlist"/>
        <w:numPr>
          <w:ilvl w:val="0"/>
          <w:numId w:val="37"/>
        </w:numPr>
        <w:autoSpaceDE w:val="0"/>
        <w:autoSpaceDN w:val="0"/>
        <w:adjustRightInd w:val="0"/>
        <w:rPr>
          <w:rFonts w:cs="Times New Roman"/>
          <w:szCs w:val="24"/>
        </w:rPr>
      </w:pPr>
      <w:r w:rsidRPr="00E9293F">
        <w:rPr>
          <w:rFonts w:cs="Times New Roman"/>
          <w:szCs w:val="24"/>
        </w:rPr>
        <w:t>dofinansowania części kosztów prowadzenia działalności gospodarczej,</w:t>
      </w:r>
    </w:p>
    <w:p w14:paraId="615CDF2C" w14:textId="3C2926F8" w:rsidR="00E9293F" w:rsidRDefault="00E9293F" w:rsidP="00E9293F">
      <w:pPr>
        <w:autoSpaceDE w:val="0"/>
        <w:autoSpaceDN w:val="0"/>
        <w:adjustRightInd w:val="0"/>
        <w:rPr>
          <w:rFonts w:cs="Times New Roman"/>
          <w:szCs w:val="24"/>
        </w:rPr>
      </w:pPr>
      <w:r w:rsidRPr="00E9293F">
        <w:rPr>
          <w:rFonts w:cs="Times New Roman"/>
          <w:szCs w:val="24"/>
        </w:rPr>
        <w:t xml:space="preserve">czyli (tzw. </w:t>
      </w:r>
      <w:proofErr w:type="spellStart"/>
      <w:r w:rsidRPr="00E9293F">
        <w:rPr>
          <w:rFonts w:cs="Times New Roman"/>
          <w:szCs w:val="24"/>
        </w:rPr>
        <w:t>short</w:t>
      </w:r>
      <w:proofErr w:type="spellEnd"/>
      <w:r w:rsidRPr="00E9293F">
        <w:rPr>
          <w:rFonts w:cs="Times New Roman"/>
          <w:szCs w:val="24"/>
        </w:rPr>
        <w:t xml:space="preserve">-term </w:t>
      </w:r>
      <w:proofErr w:type="spellStart"/>
      <w:r w:rsidRPr="00E9293F">
        <w:rPr>
          <w:rFonts w:cs="Times New Roman"/>
          <w:szCs w:val="24"/>
        </w:rPr>
        <w:t>work</w:t>
      </w:r>
      <w:proofErr w:type="spellEnd"/>
      <w:r w:rsidRPr="00E9293F">
        <w:rPr>
          <w:rFonts w:cs="Times New Roman"/>
          <w:szCs w:val="24"/>
        </w:rPr>
        <w:t xml:space="preserve"> </w:t>
      </w:r>
      <w:proofErr w:type="spellStart"/>
      <w:r w:rsidRPr="00E9293F">
        <w:rPr>
          <w:rFonts w:cs="Times New Roman"/>
          <w:szCs w:val="24"/>
        </w:rPr>
        <w:t>schemes</w:t>
      </w:r>
      <w:proofErr w:type="spellEnd"/>
      <w:r w:rsidRPr="00E9293F">
        <w:rPr>
          <w:rFonts w:cs="Times New Roman"/>
          <w:szCs w:val="24"/>
        </w:rPr>
        <w:t xml:space="preserve"> -</w:t>
      </w:r>
      <w:r w:rsidR="007D707D">
        <w:rPr>
          <w:rFonts w:cs="Times New Roman"/>
          <w:szCs w:val="24"/>
        </w:rPr>
        <w:t xml:space="preserve"> </w:t>
      </w:r>
      <w:r w:rsidRPr="00E9293F">
        <w:rPr>
          <w:rFonts w:cs="Times New Roman"/>
          <w:szCs w:val="24"/>
        </w:rPr>
        <w:t>STW), o których mowa w ustawie o szczególnych rozwiązaniach związanych z zapobieganiem, przeciwdziałaniem i zwalczaniem COVID-19, innych chorób zakaźnych oraz wywołanych nimi sytuacji kryzysowych oraz niektórych innych ustaw (dalej jako specustawa). Wsparcie to było świadczone dodatkowo w projektach publicznych służb zatrudnienia (powiatowe urzędy pracy).</w:t>
      </w:r>
    </w:p>
    <w:p w14:paraId="42EA762C" w14:textId="77777777" w:rsidR="00A3163C" w:rsidRDefault="00A3163C" w:rsidP="00E9293F">
      <w:pPr>
        <w:autoSpaceDE w:val="0"/>
        <w:autoSpaceDN w:val="0"/>
        <w:adjustRightInd w:val="0"/>
        <w:rPr>
          <w:rFonts w:cs="Times New Roman"/>
          <w:szCs w:val="24"/>
        </w:rPr>
      </w:pPr>
    </w:p>
    <w:p w14:paraId="37C451FF" w14:textId="77777777" w:rsidR="00A3163C" w:rsidRPr="00E9293F" w:rsidRDefault="00A3163C" w:rsidP="00FE70E3">
      <w:pPr>
        <w:pStyle w:val="Nagwek2"/>
        <w:numPr>
          <w:ilvl w:val="1"/>
          <w:numId w:val="23"/>
        </w:numPr>
        <w:spacing w:before="240" w:after="240"/>
        <w:ind w:left="0" w:hanging="142"/>
        <w:rPr>
          <w:rFonts w:cs="Times New Roman"/>
          <w:sz w:val="40"/>
          <w:lang w:eastAsia="ar-SA"/>
        </w:rPr>
      </w:pPr>
      <w:bookmarkStart w:id="67" w:name="_Toc80523065"/>
      <w:r w:rsidRPr="00454337">
        <w:rPr>
          <w:rFonts w:cs="Times New Roman"/>
          <w:sz w:val="40"/>
          <w:lang w:eastAsia="ar-SA"/>
        </w:rPr>
        <w:t xml:space="preserve">Ministerstwo </w:t>
      </w:r>
      <w:r>
        <w:rPr>
          <w:rFonts w:cs="Times New Roman"/>
          <w:sz w:val="40"/>
          <w:lang w:eastAsia="ar-SA"/>
        </w:rPr>
        <w:t>Infrastruktury</w:t>
      </w:r>
      <w:bookmarkEnd w:id="67"/>
    </w:p>
    <w:p w14:paraId="018A7F94" w14:textId="1AE4A8F5" w:rsidR="00A3163C" w:rsidRDefault="00A3163C" w:rsidP="00A3163C">
      <w:pPr>
        <w:autoSpaceDE w:val="0"/>
        <w:autoSpaceDN w:val="0"/>
        <w:adjustRightInd w:val="0"/>
        <w:rPr>
          <w:rFonts w:cs="Times New Roman"/>
          <w:szCs w:val="24"/>
        </w:rPr>
      </w:pPr>
      <w:r w:rsidRPr="00A3163C">
        <w:rPr>
          <w:rFonts w:cs="Times New Roman"/>
          <w:szCs w:val="24"/>
        </w:rPr>
        <w:t>W Ministerstwie Infrastruktury trwają prace nad nowym systemem wymagań technicznych w</w:t>
      </w:r>
      <w:r w:rsidR="007D707D">
        <w:rPr>
          <w:rFonts w:cs="Times New Roman"/>
          <w:szCs w:val="24"/>
        </w:rPr>
        <w:t> </w:t>
      </w:r>
      <w:r w:rsidRPr="00A3163C">
        <w:rPr>
          <w:rFonts w:cs="Times New Roman"/>
          <w:szCs w:val="24"/>
        </w:rPr>
        <w:t>drogownictwie. Będą się na niego składać przepisy techniczno-budowlane w postaci rozporządzenia Ministra Infrastruktury w sprawie przepisów techniczno-budowlanych dotyczących dróg publicznych oraz seria wzorców i standardów rekomendowanych do</w:t>
      </w:r>
      <w:r w:rsidR="007D707D">
        <w:rPr>
          <w:rFonts w:cs="Times New Roman"/>
          <w:szCs w:val="24"/>
        </w:rPr>
        <w:t> </w:t>
      </w:r>
      <w:r w:rsidRPr="00A3163C">
        <w:rPr>
          <w:rFonts w:cs="Times New Roman"/>
          <w:szCs w:val="24"/>
        </w:rPr>
        <w:t xml:space="preserve">stosowania. W nowych regulacjach położono duży nacisk na projektowanie i użytkowanie </w:t>
      </w:r>
      <w:r w:rsidRPr="00A3163C">
        <w:rPr>
          <w:rFonts w:cs="Times New Roman"/>
          <w:szCs w:val="24"/>
        </w:rPr>
        <w:lastRenderedPageBreak/>
        <w:t xml:space="preserve">dróg publicznych z uwzględnieniem osób ze szczególnymi potrzebami. Za takie osoby należy uznać zarówno osoby z niepełnosprawnościami jak i osoby o ograniczonych możliwościach poruszania się, w tym </w:t>
      </w:r>
      <w:r w:rsidR="007D707D">
        <w:rPr>
          <w:rFonts w:cs="Times New Roman"/>
          <w:szCs w:val="24"/>
        </w:rPr>
        <w:t xml:space="preserve">również </w:t>
      </w:r>
      <w:r w:rsidRPr="00A3163C">
        <w:rPr>
          <w:rFonts w:cs="Times New Roman"/>
          <w:szCs w:val="24"/>
        </w:rPr>
        <w:t>osoby starsze. Nowe regulacje wprowadzają zasadę projektowania uniwersalnego jako podstawowe wymaganie, w tym określają dostępność dróg dla wszystkich użytkowników w całym okresie użytkowania. Natomiast we wzorcach i</w:t>
      </w:r>
      <w:r w:rsidR="007D707D">
        <w:rPr>
          <w:rFonts w:cs="Times New Roman"/>
          <w:szCs w:val="24"/>
        </w:rPr>
        <w:t> </w:t>
      </w:r>
      <w:r w:rsidRPr="00A3163C">
        <w:rPr>
          <w:rFonts w:cs="Times New Roman"/>
          <w:szCs w:val="24"/>
        </w:rPr>
        <w:t>standardach określono np. szczegółowe wymagania projektowania infrastruktury</w:t>
      </w:r>
      <w:r w:rsidR="007D707D">
        <w:rPr>
          <w:rFonts w:cs="Times New Roman"/>
          <w:szCs w:val="24"/>
        </w:rPr>
        <w:t xml:space="preserve"> </w:t>
      </w:r>
      <w:r w:rsidRPr="00A3163C">
        <w:rPr>
          <w:rFonts w:cs="Times New Roman"/>
          <w:szCs w:val="24"/>
        </w:rPr>
        <w:t>dla pieszych, w tym dróg dla pieszych, uwzględniając potrzeby ww. osób. Przykładowo określono maksymalne dopuszczalne pochylenia podłużne dróg dla pieszych oraz konieczność wyposażania ich w miejsca do odpoczynku.</w:t>
      </w:r>
    </w:p>
    <w:p w14:paraId="51327600" w14:textId="77777777" w:rsidR="007D707D" w:rsidRPr="00A3163C" w:rsidRDefault="007D707D" w:rsidP="00A3163C">
      <w:pPr>
        <w:autoSpaceDE w:val="0"/>
        <w:autoSpaceDN w:val="0"/>
        <w:adjustRightInd w:val="0"/>
        <w:rPr>
          <w:rFonts w:cs="Times New Roman"/>
          <w:szCs w:val="24"/>
        </w:rPr>
      </w:pPr>
    </w:p>
    <w:p w14:paraId="394CFF5F" w14:textId="64A7AF4F" w:rsidR="00A3163C" w:rsidRDefault="00A3163C" w:rsidP="00A3163C">
      <w:pPr>
        <w:autoSpaceDE w:val="0"/>
        <w:autoSpaceDN w:val="0"/>
        <w:adjustRightInd w:val="0"/>
        <w:rPr>
          <w:rFonts w:cs="Times New Roman"/>
          <w:szCs w:val="24"/>
        </w:rPr>
      </w:pPr>
      <w:r w:rsidRPr="00A3163C">
        <w:rPr>
          <w:rFonts w:cs="Times New Roman"/>
          <w:szCs w:val="24"/>
        </w:rPr>
        <w:t>Generalna Dyrekcja Dróg Krajowych i Autostrad wykonała w ramach realizacji zadań ustawowych Miejsca Obsługi Pasażerów czyli tereny wydzielone w pasie drogowym poza drogą, wyposażone w miejsca postojowe dla pojazdów oraz w urządzenia służące zaspokajaniu potrzeb podróżnych. Infrastruktura MOP- ów jest wolna od barier, służy odpoczynkowi, a</w:t>
      </w:r>
      <w:r w:rsidR="007D707D">
        <w:rPr>
          <w:rFonts w:cs="Times New Roman"/>
          <w:szCs w:val="24"/>
        </w:rPr>
        <w:t> </w:t>
      </w:r>
      <w:r w:rsidRPr="00A3163C">
        <w:rPr>
          <w:rFonts w:cs="Times New Roman"/>
          <w:szCs w:val="24"/>
        </w:rPr>
        <w:t>zatem swobodnemu przemieszczaniu się i powszechnemu korzystaniu ze środków transportu.</w:t>
      </w:r>
    </w:p>
    <w:p w14:paraId="59EDB89A" w14:textId="77777777" w:rsidR="00A3163C" w:rsidRDefault="00A3163C" w:rsidP="00A3163C">
      <w:pPr>
        <w:autoSpaceDE w:val="0"/>
        <w:autoSpaceDN w:val="0"/>
        <w:adjustRightInd w:val="0"/>
        <w:rPr>
          <w:rFonts w:cs="Times New Roman"/>
          <w:szCs w:val="24"/>
        </w:rPr>
      </w:pPr>
    </w:p>
    <w:p w14:paraId="0FCFD021" w14:textId="02FACC76" w:rsidR="00A3163C" w:rsidRDefault="00A3163C" w:rsidP="00A3163C">
      <w:pPr>
        <w:autoSpaceDE w:val="0"/>
        <w:autoSpaceDN w:val="0"/>
        <w:adjustRightInd w:val="0"/>
        <w:rPr>
          <w:rFonts w:cs="Times New Roman"/>
          <w:szCs w:val="24"/>
        </w:rPr>
      </w:pPr>
      <w:r w:rsidRPr="00A3163C">
        <w:rPr>
          <w:rFonts w:cs="Times New Roman"/>
          <w:szCs w:val="24"/>
        </w:rPr>
        <w:t>Ponadto Generalna Dyrekcja Dróg Krajowych i Autostrad, w ramach wyko</w:t>
      </w:r>
      <w:r>
        <w:rPr>
          <w:rFonts w:cs="Times New Roman"/>
          <w:szCs w:val="24"/>
        </w:rPr>
        <w:t xml:space="preserve">nywanych zadań minimalizujących </w:t>
      </w:r>
      <w:r w:rsidRPr="00A3163C">
        <w:rPr>
          <w:rFonts w:cs="Times New Roman"/>
          <w:szCs w:val="24"/>
        </w:rPr>
        <w:t>istniejące bariery architektoniczne un</w:t>
      </w:r>
      <w:r>
        <w:rPr>
          <w:rFonts w:cs="Times New Roman"/>
          <w:szCs w:val="24"/>
        </w:rPr>
        <w:t xml:space="preserve">iemożliwiające aktywność osobom </w:t>
      </w:r>
      <w:r w:rsidRPr="00A3163C">
        <w:rPr>
          <w:rFonts w:cs="Times New Roman"/>
          <w:szCs w:val="24"/>
        </w:rPr>
        <w:t>starszym, jako zarządca dró</w:t>
      </w:r>
      <w:r>
        <w:rPr>
          <w:rFonts w:cs="Times New Roman"/>
          <w:szCs w:val="24"/>
        </w:rPr>
        <w:t xml:space="preserve">g </w:t>
      </w:r>
      <w:r w:rsidRPr="00A3163C">
        <w:rPr>
          <w:rFonts w:cs="Times New Roman"/>
          <w:szCs w:val="24"/>
        </w:rPr>
        <w:t>krajowych, wykonała zadania o charakterze remontowym i</w:t>
      </w:r>
      <w:r w:rsidR="007D707D">
        <w:rPr>
          <w:rFonts w:cs="Times New Roman"/>
          <w:szCs w:val="24"/>
        </w:rPr>
        <w:t> </w:t>
      </w:r>
      <w:r w:rsidRPr="00A3163C">
        <w:rPr>
          <w:rFonts w:cs="Times New Roman"/>
          <w:szCs w:val="24"/>
        </w:rPr>
        <w:t>inwestycyjnym w 2020 r.</w:t>
      </w:r>
    </w:p>
    <w:p w14:paraId="32702FD8" w14:textId="77777777" w:rsidR="00E9293F" w:rsidRDefault="00E9293F" w:rsidP="00E9293F">
      <w:pPr>
        <w:autoSpaceDE w:val="0"/>
        <w:autoSpaceDN w:val="0"/>
        <w:adjustRightInd w:val="0"/>
        <w:rPr>
          <w:rFonts w:cs="Times New Roman"/>
          <w:szCs w:val="24"/>
        </w:rPr>
      </w:pPr>
    </w:p>
    <w:p w14:paraId="14E8519B" w14:textId="0F142AC2" w:rsidR="00A3163C" w:rsidRDefault="00A3163C" w:rsidP="00A3163C">
      <w:pPr>
        <w:pStyle w:val="Legenda"/>
        <w:keepNext/>
        <w:rPr>
          <w:rFonts w:cs="Times New Roman"/>
          <w:b/>
          <w:i w:val="0"/>
          <w:color w:val="auto"/>
          <w:sz w:val="24"/>
        </w:rPr>
      </w:pPr>
      <w:r w:rsidRPr="00432294">
        <w:rPr>
          <w:rFonts w:cs="Times New Roman"/>
          <w:b/>
          <w:i w:val="0"/>
          <w:color w:val="auto"/>
          <w:sz w:val="24"/>
        </w:rPr>
        <w:t>Tabela</w:t>
      </w:r>
      <w:r w:rsidR="007D707D">
        <w:rPr>
          <w:rFonts w:cs="Times New Roman"/>
          <w:b/>
          <w:i w:val="0"/>
          <w:color w:val="auto"/>
          <w:sz w:val="24"/>
        </w:rPr>
        <w:t xml:space="preserve"> 40</w:t>
      </w:r>
      <w:r w:rsidR="00EE73AF">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Zadania o charakterze remontowym i inwestycyjnym mającym na celu niwelowanie istniejących barier architektonicznych</w:t>
      </w:r>
    </w:p>
    <w:tbl>
      <w:tblPr>
        <w:tblStyle w:val="Tabelasiatki7kolorowaakcent2"/>
        <w:tblW w:w="0" w:type="auto"/>
        <w:tblLayout w:type="fixed"/>
        <w:tblLook w:val="0000" w:firstRow="0" w:lastRow="0" w:firstColumn="0" w:lastColumn="0" w:noHBand="0" w:noVBand="0"/>
      </w:tblPr>
      <w:tblGrid>
        <w:gridCol w:w="6950"/>
        <w:gridCol w:w="1147"/>
      </w:tblGrid>
      <w:tr w:rsidR="00A3163C" w:rsidRPr="00A3163C" w14:paraId="14B3BD2E" w14:textId="77777777" w:rsidTr="007D707D">
        <w:trPr>
          <w:cnfStyle w:val="000000100000" w:firstRow="0" w:lastRow="0" w:firstColumn="0" w:lastColumn="0" w:oddVBand="0" w:evenVBand="0" w:oddHBand="1" w:evenHBand="0" w:firstRowFirstColumn="0" w:firstRowLastColumn="0" w:lastRowFirstColumn="0" w:lastRowLastColumn="0"/>
          <w:trHeight w:hRule="exact" w:val="394"/>
        </w:trPr>
        <w:tc>
          <w:tcPr>
            <w:cnfStyle w:val="000010000000" w:firstRow="0" w:lastRow="0" w:firstColumn="0" w:lastColumn="0" w:oddVBand="1" w:evenVBand="0" w:oddHBand="0" w:evenHBand="0" w:firstRowFirstColumn="0" w:firstRowLastColumn="0" w:lastRowFirstColumn="0" w:lastRowLastColumn="0"/>
            <w:tcW w:w="6950" w:type="dxa"/>
          </w:tcPr>
          <w:p w14:paraId="2F8F5C82" w14:textId="18892023" w:rsidR="00A3163C" w:rsidRPr="00A3163C" w:rsidRDefault="007D707D" w:rsidP="00A3163C">
            <w:pPr>
              <w:widowControl w:val="0"/>
              <w:spacing w:line="240" w:lineRule="auto"/>
              <w:jc w:val="center"/>
              <w:rPr>
                <w:rFonts w:eastAsia="Arial" w:cs="Times New Roman"/>
                <w:color w:val="000000"/>
                <w:sz w:val="20"/>
                <w:szCs w:val="20"/>
                <w:lang w:eastAsia="pl-PL" w:bidi="pl-PL"/>
              </w:rPr>
            </w:pPr>
            <w:r>
              <w:rPr>
                <w:rFonts w:eastAsia="Arial" w:cs="Times New Roman"/>
                <w:color w:val="000000"/>
                <w:sz w:val="20"/>
                <w:szCs w:val="20"/>
                <w:lang w:eastAsia="pl-PL" w:bidi="pl-PL"/>
              </w:rPr>
              <w:t>M</w:t>
            </w:r>
            <w:r w:rsidR="00A3163C" w:rsidRPr="00A3163C">
              <w:rPr>
                <w:rFonts w:eastAsia="Arial" w:cs="Times New Roman"/>
                <w:color w:val="000000"/>
                <w:sz w:val="20"/>
                <w:szCs w:val="20"/>
                <w:lang w:eastAsia="pl-PL" w:bidi="pl-PL"/>
              </w:rPr>
              <w:t>ontaż sygnalizatorów akustycznych na przejściach dla pieszych</w:t>
            </w:r>
          </w:p>
        </w:tc>
        <w:tc>
          <w:tcPr>
            <w:tcW w:w="1147" w:type="dxa"/>
            <w:shd w:val="clear" w:color="auto" w:fill="FFFFFF" w:themeFill="background1"/>
          </w:tcPr>
          <w:p w14:paraId="29DCBFB8" w14:textId="77777777" w:rsidR="00A3163C" w:rsidRPr="00A3163C" w:rsidRDefault="00A3163C" w:rsidP="00A3163C">
            <w:pPr>
              <w:widowControl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s="Times New Roman"/>
                <w:color w:val="000000"/>
                <w:sz w:val="20"/>
                <w:szCs w:val="20"/>
                <w:lang w:eastAsia="pl-PL" w:bidi="pl-PL"/>
              </w:rPr>
            </w:pPr>
            <w:r w:rsidRPr="00A3163C">
              <w:rPr>
                <w:rFonts w:eastAsia="Arial" w:cs="Times New Roman"/>
                <w:color w:val="000000"/>
                <w:sz w:val="20"/>
                <w:szCs w:val="20"/>
                <w:lang w:eastAsia="pl-PL" w:bidi="pl-PL"/>
              </w:rPr>
              <w:t>99</w:t>
            </w:r>
          </w:p>
        </w:tc>
      </w:tr>
      <w:tr w:rsidR="00A3163C" w:rsidRPr="00A3163C" w14:paraId="6A8C9FEF" w14:textId="77777777" w:rsidTr="007D707D">
        <w:trPr>
          <w:trHeight w:hRule="exact" w:val="379"/>
        </w:trPr>
        <w:tc>
          <w:tcPr>
            <w:cnfStyle w:val="000010000000" w:firstRow="0" w:lastRow="0" w:firstColumn="0" w:lastColumn="0" w:oddVBand="1" w:evenVBand="0" w:oddHBand="0" w:evenHBand="0" w:firstRowFirstColumn="0" w:firstRowLastColumn="0" w:lastRowFirstColumn="0" w:lastRowLastColumn="0"/>
            <w:tcW w:w="6950" w:type="dxa"/>
          </w:tcPr>
          <w:p w14:paraId="4E6D3E30" w14:textId="7B17103C" w:rsidR="00A3163C" w:rsidRPr="00A3163C" w:rsidRDefault="007D707D" w:rsidP="00A3163C">
            <w:pPr>
              <w:widowControl w:val="0"/>
              <w:spacing w:line="240" w:lineRule="auto"/>
              <w:jc w:val="center"/>
              <w:rPr>
                <w:rFonts w:eastAsia="Arial" w:cs="Times New Roman"/>
                <w:color w:val="000000"/>
                <w:sz w:val="20"/>
                <w:szCs w:val="20"/>
                <w:lang w:eastAsia="pl-PL" w:bidi="pl-PL"/>
              </w:rPr>
            </w:pPr>
            <w:r>
              <w:rPr>
                <w:rFonts w:eastAsia="Arial" w:cs="Times New Roman"/>
                <w:color w:val="000000"/>
                <w:sz w:val="20"/>
                <w:szCs w:val="20"/>
                <w:lang w:eastAsia="pl-PL" w:bidi="pl-PL"/>
              </w:rPr>
              <w:t>O</w:t>
            </w:r>
            <w:r w:rsidR="00A3163C" w:rsidRPr="00A3163C">
              <w:rPr>
                <w:rFonts w:eastAsia="Arial" w:cs="Times New Roman"/>
                <w:color w:val="000000"/>
                <w:sz w:val="20"/>
                <w:szCs w:val="20"/>
                <w:lang w:eastAsia="pl-PL" w:bidi="pl-PL"/>
              </w:rPr>
              <w:t>bniżenie dojść przed istniejącym przejściem dla pieszych</w:t>
            </w:r>
          </w:p>
        </w:tc>
        <w:tc>
          <w:tcPr>
            <w:tcW w:w="1147" w:type="dxa"/>
          </w:tcPr>
          <w:p w14:paraId="4FF7A548" w14:textId="77777777" w:rsidR="00A3163C" w:rsidRPr="00A3163C" w:rsidRDefault="00A3163C" w:rsidP="00A3163C">
            <w:pPr>
              <w:widowControl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s="Times New Roman"/>
                <w:color w:val="000000"/>
                <w:sz w:val="20"/>
                <w:szCs w:val="20"/>
                <w:lang w:eastAsia="pl-PL" w:bidi="pl-PL"/>
              </w:rPr>
            </w:pPr>
            <w:r w:rsidRPr="00A3163C">
              <w:rPr>
                <w:rFonts w:eastAsia="Arial" w:cs="Times New Roman"/>
                <w:color w:val="000000"/>
                <w:sz w:val="20"/>
                <w:szCs w:val="20"/>
                <w:lang w:eastAsia="pl-PL" w:bidi="pl-PL"/>
              </w:rPr>
              <w:t>169</w:t>
            </w:r>
          </w:p>
        </w:tc>
      </w:tr>
      <w:tr w:rsidR="00A3163C" w:rsidRPr="00A3163C" w14:paraId="63061A2F" w14:textId="77777777" w:rsidTr="007D707D">
        <w:trPr>
          <w:cnfStyle w:val="000000100000" w:firstRow="0" w:lastRow="0" w:firstColumn="0" w:lastColumn="0" w:oddVBand="0" w:evenVBand="0" w:oddHBand="1" w:evenHBand="0" w:firstRowFirstColumn="0" w:firstRowLastColumn="0" w:lastRowFirstColumn="0" w:lastRowLastColumn="0"/>
          <w:trHeight w:hRule="exact" w:val="379"/>
        </w:trPr>
        <w:tc>
          <w:tcPr>
            <w:cnfStyle w:val="000010000000" w:firstRow="0" w:lastRow="0" w:firstColumn="0" w:lastColumn="0" w:oddVBand="1" w:evenVBand="0" w:oddHBand="0" w:evenHBand="0" w:firstRowFirstColumn="0" w:firstRowLastColumn="0" w:lastRowFirstColumn="0" w:lastRowLastColumn="0"/>
            <w:tcW w:w="6950" w:type="dxa"/>
          </w:tcPr>
          <w:p w14:paraId="2FE0796E" w14:textId="536733C6" w:rsidR="00A3163C" w:rsidRPr="00A3163C" w:rsidRDefault="007D707D" w:rsidP="00A3163C">
            <w:pPr>
              <w:widowControl w:val="0"/>
              <w:spacing w:line="240" w:lineRule="auto"/>
              <w:jc w:val="center"/>
              <w:rPr>
                <w:rFonts w:eastAsia="Arial" w:cs="Times New Roman"/>
                <w:color w:val="000000"/>
                <w:sz w:val="20"/>
                <w:szCs w:val="20"/>
                <w:lang w:eastAsia="pl-PL" w:bidi="pl-PL"/>
              </w:rPr>
            </w:pPr>
            <w:r>
              <w:rPr>
                <w:rFonts w:eastAsia="Arial" w:cs="Times New Roman"/>
                <w:color w:val="000000"/>
                <w:sz w:val="20"/>
                <w:szCs w:val="20"/>
                <w:lang w:eastAsia="pl-PL" w:bidi="pl-PL"/>
              </w:rPr>
              <w:t>A</w:t>
            </w:r>
            <w:r w:rsidR="00A3163C" w:rsidRPr="00A3163C">
              <w:rPr>
                <w:rFonts w:eastAsia="Arial" w:cs="Times New Roman"/>
                <w:color w:val="000000"/>
                <w:sz w:val="20"/>
                <w:szCs w:val="20"/>
                <w:lang w:eastAsia="pl-PL" w:bidi="pl-PL"/>
              </w:rPr>
              <w:t>zyle na przejściach dla pieszych</w:t>
            </w:r>
          </w:p>
        </w:tc>
        <w:tc>
          <w:tcPr>
            <w:tcW w:w="1147" w:type="dxa"/>
            <w:shd w:val="clear" w:color="auto" w:fill="FFFFFF" w:themeFill="background1"/>
          </w:tcPr>
          <w:p w14:paraId="519F3020" w14:textId="77777777" w:rsidR="00A3163C" w:rsidRPr="00A3163C" w:rsidRDefault="00A3163C" w:rsidP="00A3163C">
            <w:pPr>
              <w:widowControl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s="Times New Roman"/>
                <w:color w:val="000000"/>
                <w:sz w:val="20"/>
                <w:szCs w:val="20"/>
                <w:lang w:eastAsia="pl-PL" w:bidi="pl-PL"/>
              </w:rPr>
            </w:pPr>
            <w:r w:rsidRPr="00A3163C">
              <w:rPr>
                <w:rFonts w:eastAsia="Arial" w:cs="Times New Roman"/>
                <w:color w:val="000000"/>
                <w:sz w:val="20"/>
                <w:szCs w:val="20"/>
                <w:lang w:eastAsia="pl-PL" w:bidi="pl-PL"/>
              </w:rPr>
              <w:t>96</w:t>
            </w:r>
          </w:p>
        </w:tc>
      </w:tr>
      <w:tr w:rsidR="00A3163C" w:rsidRPr="00A3163C" w14:paraId="1AED5BB4" w14:textId="77777777" w:rsidTr="007D707D">
        <w:trPr>
          <w:trHeight w:hRule="exact" w:val="379"/>
        </w:trPr>
        <w:tc>
          <w:tcPr>
            <w:cnfStyle w:val="000010000000" w:firstRow="0" w:lastRow="0" w:firstColumn="0" w:lastColumn="0" w:oddVBand="1" w:evenVBand="0" w:oddHBand="0" w:evenHBand="0" w:firstRowFirstColumn="0" w:firstRowLastColumn="0" w:lastRowFirstColumn="0" w:lastRowLastColumn="0"/>
            <w:tcW w:w="6950" w:type="dxa"/>
          </w:tcPr>
          <w:p w14:paraId="7C275FC0" w14:textId="0710A4D0" w:rsidR="00A3163C" w:rsidRPr="00A3163C" w:rsidRDefault="007D707D" w:rsidP="00A3163C">
            <w:pPr>
              <w:widowControl w:val="0"/>
              <w:spacing w:line="240" w:lineRule="auto"/>
              <w:jc w:val="center"/>
              <w:rPr>
                <w:rFonts w:eastAsia="Arial" w:cs="Times New Roman"/>
                <w:color w:val="000000"/>
                <w:sz w:val="20"/>
                <w:szCs w:val="20"/>
                <w:lang w:eastAsia="pl-PL" w:bidi="pl-PL"/>
              </w:rPr>
            </w:pPr>
            <w:r>
              <w:rPr>
                <w:rFonts w:eastAsia="Arial" w:cs="Times New Roman"/>
                <w:color w:val="000000"/>
                <w:sz w:val="20"/>
                <w:szCs w:val="20"/>
                <w:lang w:eastAsia="pl-PL" w:bidi="pl-PL"/>
              </w:rPr>
              <w:t>Z</w:t>
            </w:r>
            <w:r w:rsidR="00A3163C" w:rsidRPr="00A3163C">
              <w:rPr>
                <w:rFonts w:eastAsia="Arial" w:cs="Times New Roman"/>
                <w:color w:val="000000"/>
                <w:sz w:val="20"/>
                <w:szCs w:val="20"/>
                <w:lang w:eastAsia="pl-PL" w:bidi="pl-PL"/>
              </w:rPr>
              <w:t>atoki autobusowe</w:t>
            </w:r>
          </w:p>
        </w:tc>
        <w:tc>
          <w:tcPr>
            <w:tcW w:w="1147" w:type="dxa"/>
            <w:shd w:val="clear" w:color="auto" w:fill="FFFFFF" w:themeFill="background1"/>
          </w:tcPr>
          <w:p w14:paraId="0D91516C" w14:textId="77777777" w:rsidR="00A3163C" w:rsidRPr="00A3163C" w:rsidRDefault="00A3163C" w:rsidP="00A3163C">
            <w:pPr>
              <w:widowControl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s="Times New Roman"/>
                <w:color w:val="000000"/>
                <w:sz w:val="20"/>
                <w:szCs w:val="20"/>
                <w:lang w:eastAsia="pl-PL" w:bidi="pl-PL"/>
              </w:rPr>
            </w:pPr>
            <w:r w:rsidRPr="00A3163C">
              <w:rPr>
                <w:rFonts w:eastAsia="Arial" w:cs="Times New Roman"/>
                <w:color w:val="000000"/>
                <w:sz w:val="20"/>
                <w:szCs w:val="20"/>
                <w:lang w:eastAsia="pl-PL" w:bidi="pl-PL"/>
              </w:rPr>
              <w:t>150</w:t>
            </w:r>
          </w:p>
        </w:tc>
      </w:tr>
      <w:tr w:rsidR="00A3163C" w:rsidRPr="00A3163C" w14:paraId="0DCA1A9A" w14:textId="77777777" w:rsidTr="007D707D">
        <w:trPr>
          <w:cnfStyle w:val="000000100000" w:firstRow="0" w:lastRow="0" w:firstColumn="0" w:lastColumn="0" w:oddVBand="0" w:evenVBand="0" w:oddHBand="1" w:evenHBand="0" w:firstRowFirstColumn="0" w:firstRowLastColumn="0" w:lastRowFirstColumn="0" w:lastRowLastColumn="0"/>
          <w:trHeight w:hRule="exact" w:val="379"/>
        </w:trPr>
        <w:tc>
          <w:tcPr>
            <w:cnfStyle w:val="000010000000" w:firstRow="0" w:lastRow="0" w:firstColumn="0" w:lastColumn="0" w:oddVBand="1" w:evenVBand="0" w:oddHBand="0" w:evenHBand="0" w:firstRowFirstColumn="0" w:firstRowLastColumn="0" w:lastRowFirstColumn="0" w:lastRowLastColumn="0"/>
            <w:tcW w:w="6950" w:type="dxa"/>
          </w:tcPr>
          <w:p w14:paraId="1EE3B619" w14:textId="30ACDC3E" w:rsidR="00A3163C" w:rsidRPr="00A3163C" w:rsidRDefault="007D707D" w:rsidP="00A3163C">
            <w:pPr>
              <w:widowControl w:val="0"/>
              <w:spacing w:line="240" w:lineRule="auto"/>
              <w:jc w:val="center"/>
              <w:rPr>
                <w:rFonts w:eastAsia="Arial" w:cs="Times New Roman"/>
                <w:color w:val="000000"/>
                <w:sz w:val="20"/>
                <w:szCs w:val="20"/>
                <w:lang w:eastAsia="pl-PL" w:bidi="pl-PL"/>
              </w:rPr>
            </w:pPr>
            <w:r>
              <w:rPr>
                <w:rFonts w:eastAsia="Arial" w:cs="Times New Roman"/>
                <w:color w:val="000000"/>
                <w:sz w:val="20"/>
                <w:szCs w:val="20"/>
                <w:lang w:eastAsia="pl-PL" w:bidi="pl-PL"/>
              </w:rPr>
              <w:t>S</w:t>
            </w:r>
            <w:r w:rsidR="00A3163C" w:rsidRPr="00A3163C">
              <w:rPr>
                <w:rFonts w:eastAsia="Arial" w:cs="Times New Roman"/>
                <w:color w:val="000000"/>
                <w:sz w:val="20"/>
                <w:szCs w:val="20"/>
                <w:lang w:eastAsia="pl-PL" w:bidi="pl-PL"/>
              </w:rPr>
              <w:t>ygnalizacje świetlne na przejściu dla pieszych</w:t>
            </w:r>
          </w:p>
        </w:tc>
        <w:tc>
          <w:tcPr>
            <w:tcW w:w="1147" w:type="dxa"/>
            <w:shd w:val="clear" w:color="auto" w:fill="FFFFFF" w:themeFill="background1"/>
          </w:tcPr>
          <w:p w14:paraId="20CDAF48" w14:textId="77777777" w:rsidR="00A3163C" w:rsidRPr="00A3163C" w:rsidRDefault="00A3163C" w:rsidP="00A3163C">
            <w:pPr>
              <w:widowControl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Arial" w:cs="Times New Roman"/>
                <w:color w:val="000000"/>
                <w:sz w:val="20"/>
                <w:szCs w:val="20"/>
                <w:lang w:eastAsia="pl-PL" w:bidi="pl-PL"/>
              </w:rPr>
            </w:pPr>
            <w:r w:rsidRPr="00A3163C">
              <w:rPr>
                <w:rFonts w:eastAsia="Arial" w:cs="Times New Roman"/>
                <w:color w:val="000000"/>
                <w:sz w:val="20"/>
                <w:szCs w:val="20"/>
                <w:lang w:eastAsia="pl-PL" w:bidi="pl-PL"/>
              </w:rPr>
              <w:t>48</w:t>
            </w:r>
          </w:p>
        </w:tc>
      </w:tr>
      <w:tr w:rsidR="00A3163C" w:rsidRPr="00A3163C" w14:paraId="7C49C9BB" w14:textId="77777777" w:rsidTr="007D707D">
        <w:trPr>
          <w:trHeight w:hRule="exact" w:val="389"/>
        </w:trPr>
        <w:tc>
          <w:tcPr>
            <w:cnfStyle w:val="000010000000" w:firstRow="0" w:lastRow="0" w:firstColumn="0" w:lastColumn="0" w:oddVBand="1" w:evenVBand="0" w:oddHBand="0" w:evenHBand="0" w:firstRowFirstColumn="0" w:firstRowLastColumn="0" w:lastRowFirstColumn="0" w:lastRowLastColumn="0"/>
            <w:tcW w:w="6950" w:type="dxa"/>
          </w:tcPr>
          <w:p w14:paraId="1D6B3753" w14:textId="33C846CC" w:rsidR="00A3163C" w:rsidRPr="00A3163C" w:rsidRDefault="007D707D" w:rsidP="00A3163C">
            <w:pPr>
              <w:widowControl w:val="0"/>
              <w:spacing w:line="240" w:lineRule="auto"/>
              <w:jc w:val="center"/>
              <w:rPr>
                <w:rFonts w:eastAsia="Arial" w:cs="Times New Roman"/>
                <w:color w:val="000000"/>
                <w:sz w:val="20"/>
                <w:szCs w:val="20"/>
                <w:lang w:eastAsia="pl-PL" w:bidi="pl-PL"/>
              </w:rPr>
            </w:pPr>
            <w:r>
              <w:rPr>
                <w:rFonts w:eastAsia="Arial" w:cs="Times New Roman"/>
                <w:color w:val="000000"/>
                <w:sz w:val="20"/>
                <w:szCs w:val="20"/>
                <w:lang w:eastAsia="pl-PL" w:bidi="pl-PL"/>
              </w:rPr>
              <w:t>O</w:t>
            </w:r>
            <w:r w:rsidR="00A3163C" w:rsidRPr="00A3163C">
              <w:rPr>
                <w:rFonts w:eastAsia="Arial" w:cs="Times New Roman"/>
                <w:color w:val="000000"/>
                <w:sz w:val="20"/>
                <w:szCs w:val="20"/>
                <w:lang w:eastAsia="pl-PL" w:bidi="pl-PL"/>
              </w:rPr>
              <w:t>świetlenie przejść dla pieszych</w:t>
            </w:r>
          </w:p>
        </w:tc>
        <w:tc>
          <w:tcPr>
            <w:tcW w:w="1147" w:type="dxa"/>
          </w:tcPr>
          <w:p w14:paraId="35363987" w14:textId="77777777" w:rsidR="00A3163C" w:rsidRPr="00A3163C" w:rsidRDefault="00A3163C" w:rsidP="00A3163C">
            <w:pPr>
              <w:widowControl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Arial" w:cs="Times New Roman"/>
                <w:color w:val="000000"/>
                <w:sz w:val="20"/>
                <w:szCs w:val="20"/>
                <w:lang w:eastAsia="pl-PL" w:bidi="pl-PL"/>
              </w:rPr>
            </w:pPr>
            <w:r w:rsidRPr="00A3163C">
              <w:rPr>
                <w:rFonts w:eastAsia="Arial" w:cs="Times New Roman"/>
                <w:color w:val="000000"/>
                <w:sz w:val="20"/>
                <w:szCs w:val="20"/>
                <w:lang w:eastAsia="pl-PL" w:bidi="pl-PL"/>
              </w:rPr>
              <w:t>263</w:t>
            </w:r>
          </w:p>
        </w:tc>
      </w:tr>
    </w:tbl>
    <w:p w14:paraId="35CCF508" w14:textId="1A491752" w:rsidR="00A3163C" w:rsidRPr="007D707D" w:rsidRDefault="00A3163C" w:rsidP="00A3163C">
      <w:pPr>
        <w:tabs>
          <w:tab w:val="left" w:pos="5400"/>
        </w:tabs>
        <w:rPr>
          <w:rFonts w:eastAsia="Times New Roman" w:cs="Times New Roman"/>
          <w:b/>
          <w:sz w:val="22"/>
          <w:lang w:eastAsia="pl-PL"/>
        </w:rPr>
      </w:pPr>
      <w:r w:rsidRPr="007D707D">
        <w:rPr>
          <w:rFonts w:eastAsia="Times New Roman" w:cs="Times New Roman"/>
          <w:b/>
          <w:sz w:val="22"/>
          <w:lang w:eastAsia="pl-PL"/>
        </w:rPr>
        <w:t xml:space="preserve">Źródło: </w:t>
      </w:r>
      <w:r w:rsidR="007D707D">
        <w:rPr>
          <w:rFonts w:eastAsia="Times New Roman" w:cs="Times New Roman"/>
          <w:b/>
          <w:sz w:val="22"/>
          <w:lang w:eastAsia="pl-PL"/>
        </w:rPr>
        <w:t xml:space="preserve">Dane </w:t>
      </w:r>
      <w:r w:rsidRPr="007D707D">
        <w:rPr>
          <w:rFonts w:eastAsia="Times New Roman" w:cs="Times New Roman"/>
          <w:b/>
          <w:sz w:val="22"/>
          <w:lang w:eastAsia="pl-PL"/>
        </w:rPr>
        <w:t>Ministerstw</w:t>
      </w:r>
      <w:r w:rsidR="007D707D">
        <w:rPr>
          <w:rFonts w:eastAsia="Times New Roman" w:cs="Times New Roman"/>
          <w:b/>
          <w:sz w:val="22"/>
          <w:lang w:eastAsia="pl-PL"/>
        </w:rPr>
        <w:t>a</w:t>
      </w:r>
      <w:r w:rsidRPr="007D707D">
        <w:rPr>
          <w:rFonts w:eastAsia="Times New Roman" w:cs="Times New Roman"/>
          <w:b/>
          <w:sz w:val="22"/>
          <w:lang w:eastAsia="pl-PL"/>
        </w:rPr>
        <w:t xml:space="preserve"> Infrastruktury. </w:t>
      </w:r>
    </w:p>
    <w:p w14:paraId="12E1158A" w14:textId="77777777" w:rsidR="00A3163C" w:rsidRDefault="00A3163C" w:rsidP="00E9293F">
      <w:pPr>
        <w:autoSpaceDE w:val="0"/>
        <w:autoSpaceDN w:val="0"/>
        <w:adjustRightInd w:val="0"/>
        <w:rPr>
          <w:rFonts w:cs="Times New Roman"/>
          <w:szCs w:val="24"/>
        </w:rPr>
      </w:pPr>
    </w:p>
    <w:p w14:paraId="60041C9B" w14:textId="4A5CAFA1" w:rsidR="00A3163C" w:rsidRDefault="00A3163C" w:rsidP="00A3163C">
      <w:pPr>
        <w:autoSpaceDE w:val="0"/>
        <w:autoSpaceDN w:val="0"/>
        <w:adjustRightInd w:val="0"/>
        <w:rPr>
          <w:rFonts w:cs="Times New Roman"/>
          <w:szCs w:val="24"/>
        </w:rPr>
      </w:pPr>
      <w:r w:rsidRPr="00A3163C">
        <w:rPr>
          <w:rFonts w:cs="Times New Roman"/>
          <w:szCs w:val="24"/>
        </w:rPr>
        <w:t>GDDKiA brała udział w działaniach promujących bezpieczne zachowania skierowanych przede wszystkim do dzieci i uczniów oraz ogólnie skierowane do wszystkich grup wiekowych. Jednak od ponad roku takie działania były utrudnione, a nawet zawieszone z uwagi na</w:t>
      </w:r>
      <w:r w:rsidR="007D707D">
        <w:rPr>
          <w:rFonts w:cs="Times New Roman"/>
          <w:szCs w:val="24"/>
        </w:rPr>
        <w:t> </w:t>
      </w:r>
      <w:r w:rsidRPr="00A3163C">
        <w:rPr>
          <w:rFonts w:cs="Times New Roman"/>
          <w:szCs w:val="24"/>
        </w:rPr>
        <w:t>pandemię.</w:t>
      </w:r>
    </w:p>
    <w:p w14:paraId="2F372A6D" w14:textId="77777777" w:rsidR="007D707D" w:rsidRPr="00A3163C" w:rsidRDefault="007D707D" w:rsidP="007D707D">
      <w:pPr>
        <w:autoSpaceDE w:val="0"/>
        <w:autoSpaceDN w:val="0"/>
        <w:adjustRightInd w:val="0"/>
        <w:rPr>
          <w:rFonts w:cs="Times New Roman"/>
          <w:szCs w:val="24"/>
        </w:rPr>
      </w:pPr>
    </w:p>
    <w:p w14:paraId="5E2B2119" w14:textId="1F83EEE9" w:rsidR="00A3163C" w:rsidRDefault="007D707D" w:rsidP="00A3163C">
      <w:pPr>
        <w:autoSpaceDE w:val="0"/>
        <w:autoSpaceDN w:val="0"/>
        <w:adjustRightInd w:val="0"/>
        <w:rPr>
          <w:rFonts w:cs="Times New Roman"/>
          <w:szCs w:val="24"/>
        </w:rPr>
      </w:pPr>
      <w:r>
        <w:rPr>
          <w:rFonts w:cs="Times New Roman"/>
          <w:szCs w:val="24"/>
        </w:rPr>
        <w:t>S</w:t>
      </w:r>
      <w:r w:rsidR="00A3163C" w:rsidRPr="00A3163C">
        <w:rPr>
          <w:rFonts w:cs="Times New Roman"/>
          <w:szCs w:val="24"/>
        </w:rPr>
        <w:t>półka PKP Intercity SA (PKP IC) zapewnia pasażerom posiadającym uprawnienia do</w:t>
      </w:r>
      <w:r>
        <w:rPr>
          <w:rFonts w:cs="Times New Roman"/>
          <w:szCs w:val="24"/>
        </w:rPr>
        <w:t> </w:t>
      </w:r>
      <w:r w:rsidR="00A3163C" w:rsidRPr="00A3163C">
        <w:rPr>
          <w:rFonts w:cs="Times New Roman"/>
          <w:szCs w:val="24"/>
        </w:rPr>
        <w:t>ulgowych przejazdów środkami publicznego transportu zbiorowego - emerytom i rencistom oraz ich współmałżonkom, na których pobierane są zasiłki rodzinne, zgodnie z art. 3 ustawy o</w:t>
      </w:r>
      <w:r>
        <w:rPr>
          <w:rFonts w:cs="Times New Roman"/>
          <w:szCs w:val="24"/>
        </w:rPr>
        <w:t> </w:t>
      </w:r>
      <w:r w:rsidR="00A3163C" w:rsidRPr="00A3163C">
        <w:rPr>
          <w:rFonts w:cs="Times New Roman"/>
          <w:szCs w:val="24"/>
        </w:rPr>
        <w:t xml:space="preserve">uprawnieniach do ulgowych przejazdów środkami publicznego transportu zbiorowego, możliwość skorzystania z dwóch przejazdów w ciągu roku środkami publicznego transportu </w:t>
      </w:r>
      <w:r w:rsidR="00A3163C" w:rsidRPr="00A3163C">
        <w:rPr>
          <w:rFonts w:cs="Times New Roman"/>
          <w:szCs w:val="24"/>
        </w:rPr>
        <w:lastRenderedPageBreak/>
        <w:t xml:space="preserve">zbiorowego kolejowego w pociągach osobowych, pospiesznych i ekspresowych z ulgą 37%. </w:t>
      </w:r>
      <w:r w:rsidR="00A3163C">
        <w:rPr>
          <w:rFonts w:cs="Times New Roman"/>
          <w:szCs w:val="24"/>
        </w:rPr>
        <w:t>Z</w:t>
      </w:r>
      <w:r>
        <w:rPr>
          <w:rFonts w:cs="Times New Roman"/>
          <w:szCs w:val="24"/>
        </w:rPr>
        <w:t> </w:t>
      </w:r>
      <w:r w:rsidR="00A3163C">
        <w:rPr>
          <w:rFonts w:cs="Times New Roman"/>
          <w:szCs w:val="24"/>
        </w:rPr>
        <w:t>ww. ulgi skorzystało 229 672 pasażerów.</w:t>
      </w:r>
    </w:p>
    <w:p w14:paraId="37A19FF6" w14:textId="77777777" w:rsidR="00A3163C" w:rsidRDefault="00A3163C" w:rsidP="00A3163C">
      <w:pPr>
        <w:autoSpaceDE w:val="0"/>
        <w:autoSpaceDN w:val="0"/>
        <w:adjustRightInd w:val="0"/>
        <w:rPr>
          <w:rFonts w:cs="Times New Roman"/>
          <w:szCs w:val="24"/>
        </w:rPr>
      </w:pPr>
    </w:p>
    <w:p w14:paraId="4E827F13" w14:textId="77777777" w:rsidR="00A3163C" w:rsidRDefault="00A3163C" w:rsidP="00A3163C">
      <w:pPr>
        <w:autoSpaceDE w:val="0"/>
        <w:autoSpaceDN w:val="0"/>
        <w:adjustRightInd w:val="0"/>
      </w:pPr>
      <w:r w:rsidRPr="00A3163C">
        <w:rPr>
          <w:rFonts w:cs="Times New Roman"/>
          <w:szCs w:val="24"/>
        </w:rPr>
        <w:t>Ponadto w ramach oferty komercyjnej przewoźnika PKP IC, która uzupełnia ofertę ustawową, obowiązuje „Bilet dla Seniora”, który umożliwia każdemu pasażerowi powyżej 60 roku życia skorzystanie z ulgi 30% przy przejazdach na podstawie biletów jednorazowych i biletów okresowych odcinkowych, za okazaniem dokumentu potwierdzającego wiek.</w:t>
      </w:r>
      <w:r>
        <w:rPr>
          <w:rFonts w:cs="Times New Roman"/>
          <w:szCs w:val="24"/>
        </w:rPr>
        <w:t xml:space="preserve"> Z niniejszej oferty skorzystało 1 612 381 pasażerów.</w:t>
      </w:r>
      <w:r w:rsidRPr="00A3163C">
        <w:t xml:space="preserve"> </w:t>
      </w:r>
    </w:p>
    <w:p w14:paraId="7F51EC84" w14:textId="77777777" w:rsidR="00A3163C" w:rsidRDefault="00A3163C" w:rsidP="00A3163C">
      <w:pPr>
        <w:autoSpaceDE w:val="0"/>
        <w:autoSpaceDN w:val="0"/>
        <w:adjustRightInd w:val="0"/>
      </w:pPr>
    </w:p>
    <w:p w14:paraId="5A4271DE" w14:textId="277F79BC" w:rsidR="00A3163C" w:rsidRPr="00A3163C" w:rsidRDefault="00A3163C" w:rsidP="00A3163C">
      <w:pPr>
        <w:autoSpaceDE w:val="0"/>
        <w:autoSpaceDN w:val="0"/>
        <w:adjustRightInd w:val="0"/>
        <w:rPr>
          <w:rFonts w:cs="Times New Roman"/>
          <w:szCs w:val="24"/>
        </w:rPr>
      </w:pPr>
      <w:r w:rsidRPr="00A3163C">
        <w:rPr>
          <w:rFonts w:cs="Times New Roman"/>
          <w:szCs w:val="24"/>
        </w:rPr>
        <w:t>Natomiast działania podejmowane przez PKP S.A. w obszarze bezpieczeństwa odnoszą się do wszystkich</w:t>
      </w:r>
      <w:r w:rsidR="007D707D">
        <w:rPr>
          <w:rFonts w:cs="Times New Roman"/>
          <w:szCs w:val="24"/>
        </w:rPr>
        <w:t xml:space="preserve"> </w:t>
      </w:r>
      <w:r w:rsidRPr="00A3163C">
        <w:rPr>
          <w:rFonts w:cs="Times New Roman"/>
          <w:szCs w:val="24"/>
        </w:rPr>
        <w:t>grup społecznych, wśród których znajdują się także osoby starsze.</w:t>
      </w:r>
      <w:r w:rsidR="007D707D">
        <w:rPr>
          <w:rFonts w:cs="Times New Roman"/>
          <w:szCs w:val="24"/>
        </w:rPr>
        <w:t xml:space="preserve"> </w:t>
      </w:r>
      <w:r w:rsidRPr="00A3163C">
        <w:rPr>
          <w:rFonts w:cs="Times New Roman"/>
          <w:szCs w:val="24"/>
        </w:rPr>
        <w:t>W zakresie ograniczania i zwalczania skutków epidemii wirusa SARS-Cov-2 w Spółce PKP S.A.</w:t>
      </w:r>
    </w:p>
    <w:p w14:paraId="2851257C" w14:textId="77777777" w:rsidR="007D707D" w:rsidRDefault="00A3163C" w:rsidP="00A3163C">
      <w:pPr>
        <w:autoSpaceDE w:val="0"/>
        <w:autoSpaceDN w:val="0"/>
        <w:adjustRightInd w:val="0"/>
        <w:rPr>
          <w:rFonts w:cs="Times New Roman"/>
          <w:szCs w:val="24"/>
        </w:rPr>
      </w:pPr>
      <w:r w:rsidRPr="00A3163C">
        <w:rPr>
          <w:rFonts w:cs="Times New Roman"/>
          <w:szCs w:val="24"/>
        </w:rPr>
        <w:t>podejmowane były m.in. następujące czynności:</w:t>
      </w:r>
    </w:p>
    <w:p w14:paraId="71746288" w14:textId="77777777" w:rsidR="007D707D" w:rsidRDefault="007D707D" w:rsidP="00FE70E3">
      <w:pPr>
        <w:pStyle w:val="Akapitzlist"/>
        <w:numPr>
          <w:ilvl w:val="0"/>
          <w:numId w:val="79"/>
        </w:numPr>
        <w:autoSpaceDE w:val="0"/>
        <w:autoSpaceDN w:val="0"/>
        <w:adjustRightInd w:val="0"/>
        <w:rPr>
          <w:rFonts w:cs="Times New Roman"/>
          <w:szCs w:val="24"/>
        </w:rPr>
      </w:pPr>
      <w:r>
        <w:rPr>
          <w:rFonts w:cs="Times New Roman"/>
          <w:szCs w:val="24"/>
        </w:rPr>
        <w:t>p</w:t>
      </w:r>
      <w:r w:rsidR="00A3163C" w:rsidRPr="007D707D">
        <w:rPr>
          <w:rFonts w:cs="Times New Roman"/>
          <w:szCs w:val="24"/>
        </w:rPr>
        <w:t>rzekazano wszystkim Oddziałom Gospodarowania Nieruchomościami PKP S.A., w tym pracownikom</w:t>
      </w:r>
      <w:r>
        <w:rPr>
          <w:rFonts w:cs="Times New Roman"/>
          <w:szCs w:val="24"/>
        </w:rPr>
        <w:t xml:space="preserve"> </w:t>
      </w:r>
      <w:r w:rsidR="00A3163C" w:rsidRPr="007D707D">
        <w:rPr>
          <w:rFonts w:cs="Times New Roman"/>
          <w:szCs w:val="24"/>
        </w:rPr>
        <w:t>wykonującym zadania bezpośrednio na terenie dworców kolejowych, dokument wewnętrzny pn. Wytyczne w</w:t>
      </w:r>
      <w:r>
        <w:rPr>
          <w:rFonts w:cs="Times New Roman"/>
          <w:szCs w:val="24"/>
        </w:rPr>
        <w:t xml:space="preserve"> </w:t>
      </w:r>
      <w:r w:rsidR="00A3163C" w:rsidRPr="007D707D">
        <w:rPr>
          <w:rFonts w:cs="Times New Roman"/>
          <w:szCs w:val="24"/>
        </w:rPr>
        <w:t>sprawie postępowania na wypadek podejrzenia zakażenia wirusem COVID-19 (zapalenie płuc</w:t>
      </w:r>
      <w:r>
        <w:rPr>
          <w:rFonts w:cs="Times New Roman"/>
          <w:szCs w:val="24"/>
        </w:rPr>
        <w:t xml:space="preserve"> </w:t>
      </w:r>
      <w:r w:rsidR="00A3163C" w:rsidRPr="007D707D">
        <w:rPr>
          <w:rFonts w:cs="Times New Roman"/>
          <w:szCs w:val="24"/>
        </w:rPr>
        <w:t xml:space="preserve">spowodowane nowym </w:t>
      </w:r>
      <w:proofErr w:type="spellStart"/>
      <w:r w:rsidR="00A3163C" w:rsidRPr="007D707D">
        <w:rPr>
          <w:rFonts w:cs="Times New Roman"/>
          <w:szCs w:val="24"/>
        </w:rPr>
        <w:t>koronawirusem</w:t>
      </w:r>
      <w:proofErr w:type="spellEnd"/>
      <w:r w:rsidR="00A3163C" w:rsidRPr="007D707D">
        <w:rPr>
          <w:rFonts w:cs="Times New Roman"/>
          <w:szCs w:val="24"/>
        </w:rPr>
        <w:t xml:space="preserve"> SARS-CoV-2). Zobligowano wszystkich pracowników PKP S.A.</w:t>
      </w:r>
      <w:r>
        <w:rPr>
          <w:rFonts w:cs="Times New Roman"/>
          <w:szCs w:val="24"/>
        </w:rPr>
        <w:t xml:space="preserve"> </w:t>
      </w:r>
      <w:r w:rsidR="00A3163C" w:rsidRPr="007D707D">
        <w:rPr>
          <w:rFonts w:cs="Times New Roman"/>
          <w:szCs w:val="24"/>
        </w:rPr>
        <w:t>wykonujących zadania na dworcach oraz pracowników ochrony dworców i pracowników podmiotów</w:t>
      </w:r>
      <w:r>
        <w:rPr>
          <w:rFonts w:cs="Times New Roman"/>
          <w:szCs w:val="24"/>
        </w:rPr>
        <w:t xml:space="preserve"> </w:t>
      </w:r>
      <w:r w:rsidR="00A3163C" w:rsidRPr="007D707D">
        <w:rPr>
          <w:rFonts w:cs="Times New Roman"/>
          <w:szCs w:val="24"/>
        </w:rPr>
        <w:t>odpowiedzialnych za usługi porządkowe do zapoznania się z tym dokumentem. Wymieniony dokument jest</w:t>
      </w:r>
      <w:r>
        <w:rPr>
          <w:rFonts w:cs="Times New Roman"/>
          <w:szCs w:val="24"/>
        </w:rPr>
        <w:t xml:space="preserve"> </w:t>
      </w:r>
      <w:r w:rsidR="00A3163C" w:rsidRPr="007D707D">
        <w:rPr>
          <w:rFonts w:cs="Times New Roman"/>
          <w:szCs w:val="24"/>
        </w:rPr>
        <w:t>uszczegółowieniem Procedury postępowania w przypadku wystąpienia zagrożeń i sytuacji kryzysowych na</w:t>
      </w:r>
      <w:r>
        <w:rPr>
          <w:rFonts w:cs="Times New Roman"/>
          <w:szCs w:val="24"/>
        </w:rPr>
        <w:t xml:space="preserve"> </w:t>
      </w:r>
      <w:r w:rsidR="00A3163C" w:rsidRPr="007D707D">
        <w:rPr>
          <w:rFonts w:cs="Times New Roman"/>
          <w:szCs w:val="24"/>
        </w:rPr>
        <w:t>dworcach kolejowych i na innych nieruchomościach zarządzanych przez PKP S.A.</w:t>
      </w:r>
      <w:r>
        <w:rPr>
          <w:rFonts w:cs="Times New Roman"/>
          <w:szCs w:val="24"/>
        </w:rPr>
        <w:t xml:space="preserve">, </w:t>
      </w:r>
      <w:r w:rsidR="00A3163C" w:rsidRPr="007D707D">
        <w:rPr>
          <w:rFonts w:cs="Times New Roman"/>
          <w:szCs w:val="24"/>
        </w:rPr>
        <w:t>przyjętej</w:t>
      </w:r>
      <w:r>
        <w:rPr>
          <w:rFonts w:cs="Times New Roman"/>
          <w:szCs w:val="24"/>
        </w:rPr>
        <w:t xml:space="preserve"> </w:t>
      </w:r>
      <w:r w:rsidR="00A3163C" w:rsidRPr="007D707D">
        <w:rPr>
          <w:rFonts w:cs="Times New Roman"/>
          <w:szCs w:val="24"/>
        </w:rPr>
        <w:t>Uchwałą Nr 469 Zarządu PKP S.A. z dnia 24 października 2017 r.</w:t>
      </w:r>
      <w:r>
        <w:rPr>
          <w:rFonts w:cs="Times New Roman"/>
          <w:szCs w:val="24"/>
        </w:rPr>
        <w:t>;</w:t>
      </w:r>
    </w:p>
    <w:p w14:paraId="7F06948A" w14:textId="77777777" w:rsidR="007D707D" w:rsidRDefault="007D707D" w:rsidP="00FE70E3">
      <w:pPr>
        <w:pStyle w:val="Akapitzlist"/>
        <w:numPr>
          <w:ilvl w:val="0"/>
          <w:numId w:val="79"/>
        </w:numPr>
        <w:autoSpaceDE w:val="0"/>
        <w:autoSpaceDN w:val="0"/>
        <w:adjustRightInd w:val="0"/>
        <w:rPr>
          <w:rFonts w:cs="Times New Roman"/>
          <w:szCs w:val="24"/>
        </w:rPr>
      </w:pPr>
      <w:r>
        <w:rPr>
          <w:rFonts w:cs="Times New Roman"/>
          <w:szCs w:val="24"/>
        </w:rPr>
        <w:t>n</w:t>
      </w:r>
      <w:r w:rsidR="00A3163C" w:rsidRPr="007D707D">
        <w:rPr>
          <w:rFonts w:cs="Times New Roman"/>
          <w:szCs w:val="24"/>
        </w:rPr>
        <w:t>a wytypowanych dworcach kolejowych wyznaczono pomieszczenia do izolacji osób z</w:t>
      </w:r>
      <w:r>
        <w:rPr>
          <w:rFonts w:cs="Times New Roman"/>
          <w:szCs w:val="24"/>
        </w:rPr>
        <w:t> </w:t>
      </w:r>
      <w:r w:rsidR="00A3163C" w:rsidRPr="007D707D">
        <w:rPr>
          <w:rFonts w:cs="Times New Roman"/>
          <w:szCs w:val="24"/>
        </w:rPr>
        <w:t>podejrzeniem</w:t>
      </w:r>
      <w:r>
        <w:rPr>
          <w:rFonts w:cs="Times New Roman"/>
          <w:szCs w:val="24"/>
        </w:rPr>
        <w:t xml:space="preserve"> </w:t>
      </w:r>
      <w:r w:rsidR="00A3163C" w:rsidRPr="007D707D">
        <w:rPr>
          <w:rFonts w:cs="Times New Roman"/>
          <w:szCs w:val="24"/>
        </w:rPr>
        <w:t>zakażenia COVID-19 (57 dworców)</w:t>
      </w:r>
      <w:r>
        <w:rPr>
          <w:rFonts w:cs="Times New Roman"/>
          <w:szCs w:val="24"/>
        </w:rPr>
        <w:t>;</w:t>
      </w:r>
    </w:p>
    <w:p w14:paraId="556B5228" w14:textId="77777777" w:rsidR="007D707D" w:rsidRDefault="007D707D" w:rsidP="00FE70E3">
      <w:pPr>
        <w:pStyle w:val="Akapitzlist"/>
        <w:numPr>
          <w:ilvl w:val="0"/>
          <w:numId w:val="79"/>
        </w:numPr>
        <w:autoSpaceDE w:val="0"/>
        <w:autoSpaceDN w:val="0"/>
        <w:adjustRightInd w:val="0"/>
        <w:rPr>
          <w:rFonts w:cs="Times New Roman"/>
          <w:szCs w:val="24"/>
        </w:rPr>
      </w:pPr>
      <w:r>
        <w:rPr>
          <w:rFonts w:cs="Times New Roman"/>
          <w:szCs w:val="24"/>
        </w:rPr>
        <w:t>z</w:t>
      </w:r>
      <w:r w:rsidR="00A3163C" w:rsidRPr="007D707D">
        <w:rPr>
          <w:rFonts w:cs="Times New Roman"/>
          <w:szCs w:val="24"/>
        </w:rPr>
        <w:t>godnie z zaleceniem Zastępcy Głównego Inspektora Sanitarnego, w lutym i marcu 2020 r.</w:t>
      </w:r>
      <w:r>
        <w:rPr>
          <w:rFonts w:cs="Times New Roman"/>
          <w:szCs w:val="24"/>
        </w:rPr>
        <w:t xml:space="preserve"> </w:t>
      </w:r>
      <w:r w:rsidR="00A3163C" w:rsidRPr="007D707D">
        <w:rPr>
          <w:rFonts w:cs="Times New Roman"/>
          <w:szCs w:val="24"/>
        </w:rPr>
        <w:t>rozpowszechniono komunikaty Państwowej Inspekcji Sanitarnej, w tym w językach obcych,</w:t>
      </w:r>
      <w:r w:rsidRPr="007D707D">
        <w:rPr>
          <w:rFonts w:cs="Times New Roman"/>
          <w:szCs w:val="24"/>
        </w:rPr>
        <w:t xml:space="preserve"> </w:t>
      </w:r>
      <w:r w:rsidR="00A3163C" w:rsidRPr="007D707D">
        <w:rPr>
          <w:rFonts w:cs="Times New Roman"/>
          <w:szCs w:val="24"/>
        </w:rPr>
        <w:t>na</w:t>
      </w:r>
      <w:r w:rsidRPr="007D707D">
        <w:rPr>
          <w:rFonts w:cs="Times New Roman"/>
          <w:szCs w:val="24"/>
        </w:rPr>
        <w:t> </w:t>
      </w:r>
      <w:r w:rsidR="00A3163C" w:rsidRPr="007D707D">
        <w:rPr>
          <w:rFonts w:cs="Times New Roman"/>
          <w:szCs w:val="24"/>
        </w:rPr>
        <w:t>wszystkich</w:t>
      </w:r>
      <w:r w:rsidRPr="007D707D">
        <w:rPr>
          <w:rFonts w:cs="Times New Roman"/>
          <w:szCs w:val="24"/>
        </w:rPr>
        <w:t xml:space="preserve"> </w:t>
      </w:r>
      <w:r w:rsidR="00A3163C" w:rsidRPr="007D707D">
        <w:rPr>
          <w:rFonts w:cs="Times New Roman"/>
          <w:szCs w:val="24"/>
        </w:rPr>
        <w:t>dworcach kolejowych kategorii Premium, Wojewódzkie, Aglomeracyjne oraz</w:t>
      </w:r>
      <w:r w:rsidRPr="007D707D">
        <w:rPr>
          <w:rFonts w:cs="Times New Roman"/>
          <w:szCs w:val="24"/>
        </w:rPr>
        <w:t xml:space="preserve"> </w:t>
      </w:r>
      <w:r w:rsidR="00A3163C" w:rsidRPr="007D707D">
        <w:rPr>
          <w:rFonts w:cs="Times New Roman"/>
          <w:szCs w:val="24"/>
        </w:rPr>
        <w:t>na pozostałych w miarę</w:t>
      </w:r>
      <w:r w:rsidRPr="007D707D">
        <w:rPr>
          <w:rFonts w:cs="Times New Roman"/>
          <w:szCs w:val="24"/>
        </w:rPr>
        <w:t xml:space="preserve"> </w:t>
      </w:r>
      <w:r w:rsidR="00A3163C" w:rsidRPr="007D707D">
        <w:rPr>
          <w:rFonts w:cs="Times New Roman"/>
          <w:szCs w:val="24"/>
        </w:rPr>
        <w:t>możliwości lokalowych</w:t>
      </w:r>
      <w:r w:rsidRPr="007D707D">
        <w:rPr>
          <w:rFonts w:cs="Times New Roman"/>
          <w:szCs w:val="24"/>
        </w:rPr>
        <w:t>;</w:t>
      </w:r>
    </w:p>
    <w:p w14:paraId="3E5E46C9" w14:textId="77777777" w:rsidR="007D707D" w:rsidRDefault="007D707D" w:rsidP="00FE70E3">
      <w:pPr>
        <w:pStyle w:val="Akapitzlist"/>
        <w:numPr>
          <w:ilvl w:val="0"/>
          <w:numId w:val="79"/>
        </w:numPr>
        <w:autoSpaceDE w:val="0"/>
        <w:autoSpaceDN w:val="0"/>
        <w:adjustRightInd w:val="0"/>
        <w:rPr>
          <w:rFonts w:cs="Times New Roman"/>
          <w:szCs w:val="24"/>
        </w:rPr>
      </w:pPr>
      <w:r w:rsidRPr="007D707D">
        <w:rPr>
          <w:rFonts w:cs="Times New Roman"/>
          <w:szCs w:val="24"/>
        </w:rPr>
        <w:t>w</w:t>
      </w:r>
      <w:r w:rsidR="00A3163C" w:rsidRPr="007D707D">
        <w:rPr>
          <w:rFonts w:cs="Times New Roman"/>
          <w:szCs w:val="24"/>
        </w:rPr>
        <w:t>ydano dyspozycję podmiotom odpowiedzialnym za utrzymanie czystości na dworcach dotyczącą</w:t>
      </w:r>
      <w:r>
        <w:rPr>
          <w:rFonts w:cs="Times New Roman"/>
          <w:szCs w:val="24"/>
        </w:rPr>
        <w:t xml:space="preserve"> </w:t>
      </w:r>
      <w:r w:rsidR="00A3163C" w:rsidRPr="007D707D">
        <w:rPr>
          <w:rFonts w:cs="Times New Roman"/>
          <w:szCs w:val="24"/>
        </w:rPr>
        <w:t>zwiększenia częstości dokonywania mycia posadzek na dworcach oraz dezynfekcji obszarów</w:t>
      </w:r>
      <w:r>
        <w:rPr>
          <w:rFonts w:cs="Times New Roman"/>
          <w:szCs w:val="24"/>
        </w:rPr>
        <w:t xml:space="preserve"> </w:t>
      </w:r>
      <w:r w:rsidR="00A3163C" w:rsidRPr="007D707D">
        <w:rPr>
          <w:rFonts w:cs="Times New Roman"/>
          <w:szCs w:val="24"/>
        </w:rPr>
        <w:t>bezpośredniego dotyku, tj. poręczy, oparć przy siedziskach itp.</w:t>
      </w:r>
      <w:r>
        <w:rPr>
          <w:rFonts w:cs="Times New Roman"/>
          <w:szCs w:val="24"/>
        </w:rPr>
        <w:t>;</w:t>
      </w:r>
    </w:p>
    <w:p w14:paraId="57FB0B1C" w14:textId="77777777" w:rsidR="007D707D" w:rsidRDefault="007D707D" w:rsidP="00FE70E3">
      <w:pPr>
        <w:pStyle w:val="Akapitzlist"/>
        <w:numPr>
          <w:ilvl w:val="0"/>
          <w:numId w:val="79"/>
        </w:numPr>
        <w:autoSpaceDE w:val="0"/>
        <w:autoSpaceDN w:val="0"/>
        <w:adjustRightInd w:val="0"/>
        <w:rPr>
          <w:rFonts w:cs="Times New Roman"/>
          <w:szCs w:val="24"/>
        </w:rPr>
      </w:pPr>
      <w:r>
        <w:rPr>
          <w:rFonts w:cs="Times New Roman"/>
          <w:szCs w:val="24"/>
        </w:rPr>
        <w:t>n</w:t>
      </w:r>
      <w:r w:rsidR="00A3163C" w:rsidRPr="007D707D">
        <w:rPr>
          <w:rFonts w:cs="Times New Roman"/>
          <w:szCs w:val="24"/>
        </w:rPr>
        <w:t>a wytypowanych dworcach kolejowych umieszczono pojemniki z płynem do dezynfekcji rąk, do użytku</w:t>
      </w:r>
      <w:r>
        <w:rPr>
          <w:rFonts w:cs="Times New Roman"/>
          <w:szCs w:val="24"/>
        </w:rPr>
        <w:t xml:space="preserve"> </w:t>
      </w:r>
      <w:r w:rsidR="00A3163C" w:rsidRPr="007D707D">
        <w:rPr>
          <w:rFonts w:cs="Times New Roman"/>
          <w:szCs w:val="24"/>
        </w:rPr>
        <w:t>ogólnego (ponad 100 dworców kolejowych)</w:t>
      </w:r>
      <w:r>
        <w:rPr>
          <w:rFonts w:cs="Times New Roman"/>
          <w:szCs w:val="24"/>
        </w:rPr>
        <w:t>;</w:t>
      </w:r>
    </w:p>
    <w:p w14:paraId="14B3ED48" w14:textId="6440208B" w:rsidR="007D707D" w:rsidRDefault="007D707D" w:rsidP="00FE70E3">
      <w:pPr>
        <w:pStyle w:val="Akapitzlist"/>
        <w:numPr>
          <w:ilvl w:val="0"/>
          <w:numId w:val="79"/>
        </w:numPr>
        <w:autoSpaceDE w:val="0"/>
        <w:autoSpaceDN w:val="0"/>
        <w:adjustRightInd w:val="0"/>
        <w:rPr>
          <w:rFonts w:cs="Times New Roman"/>
          <w:szCs w:val="24"/>
        </w:rPr>
      </w:pPr>
      <w:r>
        <w:rPr>
          <w:rFonts w:cs="Times New Roman"/>
          <w:szCs w:val="24"/>
        </w:rPr>
        <w:t>n</w:t>
      </w:r>
      <w:r w:rsidR="00A3163C" w:rsidRPr="007D707D">
        <w:rPr>
          <w:rFonts w:cs="Times New Roman"/>
          <w:szCs w:val="24"/>
        </w:rPr>
        <w:t>a wytypowanych dworcach kolejowych umieszczono naklejki podłogowe wskazujące bezpieczny</w:t>
      </w:r>
      <w:r>
        <w:rPr>
          <w:rFonts w:cs="Times New Roman"/>
          <w:szCs w:val="24"/>
        </w:rPr>
        <w:t xml:space="preserve"> </w:t>
      </w:r>
      <w:r w:rsidR="00A3163C" w:rsidRPr="007D707D">
        <w:rPr>
          <w:rFonts w:cs="Times New Roman"/>
          <w:szCs w:val="24"/>
        </w:rPr>
        <w:t>dystans, który powinien być zachowywany pomiędzy podróżnymi. Dodatkowo</w:t>
      </w:r>
      <w:r>
        <w:rPr>
          <w:rFonts w:cs="Times New Roman"/>
          <w:szCs w:val="24"/>
        </w:rPr>
        <w:t xml:space="preserve"> </w:t>
      </w:r>
      <w:r w:rsidR="00A3163C" w:rsidRPr="007D707D">
        <w:rPr>
          <w:rFonts w:cs="Times New Roman"/>
          <w:szCs w:val="24"/>
        </w:rPr>
        <w:t>wygrodzono część miejsc</w:t>
      </w:r>
      <w:r>
        <w:rPr>
          <w:rFonts w:cs="Times New Roman"/>
          <w:szCs w:val="24"/>
        </w:rPr>
        <w:t xml:space="preserve"> </w:t>
      </w:r>
      <w:r w:rsidR="00A3163C" w:rsidRPr="007D707D">
        <w:rPr>
          <w:rFonts w:cs="Times New Roman"/>
          <w:szCs w:val="24"/>
        </w:rPr>
        <w:t>siedzących, aby zagwarantować podróżnym wymagany dystans</w:t>
      </w:r>
      <w:r>
        <w:rPr>
          <w:rFonts w:cs="Times New Roman"/>
          <w:szCs w:val="24"/>
        </w:rPr>
        <w:t xml:space="preserve"> </w:t>
      </w:r>
      <w:r w:rsidR="00A3163C" w:rsidRPr="007D707D">
        <w:rPr>
          <w:rFonts w:cs="Times New Roman"/>
          <w:szCs w:val="24"/>
        </w:rPr>
        <w:t>społeczny. Na dworcach kolejowych</w:t>
      </w:r>
      <w:r>
        <w:rPr>
          <w:rFonts w:cs="Times New Roman"/>
          <w:szCs w:val="24"/>
        </w:rPr>
        <w:t xml:space="preserve"> </w:t>
      </w:r>
      <w:r w:rsidR="00A3163C" w:rsidRPr="007D707D">
        <w:rPr>
          <w:rFonts w:cs="Times New Roman"/>
          <w:szCs w:val="24"/>
        </w:rPr>
        <w:t>pojawiły się informacje statyczne, piktogramy oraz komunikaty głosowe przypominające o konieczności</w:t>
      </w:r>
      <w:r>
        <w:rPr>
          <w:rFonts w:cs="Times New Roman"/>
          <w:szCs w:val="24"/>
        </w:rPr>
        <w:t xml:space="preserve"> </w:t>
      </w:r>
      <w:r w:rsidR="00A3163C" w:rsidRPr="007D707D">
        <w:rPr>
          <w:rFonts w:cs="Times New Roman"/>
          <w:szCs w:val="24"/>
        </w:rPr>
        <w:t>zachowania właściwego dystansu oraz zakrywania nosa i ust</w:t>
      </w:r>
      <w:r w:rsidR="008509F4">
        <w:rPr>
          <w:rFonts w:cs="Times New Roman"/>
          <w:szCs w:val="24"/>
        </w:rPr>
        <w:t>;</w:t>
      </w:r>
    </w:p>
    <w:p w14:paraId="4C2DF92B" w14:textId="620D515F" w:rsidR="00A3163C" w:rsidRDefault="008509F4" w:rsidP="00FE70E3">
      <w:pPr>
        <w:pStyle w:val="Akapitzlist"/>
        <w:numPr>
          <w:ilvl w:val="0"/>
          <w:numId w:val="79"/>
        </w:numPr>
        <w:autoSpaceDE w:val="0"/>
        <w:autoSpaceDN w:val="0"/>
        <w:adjustRightInd w:val="0"/>
        <w:rPr>
          <w:rFonts w:cs="Times New Roman"/>
          <w:szCs w:val="24"/>
        </w:rPr>
      </w:pPr>
      <w:r>
        <w:rPr>
          <w:rFonts w:cs="Times New Roman"/>
          <w:szCs w:val="24"/>
        </w:rPr>
        <w:lastRenderedPageBreak/>
        <w:t>w</w:t>
      </w:r>
      <w:r w:rsidR="00A3163C" w:rsidRPr="007D707D">
        <w:rPr>
          <w:rFonts w:cs="Times New Roman"/>
          <w:szCs w:val="24"/>
        </w:rPr>
        <w:t>raz ze zmianami w obowiązujących obostrzeniach sanitarnych regulowano (włącznie z zakazywaniem)</w:t>
      </w:r>
      <w:r>
        <w:rPr>
          <w:rFonts w:cs="Times New Roman"/>
          <w:szCs w:val="24"/>
        </w:rPr>
        <w:t xml:space="preserve"> </w:t>
      </w:r>
      <w:r w:rsidR="00A3163C" w:rsidRPr="008509F4">
        <w:rPr>
          <w:rFonts w:cs="Times New Roman"/>
          <w:szCs w:val="24"/>
        </w:rPr>
        <w:t>kwestię organizowania na dworcach kolejowych wydarzeń, które mogłyby powodować nieuzasadnione</w:t>
      </w:r>
      <w:r>
        <w:rPr>
          <w:rFonts w:cs="Times New Roman"/>
          <w:szCs w:val="24"/>
        </w:rPr>
        <w:t xml:space="preserve"> </w:t>
      </w:r>
      <w:r w:rsidR="00A3163C" w:rsidRPr="008509F4">
        <w:rPr>
          <w:rFonts w:cs="Times New Roman"/>
          <w:szCs w:val="24"/>
        </w:rPr>
        <w:t>gromadzenie się skupisk osób korzystających z usług dworca</w:t>
      </w:r>
      <w:r>
        <w:rPr>
          <w:rFonts w:cs="Times New Roman"/>
          <w:szCs w:val="24"/>
        </w:rPr>
        <w:t xml:space="preserve"> </w:t>
      </w:r>
      <w:r w:rsidR="00A3163C" w:rsidRPr="008509F4">
        <w:rPr>
          <w:rFonts w:cs="Times New Roman"/>
          <w:szCs w:val="24"/>
        </w:rPr>
        <w:t>kolejowego, a tym samym zwiększać ryzyko</w:t>
      </w:r>
      <w:r>
        <w:rPr>
          <w:rFonts w:cs="Times New Roman"/>
          <w:szCs w:val="24"/>
        </w:rPr>
        <w:t xml:space="preserve"> </w:t>
      </w:r>
      <w:r w:rsidR="00A3163C" w:rsidRPr="008509F4">
        <w:rPr>
          <w:rFonts w:cs="Times New Roman"/>
          <w:szCs w:val="24"/>
        </w:rPr>
        <w:t>rozprzestrzeniania się wirusa SARS-CoV-2.</w:t>
      </w:r>
    </w:p>
    <w:p w14:paraId="33F79D47" w14:textId="77777777" w:rsidR="008509F4" w:rsidRPr="008509F4" w:rsidRDefault="008509F4" w:rsidP="008509F4">
      <w:pPr>
        <w:autoSpaceDE w:val="0"/>
        <w:autoSpaceDN w:val="0"/>
        <w:adjustRightInd w:val="0"/>
        <w:rPr>
          <w:rFonts w:cs="Times New Roman"/>
          <w:szCs w:val="24"/>
        </w:rPr>
      </w:pPr>
    </w:p>
    <w:p w14:paraId="1D971D76" w14:textId="24FAD462" w:rsidR="00A3163C" w:rsidRPr="00A3163C" w:rsidRDefault="00A3163C" w:rsidP="00A3163C">
      <w:pPr>
        <w:autoSpaceDE w:val="0"/>
        <w:autoSpaceDN w:val="0"/>
        <w:adjustRightInd w:val="0"/>
        <w:rPr>
          <w:rFonts w:cs="Times New Roman"/>
          <w:szCs w:val="24"/>
        </w:rPr>
      </w:pPr>
      <w:r w:rsidRPr="00A3163C">
        <w:rPr>
          <w:rFonts w:cs="Times New Roman"/>
          <w:szCs w:val="24"/>
        </w:rPr>
        <w:t>W czasie pandemii COVID-19 Fundacja Grupy PKP, wspólnie z wydawcą magazynu „Raport Kolejowy” –</w:t>
      </w:r>
      <w:r w:rsidR="008509F4">
        <w:rPr>
          <w:rFonts w:cs="Times New Roman"/>
          <w:szCs w:val="24"/>
        </w:rPr>
        <w:t xml:space="preserve"> </w:t>
      </w:r>
      <w:r w:rsidRPr="00A3163C">
        <w:rPr>
          <w:rFonts w:cs="Times New Roman"/>
          <w:szCs w:val="24"/>
        </w:rPr>
        <w:t>Polską Izbą Producentów Urządzeń i Usług na Rzecz Kolei – zorganizowała w</w:t>
      </w:r>
      <w:r w:rsidR="008509F4">
        <w:rPr>
          <w:rFonts w:cs="Times New Roman"/>
          <w:szCs w:val="24"/>
        </w:rPr>
        <w:t> </w:t>
      </w:r>
      <w:r w:rsidRPr="00A3163C">
        <w:rPr>
          <w:rFonts w:cs="Times New Roman"/>
          <w:szCs w:val="24"/>
        </w:rPr>
        <w:t>trosce o seniorów akcję</w:t>
      </w:r>
      <w:r w:rsidR="008509F4">
        <w:rPr>
          <w:rFonts w:cs="Times New Roman"/>
          <w:szCs w:val="24"/>
        </w:rPr>
        <w:t xml:space="preserve"> </w:t>
      </w:r>
      <w:r w:rsidRPr="00A3163C">
        <w:rPr>
          <w:rFonts w:cs="Times New Roman"/>
          <w:szCs w:val="24"/>
        </w:rPr>
        <w:t>„Emerycie #</w:t>
      </w:r>
      <w:proofErr w:type="spellStart"/>
      <w:r w:rsidRPr="00A3163C">
        <w:rPr>
          <w:rFonts w:cs="Times New Roman"/>
          <w:szCs w:val="24"/>
        </w:rPr>
        <w:t>zostańwdomu</w:t>
      </w:r>
      <w:proofErr w:type="spellEnd"/>
      <w:r w:rsidRPr="00A3163C">
        <w:rPr>
          <w:rFonts w:cs="Times New Roman"/>
          <w:szCs w:val="24"/>
        </w:rPr>
        <w:t>”. Podopieczni Fundacji otrzymali instruktaż o postępowaniu prozdrowotnym oraz</w:t>
      </w:r>
      <w:r w:rsidR="008509F4">
        <w:rPr>
          <w:rFonts w:cs="Times New Roman"/>
          <w:szCs w:val="24"/>
        </w:rPr>
        <w:t xml:space="preserve"> </w:t>
      </w:r>
      <w:r w:rsidRPr="00A3163C">
        <w:rPr>
          <w:rFonts w:cs="Times New Roman"/>
          <w:szCs w:val="24"/>
        </w:rPr>
        <w:t>egzemplarze magazynu „Raport Kolejowy”.</w:t>
      </w:r>
      <w:r w:rsidR="008509F4">
        <w:rPr>
          <w:rFonts w:cs="Times New Roman"/>
          <w:szCs w:val="24"/>
        </w:rPr>
        <w:t xml:space="preserve"> </w:t>
      </w:r>
      <w:r w:rsidRPr="00A3163C">
        <w:rPr>
          <w:rFonts w:cs="Times New Roman"/>
          <w:szCs w:val="24"/>
        </w:rPr>
        <w:t>Akcja miała na celu edukację oraz zagospodarowanie wolnego</w:t>
      </w:r>
      <w:r w:rsidR="008509F4">
        <w:rPr>
          <w:rFonts w:cs="Times New Roman"/>
          <w:szCs w:val="24"/>
        </w:rPr>
        <w:t xml:space="preserve"> </w:t>
      </w:r>
      <w:r w:rsidRPr="00A3163C">
        <w:rPr>
          <w:rFonts w:cs="Times New Roman"/>
          <w:szCs w:val="24"/>
        </w:rPr>
        <w:t>czasu w trakcie przymusowej izolacji.</w:t>
      </w:r>
    </w:p>
    <w:p w14:paraId="6C6D8ACB" w14:textId="77777777" w:rsidR="008509F4" w:rsidRDefault="008509F4" w:rsidP="00A3163C">
      <w:pPr>
        <w:autoSpaceDE w:val="0"/>
        <w:autoSpaceDN w:val="0"/>
        <w:adjustRightInd w:val="0"/>
        <w:rPr>
          <w:rFonts w:cs="Times New Roman"/>
          <w:szCs w:val="24"/>
        </w:rPr>
      </w:pPr>
    </w:p>
    <w:p w14:paraId="62FA5F7B" w14:textId="08D32931" w:rsidR="00A3163C" w:rsidRDefault="00A3163C" w:rsidP="00A3163C">
      <w:pPr>
        <w:autoSpaceDE w:val="0"/>
        <w:autoSpaceDN w:val="0"/>
        <w:adjustRightInd w:val="0"/>
        <w:rPr>
          <w:rFonts w:cs="Times New Roman"/>
          <w:szCs w:val="24"/>
        </w:rPr>
      </w:pPr>
      <w:r w:rsidRPr="00A3163C">
        <w:rPr>
          <w:rFonts w:cs="Times New Roman"/>
          <w:szCs w:val="24"/>
        </w:rPr>
        <w:t>Ponadto Fundacja Grupy PKP zbudowała bazę wolontariuszy (40 osób) na terenie całego kraju,</w:t>
      </w:r>
      <w:r w:rsidR="008509F4">
        <w:rPr>
          <w:rFonts w:cs="Times New Roman"/>
          <w:szCs w:val="24"/>
        </w:rPr>
        <w:t xml:space="preserve"> </w:t>
      </w:r>
      <w:r w:rsidRPr="00A3163C">
        <w:rPr>
          <w:rFonts w:cs="Times New Roman"/>
          <w:szCs w:val="24"/>
        </w:rPr>
        <w:t>których</w:t>
      </w:r>
      <w:r w:rsidR="008509F4">
        <w:rPr>
          <w:rFonts w:cs="Times New Roman"/>
          <w:szCs w:val="24"/>
        </w:rPr>
        <w:t xml:space="preserve"> </w:t>
      </w:r>
      <w:r w:rsidRPr="00A3163C">
        <w:rPr>
          <w:rFonts w:cs="Times New Roman"/>
          <w:szCs w:val="24"/>
        </w:rPr>
        <w:t>przeszkoliła i przygotowała do niesienia pomocy pracownikom i emerytowanym</w:t>
      </w:r>
      <w:r w:rsidR="008509F4">
        <w:rPr>
          <w:rFonts w:cs="Times New Roman"/>
          <w:szCs w:val="24"/>
        </w:rPr>
        <w:t xml:space="preserve"> </w:t>
      </w:r>
      <w:r w:rsidRPr="00A3163C">
        <w:rPr>
          <w:rFonts w:cs="Times New Roman"/>
          <w:szCs w:val="24"/>
        </w:rPr>
        <w:t>kolejarzom przebywającym</w:t>
      </w:r>
      <w:r w:rsidR="008509F4">
        <w:rPr>
          <w:rFonts w:cs="Times New Roman"/>
          <w:szCs w:val="24"/>
        </w:rPr>
        <w:t xml:space="preserve"> </w:t>
      </w:r>
      <w:r w:rsidRPr="00A3163C">
        <w:rPr>
          <w:rFonts w:cs="Times New Roman"/>
          <w:szCs w:val="24"/>
        </w:rPr>
        <w:t>na kwarantannie.</w:t>
      </w:r>
    </w:p>
    <w:p w14:paraId="27DFDF7F" w14:textId="77777777" w:rsidR="008509F4" w:rsidRPr="00A3163C" w:rsidRDefault="008509F4" w:rsidP="00A3163C">
      <w:pPr>
        <w:autoSpaceDE w:val="0"/>
        <w:autoSpaceDN w:val="0"/>
        <w:adjustRightInd w:val="0"/>
        <w:rPr>
          <w:rFonts w:cs="Times New Roman"/>
          <w:szCs w:val="24"/>
        </w:rPr>
      </w:pPr>
    </w:p>
    <w:p w14:paraId="3A2DE8BF" w14:textId="2368F81D" w:rsidR="00A3163C" w:rsidRPr="00A3163C" w:rsidRDefault="00A3163C" w:rsidP="00A3163C">
      <w:pPr>
        <w:autoSpaceDE w:val="0"/>
        <w:autoSpaceDN w:val="0"/>
        <w:adjustRightInd w:val="0"/>
        <w:rPr>
          <w:rFonts w:cs="Times New Roman"/>
          <w:szCs w:val="24"/>
        </w:rPr>
      </w:pPr>
      <w:r w:rsidRPr="00A3163C">
        <w:rPr>
          <w:rFonts w:cs="Times New Roman"/>
          <w:szCs w:val="24"/>
        </w:rPr>
        <w:t>W 2020 r. Fundacja Grupy PKP wsparła seniorów finansowo, przekazując darowizny z</w:t>
      </w:r>
      <w:r w:rsidR="008509F4">
        <w:rPr>
          <w:rFonts w:cs="Times New Roman"/>
          <w:szCs w:val="24"/>
        </w:rPr>
        <w:t> </w:t>
      </w:r>
      <w:r w:rsidRPr="00A3163C">
        <w:rPr>
          <w:rFonts w:cs="Times New Roman"/>
          <w:szCs w:val="24"/>
        </w:rPr>
        <w:t>przeznaczeniem na:</w:t>
      </w:r>
    </w:p>
    <w:p w14:paraId="71590E5B" w14:textId="77777777" w:rsidR="008509F4" w:rsidRDefault="00A3163C" w:rsidP="00FE70E3">
      <w:pPr>
        <w:pStyle w:val="Akapitzlist"/>
        <w:numPr>
          <w:ilvl w:val="0"/>
          <w:numId w:val="80"/>
        </w:numPr>
        <w:autoSpaceDE w:val="0"/>
        <w:autoSpaceDN w:val="0"/>
        <w:adjustRightInd w:val="0"/>
        <w:rPr>
          <w:rFonts w:cs="Times New Roman"/>
          <w:szCs w:val="24"/>
        </w:rPr>
      </w:pPr>
      <w:r w:rsidRPr="008509F4">
        <w:rPr>
          <w:rFonts w:cs="Times New Roman"/>
          <w:szCs w:val="24"/>
        </w:rPr>
        <w:t>zakup 560 paczek świątecznych z okazji Świąt Bożego Narodzenia;</w:t>
      </w:r>
    </w:p>
    <w:p w14:paraId="1AEC18E1" w14:textId="77777777" w:rsidR="008509F4" w:rsidRDefault="00A3163C" w:rsidP="00FE70E3">
      <w:pPr>
        <w:pStyle w:val="Akapitzlist"/>
        <w:numPr>
          <w:ilvl w:val="0"/>
          <w:numId w:val="80"/>
        </w:numPr>
        <w:autoSpaceDE w:val="0"/>
        <w:autoSpaceDN w:val="0"/>
        <w:adjustRightInd w:val="0"/>
        <w:rPr>
          <w:rFonts w:cs="Times New Roman"/>
          <w:szCs w:val="24"/>
        </w:rPr>
      </w:pPr>
      <w:r w:rsidRPr="008509F4">
        <w:rPr>
          <w:rFonts w:cs="Times New Roman"/>
          <w:szCs w:val="24"/>
        </w:rPr>
        <w:t>pokrycie kosztów leczenia i rehabilitacji 5 osób;</w:t>
      </w:r>
    </w:p>
    <w:p w14:paraId="3BE66B8D" w14:textId="77777777" w:rsidR="008509F4" w:rsidRDefault="00A3163C" w:rsidP="00FE70E3">
      <w:pPr>
        <w:pStyle w:val="Akapitzlist"/>
        <w:numPr>
          <w:ilvl w:val="0"/>
          <w:numId w:val="80"/>
        </w:numPr>
        <w:autoSpaceDE w:val="0"/>
        <w:autoSpaceDN w:val="0"/>
        <w:adjustRightInd w:val="0"/>
        <w:rPr>
          <w:rFonts w:cs="Times New Roman"/>
          <w:szCs w:val="24"/>
        </w:rPr>
      </w:pPr>
      <w:r w:rsidRPr="008509F4">
        <w:rPr>
          <w:rFonts w:cs="Times New Roman"/>
          <w:szCs w:val="24"/>
        </w:rPr>
        <w:t>zakup wózka inwalidzkiego wraz z poduszką przeciwodleżynową dla osoby z</w:t>
      </w:r>
      <w:r w:rsidR="008509F4">
        <w:rPr>
          <w:rFonts w:cs="Times New Roman"/>
          <w:szCs w:val="24"/>
        </w:rPr>
        <w:t> </w:t>
      </w:r>
      <w:r w:rsidRPr="008509F4">
        <w:rPr>
          <w:rFonts w:cs="Times New Roman"/>
          <w:szCs w:val="24"/>
        </w:rPr>
        <w:t>niepełnosprawnością;</w:t>
      </w:r>
    </w:p>
    <w:p w14:paraId="6CD2BB37" w14:textId="77777777" w:rsidR="008509F4" w:rsidRDefault="00A3163C" w:rsidP="00FE70E3">
      <w:pPr>
        <w:pStyle w:val="Akapitzlist"/>
        <w:numPr>
          <w:ilvl w:val="0"/>
          <w:numId w:val="80"/>
        </w:numPr>
        <w:autoSpaceDE w:val="0"/>
        <w:autoSpaceDN w:val="0"/>
        <w:adjustRightInd w:val="0"/>
        <w:rPr>
          <w:rFonts w:cs="Times New Roman"/>
          <w:szCs w:val="24"/>
        </w:rPr>
      </w:pPr>
      <w:r w:rsidRPr="008509F4">
        <w:rPr>
          <w:rFonts w:cs="Times New Roman"/>
          <w:szCs w:val="24"/>
        </w:rPr>
        <w:t>wsparcie 4 osób znajdujących się w trudnej sytuacji życiowej i materialnej;</w:t>
      </w:r>
    </w:p>
    <w:p w14:paraId="0436E24A" w14:textId="77777777" w:rsidR="008509F4" w:rsidRDefault="00A3163C" w:rsidP="00FE70E3">
      <w:pPr>
        <w:pStyle w:val="Akapitzlist"/>
        <w:numPr>
          <w:ilvl w:val="0"/>
          <w:numId w:val="80"/>
        </w:numPr>
        <w:autoSpaceDE w:val="0"/>
        <w:autoSpaceDN w:val="0"/>
        <w:adjustRightInd w:val="0"/>
        <w:rPr>
          <w:rFonts w:cs="Times New Roman"/>
          <w:szCs w:val="24"/>
        </w:rPr>
      </w:pPr>
      <w:r w:rsidRPr="008509F4">
        <w:rPr>
          <w:rFonts w:cs="Times New Roman"/>
          <w:szCs w:val="24"/>
        </w:rPr>
        <w:t>zakup 4 łóżek rehabilitacyjnych z których skorzystało ok. 40 osób;</w:t>
      </w:r>
    </w:p>
    <w:p w14:paraId="15E38493" w14:textId="0622E84F" w:rsidR="00A3163C" w:rsidRPr="008509F4" w:rsidRDefault="00A3163C" w:rsidP="00FE70E3">
      <w:pPr>
        <w:pStyle w:val="Akapitzlist"/>
        <w:numPr>
          <w:ilvl w:val="0"/>
          <w:numId w:val="80"/>
        </w:numPr>
        <w:autoSpaceDE w:val="0"/>
        <w:autoSpaceDN w:val="0"/>
        <w:adjustRightInd w:val="0"/>
        <w:rPr>
          <w:rFonts w:cs="Times New Roman"/>
          <w:szCs w:val="24"/>
        </w:rPr>
      </w:pPr>
      <w:r w:rsidRPr="008509F4">
        <w:rPr>
          <w:rFonts w:cs="Times New Roman"/>
          <w:szCs w:val="24"/>
        </w:rPr>
        <w:t>zakup paczek żywnościowych oraz środków ochrony osobistej.</w:t>
      </w:r>
    </w:p>
    <w:p w14:paraId="5461A969" w14:textId="77777777" w:rsidR="00040288" w:rsidRPr="00E9293F" w:rsidRDefault="00E9293F" w:rsidP="00FE70E3">
      <w:pPr>
        <w:pStyle w:val="Nagwek2"/>
        <w:numPr>
          <w:ilvl w:val="1"/>
          <w:numId w:val="23"/>
        </w:numPr>
        <w:spacing w:before="240" w:after="240"/>
        <w:ind w:left="0" w:hanging="142"/>
        <w:rPr>
          <w:rFonts w:cs="Times New Roman"/>
          <w:sz w:val="40"/>
          <w:lang w:eastAsia="ar-SA"/>
        </w:rPr>
      </w:pPr>
      <w:bookmarkStart w:id="68" w:name="_Toc80523066"/>
      <w:r w:rsidRPr="00454337">
        <w:rPr>
          <w:rFonts w:cs="Times New Roman"/>
          <w:sz w:val="40"/>
          <w:lang w:eastAsia="ar-SA"/>
        </w:rPr>
        <w:t xml:space="preserve">Ministerstwo </w:t>
      </w:r>
      <w:r>
        <w:rPr>
          <w:rFonts w:cs="Times New Roman"/>
          <w:sz w:val="40"/>
          <w:lang w:eastAsia="ar-SA"/>
        </w:rPr>
        <w:t>Klimatu i Środowiska</w:t>
      </w:r>
      <w:bookmarkEnd w:id="68"/>
    </w:p>
    <w:p w14:paraId="41ACFFDB" w14:textId="768BDEED" w:rsidR="00320E8A" w:rsidRDefault="00040288" w:rsidP="00040288">
      <w:pPr>
        <w:autoSpaceDE w:val="0"/>
        <w:autoSpaceDN w:val="0"/>
        <w:adjustRightInd w:val="0"/>
        <w:rPr>
          <w:rFonts w:cs="Times New Roman"/>
          <w:szCs w:val="24"/>
        </w:rPr>
      </w:pPr>
      <w:r>
        <w:rPr>
          <w:rFonts w:cs="Times New Roman"/>
          <w:szCs w:val="24"/>
        </w:rPr>
        <w:t xml:space="preserve">Osoby starsze </w:t>
      </w:r>
      <w:r w:rsidR="002110C0">
        <w:rPr>
          <w:rFonts w:cs="Times New Roman"/>
          <w:szCs w:val="24"/>
        </w:rPr>
        <w:t>mogły skorzystać z działa</w:t>
      </w:r>
      <w:r w:rsidR="00320E8A">
        <w:rPr>
          <w:rFonts w:cs="Times New Roman"/>
          <w:szCs w:val="24"/>
        </w:rPr>
        <w:t>ń</w:t>
      </w:r>
      <w:r w:rsidR="002110C0">
        <w:rPr>
          <w:rFonts w:cs="Times New Roman"/>
          <w:szCs w:val="24"/>
        </w:rPr>
        <w:t xml:space="preserve"> realizowanych p</w:t>
      </w:r>
      <w:r w:rsidR="00320E8A">
        <w:rPr>
          <w:rFonts w:cs="Times New Roman"/>
          <w:szCs w:val="24"/>
        </w:rPr>
        <w:t xml:space="preserve">rzez  </w:t>
      </w:r>
      <w:r w:rsidR="00320E8A" w:rsidRPr="00320E8A">
        <w:rPr>
          <w:rFonts w:cs="Times New Roman"/>
          <w:szCs w:val="24"/>
        </w:rPr>
        <w:t>Babiogórski Park Narodowy, Białowieski Park Narodowy, Biebrzański Park Narodowy, Bieszczadzki Park Narodowy, Park Narodowy „Bory Tucholskie", Drawieński Park Narodowy, Gorczański Park Narodowy, Park Narodowy Gór Stołowych, Kampinoski Park Narodowy, Karkonoski Park Narodowy, Magurski Park Narodowy, Narwiański Park Narodowy, Ojcowski Park Narodowy, Pieniński Park Narodowy, Poleski Park Narodowy, Roztoczański Park Narodowy, Słowiński Park Narodowy, Świętokrzyski Park Narodowy, Tatrzański Park Narodowy, Park Narodowy „Ujście Warty”, Wielkopolski Park Narodowy, Wigierski Park Narodowy, Woliński Park Narodowy.</w:t>
      </w:r>
      <w:r w:rsidR="00320E8A">
        <w:rPr>
          <w:rFonts w:cs="Times New Roman"/>
          <w:szCs w:val="24"/>
        </w:rPr>
        <w:t xml:space="preserve"> Łącznie parki narodowe zrealizowały</w:t>
      </w:r>
      <w:r w:rsidR="00C65424">
        <w:rPr>
          <w:rFonts w:cs="Times New Roman"/>
          <w:szCs w:val="24"/>
        </w:rPr>
        <w:t xml:space="preserve"> 125 inicjatyw ułatwiających lub zachęcających osoby starsze do skorzystania z ich oferty</w:t>
      </w:r>
      <w:r w:rsidR="002E48AA">
        <w:rPr>
          <w:rStyle w:val="Odwoanieprzypisudolnego"/>
          <w:rFonts w:cs="Times New Roman"/>
          <w:szCs w:val="24"/>
        </w:rPr>
        <w:footnoteReference w:id="26"/>
      </w:r>
      <w:r w:rsidR="00C65424">
        <w:rPr>
          <w:rFonts w:cs="Times New Roman"/>
          <w:szCs w:val="24"/>
        </w:rPr>
        <w:t>.</w:t>
      </w:r>
    </w:p>
    <w:p w14:paraId="24E03ED1" w14:textId="77777777" w:rsidR="00E46E76" w:rsidRDefault="00E46E76" w:rsidP="00040288">
      <w:pPr>
        <w:autoSpaceDE w:val="0"/>
        <w:autoSpaceDN w:val="0"/>
        <w:adjustRightInd w:val="0"/>
        <w:rPr>
          <w:rFonts w:cs="Times New Roman"/>
          <w:szCs w:val="24"/>
        </w:rPr>
      </w:pPr>
    </w:p>
    <w:p w14:paraId="49D68BA0" w14:textId="77777777" w:rsidR="00E46E76" w:rsidRPr="00E9293F" w:rsidRDefault="00E46E76" w:rsidP="00FE70E3">
      <w:pPr>
        <w:pStyle w:val="Nagwek2"/>
        <w:numPr>
          <w:ilvl w:val="1"/>
          <w:numId w:val="23"/>
        </w:numPr>
        <w:spacing w:before="240" w:after="240"/>
        <w:ind w:left="0" w:hanging="142"/>
        <w:rPr>
          <w:rFonts w:cs="Times New Roman"/>
          <w:sz w:val="40"/>
          <w:lang w:eastAsia="ar-SA"/>
        </w:rPr>
      </w:pPr>
      <w:bookmarkStart w:id="69" w:name="_Toc80523067"/>
      <w:r w:rsidRPr="00454337">
        <w:rPr>
          <w:rFonts w:cs="Times New Roman"/>
          <w:sz w:val="40"/>
          <w:lang w:eastAsia="ar-SA"/>
        </w:rPr>
        <w:lastRenderedPageBreak/>
        <w:t xml:space="preserve">Ministerstwo </w:t>
      </w:r>
      <w:r>
        <w:rPr>
          <w:rFonts w:cs="Times New Roman"/>
          <w:sz w:val="40"/>
          <w:lang w:eastAsia="ar-SA"/>
        </w:rPr>
        <w:t>Kultury, Dziedzictwa Narodowego i Sportu</w:t>
      </w:r>
      <w:bookmarkEnd w:id="69"/>
    </w:p>
    <w:p w14:paraId="46B75FB4" w14:textId="00B6CBAE" w:rsidR="00E46E76" w:rsidRDefault="00E46E76" w:rsidP="00E46E76">
      <w:pPr>
        <w:autoSpaceDE w:val="0"/>
        <w:autoSpaceDN w:val="0"/>
        <w:adjustRightInd w:val="0"/>
        <w:rPr>
          <w:rFonts w:cs="Times New Roman"/>
          <w:szCs w:val="24"/>
        </w:rPr>
      </w:pPr>
      <w:r w:rsidRPr="00E46E76">
        <w:rPr>
          <w:rFonts w:cs="Times New Roman"/>
          <w:szCs w:val="24"/>
        </w:rPr>
        <w:t xml:space="preserve">Minister </w:t>
      </w:r>
      <w:proofErr w:type="spellStart"/>
      <w:r w:rsidRPr="00E46E76">
        <w:rPr>
          <w:rFonts w:cs="Times New Roman"/>
          <w:szCs w:val="24"/>
        </w:rPr>
        <w:t>KDNiS</w:t>
      </w:r>
      <w:proofErr w:type="spellEnd"/>
      <w:r w:rsidRPr="00E46E76">
        <w:rPr>
          <w:rFonts w:cs="Times New Roman"/>
          <w:szCs w:val="24"/>
        </w:rPr>
        <w:t xml:space="preserve"> nie odpowiada bezpośrednio za dostęp do kultury i sportu na poziomie regionalnym i lokalnym, jednak mechanizmy projektowane </w:t>
      </w:r>
      <w:r w:rsidR="001E0F91">
        <w:rPr>
          <w:rFonts w:cs="Times New Roman"/>
          <w:szCs w:val="24"/>
        </w:rPr>
        <w:t>i wdrażane przez resort mają na </w:t>
      </w:r>
      <w:r w:rsidRPr="00E46E76">
        <w:rPr>
          <w:rFonts w:cs="Times New Roman"/>
          <w:szCs w:val="24"/>
        </w:rPr>
        <w:t>celu również wsparcie samorządowych instytucji kultury oraz lokalnych organizacji pozarządowych w udostępnianiu kultury osobom starszym.</w:t>
      </w:r>
    </w:p>
    <w:p w14:paraId="03DF496C" w14:textId="77777777" w:rsidR="00E46E76" w:rsidRPr="00E46E76" w:rsidRDefault="00E46E76" w:rsidP="00E46E76">
      <w:pPr>
        <w:autoSpaceDE w:val="0"/>
        <w:autoSpaceDN w:val="0"/>
        <w:adjustRightInd w:val="0"/>
        <w:rPr>
          <w:rFonts w:cs="Times New Roman"/>
          <w:szCs w:val="24"/>
        </w:rPr>
      </w:pPr>
    </w:p>
    <w:p w14:paraId="28105D39" w14:textId="7693F38F" w:rsidR="00E46E76" w:rsidRPr="00E46E76" w:rsidRDefault="00E46E76" w:rsidP="00E46E76">
      <w:pPr>
        <w:autoSpaceDE w:val="0"/>
        <w:autoSpaceDN w:val="0"/>
        <w:adjustRightInd w:val="0"/>
        <w:rPr>
          <w:rFonts w:cs="Times New Roman"/>
          <w:szCs w:val="24"/>
        </w:rPr>
      </w:pPr>
      <w:r w:rsidRPr="00E46E76">
        <w:rPr>
          <w:rFonts w:cs="Times New Roman"/>
          <w:szCs w:val="24"/>
        </w:rPr>
        <w:t xml:space="preserve">Instytucje w 2020 </w:t>
      </w:r>
      <w:r w:rsidR="006C0E8B">
        <w:rPr>
          <w:rFonts w:cs="Times New Roman"/>
          <w:szCs w:val="24"/>
        </w:rPr>
        <w:t>r.</w:t>
      </w:r>
      <w:r w:rsidRPr="00E46E76">
        <w:rPr>
          <w:rFonts w:cs="Times New Roman"/>
          <w:szCs w:val="24"/>
        </w:rPr>
        <w:t xml:space="preserve"> prowadziły działalność dostosowaną do obostrzeń, w tym czasowego wyłączania instytucji dla publiczności. Z tego też względu wiele z zaplanowanych przedsięwzięć adresowanych do różnych grup odbiorców, w tym osób starszych, została odwołana.</w:t>
      </w:r>
      <w:r>
        <w:rPr>
          <w:rFonts w:cs="Times New Roman"/>
          <w:szCs w:val="24"/>
        </w:rPr>
        <w:t xml:space="preserve"> Instytucje kultury realizowały </w:t>
      </w:r>
      <w:r w:rsidRPr="00E46E76">
        <w:rPr>
          <w:rFonts w:cs="Times New Roman"/>
          <w:szCs w:val="24"/>
        </w:rPr>
        <w:t>w dozwolonej przez przepisy sanitarne formie i</w:t>
      </w:r>
      <w:r w:rsidR="007E6820">
        <w:rPr>
          <w:rFonts w:cs="Times New Roman"/>
          <w:szCs w:val="24"/>
        </w:rPr>
        <w:t> </w:t>
      </w:r>
      <w:r w:rsidRPr="00E46E76">
        <w:rPr>
          <w:rFonts w:cs="Times New Roman"/>
          <w:szCs w:val="24"/>
        </w:rPr>
        <w:t>zakresie działania zgodne z zapisami statutowymi, takie jak, min.:</w:t>
      </w:r>
    </w:p>
    <w:p w14:paraId="16D514E6" w14:textId="77777777" w:rsidR="00E46E76" w:rsidRDefault="00E46E76" w:rsidP="00FE70E3">
      <w:pPr>
        <w:pStyle w:val="Akapitzlist"/>
        <w:numPr>
          <w:ilvl w:val="0"/>
          <w:numId w:val="44"/>
        </w:numPr>
        <w:autoSpaceDE w:val="0"/>
        <w:autoSpaceDN w:val="0"/>
        <w:adjustRightInd w:val="0"/>
        <w:rPr>
          <w:rFonts w:cs="Times New Roman"/>
          <w:szCs w:val="24"/>
        </w:rPr>
      </w:pPr>
      <w:r w:rsidRPr="00E46E76">
        <w:rPr>
          <w:rFonts w:cs="Times New Roman"/>
          <w:szCs w:val="24"/>
        </w:rPr>
        <w:t>ulgowe bilety wstępu dla seniora, w przypadku galerii i centrów sztuki – jeden dzień wolnego wstępu,</w:t>
      </w:r>
    </w:p>
    <w:p w14:paraId="078F7015" w14:textId="77777777" w:rsidR="00DC6CC9" w:rsidRDefault="00E46E76" w:rsidP="00FE70E3">
      <w:pPr>
        <w:pStyle w:val="Akapitzlist"/>
        <w:numPr>
          <w:ilvl w:val="0"/>
          <w:numId w:val="44"/>
        </w:numPr>
        <w:autoSpaceDE w:val="0"/>
        <w:autoSpaceDN w:val="0"/>
        <w:adjustRightInd w:val="0"/>
        <w:rPr>
          <w:rFonts w:cs="Times New Roman"/>
          <w:szCs w:val="24"/>
        </w:rPr>
      </w:pPr>
      <w:r w:rsidRPr="00E46E76">
        <w:rPr>
          <w:rFonts w:cs="Times New Roman"/>
          <w:szCs w:val="24"/>
        </w:rPr>
        <w:t>w zakresie poprawy dostępności - dostosowanie stron www do potrzeb tej grupy, tj. m.in. osób</w:t>
      </w:r>
      <w:r>
        <w:rPr>
          <w:rFonts w:cs="Times New Roman"/>
          <w:szCs w:val="24"/>
        </w:rPr>
        <w:t xml:space="preserve"> </w:t>
      </w:r>
      <w:r w:rsidRPr="00E46E76">
        <w:rPr>
          <w:rFonts w:cs="Times New Roman"/>
          <w:szCs w:val="24"/>
        </w:rPr>
        <w:t>z ograniczeniami wzroku i słuchu,</w:t>
      </w:r>
    </w:p>
    <w:p w14:paraId="24CB95C5" w14:textId="0528AD04" w:rsidR="00DC6CC9" w:rsidRDefault="00E46E76" w:rsidP="00FE70E3">
      <w:pPr>
        <w:pStyle w:val="Akapitzlist"/>
        <w:numPr>
          <w:ilvl w:val="0"/>
          <w:numId w:val="44"/>
        </w:numPr>
        <w:autoSpaceDE w:val="0"/>
        <w:autoSpaceDN w:val="0"/>
        <w:adjustRightInd w:val="0"/>
        <w:rPr>
          <w:rFonts w:cs="Times New Roman"/>
          <w:szCs w:val="24"/>
        </w:rPr>
      </w:pPr>
      <w:r w:rsidRPr="00DC6CC9">
        <w:rPr>
          <w:rFonts w:cs="Times New Roman"/>
          <w:szCs w:val="24"/>
        </w:rPr>
        <w:t>działania edukacyjne - warsztaty, spotkania, wirtualne spacery i oprowadzania po</w:t>
      </w:r>
      <w:r w:rsidR="007E6820">
        <w:rPr>
          <w:rFonts w:cs="Times New Roman"/>
          <w:szCs w:val="24"/>
        </w:rPr>
        <w:t> </w:t>
      </w:r>
      <w:r w:rsidRPr="00DC6CC9">
        <w:rPr>
          <w:rFonts w:cs="Times New Roman"/>
          <w:szCs w:val="24"/>
        </w:rPr>
        <w:t>wystawach itp.,</w:t>
      </w:r>
    </w:p>
    <w:p w14:paraId="313D6CA0" w14:textId="77777777" w:rsidR="00E46E76" w:rsidRDefault="00E46E76" w:rsidP="00FE70E3">
      <w:pPr>
        <w:pStyle w:val="Akapitzlist"/>
        <w:numPr>
          <w:ilvl w:val="0"/>
          <w:numId w:val="44"/>
        </w:numPr>
        <w:autoSpaceDE w:val="0"/>
        <w:autoSpaceDN w:val="0"/>
        <w:adjustRightInd w:val="0"/>
        <w:rPr>
          <w:rFonts w:cs="Times New Roman"/>
          <w:szCs w:val="24"/>
        </w:rPr>
      </w:pPr>
      <w:r w:rsidRPr="00DC6CC9">
        <w:rPr>
          <w:rFonts w:cs="Times New Roman"/>
          <w:szCs w:val="24"/>
        </w:rPr>
        <w:t>współpraca z organizacjami i stowarzyszeniami zrzeszającymi osoby w wieku senioralnym (Uniwersytety Trzeciego Wieku).</w:t>
      </w:r>
    </w:p>
    <w:p w14:paraId="1C7D0999" w14:textId="77777777" w:rsidR="00DC6CC9" w:rsidRPr="00DC6CC9" w:rsidRDefault="00DC6CC9" w:rsidP="00DC6CC9">
      <w:pPr>
        <w:autoSpaceDE w:val="0"/>
        <w:autoSpaceDN w:val="0"/>
        <w:adjustRightInd w:val="0"/>
        <w:rPr>
          <w:rFonts w:cs="Times New Roman"/>
          <w:szCs w:val="24"/>
        </w:rPr>
      </w:pPr>
    </w:p>
    <w:p w14:paraId="03E5F366" w14:textId="38A33E44" w:rsidR="00DC6CC9" w:rsidRPr="00DC6CC9" w:rsidRDefault="00154145" w:rsidP="00DC6CC9">
      <w:pPr>
        <w:pStyle w:val="Nagwek3"/>
      </w:pPr>
      <w:bookmarkStart w:id="70" w:name="_Toc77513914"/>
      <w:bookmarkStart w:id="71" w:name="_Toc80523068"/>
      <w:r>
        <w:t>W</w:t>
      </w:r>
      <w:r w:rsidRPr="00DC6CC9">
        <w:t>spieranie dostępu i uczestnictwa seniorów w kulturze</w:t>
      </w:r>
      <w:bookmarkEnd w:id="70"/>
      <w:bookmarkEnd w:id="71"/>
    </w:p>
    <w:p w14:paraId="27B7481A" w14:textId="77777777" w:rsidR="00DC6CC9" w:rsidRPr="00DC6CC9" w:rsidRDefault="00DC6CC9" w:rsidP="00DC6CC9">
      <w:pPr>
        <w:autoSpaceDE w:val="0"/>
        <w:autoSpaceDN w:val="0"/>
        <w:adjustRightInd w:val="0"/>
        <w:rPr>
          <w:rFonts w:cs="Times New Roman"/>
          <w:b/>
          <w:szCs w:val="24"/>
        </w:rPr>
      </w:pPr>
    </w:p>
    <w:p w14:paraId="3D55E231" w14:textId="77777777" w:rsidR="00DC6CC9" w:rsidRPr="00DC6CC9" w:rsidRDefault="00DC6CC9" w:rsidP="00DC6CC9">
      <w:pPr>
        <w:autoSpaceDE w:val="0"/>
        <w:autoSpaceDN w:val="0"/>
        <w:adjustRightInd w:val="0"/>
        <w:rPr>
          <w:rFonts w:cs="Times New Roman"/>
          <w:b/>
          <w:szCs w:val="24"/>
        </w:rPr>
      </w:pPr>
      <w:r w:rsidRPr="00DC6CC9">
        <w:rPr>
          <w:rFonts w:cs="Times New Roman"/>
          <w:b/>
          <w:szCs w:val="24"/>
        </w:rPr>
        <w:t>Ulgi w opłatach wstępu do muzeów, galerii i centrów sztuki</w:t>
      </w:r>
    </w:p>
    <w:p w14:paraId="22D335FD" w14:textId="7F9BEA5E" w:rsidR="00DC6CC9" w:rsidRPr="00DC6CC9" w:rsidRDefault="00DC6CC9" w:rsidP="00DC6CC9">
      <w:pPr>
        <w:autoSpaceDE w:val="0"/>
        <w:autoSpaceDN w:val="0"/>
        <w:adjustRightInd w:val="0"/>
        <w:rPr>
          <w:rFonts w:cs="Times New Roman"/>
          <w:szCs w:val="24"/>
        </w:rPr>
      </w:pPr>
      <w:r w:rsidRPr="00DC6CC9">
        <w:rPr>
          <w:rFonts w:cs="Times New Roman"/>
          <w:szCs w:val="24"/>
        </w:rPr>
        <w:t>Na podstawie ustawy z dnia 21 listopada 1996 r. o muzeach (art. 10 ust. 2) w jednym dniu tygodnia wstęp na wystawy stałe muzeów jest nieodpłatny. Ponadto, w pozostałe dni tygodnia osobom powyżej 65 roku życia, emerytom i rencistom przysługuje ulga w opłacie za wstęp do</w:t>
      </w:r>
      <w:r w:rsidR="00154145">
        <w:rPr>
          <w:rFonts w:cs="Times New Roman"/>
          <w:szCs w:val="24"/>
        </w:rPr>
        <w:t> </w:t>
      </w:r>
      <w:r w:rsidRPr="00DC6CC9">
        <w:rPr>
          <w:rFonts w:cs="Times New Roman"/>
          <w:szCs w:val="24"/>
        </w:rPr>
        <w:t>muzeum.</w:t>
      </w:r>
    </w:p>
    <w:p w14:paraId="1BCAE9A1" w14:textId="77777777" w:rsidR="00DC6CC9" w:rsidRPr="00DC6CC9" w:rsidRDefault="00DC6CC9" w:rsidP="00DC6CC9">
      <w:pPr>
        <w:autoSpaceDE w:val="0"/>
        <w:autoSpaceDN w:val="0"/>
        <w:adjustRightInd w:val="0"/>
        <w:rPr>
          <w:rFonts w:cs="Times New Roman"/>
          <w:b/>
          <w:szCs w:val="24"/>
        </w:rPr>
      </w:pPr>
    </w:p>
    <w:p w14:paraId="52717A3D" w14:textId="77777777" w:rsidR="00DC6CC9" w:rsidRPr="00DC6CC9" w:rsidRDefault="00DC6CC9" w:rsidP="00DC6CC9">
      <w:pPr>
        <w:autoSpaceDE w:val="0"/>
        <w:autoSpaceDN w:val="0"/>
        <w:adjustRightInd w:val="0"/>
        <w:rPr>
          <w:rFonts w:cs="Times New Roman"/>
          <w:b/>
          <w:szCs w:val="24"/>
        </w:rPr>
      </w:pPr>
      <w:r w:rsidRPr="00DC6CC9">
        <w:rPr>
          <w:rFonts w:cs="Times New Roman"/>
          <w:b/>
          <w:szCs w:val="24"/>
        </w:rPr>
        <w:t>Programy dotacyjne</w:t>
      </w:r>
    </w:p>
    <w:p w14:paraId="666B4B34" w14:textId="1D277395" w:rsidR="00DC6CC9" w:rsidRPr="00DC6CC9" w:rsidRDefault="00DC6CC9" w:rsidP="00DC6CC9">
      <w:pPr>
        <w:autoSpaceDE w:val="0"/>
        <w:autoSpaceDN w:val="0"/>
        <w:adjustRightInd w:val="0"/>
        <w:rPr>
          <w:rFonts w:cs="Times New Roman"/>
          <w:szCs w:val="24"/>
        </w:rPr>
      </w:pPr>
      <w:r w:rsidRPr="00DC6CC9">
        <w:rPr>
          <w:rFonts w:cs="Times New Roman"/>
          <w:szCs w:val="24"/>
        </w:rPr>
        <w:t>Systemowym i stałym działaniem wspierającym realizację projektów kulturalnych i</w:t>
      </w:r>
      <w:r w:rsidR="00154145">
        <w:rPr>
          <w:rFonts w:cs="Times New Roman"/>
          <w:szCs w:val="24"/>
        </w:rPr>
        <w:t> </w:t>
      </w:r>
      <w:r w:rsidRPr="00DC6CC9">
        <w:rPr>
          <w:rFonts w:cs="Times New Roman"/>
          <w:szCs w:val="24"/>
        </w:rPr>
        <w:t>artystycznych są programy dotacyjne. Podstawowym celem Programów Ministra jest dofinansowanie najistotniejszych zadań z zakresu kultury, skierowanych do szerokiego grona odbiorców, w tym do osób starszych. W ramach Programów Ministra ważnym aspektem jest wspieranie projektów uwzględniających potrzeby osób mających ograniczony dostęp do kultury. Dofinansowane zadania służą zatem m.in. ułatwieniu dostępu do kultury. Są one skierowane do różnych grup społecznych i wiekowych, w tym seniorów i osób ze specjalnymi potrzebami (m.in. niedowidzących, niedosłyszących i o ograniczonej sprawności ruchowej), sprzyjając tym samym integracji społecznej i międzypokoleniowej.</w:t>
      </w:r>
    </w:p>
    <w:p w14:paraId="3D30E9F3" w14:textId="77777777" w:rsidR="00DC6CC9" w:rsidRPr="00DC6CC9" w:rsidRDefault="00DC6CC9" w:rsidP="00DC6CC9">
      <w:pPr>
        <w:autoSpaceDE w:val="0"/>
        <w:autoSpaceDN w:val="0"/>
        <w:adjustRightInd w:val="0"/>
        <w:rPr>
          <w:rFonts w:cs="Times New Roman"/>
          <w:szCs w:val="24"/>
        </w:rPr>
      </w:pPr>
      <w:r w:rsidRPr="00DC6CC9">
        <w:rPr>
          <w:rFonts w:cs="Times New Roman"/>
          <w:szCs w:val="24"/>
        </w:rPr>
        <w:lastRenderedPageBreak/>
        <w:t>W zakresie wspierania inicjatyw zwiększających dostęp seniorów do kultury szczególnie istotną rolę odgrywają następujące programy Ministra:</w:t>
      </w:r>
    </w:p>
    <w:p w14:paraId="188BE3E0" w14:textId="77777777" w:rsidR="00DC6CC9" w:rsidRDefault="00DC6CC9" w:rsidP="00FE70E3">
      <w:pPr>
        <w:pStyle w:val="Akapitzlist"/>
        <w:numPr>
          <w:ilvl w:val="0"/>
          <w:numId w:val="50"/>
        </w:numPr>
        <w:autoSpaceDE w:val="0"/>
        <w:autoSpaceDN w:val="0"/>
        <w:adjustRightInd w:val="0"/>
        <w:rPr>
          <w:rFonts w:cs="Times New Roman"/>
          <w:bCs/>
          <w:szCs w:val="24"/>
        </w:rPr>
      </w:pPr>
      <w:r w:rsidRPr="00DC6CC9">
        <w:rPr>
          <w:rFonts w:cs="Times New Roman"/>
          <w:bCs/>
          <w:i/>
          <w:szCs w:val="24"/>
        </w:rPr>
        <w:t>Kultura Dostępna</w:t>
      </w:r>
      <w:r w:rsidRPr="00DC6CC9">
        <w:rPr>
          <w:rFonts w:cs="Times New Roman"/>
          <w:bCs/>
          <w:szCs w:val="24"/>
        </w:rPr>
        <w:t>,</w:t>
      </w:r>
    </w:p>
    <w:p w14:paraId="49B1BE9F" w14:textId="77777777" w:rsidR="00DC6CC9" w:rsidRPr="00DC6CC9" w:rsidRDefault="00DC6CC9" w:rsidP="00FE70E3">
      <w:pPr>
        <w:pStyle w:val="Akapitzlist"/>
        <w:numPr>
          <w:ilvl w:val="0"/>
          <w:numId w:val="50"/>
        </w:numPr>
        <w:autoSpaceDE w:val="0"/>
        <w:autoSpaceDN w:val="0"/>
        <w:adjustRightInd w:val="0"/>
        <w:rPr>
          <w:rFonts w:cs="Times New Roman"/>
          <w:bCs/>
          <w:szCs w:val="24"/>
        </w:rPr>
      </w:pPr>
      <w:r w:rsidRPr="00DC6CC9">
        <w:rPr>
          <w:rFonts w:cs="Times New Roman"/>
          <w:bCs/>
          <w:i/>
          <w:szCs w:val="24"/>
        </w:rPr>
        <w:t>Edukacja kulturalna,</w:t>
      </w:r>
    </w:p>
    <w:p w14:paraId="42EAC715" w14:textId="77777777" w:rsidR="00DC6CC9" w:rsidRPr="00DC6CC9" w:rsidRDefault="00DC6CC9" w:rsidP="00FE70E3">
      <w:pPr>
        <w:pStyle w:val="Akapitzlist"/>
        <w:numPr>
          <w:ilvl w:val="0"/>
          <w:numId w:val="50"/>
        </w:numPr>
        <w:autoSpaceDE w:val="0"/>
        <w:autoSpaceDN w:val="0"/>
        <w:adjustRightInd w:val="0"/>
        <w:rPr>
          <w:rFonts w:cs="Times New Roman"/>
          <w:bCs/>
          <w:szCs w:val="24"/>
        </w:rPr>
      </w:pPr>
      <w:r w:rsidRPr="00DC6CC9">
        <w:rPr>
          <w:rFonts w:cs="Times New Roman"/>
          <w:bCs/>
          <w:i/>
          <w:szCs w:val="24"/>
        </w:rPr>
        <w:t>Kultura ludowa i tradycyjna,</w:t>
      </w:r>
    </w:p>
    <w:p w14:paraId="43E44AFE" w14:textId="77777777" w:rsidR="00DC6CC9" w:rsidRPr="00DC6CC9" w:rsidRDefault="00DC6CC9" w:rsidP="00FE70E3">
      <w:pPr>
        <w:pStyle w:val="Akapitzlist"/>
        <w:numPr>
          <w:ilvl w:val="0"/>
          <w:numId w:val="50"/>
        </w:numPr>
        <w:autoSpaceDE w:val="0"/>
        <w:autoSpaceDN w:val="0"/>
        <w:adjustRightInd w:val="0"/>
        <w:rPr>
          <w:rFonts w:cs="Times New Roman"/>
          <w:bCs/>
          <w:szCs w:val="24"/>
        </w:rPr>
      </w:pPr>
      <w:r w:rsidRPr="00DC6CC9">
        <w:rPr>
          <w:rFonts w:cs="Times New Roman"/>
          <w:bCs/>
          <w:i/>
          <w:szCs w:val="24"/>
        </w:rPr>
        <w:t>Infrastruktura domów kultury,</w:t>
      </w:r>
    </w:p>
    <w:p w14:paraId="281DCE5D" w14:textId="77777777" w:rsidR="00DC6CC9" w:rsidRPr="00DC6CC9" w:rsidRDefault="00DC6CC9" w:rsidP="00FE70E3">
      <w:pPr>
        <w:pStyle w:val="Akapitzlist"/>
        <w:numPr>
          <w:ilvl w:val="0"/>
          <w:numId w:val="50"/>
        </w:numPr>
        <w:autoSpaceDE w:val="0"/>
        <w:autoSpaceDN w:val="0"/>
        <w:adjustRightInd w:val="0"/>
        <w:rPr>
          <w:rFonts w:cs="Times New Roman"/>
          <w:bCs/>
          <w:szCs w:val="24"/>
        </w:rPr>
      </w:pPr>
      <w:r w:rsidRPr="00DC6CC9">
        <w:rPr>
          <w:rFonts w:cs="Times New Roman"/>
          <w:bCs/>
          <w:i/>
          <w:szCs w:val="24"/>
        </w:rPr>
        <w:t>Infrastruktura kultury,</w:t>
      </w:r>
    </w:p>
    <w:p w14:paraId="1A828254" w14:textId="77777777" w:rsidR="00DC6CC9" w:rsidRPr="00DC6CC9" w:rsidRDefault="00DC6CC9" w:rsidP="00FE70E3">
      <w:pPr>
        <w:pStyle w:val="Akapitzlist"/>
        <w:numPr>
          <w:ilvl w:val="0"/>
          <w:numId w:val="50"/>
        </w:numPr>
        <w:autoSpaceDE w:val="0"/>
        <w:autoSpaceDN w:val="0"/>
        <w:adjustRightInd w:val="0"/>
        <w:rPr>
          <w:rFonts w:cs="Times New Roman"/>
          <w:bCs/>
          <w:szCs w:val="24"/>
        </w:rPr>
      </w:pPr>
      <w:r w:rsidRPr="00DC6CC9">
        <w:rPr>
          <w:rFonts w:cs="Times New Roman"/>
          <w:bCs/>
          <w:i/>
          <w:szCs w:val="24"/>
        </w:rPr>
        <w:t>Partnerstwo dla książki</w:t>
      </w:r>
      <w:r w:rsidRPr="00DC6CC9">
        <w:rPr>
          <w:rFonts w:cs="Times New Roman"/>
          <w:bCs/>
          <w:szCs w:val="24"/>
        </w:rPr>
        <w:t>.</w:t>
      </w:r>
    </w:p>
    <w:p w14:paraId="1BCEA15E" w14:textId="77777777" w:rsidR="00DC6CC9" w:rsidRDefault="00DC6CC9" w:rsidP="00DC6CC9">
      <w:pPr>
        <w:autoSpaceDE w:val="0"/>
        <w:autoSpaceDN w:val="0"/>
        <w:adjustRightInd w:val="0"/>
        <w:rPr>
          <w:rFonts w:cs="Times New Roman"/>
          <w:bCs/>
          <w:szCs w:val="24"/>
        </w:rPr>
      </w:pPr>
    </w:p>
    <w:p w14:paraId="6111463F" w14:textId="5EF749CE" w:rsidR="00DC6CC9" w:rsidRPr="00432294" w:rsidRDefault="00DC6CC9" w:rsidP="00DC6CC9">
      <w:pPr>
        <w:pStyle w:val="Legenda"/>
        <w:keepNext/>
        <w:rPr>
          <w:rFonts w:cs="Times New Roman"/>
          <w:b/>
          <w:i w:val="0"/>
          <w:color w:val="auto"/>
          <w:sz w:val="24"/>
        </w:rPr>
      </w:pPr>
      <w:r w:rsidRPr="00432294">
        <w:rPr>
          <w:rFonts w:cs="Times New Roman"/>
          <w:b/>
          <w:i w:val="0"/>
          <w:color w:val="auto"/>
          <w:sz w:val="24"/>
        </w:rPr>
        <w:t xml:space="preserve">Tabela </w:t>
      </w:r>
      <w:r w:rsidR="00B401C8">
        <w:rPr>
          <w:rFonts w:cs="Times New Roman"/>
          <w:b/>
          <w:i w:val="0"/>
          <w:color w:val="auto"/>
          <w:sz w:val="24"/>
        </w:rPr>
        <w:t>41</w:t>
      </w:r>
      <w:r w:rsidR="00EE73AF">
        <w:rPr>
          <w:rFonts w:cs="Times New Roman"/>
          <w:b/>
          <w:i w:val="0"/>
          <w:color w:val="auto"/>
          <w:sz w:val="24"/>
        </w:rPr>
        <w:t>.</w:t>
      </w:r>
      <w:r w:rsidRPr="00432294">
        <w:rPr>
          <w:rFonts w:cs="Times New Roman"/>
          <w:b/>
          <w:i w:val="0"/>
          <w:color w:val="auto"/>
          <w:sz w:val="24"/>
        </w:rPr>
        <w:t xml:space="preserve"> </w:t>
      </w:r>
      <w:r w:rsidRPr="00DC6CC9">
        <w:rPr>
          <w:rFonts w:cs="Times New Roman"/>
          <w:b/>
          <w:i w:val="0"/>
          <w:color w:val="auto"/>
          <w:sz w:val="24"/>
        </w:rPr>
        <w:t>Lista programów dotacyjnych Ministra, w których w 2020 r. zostały dofinansowane przedsięwzięcia, w których seniorzy byli jedną z plano</w:t>
      </w:r>
      <w:r>
        <w:rPr>
          <w:rFonts w:cs="Times New Roman"/>
          <w:b/>
          <w:i w:val="0"/>
          <w:color w:val="auto"/>
          <w:sz w:val="24"/>
        </w:rPr>
        <w:t>wanych grup docelowych projektu.</w:t>
      </w:r>
    </w:p>
    <w:p w14:paraId="6EC0DA71" w14:textId="77777777" w:rsidR="00EC37A8" w:rsidRDefault="00EC37A8" w:rsidP="00DC6CC9">
      <w:pPr>
        <w:tabs>
          <w:tab w:val="left" w:pos="5400"/>
        </w:tabs>
        <w:rPr>
          <w:rFonts w:eastAsia="Times New Roman" w:cs="Times New Roman"/>
          <w:b/>
          <w:szCs w:val="24"/>
          <w:lang w:eastAsia="pl-PL"/>
        </w:rPr>
      </w:pPr>
      <w:r w:rsidRPr="00EC37A8">
        <w:rPr>
          <w:rFonts w:eastAsia="Times New Roman" w:cs="Times New Roman"/>
          <w:b/>
          <w:noProof/>
          <w:szCs w:val="24"/>
          <w:lang w:eastAsia="pl-PL"/>
        </w:rPr>
        <w:drawing>
          <wp:inline distT="0" distB="0" distL="0" distR="0" wp14:anchorId="274329CC" wp14:editId="56A74AF4">
            <wp:extent cx="5759450" cy="4319905"/>
            <wp:effectExtent l="0" t="0" r="0" b="4445"/>
            <wp:docPr id="22" name="Symbol zastępczy zawartości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Symbol zastępczy zawartości 3"/>
                    <pic:cNvPicPr>
                      <a:picLocks noGrp="1"/>
                    </pic:cNvPicPr>
                  </pic:nvPicPr>
                  <pic:blipFill>
                    <a:blip r:embed="rId12">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759450" cy="4319905"/>
                    </a:xfrm>
                    <a:prstGeom prst="rect">
                      <a:avLst/>
                    </a:prstGeom>
                    <a:noFill/>
                    <a:ln>
                      <a:noFill/>
                    </a:ln>
                  </pic:spPr>
                </pic:pic>
              </a:graphicData>
            </a:graphic>
          </wp:inline>
        </w:drawing>
      </w:r>
    </w:p>
    <w:p w14:paraId="77890F0B" w14:textId="77777777" w:rsidR="00DC6CC9" w:rsidRPr="00EC37A8" w:rsidRDefault="00DC6CC9" w:rsidP="00EC37A8">
      <w:pPr>
        <w:tabs>
          <w:tab w:val="left" w:pos="5400"/>
        </w:tabs>
        <w:rPr>
          <w:rFonts w:eastAsia="Times New Roman" w:cs="Times New Roman"/>
          <w:b/>
          <w:szCs w:val="24"/>
          <w:lang w:eastAsia="pl-PL"/>
        </w:rPr>
      </w:pPr>
      <w:r w:rsidRPr="00432294">
        <w:rPr>
          <w:rFonts w:eastAsia="Times New Roman" w:cs="Times New Roman"/>
          <w:b/>
          <w:szCs w:val="24"/>
          <w:lang w:eastAsia="pl-PL"/>
        </w:rPr>
        <w:t xml:space="preserve">Źródło: </w:t>
      </w:r>
      <w:r>
        <w:rPr>
          <w:rFonts w:eastAsia="Times New Roman" w:cs="Times New Roman"/>
          <w:b/>
          <w:szCs w:val="24"/>
          <w:lang w:eastAsia="pl-PL"/>
        </w:rPr>
        <w:t>Dane Ministerstwa Kultury, Dziedzictwa Narodowego i Sportu</w:t>
      </w:r>
      <w:r w:rsidRPr="00432294">
        <w:rPr>
          <w:rFonts w:eastAsia="Times New Roman" w:cs="Times New Roman"/>
          <w:b/>
          <w:szCs w:val="24"/>
          <w:lang w:eastAsia="pl-PL"/>
        </w:rPr>
        <w:t xml:space="preserve">. </w:t>
      </w:r>
    </w:p>
    <w:p w14:paraId="60130BB6" w14:textId="77777777" w:rsidR="00DC6CC9" w:rsidRPr="00DC6CC9" w:rsidRDefault="00DC6CC9" w:rsidP="00DC6CC9">
      <w:pPr>
        <w:autoSpaceDE w:val="0"/>
        <w:autoSpaceDN w:val="0"/>
        <w:adjustRightInd w:val="0"/>
        <w:rPr>
          <w:rFonts w:cs="Times New Roman"/>
          <w:szCs w:val="24"/>
        </w:rPr>
      </w:pPr>
    </w:p>
    <w:p w14:paraId="55B5228D" w14:textId="5B3713E4" w:rsidR="00DC6CC9" w:rsidRPr="00DC6CC9" w:rsidRDefault="00DC6CC9" w:rsidP="00DC6CC9">
      <w:pPr>
        <w:autoSpaceDE w:val="0"/>
        <w:autoSpaceDN w:val="0"/>
        <w:adjustRightInd w:val="0"/>
        <w:rPr>
          <w:rFonts w:cs="Times New Roman"/>
          <w:szCs w:val="24"/>
        </w:rPr>
      </w:pPr>
      <w:r w:rsidRPr="00DC6CC9">
        <w:rPr>
          <w:rFonts w:cs="Times New Roman"/>
          <w:szCs w:val="24"/>
        </w:rPr>
        <w:t>W 2020 r. kontynuowano również programy dotacyjne uwzględniające zadania z zakresu dostosowania budynków instytucji kultury do potrzeb osób starszych oraz niepełnosprawnych – likwidowano bariery architektoniczne oraz instalowano systemy wspomagające dostęp do</w:t>
      </w:r>
      <w:r w:rsidR="00154145">
        <w:rPr>
          <w:rFonts w:cs="Times New Roman"/>
          <w:szCs w:val="24"/>
        </w:rPr>
        <w:t> </w:t>
      </w:r>
      <w:r w:rsidRPr="00DC6CC9">
        <w:rPr>
          <w:rFonts w:cs="Times New Roman"/>
          <w:szCs w:val="24"/>
        </w:rPr>
        <w:t>oferty kulturalnej. Działania tego rodzaju były również przedmiotem dofinansowań udzielonych za pośrednictwem następujących programów:</w:t>
      </w:r>
    </w:p>
    <w:p w14:paraId="20FB6878" w14:textId="77777777" w:rsidR="00DC6CC9" w:rsidRPr="00DC6CC9" w:rsidRDefault="00DC6CC9" w:rsidP="00EC37A8">
      <w:pPr>
        <w:autoSpaceDE w:val="0"/>
        <w:autoSpaceDN w:val="0"/>
        <w:adjustRightInd w:val="0"/>
        <w:rPr>
          <w:rFonts w:cs="Times New Roman"/>
          <w:b/>
          <w:bCs/>
          <w:i/>
          <w:szCs w:val="24"/>
        </w:rPr>
      </w:pPr>
      <w:r w:rsidRPr="00DC6CC9">
        <w:rPr>
          <w:rFonts w:cs="Times New Roman"/>
          <w:b/>
          <w:bCs/>
          <w:i/>
          <w:szCs w:val="24"/>
        </w:rPr>
        <w:lastRenderedPageBreak/>
        <w:t>Program Operacyjny Infrastruktura i Środowisko 2014-2020 - Ochrona dziedzictwa kulturowego i rozwój zasobów kultury</w:t>
      </w:r>
    </w:p>
    <w:p w14:paraId="67E396FD" w14:textId="1CD62D09" w:rsidR="00DC6CC9" w:rsidRPr="00DC6CC9" w:rsidRDefault="00DC6CC9" w:rsidP="00DC6CC9">
      <w:pPr>
        <w:autoSpaceDE w:val="0"/>
        <w:autoSpaceDN w:val="0"/>
        <w:adjustRightInd w:val="0"/>
        <w:rPr>
          <w:rFonts w:cs="Times New Roman"/>
          <w:szCs w:val="24"/>
        </w:rPr>
      </w:pPr>
      <w:r w:rsidRPr="00DC6CC9">
        <w:rPr>
          <w:rFonts w:cs="Times New Roman"/>
          <w:szCs w:val="24"/>
        </w:rPr>
        <w:t xml:space="preserve">Większość realizowanych projektów wpisuje się w sposób pozytywny w prowadzoną politykę społeczną wobec osób starszych, m.in. poprzez likwidację barier architektonicznych, zapewniając osobom starszym możliwość pełnego udziału w ofercie kulturalno-edukacyjnej - jest to systemowy warunek niezbędny przy realizacji wszystkich projektów. W ramach projektów organizuje się również działania </w:t>
      </w:r>
      <w:r w:rsidR="00154145" w:rsidRPr="00DC6CC9">
        <w:rPr>
          <w:rFonts w:cs="Times New Roman"/>
          <w:szCs w:val="24"/>
        </w:rPr>
        <w:t>społecznej</w:t>
      </w:r>
      <w:r w:rsidRPr="00DC6CC9">
        <w:rPr>
          <w:rFonts w:cs="Times New Roman"/>
          <w:szCs w:val="24"/>
        </w:rPr>
        <w:t xml:space="preserve"> aktywizujące dla seniorów. W ramach Programu realizowanych jest 145 projektów o łącznej wartości kosztów całkowitych ponad 3</w:t>
      </w:r>
      <w:r w:rsidR="00154145">
        <w:rPr>
          <w:rFonts w:cs="Times New Roman"/>
          <w:szCs w:val="24"/>
        </w:rPr>
        <w:t> </w:t>
      </w:r>
      <w:r w:rsidRPr="00DC6CC9">
        <w:rPr>
          <w:rFonts w:cs="Times New Roman"/>
          <w:szCs w:val="24"/>
        </w:rPr>
        <w:t>mld zł. Do końca 2020 r. zakończono i rozliczono pod względem finansowym 47 projektów.</w:t>
      </w:r>
    </w:p>
    <w:p w14:paraId="2124481F" w14:textId="77777777" w:rsidR="00DC6CC9" w:rsidRPr="00DC6CC9" w:rsidRDefault="00DC6CC9" w:rsidP="00DC6CC9">
      <w:pPr>
        <w:autoSpaceDE w:val="0"/>
        <w:autoSpaceDN w:val="0"/>
        <w:adjustRightInd w:val="0"/>
        <w:rPr>
          <w:rFonts w:cs="Times New Roman"/>
          <w:szCs w:val="24"/>
        </w:rPr>
      </w:pPr>
    </w:p>
    <w:p w14:paraId="07EF896F" w14:textId="77777777" w:rsidR="00DC6CC9" w:rsidRPr="00DC6CC9" w:rsidRDefault="00DC6CC9" w:rsidP="00EC37A8">
      <w:pPr>
        <w:autoSpaceDE w:val="0"/>
        <w:autoSpaceDN w:val="0"/>
        <w:adjustRightInd w:val="0"/>
        <w:rPr>
          <w:rFonts w:cs="Times New Roman"/>
          <w:b/>
          <w:bCs/>
          <w:i/>
          <w:szCs w:val="24"/>
        </w:rPr>
      </w:pPr>
      <w:r w:rsidRPr="00DC6CC9">
        <w:rPr>
          <w:rFonts w:cs="Times New Roman"/>
          <w:b/>
          <w:bCs/>
          <w:i/>
          <w:szCs w:val="24"/>
        </w:rPr>
        <w:t>EOG Program „Kultura” w ramach Działania 1 „Poprawa zarządzania dziedzictwem kulturowym” 2014-2021</w:t>
      </w:r>
    </w:p>
    <w:p w14:paraId="0B781555" w14:textId="24F3B9CD" w:rsidR="00DC6CC9" w:rsidRPr="00DC6CC9" w:rsidRDefault="00DC6CC9" w:rsidP="00DC6CC9">
      <w:pPr>
        <w:autoSpaceDE w:val="0"/>
        <w:autoSpaceDN w:val="0"/>
        <w:adjustRightInd w:val="0"/>
        <w:rPr>
          <w:rFonts w:cs="Times New Roman"/>
          <w:szCs w:val="24"/>
        </w:rPr>
      </w:pPr>
      <w:r w:rsidRPr="00DC6CC9">
        <w:rPr>
          <w:rFonts w:cs="Times New Roman"/>
          <w:szCs w:val="24"/>
        </w:rPr>
        <w:t>Realizowanych jest 20 projektów o łącznej wartości kosztów całkowitych ponad 370 mln zł. Inwestycje są</w:t>
      </w:r>
      <w:r w:rsidR="006C0E8B">
        <w:rPr>
          <w:rFonts w:cs="Times New Roman"/>
          <w:szCs w:val="24"/>
        </w:rPr>
        <w:t xml:space="preserve"> </w:t>
      </w:r>
      <w:r w:rsidRPr="00DC6CC9">
        <w:rPr>
          <w:rFonts w:cs="Times New Roman"/>
          <w:szCs w:val="24"/>
        </w:rPr>
        <w:t>w początkowej fazie realizacji i dotyczą infrastruktury kultury. W ramach realizowanych inwestycji wprowadzane są m.in. działania likwidujące bariery architektoniczne i dostosowujące budynki instytucji kultury do potrzeb osób starszych oraz z</w:t>
      </w:r>
      <w:r w:rsidR="00154145">
        <w:rPr>
          <w:rFonts w:cs="Times New Roman"/>
          <w:szCs w:val="24"/>
        </w:rPr>
        <w:t> </w:t>
      </w:r>
      <w:r w:rsidRPr="00DC6CC9">
        <w:rPr>
          <w:rFonts w:cs="Times New Roman"/>
          <w:szCs w:val="24"/>
        </w:rPr>
        <w:t>niepełnosprawnościami, zwiększające dostępność tych obiektów oraz możliwość uczestnictwa w wydarzeniach kulturalnych osobom starszym. Ponadto, w odrestaurowanych, zmodernizowanych obiektach zakłada się często prowadzenie specjalnych zajęć edukacyjnych</w:t>
      </w:r>
      <w:r w:rsidR="00154145">
        <w:rPr>
          <w:rFonts w:cs="Times New Roman"/>
          <w:szCs w:val="24"/>
        </w:rPr>
        <w:t xml:space="preserve"> </w:t>
      </w:r>
      <w:r w:rsidRPr="00DC6CC9">
        <w:rPr>
          <w:rFonts w:cs="Times New Roman"/>
          <w:szCs w:val="24"/>
        </w:rPr>
        <w:t>i rozszerzenie oferty kulturalnej o działania skierowane do osób starszych i</w:t>
      </w:r>
      <w:r w:rsidR="00154145">
        <w:rPr>
          <w:rFonts w:cs="Times New Roman"/>
          <w:szCs w:val="24"/>
        </w:rPr>
        <w:t> </w:t>
      </w:r>
      <w:r w:rsidRPr="00DC6CC9">
        <w:rPr>
          <w:rFonts w:cs="Times New Roman"/>
          <w:szCs w:val="24"/>
        </w:rPr>
        <w:t>z</w:t>
      </w:r>
      <w:r w:rsidR="00154145">
        <w:rPr>
          <w:rFonts w:cs="Times New Roman"/>
          <w:szCs w:val="24"/>
        </w:rPr>
        <w:t> </w:t>
      </w:r>
      <w:r w:rsidRPr="00DC6CC9">
        <w:rPr>
          <w:rFonts w:cs="Times New Roman"/>
          <w:szCs w:val="24"/>
        </w:rPr>
        <w:t>niepełnosprawnościami.</w:t>
      </w:r>
    </w:p>
    <w:p w14:paraId="18D72597" w14:textId="77777777" w:rsidR="00DC6CC9" w:rsidRPr="00DC6CC9" w:rsidRDefault="00DC6CC9" w:rsidP="00DC6CC9">
      <w:pPr>
        <w:autoSpaceDE w:val="0"/>
        <w:autoSpaceDN w:val="0"/>
        <w:adjustRightInd w:val="0"/>
        <w:rPr>
          <w:rFonts w:cs="Times New Roman"/>
          <w:szCs w:val="24"/>
        </w:rPr>
      </w:pPr>
    </w:p>
    <w:p w14:paraId="10C9BED1" w14:textId="77777777" w:rsidR="00DC6CC9" w:rsidRPr="00DC6CC9" w:rsidRDefault="00DC6CC9" w:rsidP="00EC37A8">
      <w:pPr>
        <w:autoSpaceDE w:val="0"/>
        <w:autoSpaceDN w:val="0"/>
        <w:adjustRightInd w:val="0"/>
        <w:rPr>
          <w:rFonts w:cs="Times New Roman"/>
          <w:b/>
          <w:bCs/>
          <w:i/>
          <w:szCs w:val="24"/>
        </w:rPr>
      </w:pPr>
      <w:r w:rsidRPr="00DC6CC9">
        <w:rPr>
          <w:rFonts w:cs="Times New Roman"/>
          <w:b/>
          <w:bCs/>
          <w:i/>
          <w:szCs w:val="24"/>
        </w:rPr>
        <w:t>Narodowy Program Rozwoju Czytelnictwa w ramach Priorytetu 2 - „Infrastruktura bibliotek 2016-2020”</w:t>
      </w:r>
    </w:p>
    <w:p w14:paraId="16FF2A4E" w14:textId="5606A3A3" w:rsidR="00154145" w:rsidRPr="00DC6CC9" w:rsidRDefault="00DC6CC9" w:rsidP="00DC6CC9">
      <w:pPr>
        <w:autoSpaceDE w:val="0"/>
        <w:autoSpaceDN w:val="0"/>
        <w:adjustRightInd w:val="0"/>
        <w:rPr>
          <w:rFonts w:cs="Times New Roman"/>
          <w:szCs w:val="24"/>
        </w:rPr>
      </w:pPr>
      <w:r w:rsidRPr="00DC6CC9">
        <w:rPr>
          <w:rFonts w:cs="Times New Roman"/>
          <w:szCs w:val="24"/>
        </w:rPr>
        <w:t>Działania podejmowane na rzecz osób starszych to przede wszystkim dążenie do zapewnienia dostępności architektonicznej oraz cyfrowej i informacyjno-komunikacyjnej. Zapisy regulaminu przewidywały wymóg podjęcia przez beneficjenta możliwych działań mających na</w:t>
      </w:r>
      <w:r w:rsidR="00154145">
        <w:rPr>
          <w:rFonts w:cs="Times New Roman"/>
          <w:szCs w:val="24"/>
        </w:rPr>
        <w:t> </w:t>
      </w:r>
      <w:r w:rsidRPr="00DC6CC9">
        <w:rPr>
          <w:rFonts w:cs="Times New Roman"/>
          <w:szCs w:val="24"/>
        </w:rPr>
        <w:t>celu ułatwienie dostępu osobom ze szczególnymi potrzebami do budynku biblioteki. Wśród dokumentów do pobrania na stronie internetowej Instytutu Książki znajduje się dokument „Standardy dostępności budynków dla osób z niepełn</w:t>
      </w:r>
      <w:r w:rsidR="00EC37A8">
        <w:rPr>
          <w:rFonts w:cs="Times New Roman"/>
          <w:szCs w:val="24"/>
        </w:rPr>
        <w:t>osprawnościami”</w:t>
      </w:r>
      <w:r w:rsidRPr="00DC6CC9">
        <w:rPr>
          <w:rFonts w:cs="Times New Roman"/>
          <w:szCs w:val="24"/>
        </w:rPr>
        <w:t>. Wśród osób wymagających szczególnego dostosowania znajdują się także osoby starsze.</w:t>
      </w:r>
    </w:p>
    <w:p w14:paraId="646D411F" w14:textId="0179DF6E" w:rsidR="00DC6CC9" w:rsidRPr="00DC6CC9" w:rsidRDefault="00DC6CC9" w:rsidP="00DC6CC9">
      <w:pPr>
        <w:autoSpaceDE w:val="0"/>
        <w:autoSpaceDN w:val="0"/>
        <w:adjustRightInd w:val="0"/>
        <w:rPr>
          <w:rFonts w:cs="Times New Roman"/>
          <w:szCs w:val="24"/>
        </w:rPr>
      </w:pPr>
      <w:r w:rsidRPr="00DC6CC9">
        <w:rPr>
          <w:rFonts w:cs="Times New Roman"/>
          <w:szCs w:val="24"/>
        </w:rPr>
        <w:t>Dodatkowo w 2020 r. opracowywano dokumenty związane z przygotowaniem Narodowego Programu Rozwoju Czytelnictwa 2.0 na lata 2021-2025 (oraz dokumentów niższego rzędu). W</w:t>
      </w:r>
      <w:r w:rsidR="00154145">
        <w:rPr>
          <w:rFonts w:cs="Times New Roman"/>
          <w:szCs w:val="24"/>
        </w:rPr>
        <w:t> </w:t>
      </w:r>
      <w:r w:rsidRPr="00DC6CC9">
        <w:rPr>
          <w:rFonts w:cs="Times New Roman"/>
          <w:szCs w:val="24"/>
        </w:rPr>
        <w:t xml:space="preserve">założeniach Priorytetu 2, Kierunek Interwencji 2.1., który jest kontynuacją i rozszerzeniem </w:t>
      </w:r>
      <w:proofErr w:type="spellStart"/>
      <w:r w:rsidRPr="00DC6CC9">
        <w:rPr>
          <w:rFonts w:cs="Times New Roman"/>
          <w:szCs w:val="24"/>
        </w:rPr>
        <w:t>NPRCz</w:t>
      </w:r>
      <w:proofErr w:type="spellEnd"/>
      <w:r w:rsidRPr="00DC6CC9">
        <w:rPr>
          <w:rFonts w:cs="Times New Roman"/>
          <w:szCs w:val="24"/>
        </w:rPr>
        <w:t xml:space="preserve"> PR2 z lat 2016-2020, wśród standardów obowiązkowych znalazły się następujące wymogi istotne z perspektywy osób starszych:</w:t>
      </w:r>
    </w:p>
    <w:p w14:paraId="4E683C9E" w14:textId="352BA2E6" w:rsidR="00EC37A8" w:rsidRDefault="00DC6CC9" w:rsidP="00FE70E3">
      <w:pPr>
        <w:pStyle w:val="Akapitzlist"/>
        <w:numPr>
          <w:ilvl w:val="0"/>
          <w:numId w:val="51"/>
        </w:numPr>
        <w:autoSpaceDE w:val="0"/>
        <w:autoSpaceDN w:val="0"/>
        <w:adjustRightInd w:val="0"/>
        <w:rPr>
          <w:rFonts w:cs="Times New Roman"/>
          <w:szCs w:val="24"/>
        </w:rPr>
      </w:pPr>
      <w:r w:rsidRPr="00EC37A8">
        <w:rPr>
          <w:rFonts w:cs="Times New Roman"/>
          <w:szCs w:val="24"/>
        </w:rPr>
        <w:t>spełnianie wymagań określonych w ustawie z dnia 19 lipca 2019 r. o zapewnianiu dostępności osobom ze szczególnymi potrzebami,</w:t>
      </w:r>
    </w:p>
    <w:p w14:paraId="0FEA6AFE" w14:textId="525D13D3" w:rsidR="00DC6CC9" w:rsidRPr="00EC37A8" w:rsidRDefault="00DC6CC9" w:rsidP="00FE70E3">
      <w:pPr>
        <w:pStyle w:val="Akapitzlist"/>
        <w:numPr>
          <w:ilvl w:val="0"/>
          <w:numId w:val="51"/>
        </w:numPr>
        <w:autoSpaceDE w:val="0"/>
        <w:autoSpaceDN w:val="0"/>
        <w:adjustRightInd w:val="0"/>
        <w:rPr>
          <w:rFonts w:cs="Times New Roman"/>
          <w:szCs w:val="24"/>
        </w:rPr>
      </w:pPr>
      <w:r w:rsidRPr="00EC37A8">
        <w:rPr>
          <w:rFonts w:cs="Times New Roman"/>
          <w:szCs w:val="24"/>
        </w:rPr>
        <w:t>spełnianie wymagań określonych w ustawie z dnia 4 kwietnia 2019 r. o dostępności cyfrowej stron internetowych i aplikacji mobilnych podmiotów publicznych (Dz.</w:t>
      </w:r>
      <w:r w:rsidR="006C0E8B">
        <w:rPr>
          <w:rFonts w:cs="Times New Roman"/>
          <w:szCs w:val="24"/>
        </w:rPr>
        <w:t xml:space="preserve"> </w:t>
      </w:r>
      <w:r w:rsidRPr="00EC37A8">
        <w:rPr>
          <w:rFonts w:cs="Times New Roman"/>
          <w:szCs w:val="24"/>
        </w:rPr>
        <w:t xml:space="preserve">U. </w:t>
      </w:r>
      <w:r w:rsidR="006C0E8B">
        <w:rPr>
          <w:rFonts w:cs="Times New Roman"/>
          <w:szCs w:val="24"/>
        </w:rPr>
        <w:t xml:space="preserve">poz. </w:t>
      </w:r>
      <w:r w:rsidRPr="00EC37A8">
        <w:rPr>
          <w:rFonts w:cs="Times New Roman"/>
          <w:szCs w:val="24"/>
        </w:rPr>
        <w:t>848</w:t>
      </w:r>
      <w:r w:rsidR="006C0E8B">
        <w:rPr>
          <w:rFonts w:cs="Times New Roman"/>
          <w:szCs w:val="24"/>
        </w:rPr>
        <w:t xml:space="preserve">, z </w:t>
      </w:r>
      <w:proofErr w:type="spellStart"/>
      <w:r w:rsidR="006C0E8B">
        <w:rPr>
          <w:rFonts w:cs="Times New Roman"/>
          <w:szCs w:val="24"/>
        </w:rPr>
        <w:t>późn</w:t>
      </w:r>
      <w:proofErr w:type="spellEnd"/>
      <w:r w:rsidR="006C0E8B">
        <w:rPr>
          <w:rFonts w:cs="Times New Roman"/>
          <w:szCs w:val="24"/>
        </w:rPr>
        <w:t>. zm.</w:t>
      </w:r>
      <w:r w:rsidRPr="00EC37A8">
        <w:rPr>
          <w:rFonts w:cs="Times New Roman"/>
          <w:szCs w:val="24"/>
        </w:rPr>
        <w:t>).</w:t>
      </w:r>
    </w:p>
    <w:p w14:paraId="2F1753D6" w14:textId="77777777" w:rsidR="00DC6CC9" w:rsidRPr="00DC6CC9" w:rsidRDefault="00DC6CC9" w:rsidP="00DC6CC9">
      <w:pPr>
        <w:autoSpaceDE w:val="0"/>
        <w:autoSpaceDN w:val="0"/>
        <w:adjustRightInd w:val="0"/>
        <w:rPr>
          <w:rFonts w:cs="Times New Roman"/>
          <w:szCs w:val="24"/>
        </w:rPr>
      </w:pPr>
      <w:r w:rsidRPr="00DC6CC9">
        <w:rPr>
          <w:rFonts w:cs="Times New Roman"/>
          <w:szCs w:val="24"/>
        </w:rPr>
        <w:lastRenderedPageBreak/>
        <w:t>Natomiast wśród standardów punktowanych dodatkowo w kryteriach oceny merytorycznej znalazły się:</w:t>
      </w:r>
    </w:p>
    <w:p w14:paraId="2CF8101C" w14:textId="77777777" w:rsidR="00DC6CC9" w:rsidRPr="00DC6CC9" w:rsidRDefault="00DC6CC9" w:rsidP="00FE70E3">
      <w:pPr>
        <w:numPr>
          <w:ilvl w:val="0"/>
          <w:numId w:val="45"/>
        </w:numPr>
        <w:autoSpaceDE w:val="0"/>
        <w:autoSpaceDN w:val="0"/>
        <w:adjustRightInd w:val="0"/>
        <w:rPr>
          <w:rFonts w:cs="Times New Roman"/>
          <w:szCs w:val="24"/>
        </w:rPr>
      </w:pPr>
      <w:r w:rsidRPr="00DC6CC9">
        <w:rPr>
          <w:rFonts w:cs="Times New Roman"/>
          <w:szCs w:val="24"/>
        </w:rPr>
        <w:t>spełnienie standardów dostępności budynków dla osób z niepełnosprawnościami wskazane</w:t>
      </w:r>
      <w:r w:rsidRPr="00DC6CC9">
        <w:rPr>
          <w:rFonts w:cs="Times New Roman"/>
          <w:szCs w:val="24"/>
        </w:rPr>
        <w:br/>
        <w:t>w poradniku Ministerstwa Infrastruktury i Budownictwa z 2017 r. „Standardy dostępności budynków dla osób z niepełnosprawnościami”,</w:t>
      </w:r>
    </w:p>
    <w:p w14:paraId="438ED412" w14:textId="77777777" w:rsidR="00DC6CC9" w:rsidRPr="00DC6CC9" w:rsidRDefault="00DC6CC9" w:rsidP="00FE70E3">
      <w:pPr>
        <w:numPr>
          <w:ilvl w:val="0"/>
          <w:numId w:val="45"/>
        </w:numPr>
        <w:autoSpaceDE w:val="0"/>
        <w:autoSpaceDN w:val="0"/>
        <w:adjustRightInd w:val="0"/>
        <w:rPr>
          <w:rFonts w:cs="Times New Roman"/>
          <w:szCs w:val="24"/>
        </w:rPr>
      </w:pPr>
      <w:r w:rsidRPr="00DC6CC9">
        <w:rPr>
          <w:rFonts w:cs="Times New Roman"/>
          <w:szCs w:val="24"/>
        </w:rPr>
        <w:t>uruchomienie w ramach realizacji zadania wyraźnie oznakowanego pomieszczenia (dopuszcza się także trwałe wydzielenie wyraźnie oznakowanej i wyodrębnionej przestrzeni w ramach pomieszczenia wielofunkcyjnego) przeznaczonego do aktywnej pracy z seniorami, z wyposażeniem dostosowanym do potrzeb tej grupy wiekowej.</w:t>
      </w:r>
    </w:p>
    <w:p w14:paraId="596A7E78" w14:textId="77777777" w:rsidR="00DC6CC9" w:rsidRPr="00DC6CC9" w:rsidRDefault="00DC6CC9" w:rsidP="00DC6CC9">
      <w:pPr>
        <w:autoSpaceDE w:val="0"/>
        <w:autoSpaceDN w:val="0"/>
        <w:adjustRightInd w:val="0"/>
        <w:rPr>
          <w:rFonts w:cs="Times New Roman"/>
          <w:szCs w:val="24"/>
        </w:rPr>
      </w:pPr>
      <w:r w:rsidRPr="00DC6CC9">
        <w:rPr>
          <w:rFonts w:cs="Times New Roman"/>
          <w:szCs w:val="24"/>
        </w:rPr>
        <w:t>Ponadto w ramach PR 2 K.I. 2.1. monitorowane będą wskaźniki:</w:t>
      </w:r>
    </w:p>
    <w:p w14:paraId="6582A9D1" w14:textId="3ADD9532" w:rsidR="00DC6CC9" w:rsidRPr="00DC6CC9" w:rsidRDefault="00DC6CC9" w:rsidP="00FE70E3">
      <w:pPr>
        <w:numPr>
          <w:ilvl w:val="0"/>
          <w:numId w:val="46"/>
        </w:numPr>
        <w:autoSpaceDE w:val="0"/>
        <w:autoSpaceDN w:val="0"/>
        <w:adjustRightInd w:val="0"/>
        <w:rPr>
          <w:rFonts w:cs="Times New Roman"/>
          <w:szCs w:val="24"/>
        </w:rPr>
      </w:pPr>
      <w:r w:rsidRPr="00DC6CC9">
        <w:rPr>
          <w:rFonts w:cs="Times New Roman"/>
          <w:szCs w:val="24"/>
        </w:rPr>
        <w:t>Liczba obiektów bibliotecznych, które w wyniku realizacji zadania przystosowały wyraźnie oznakowane pomieszczenie (lub trwale wydzieloną, wyraźnie oznakowaną i wyodrębnioną przestrzeń w pomieszczeniu wielofunkcyjnym) p</w:t>
      </w:r>
      <w:r w:rsidR="001E0F91">
        <w:rPr>
          <w:rFonts w:cs="Times New Roman"/>
          <w:szCs w:val="24"/>
        </w:rPr>
        <w:t>rzeznaczoną do aktywnej pracy z </w:t>
      </w:r>
      <w:r w:rsidRPr="00DC6CC9">
        <w:rPr>
          <w:rFonts w:cs="Times New Roman"/>
          <w:szCs w:val="24"/>
        </w:rPr>
        <w:t>seniorami, z wyposażeniem dostosowanym do potrzeb tej grupy wiekowej,</w:t>
      </w:r>
    </w:p>
    <w:p w14:paraId="60B9AA2A" w14:textId="77777777" w:rsidR="00DC6CC9" w:rsidRPr="00DC6CC9" w:rsidRDefault="00DC6CC9" w:rsidP="00FE70E3">
      <w:pPr>
        <w:numPr>
          <w:ilvl w:val="0"/>
          <w:numId w:val="46"/>
        </w:numPr>
        <w:autoSpaceDE w:val="0"/>
        <w:autoSpaceDN w:val="0"/>
        <w:adjustRightInd w:val="0"/>
        <w:rPr>
          <w:rFonts w:cs="Times New Roman"/>
          <w:szCs w:val="24"/>
        </w:rPr>
      </w:pPr>
      <w:r w:rsidRPr="00DC6CC9">
        <w:rPr>
          <w:rFonts w:cs="Times New Roman"/>
          <w:szCs w:val="24"/>
        </w:rPr>
        <w:t>Liczba bibliotek (obiektów bibliotecznych), które w wyniku realizacji zadania zostały dostosowane do potrzeb osób ze szczególnymi potrzebami,</w:t>
      </w:r>
    </w:p>
    <w:p w14:paraId="4DC1F508" w14:textId="77777777" w:rsidR="00DC6CC9" w:rsidRPr="00DC6CC9" w:rsidRDefault="00DC6CC9" w:rsidP="00FE70E3">
      <w:pPr>
        <w:numPr>
          <w:ilvl w:val="0"/>
          <w:numId w:val="46"/>
        </w:numPr>
        <w:autoSpaceDE w:val="0"/>
        <w:autoSpaceDN w:val="0"/>
        <w:adjustRightInd w:val="0"/>
        <w:rPr>
          <w:rFonts w:cs="Times New Roman"/>
          <w:szCs w:val="24"/>
        </w:rPr>
      </w:pPr>
      <w:r w:rsidRPr="00DC6CC9">
        <w:rPr>
          <w:rFonts w:cs="Times New Roman"/>
          <w:szCs w:val="24"/>
        </w:rPr>
        <w:t>Liczba obiektów bibliotecznych, które w wyniku realizacji zadania poprawiły poziom dostępności obiektu dla osób ze szczególnymi potrzebami.</w:t>
      </w:r>
    </w:p>
    <w:p w14:paraId="24E223B4" w14:textId="77777777" w:rsidR="00EC37A8" w:rsidRDefault="00EC37A8" w:rsidP="00DC6CC9">
      <w:pPr>
        <w:autoSpaceDE w:val="0"/>
        <w:autoSpaceDN w:val="0"/>
        <w:adjustRightInd w:val="0"/>
        <w:rPr>
          <w:rFonts w:cs="Times New Roman"/>
          <w:szCs w:val="24"/>
        </w:rPr>
      </w:pPr>
    </w:p>
    <w:p w14:paraId="1280642B" w14:textId="49369DF4" w:rsidR="00DC6CC9" w:rsidRPr="00DC6CC9" w:rsidRDefault="00DC6CC9" w:rsidP="00DC6CC9">
      <w:pPr>
        <w:autoSpaceDE w:val="0"/>
        <w:autoSpaceDN w:val="0"/>
        <w:adjustRightInd w:val="0"/>
        <w:rPr>
          <w:rFonts w:cs="Times New Roman"/>
          <w:szCs w:val="24"/>
        </w:rPr>
      </w:pPr>
      <w:r w:rsidRPr="00DC6CC9">
        <w:rPr>
          <w:rFonts w:cs="Times New Roman"/>
          <w:szCs w:val="24"/>
        </w:rPr>
        <w:t>W ramach programu „Infrastruktura Bibliotek” wśród kryteriów punktowanych znajduje się kryterium nr 2,</w:t>
      </w:r>
      <w:r w:rsidR="00154145">
        <w:rPr>
          <w:rFonts w:cs="Times New Roman"/>
          <w:szCs w:val="24"/>
        </w:rPr>
        <w:t xml:space="preserve"> </w:t>
      </w:r>
      <w:r w:rsidRPr="00DC6CC9">
        <w:rPr>
          <w:rFonts w:cs="Times New Roman"/>
          <w:szCs w:val="24"/>
        </w:rPr>
        <w:t>w którym beneficjent zobowiązuje się, że: „Po zakończeniu zadania biblioteka będzie prowadziła zadania wykraczające poza tradycyjne funkcje biblioteki, skierowane do zróżnicowanych grup (dzieci, młodzież, mieszkańcy w wieku produkcyjnym, seniorzy)” oraz kryterium nr 4: „Po zakończeniu zadania biblioteka będzie realizowała działania służące podnoszeniu kompetencji informatycznych (cyfrowych) lokalnej społeczności, przy jednoczesnym właściwym zaplanowaniu wyposażenia dla tak definiowanej funkcji”, które to kryterium, jak pokazuje praktyka, najczęściej realizowane jest przez organizację kursów komputerowych dla seniorów. Ponadto zapisy kryterium nr 3 („Po zakończeniu zadania biblioteka weźmie udział w lokalnym partnerstwie publicznospołecznym na rzecz czytelnictwa, między innymi poprzez współpracę z lokalnymi organizacjami i mieszkańcami, a także w lokalnym partnerstwie z instytucjami publicznymi na rzecz czytelnictwa”), również jak pokazuje praktyka, często realizowane są poprzez współpracę ze stowarzyszeniami /organizacjami/ lokalnymi grupami działania zrzeszającymi seniorów (koła gospodyń, kluby seniora).</w:t>
      </w:r>
    </w:p>
    <w:p w14:paraId="628F8CCD" w14:textId="77777777" w:rsidR="00DC6CC9" w:rsidRPr="00DC6CC9" w:rsidRDefault="00DC6CC9" w:rsidP="00DC6CC9">
      <w:pPr>
        <w:autoSpaceDE w:val="0"/>
        <w:autoSpaceDN w:val="0"/>
        <w:adjustRightInd w:val="0"/>
        <w:rPr>
          <w:rFonts w:cs="Times New Roman"/>
          <w:szCs w:val="24"/>
        </w:rPr>
      </w:pPr>
    </w:p>
    <w:p w14:paraId="381983BE" w14:textId="368BE28A" w:rsidR="00DC6CC9" w:rsidRDefault="00154145" w:rsidP="00EC37A8">
      <w:pPr>
        <w:pStyle w:val="Nagwek3"/>
      </w:pPr>
      <w:bookmarkStart w:id="72" w:name="_Toc77513915"/>
      <w:bookmarkStart w:id="73" w:name="_Toc80523069"/>
      <w:r>
        <w:t>W</w:t>
      </w:r>
      <w:r w:rsidRPr="00DC6CC9">
        <w:t>spieranie aktywności kulturalnej i artystycznej seniorów</w:t>
      </w:r>
      <w:bookmarkEnd w:id="72"/>
      <w:bookmarkEnd w:id="73"/>
    </w:p>
    <w:p w14:paraId="2F7E8B7F" w14:textId="77777777" w:rsidR="00154145" w:rsidRPr="00154145" w:rsidRDefault="00154145" w:rsidP="00154145"/>
    <w:p w14:paraId="45DFDFBF" w14:textId="3005A7EB" w:rsidR="00DC6CC9" w:rsidRDefault="00DC6CC9" w:rsidP="00DC6CC9">
      <w:pPr>
        <w:autoSpaceDE w:val="0"/>
        <w:autoSpaceDN w:val="0"/>
        <w:adjustRightInd w:val="0"/>
        <w:rPr>
          <w:rFonts w:cs="Times New Roman"/>
          <w:szCs w:val="24"/>
        </w:rPr>
      </w:pPr>
      <w:r w:rsidRPr="00DC6CC9">
        <w:rPr>
          <w:rFonts w:cs="Times New Roman"/>
          <w:szCs w:val="24"/>
        </w:rPr>
        <w:t>W 2020 r. instytucje kultury przeniosły wiele działań do sfery Internetu i mediów społecznościowych. Tego rodzaju działania promocyjne miały</w:t>
      </w:r>
      <w:r w:rsidR="001E0F91">
        <w:rPr>
          <w:rFonts w:cs="Times New Roman"/>
          <w:szCs w:val="24"/>
        </w:rPr>
        <w:t xml:space="preserve"> na celu utrzymanie łączności z </w:t>
      </w:r>
      <w:r w:rsidRPr="00DC6CC9">
        <w:rPr>
          <w:rFonts w:cs="Times New Roman"/>
          <w:szCs w:val="24"/>
        </w:rPr>
        <w:t>dotychczasowymi odbiorcami, pozwoliły także na szerszy udział w działalności instytucji osób z niepełnosprawnościami, w tym także związanymi</w:t>
      </w:r>
      <w:r w:rsidR="00154145">
        <w:rPr>
          <w:rFonts w:cs="Times New Roman"/>
          <w:szCs w:val="24"/>
        </w:rPr>
        <w:t xml:space="preserve"> </w:t>
      </w:r>
      <w:r w:rsidRPr="00DC6CC9">
        <w:rPr>
          <w:rFonts w:cs="Times New Roman"/>
          <w:szCs w:val="24"/>
        </w:rPr>
        <w:t xml:space="preserve">z wiekiem. Rozszerzenie informacji </w:t>
      </w:r>
      <w:r w:rsidRPr="00DC6CC9">
        <w:rPr>
          <w:rFonts w:cs="Times New Roman"/>
          <w:szCs w:val="24"/>
        </w:rPr>
        <w:lastRenderedPageBreak/>
        <w:t>o aktywnościach placówek oraz wzbogacenie oferty programowej o tego rodzaju działania promocyjne spotkało się z pozytywnym odbiorem widzów.</w:t>
      </w:r>
    </w:p>
    <w:p w14:paraId="15B711DD" w14:textId="77777777" w:rsidR="00154145" w:rsidRPr="00DC6CC9" w:rsidRDefault="00154145" w:rsidP="00DC6CC9">
      <w:pPr>
        <w:autoSpaceDE w:val="0"/>
        <w:autoSpaceDN w:val="0"/>
        <w:adjustRightInd w:val="0"/>
        <w:rPr>
          <w:rFonts w:cs="Times New Roman"/>
          <w:szCs w:val="24"/>
        </w:rPr>
      </w:pPr>
    </w:p>
    <w:p w14:paraId="3897866B" w14:textId="2B35146B" w:rsidR="00DC6CC9" w:rsidRDefault="00DC6CC9" w:rsidP="00DC6CC9">
      <w:pPr>
        <w:autoSpaceDE w:val="0"/>
        <w:autoSpaceDN w:val="0"/>
        <w:adjustRightInd w:val="0"/>
        <w:rPr>
          <w:rFonts w:cs="Times New Roman"/>
          <w:szCs w:val="24"/>
        </w:rPr>
      </w:pPr>
      <w:r w:rsidRPr="00DC6CC9">
        <w:rPr>
          <w:rFonts w:cs="Times New Roman"/>
          <w:szCs w:val="24"/>
        </w:rPr>
        <w:t xml:space="preserve">Instytucje kultury prowadzone lub współprowadzone przez </w:t>
      </w:r>
      <w:proofErr w:type="spellStart"/>
      <w:r w:rsidRPr="00DC6CC9">
        <w:rPr>
          <w:rFonts w:cs="Times New Roman"/>
          <w:szCs w:val="24"/>
        </w:rPr>
        <w:t>MKDNiS</w:t>
      </w:r>
      <w:proofErr w:type="spellEnd"/>
      <w:r w:rsidRPr="00DC6CC9">
        <w:rPr>
          <w:rFonts w:cs="Times New Roman"/>
          <w:szCs w:val="24"/>
        </w:rPr>
        <w:t xml:space="preserve"> realizują programy edukacyjne i inne działania adresowane do różnych grup odbiorców. Najczęstszymi formami aktywności instytucji kultury realizowanych z myślą o seniorach są różnego rodzaju zajęcia warsztatowe, często prowadzone w cyklach wieloletnich (w tym w formie działalności kół zainteresowań), specjalne okolicznościowe wydarzenia (koncerty, wieczory), działania popularyzatorskie oraz akcje informacyjne.</w:t>
      </w:r>
    </w:p>
    <w:p w14:paraId="2E5D0B23" w14:textId="77777777" w:rsidR="00154145" w:rsidRPr="00DC6CC9" w:rsidRDefault="00154145" w:rsidP="00DC6CC9">
      <w:pPr>
        <w:autoSpaceDE w:val="0"/>
        <w:autoSpaceDN w:val="0"/>
        <w:adjustRightInd w:val="0"/>
        <w:rPr>
          <w:rFonts w:cs="Times New Roman"/>
          <w:szCs w:val="24"/>
        </w:rPr>
      </w:pPr>
    </w:p>
    <w:p w14:paraId="280C7D28" w14:textId="77777777" w:rsidR="00DC6CC9" w:rsidRPr="00DC6CC9" w:rsidRDefault="00DC6CC9" w:rsidP="00DC6CC9">
      <w:pPr>
        <w:autoSpaceDE w:val="0"/>
        <w:autoSpaceDN w:val="0"/>
        <w:adjustRightInd w:val="0"/>
        <w:rPr>
          <w:rFonts w:cs="Times New Roman"/>
          <w:szCs w:val="24"/>
        </w:rPr>
      </w:pPr>
      <w:r w:rsidRPr="00DC6CC9">
        <w:rPr>
          <w:rFonts w:cs="Times New Roman"/>
          <w:szCs w:val="24"/>
        </w:rPr>
        <w:t xml:space="preserve">Instytucje kultury realizują projekty przygotowane specjalnie z myślą o seniorach oraz projekty ogólnodostępne, w których uczestniczy liczne grono osób starszych. Przy realizacji działań senioralnych placówki kultury współpracują ze stowarzyszeniami zrzeszającymi seniorów, instytucjami opiekuńczymi, lokalnymi samorządami i administracją państwową. Oferta edukacyjna instytucji kultury przyjmuje formę cyklicznych spotkań (zajęć tematycznych, warsztatów, wykładów czy oprowadzania po ekspozycji) lub też formę akcyjną (dzień seniora, plenery artystyczne, </w:t>
      </w:r>
      <w:proofErr w:type="spellStart"/>
      <w:r w:rsidRPr="00DC6CC9">
        <w:rPr>
          <w:rFonts w:cs="Times New Roman"/>
          <w:szCs w:val="24"/>
        </w:rPr>
        <w:t>senioralia</w:t>
      </w:r>
      <w:proofErr w:type="spellEnd"/>
      <w:r w:rsidRPr="00DC6CC9">
        <w:rPr>
          <w:rFonts w:cs="Times New Roman"/>
          <w:szCs w:val="24"/>
        </w:rPr>
        <w:t>).</w:t>
      </w:r>
    </w:p>
    <w:p w14:paraId="022A298C" w14:textId="77777777" w:rsidR="00EC37A8" w:rsidRDefault="00EC37A8" w:rsidP="00EC37A8">
      <w:pPr>
        <w:autoSpaceDE w:val="0"/>
        <w:autoSpaceDN w:val="0"/>
        <w:adjustRightInd w:val="0"/>
        <w:rPr>
          <w:rFonts w:cs="Times New Roman"/>
          <w:b/>
          <w:szCs w:val="24"/>
          <w:u w:val="single"/>
        </w:rPr>
      </w:pPr>
    </w:p>
    <w:p w14:paraId="26889450" w14:textId="728AE473" w:rsidR="00DC6CC9" w:rsidRDefault="00154145" w:rsidP="00EC37A8">
      <w:pPr>
        <w:pStyle w:val="Nagwek3"/>
      </w:pPr>
      <w:bookmarkStart w:id="74" w:name="_Toc77513916"/>
      <w:bookmarkStart w:id="75" w:name="_Toc80523070"/>
      <w:r>
        <w:t>P</w:t>
      </w:r>
      <w:r w:rsidRPr="00EC37A8">
        <w:t>romowanie aktywności fizycznej i sportowej wśród seniorów</w:t>
      </w:r>
      <w:bookmarkEnd w:id="74"/>
      <w:bookmarkEnd w:id="75"/>
    </w:p>
    <w:p w14:paraId="1919772E" w14:textId="77777777" w:rsidR="00154145" w:rsidRPr="00154145" w:rsidRDefault="00154145" w:rsidP="00154145"/>
    <w:p w14:paraId="60AE7A3C" w14:textId="65283F90" w:rsidR="00DC6CC9" w:rsidRDefault="00DC6CC9" w:rsidP="00DC6CC9">
      <w:pPr>
        <w:autoSpaceDE w:val="0"/>
        <w:autoSpaceDN w:val="0"/>
        <w:adjustRightInd w:val="0"/>
        <w:rPr>
          <w:rFonts w:cs="Times New Roman"/>
          <w:szCs w:val="24"/>
        </w:rPr>
      </w:pPr>
      <w:r w:rsidRPr="00DC6CC9">
        <w:rPr>
          <w:rFonts w:cs="Times New Roman"/>
          <w:szCs w:val="24"/>
        </w:rPr>
        <w:t>Zapewnienie warunków i oferty dla powszechnego podej</w:t>
      </w:r>
      <w:r w:rsidR="001E0F91">
        <w:rPr>
          <w:rFonts w:cs="Times New Roman"/>
          <w:szCs w:val="24"/>
        </w:rPr>
        <w:t>mowania aktywności fizycznej na </w:t>
      </w:r>
      <w:r w:rsidRPr="00DC6CC9">
        <w:rPr>
          <w:rFonts w:cs="Times New Roman"/>
          <w:szCs w:val="24"/>
        </w:rPr>
        <w:t>każdym etapie życia to jeden z głównych celów określonych w rządowym dokumencie „Program Rozwoju Sportu do roku 2020”, przyjętym przez Radę Ministrów 31 sierpnia 2015</w:t>
      </w:r>
      <w:r w:rsidR="00154145">
        <w:rPr>
          <w:rFonts w:cs="Times New Roman"/>
          <w:szCs w:val="24"/>
        </w:rPr>
        <w:t> </w:t>
      </w:r>
      <w:r w:rsidRPr="00DC6CC9">
        <w:rPr>
          <w:rFonts w:cs="Times New Roman"/>
          <w:szCs w:val="24"/>
        </w:rPr>
        <w:t>r. Jednym ze zdefiniowanych w tym dokumencie priorytetów jest „Wspieranie działań na rzecz integracji społecznej osób starszych poprzez aktywność fizyczną”.</w:t>
      </w:r>
    </w:p>
    <w:p w14:paraId="04EF7D5A" w14:textId="77777777" w:rsidR="00154145" w:rsidRPr="00DC6CC9" w:rsidRDefault="00154145" w:rsidP="00DC6CC9">
      <w:pPr>
        <w:autoSpaceDE w:val="0"/>
        <w:autoSpaceDN w:val="0"/>
        <w:adjustRightInd w:val="0"/>
        <w:rPr>
          <w:rFonts w:cs="Times New Roman"/>
          <w:szCs w:val="24"/>
        </w:rPr>
      </w:pPr>
    </w:p>
    <w:p w14:paraId="209430FB" w14:textId="3AC46373" w:rsidR="00DC6CC9" w:rsidRPr="00DC6CC9" w:rsidRDefault="00DC6CC9" w:rsidP="00DC6CC9">
      <w:pPr>
        <w:autoSpaceDE w:val="0"/>
        <w:autoSpaceDN w:val="0"/>
        <w:adjustRightInd w:val="0"/>
        <w:rPr>
          <w:rFonts w:cs="Times New Roman"/>
          <w:szCs w:val="24"/>
        </w:rPr>
      </w:pPr>
      <w:r w:rsidRPr="00DC6CC9">
        <w:rPr>
          <w:rFonts w:cs="Times New Roman"/>
          <w:szCs w:val="24"/>
        </w:rPr>
        <w:t>Wspieranie działań upowszechniania aktywności fizycznej osób starszych to propozycja systemowego rozwiązania w zakresie przeciwdziałania negatywnym efektom procesów starzenia oraz podtrzymywania aktywności społecznej, poprzez upowszechnianie aktywności fizycznej i promowanie sportu wśród osób starszych. Ludzie starsi wymagają różnorodnych form wsparcia w celu usunięcia przyczyn marginalizacji</w:t>
      </w:r>
      <w:r w:rsidR="00154145">
        <w:rPr>
          <w:rFonts w:cs="Times New Roman"/>
          <w:szCs w:val="24"/>
        </w:rPr>
        <w:t xml:space="preserve"> </w:t>
      </w:r>
      <w:r w:rsidRPr="00DC6CC9">
        <w:rPr>
          <w:rFonts w:cs="Times New Roman"/>
          <w:szCs w:val="24"/>
        </w:rPr>
        <w:t>z życia społecznego. Podstawowym problemem w tym zakresie jest obniżająca się sprawność fizyczna</w:t>
      </w:r>
      <w:r w:rsidR="00154145">
        <w:rPr>
          <w:rFonts w:cs="Times New Roman"/>
          <w:szCs w:val="24"/>
        </w:rPr>
        <w:t xml:space="preserve"> </w:t>
      </w:r>
      <w:r w:rsidRPr="00DC6CC9">
        <w:rPr>
          <w:rFonts w:cs="Times New Roman"/>
          <w:szCs w:val="24"/>
        </w:rPr>
        <w:t>i związane z nią, często mocno ograniczone, możliwości lokomocyjne.</w:t>
      </w:r>
    </w:p>
    <w:p w14:paraId="6B8CCEA7" w14:textId="77777777" w:rsidR="00154145" w:rsidRDefault="00154145" w:rsidP="00DC6CC9">
      <w:pPr>
        <w:autoSpaceDE w:val="0"/>
        <w:autoSpaceDN w:val="0"/>
        <w:adjustRightInd w:val="0"/>
        <w:rPr>
          <w:rFonts w:cs="Times New Roman"/>
          <w:szCs w:val="24"/>
        </w:rPr>
      </w:pPr>
    </w:p>
    <w:p w14:paraId="7027D736" w14:textId="399FA85B" w:rsidR="00DC6CC9" w:rsidRPr="00DC6CC9" w:rsidRDefault="00DC6CC9" w:rsidP="00DC6CC9">
      <w:pPr>
        <w:autoSpaceDE w:val="0"/>
        <w:autoSpaceDN w:val="0"/>
        <w:adjustRightInd w:val="0"/>
        <w:rPr>
          <w:rFonts w:cs="Times New Roman"/>
          <w:szCs w:val="24"/>
        </w:rPr>
      </w:pPr>
      <w:r w:rsidRPr="00DC6CC9">
        <w:rPr>
          <w:rFonts w:cs="Times New Roman"/>
          <w:szCs w:val="24"/>
        </w:rPr>
        <w:t>Promocja zdrowego stylu życia oraz oferta systematycznej aktywności fizycznej mają wspierać seniorów</w:t>
      </w:r>
      <w:r w:rsidR="00154145">
        <w:rPr>
          <w:rFonts w:cs="Times New Roman"/>
          <w:szCs w:val="24"/>
        </w:rPr>
        <w:t xml:space="preserve"> </w:t>
      </w:r>
      <w:r w:rsidRPr="00DC6CC9">
        <w:rPr>
          <w:rFonts w:cs="Times New Roman"/>
          <w:szCs w:val="24"/>
        </w:rPr>
        <w:t>w dążeniu do wydłużenia okresu utrzymywania dobrego stanu zdrowia, ogólnej</w:t>
      </w:r>
      <w:r w:rsidR="00154145">
        <w:rPr>
          <w:rFonts w:cs="Times New Roman"/>
          <w:szCs w:val="24"/>
        </w:rPr>
        <w:t xml:space="preserve"> </w:t>
      </w:r>
      <w:r w:rsidRPr="00DC6CC9">
        <w:rPr>
          <w:rFonts w:cs="Times New Roman"/>
          <w:szCs w:val="24"/>
        </w:rPr>
        <w:t>sprawności i samodzielności w wykonywaniu podstawowych czynności ruchowych.</w:t>
      </w:r>
    </w:p>
    <w:p w14:paraId="43781E24" w14:textId="477BFE44" w:rsidR="00DC6CC9" w:rsidRPr="00DC6CC9" w:rsidRDefault="00DC6CC9" w:rsidP="00DC6CC9">
      <w:pPr>
        <w:autoSpaceDE w:val="0"/>
        <w:autoSpaceDN w:val="0"/>
        <w:adjustRightInd w:val="0"/>
        <w:rPr>
          <w:rFonts w:cs="Times New Roman"/>
          <w:szCs w:val="24"/>
        </w:rPr>
      </w:pPr>
      <w:r w:rsidRPr="00DC6CC9">
        <w:rPr>
          <w:rFonts w:cs="Times New Roman"/>
          <w:szCs w:val="24"/>
        </w:rPr>
        <w:t>Działania w tym zakresie zakładają organizację przedsięwzięć aktywizujących ludzi w</w:t>
      </w:r>
      <w:r w:rsidR="00154145">
        <w:rPr>
          <w:rFonts w:cs="Times New Roman"/>
          <w:szCs w:val="24"/>
        </w:rPr>
        <w:t> </w:t>
      </w:r>
      <w:r w:rsidRPr="00DC6CC9">
        <w:rPr>
          <w:rFonts w:cs="Times New Roman"/>
          <w:szCs w:val="24"/>
        </w:rPr>
        <w:t>starszym wieku</w:t>
      </w:r>
      <w:r w:rsidR="00154145">
        <w:rPr>
          <w:rFonts w:cs="Times New Roman"/>
          <w:szCs w:val="24"/>
        </w:rPr>
        <w:t xml:space="preserve"> </w:t>
      </w:r>
      <w:r w:rsidRPr="00DC6CC9">
        <w:rPr>
          <w:rFonts w:cs="Times New Roman"/>
          <w:szCs w:val="24"/>
        </w:rPr>
        <w:t>w następujących formach:</w:t>
      </w:r>
    </w:p>
    <w:p w14:paraId="722917BA" w14:textId="77777777" w:rsidR="00DC6CC9" w:rsidRPr="00DC6CC9" w:rsidRDefault="00DC6CC9" w:rsidP="00DC6CC9">
      <w:pPr>
        <w:autoSpaceDE w:val="0"/>
        <w:autoSpaceDN w:val="0"/>
        <w:adjustRightInd w:val="0"/>
        <w:rPr>
          <w:rFonts w:cs="Times New Roman"/>
          <w:szCs w:val="24"/>
        </w:rPr>
      </w:pPr>
      <w:r w:rsidRPr="00DC6CC9">
        <w:rPr>
          <w:rFonts w:cs="Times New Roman"/>
          <w:szCs w:val="24"/>
        </w:rPr>
        <w:t>1) aktywność rekreacyjna – różne formy indywidualnego lub grupowego czynnego wypoczynku opartego na aktywności fizycznej;</w:t>
      </w:r>
    </w:p>
    <w:p w14:paraId="2D8033CE" w14:textId="61E2AAE7" w:rsidR="00DC6CC9" w:rsidRDefault="00DC6CC9" w:rsidP="00DC6CC9">
      <w:pPr>
        <w:autoSpaceDE w:val="0"/>
        <w:autoSpaceDN w:val="0"/>
        <w:adjustRightInd w:val="0"/>
        <w:rPr>
          <w:rFonts w:cs="Times New Roman"/>
          <w:szCs w:val="24"/>
        </w:rPr>
      </w:pPr>
      <w:r w:rsidRPr="00DC6CC9">
        <w:rPr>
          <w:rFonts w:cs="Times New Roman"/>
          <w:szCs w:val="24"/>
        </w:rPr>
        <w:lastRenderedPageBreak/>
        <w:t>2) aktywność prewencyjna – mająca zapobiegać przedwczesnemu i patologicznemu starzeniu się, powiązana</w:t>
      </w:r>
      <w:r w:rsidR="00154145">
        <w:rPr>
          <w:rFonts w:cs="Times New Roman"/>
          <w:szCs w:val="24"/>
        </w:rPr>
        <w:t xml:space="preserve"> </w:t>
      </w:r>
      <w:r w:rsidRPr="00DC6CC9">
        <w:rPr>
          <w:rFonts w:cs="Times New Roman"/>
          <w:szCs w:val="24"/>
        </w:rPr>
        <w:t>z prozdrowotnym stylem życia – właściwym odżywianiem i aktywnością społeczną.</w:t>
      </w:r>
    </w:p>
    <w:p w14:paraId="4FC3515C" w14:textId="77777777" w:rsidR="00154145" w:rsidRPr="00DC6CC9" w:rsidRDefault="00154145" w:rsidP="00DC6CC9">
      <w:pPr>
        <w:autoSpaceDE w:val="0"/>
        <w:autoSpaceDN w:val="0"/>
        <w:adjustRightInd w:val="0"/>
        <w:rPr>
          <w:rFonts w:cs="Times New Roman"/>
          <w:szCs w:val="24"/>
        </w:rPr>
      </w:pPr>
    </w:p>
    <w:p w14:paraId="6312283E" w14:textId="3C1C8551" w:rsidR="00DC6CC9" w:rsidRPr="00DC6CC9" w:rsidRDefault="00DC6CC9" w:rsidP="00DC6CC9">
      <w:pPr>
        <w:autoSpaceDE w:val="0"/>
        <w:autoSpaceDN w:val="0"/>
        <w:adjustRightInd w:val="0"/>
        <w:rPr>
          <w:rFonts w:cs="Times New Roman"/>
          <w:szCs w:val="24"/>
        </w:rPr>
      </w:pPr>
      <w:r w:rsidRPr="00DC6CC9">
        <w:rPr>
          <w:rFonts w:cs="Times New Roman"/>
          <w:szCs w:val="24"/>
        </w:rPr>
        <w:t>Głównymi celami, które można osiągnąć poprzez systematyczną aktywność ruchową osób starszych, są utrzymanie sprawności, samodzielności i niezależności.</w:t>
      </w:r>
      <w:r w:rsidR="00154145">
        <w:rPr>
          <w:rFonts w:cs="Times New Roman"/>
          <w:szCs w:val="24"/>
        </w:rPr>
        <w:t xml:space="preserve"> </w:t>
      </w:r>
      <w:r w:rsidRPr="00DC6CC9">
        <w:rPr>
          <w:rFonts w:cs="Times New Roman"/>
          <w:szCs w:val="24"/>
        </w:rPr>
        <w:t>Działania są adresowane do osób, które ukończyły 50 rok życia. Zakładają wsparcie przedsięwzięć</w:t>
      </w:r>
      <w:r w:rsidR="00154145">
        <w:rPr>
          <w:rFonts w:cs="Times New Roman"/>
          <w:szCs w:val="24"/>
        </w:rPr>
        <w:t xml:space="preserve"> </w:t>
      </w:r>
      <w:r w:rsidRPr="00DC6CC9">
        <w:rPr>
          <w:rFonts w:cs="Times New Roman"/>
          <w:szCs w:val="24"/>
        </w:rPr>
        <w:t>o charakterze ogólnopolskim lub ponadregionalnym i szerokim zasięgu, realizowanych w formie programów aktywizacji ruchowej, kampanii profilaktycznych, akcji inicjujących aktywność fizyczną, imprez popularyzatorskich, profilaktycznych oraz działań promujących aktywność fizyczną osób starszych. Podstawową formą objętą działaniami promocyjnymi są zajęcia aktywności rekreacyjnej i aktywności prewencyjnej, dostarczające seniorom niezbędnej dawki ćwiczeń ruchowych.</w:t>
      </w:r>
    </w:p>
    <w:p w14:paraId="4A9EC264" w14:textId="77777777" w:rsidR="00DC6CC9" w:rsidRPr="00DC6CC9" w:rsidRDefault="00DC6CC9" w:rsidP="00DC6CC9">
      <w:pPr>
        <w:autoSpaceDE w:val="0"/>
        <w:autoSpaceDN w:val="0"/>
        <w:adjustRightInd w:val="0"/>
        <w:rPr>
          <w:rFonts w:cs="Times New Roman"/>
          <w:szCs w:val="24"/>
        </w:rPr>
      </w:pPr>
    </w:p>
    <w:p w14:paraId="4794576F" w14:textId="77777777" w:rsidR="00DC6CC9" w:rsidRPr="00DC6CC9" w:rsidRDefault="00DC6CC9" w:rsidP="00EC37A8">
      <w:pPr>
        <w:autoSpaceDE w:val="0"/>
        <w:autoSpaceDN w:val="0"/>
        <w:adjustRightInd w:val="0"/>
        <w:rPr>
          <w:rFonts w:cs="Times New Roman"/>
          <w:szCs w:val="24"/>
        </w:rPr>
      </w:pPr>
      <w:r w:rsidRPr="00DC6CC9">
        <w:rPr>
          <w:rFonts w:cs="Times New Roman"/>
          <w:b/>
          <w:szCs w:val="24"/>
        </w:rPr>
        <w:t xml:space="preserve">Program „Sport dla Wszystkich” </w:t>
      </w:r>
    </w:p>
    <w:p w14:paraId="20EB26C0" w14:textId="240C5924" w:rsidR="00DC6CC9" w:rsidRPr="00DC6CC9" w:rsidRDefault="00DC6CC9" w:rsidP="00DC6CC9">
      <w:pPr>
        <w:autoSpaceDE w:val="0"/>
        <w:autoSpaceDN w:val="0"/>
        <w:adjustRightInd w:val="0"/>
        <w:rPr>
          <w:rFonts w:cs="Times New Roman"/>
          <w:szCs w:val="24"/>
        </w:rPr>
      </w:pPr>
      <w:r w:rsidRPr="00DC6CC9">
        <w:rPr>
          <w:rFonts w:cs="Times New Roman"/>
          <w:szCs w:val="24"/>
        </w:rPr>
        <w:t>Na dofinansowanie działań skierowanych do seniorów w ramach Programu „Sport dla Wszystkich” –</w:t>
      </w:r>
      <w:r w:rsidR="00BD46BF">
        <w:rPr>
          <w:rFonts w:cs="Times New Roman"/>
          <w:szCs w:val="24"/>
        </w:rPr>
        <w:t xml:space="preserve"> </w:t>
      </w:r>
      <w:r w:rsidRPr="00DC6CC9">
        <w:rPr>
          <w:rFonts w:cs="Times New Roman"/>
          <w:szCs w:val="24"/>
        </w:rPr>
        <w:t>łącznie w 2020 r</w:t>
      </w:r>
      <w:r w:rsidR="00BD46BF">
        <w:rPr>
          <w:rFonts w:cs="Times New Roman"/>
          <w:szCs w:val="24"/>
        </w:rPr>
        <w:t>.</w:t>
      </w:r>
      <w:r w:rsidRPr="00DC6CC9">
        <w:rPr>
          <w:rFonts w:cs="Times New Roman"/>
          <w:szCs w:val="24"/>
        </w:rPr>
        <w:t xml:space="preserve"> przeznaczono 1 475 0</w:t>
      </w:r>
      <w:r w:rsidR="001E0F91">
        <w:rPr>
          <w:rFonts w:cs="Times New Roman"/>
          <w:szCs w:val="24"/>
        </w:rPr>
        <w:t>00 zł. Pozwoliło to na udział w </w:t>
      </w:r>
      <w:r w:rsidRPr="00DC6CC9">
        <w:rPr>
          <w:rFonts w:cs="Times New Roman"/>
          <w:szCs w:val="24"/>
        </w:rPr>
        <w:t>różnorodnych projektach niemal 129 000 uczestników. Przykładowe projekty zrealizowane w ramach Programu:</w:t>
      </w:r>
    </w:p>
    <w:p w14:paraId="783A5D07" w14:textId="77777777" w:rsidR="00DC6CC9" w:rsidRPr="00DC6CC9" w:rsidRDefault="00DC6CC9" w:rsidP="00FE70E3">
      <w:pPr>
        <w:numPr>
          <w:ilvl w:val="0"/>
          <w:numId w:val="47"/>
        </w:numPr>
        <w:autoSpaceDE w:val="0"/>
        <w:autoSpaceDN w:val="0"/>
        <w:adjustRightInd w:val="0"/>
        <w:rPr>
          <w:rFonts w:cs="Times New Roman"/>
          <w:szCs w:val="24"/>
        </w:rPr>
      </w:pPr>
      <w:r w:rsidRPr="00DC6CC9">
        <w:rPr>
          <w:rFonts w:cs="Times New Roman"/>
          <w:szCs w:val="24"/>
        </w:rPr>
        <w:t>Cykl turniejów badmintona dla seniorów - Fundacja Narodowy Badminton,</w:t>
      </w:r>
    </w:p>
    <w:p w14:paraId="720FC81B" w14:textId="77777777" w:rsidR="00DC6CC9" w:rsidRPr="00DC6CC9" w:rsidRDefault="00DC6CC9" w:rsidP="00FE70E3">
      <w:pPr>
        <w:numPr>
          <w:ilvl w:val="0"/>
          <w:numId w:val="47"/>
        </w:numPr>
        <w:autoSpaceDE w:val="0"/>
        <w:autoSpaceDN w:val="0"/>
        <w:adjustRightInd w:val="0"/>
        <w:rPr>
          <w:rFonts w:cs="Times New Roman"/>
          <w:szCs w:val="24"/>
        </w:rPr>
      </w:pPr>
      <w:r w:rsidRPr="00DC6CC9">
        <w:rPr>
          <w:rFonts w:cs="Times New Roman"/>
          <w:szCs w:val="24"/>
        </w:rPr>
        <w:t>Upowszechnianie sportu oraz olimpizmu poprzez organizację imprez i spotkań osób starszych</w:t>
      </w:r>
      <w:r w:rsidRPr="00DC6CC9">
        <w:rPr>
          <w:rFonts w:cs="Times New Roman"/>
          <w:szCs w:val="24"/>
        </w:rPr>
        <w:br/>
        <w:t>w tym słuchaczy Uniwersytetów trzeciego wieku w Polsce - Fundacja Rozwoju Wioślarstwa Polskiego,</w:t>
      </w:r>
    </w:p>
    <w:p w14:paraId="627CA9AB" w14:textId="7860A2D6" w:rsidR="00DC6CC9" w:rsidRDefault="00DC6CC9" w:rsidP="00FE70E3">
      <w:pPr>
        <w:numPr>
          <w:ilvl w:val="0"/>
          <w:numId w:val="47"/>
        </w:numPr>
        <w:autoSpaceDE w:val="0"/>
        <w:autoSpaceDN w:val="0"/>
        <w:adjustRightInd w:val="0"/>
        <w:rPr>
          <w:rFonts w:cs="Times New Roman"/>
          <w:szCs w:val="24"/>
        </w:rPr>
      </w:pPr>
      <w:r w:rsidRPr="00DC6CC9">
        <w:rPr>
          <w:rFonts w:cs="Times New Roman"/>
          <w:szCs w:val="24"/>
        </w:rPr>
        <w:t>VIII Turniej Piłkarski dla Seniorów +50, reprezentujących różne grupy społeczne</w:t>
      </w:r>
      <w:r w:rsidRPr="00DC6CC9">
        <w:rPr>
          <w:rFonts w:cs="Times New Roman"/>
          <w:szCs w:val="24"/>
        </w:rPr>
        <w:br/>
        <w:t>i zawodowe z okresem przygotowań - Integracyjne Stowarzyszenie Kultury Fizycznej Daj szansę.</w:t>
      </w:r>
    </w:p>
    <w:p w14:paraId="2E53D65E" w14:textId="5F44373D" w:rsidR="00154145" w:rsidRPr="00DC6CC9" w:rsidRDefault="00154145" w:rsidP="00154145">
      <w:pPr>
        <w:autoSpaceDE w:val="0"/>
        <w:autoSpaceDN w:val="0"/>
        <w:adjustRightInd w:val="0"/>
        <w:rPr>
          <w:rFonts w:cs="Times New Roman"/>
          <w:szCs w:val="24"/>
        </w:rPr>
      </w:pPr>
    </w:p>
    <w:p w14:paraId="6385FAAF" w14:textId="77777777" w:rsidR="00DC6CC9" w:rsidRPr="00DC6CC9" w:rsidRDefault="00DC6CC9" w:rsidP="00EC37A8">
      <w:pPr>
        <w:autoSpaceDE w:val="0"/>
        <w:autoSpaceDN w:val="0"/>
        <w:adjustRightInd w:val="0"/>
        <w:rPr>
          <w:rFonts w:cs="Times New Roman"/>
          <w:szCs w:val="24"/>
        </w:rPr>
      </w:pPr>
      <w:r w:rsidRPr="00DC6CC9">
        <w:rPr>
          <w:rFonts w:cs="Times New Roman"/>
          <w:b/>
          <w:szCs w:val="24"/>
        </w:rPr>
        <w:t>Program rozwoju małej infrastruktury sportowo-rekreacyjnej o charakterze wielopokoleniowym – Otwarte Strefy Aktywności</w:t>
      </w:r>
    </w:p>
    <w:p w14:paraId="25EEE531" w14:textId="77777777" w:rsidR="00DC6CC9" w:rsidRPr="00DC6CC9" w:rsidRDefault="00DC6CC9" w:rsidP="00DC6CC9">
      <w:pPr>
        <w:autoSpaceDE w:val="0"/>
        <w:autoSpaceDN w:val="0"/>
        <w:adjustRightInd w:val="0"/>
        <w:rPr>
          <w:rFonts w:cs="Times New Roman"/>
          <w:szCs w:val="24"/>
        </w:rPr>
      </w:pPr>
      <w:r w:rsidRPr="00DC6CC9">
        <w:rPr>
          <w:rFonts w:cs="Times New Roman"/>
          <w:szCs w:val="24"/>
        </w:rPr>
        <w:t>Dofinansowanie w 2020 r. otrzymały 123 inwestycje związane z budową ogólnodostępnych stref aktywności fizycznej.</w:t>
      </w:r>
    </w:p>
    <w:p w14:paraId="58DB4591" w14:textId="77777777" w:rsidR="00DC6CC9" w:rsidRPr="00DC6CC9" w:rsidRDefault="00DC6CC9" w:rsidP="00DC6CC9">
      <w:pPr>
        <w:autoSpaceDE w:val="0"/>
        <w:autoSpaceDN w:val="0"/>
        <w:adjustRightInd w:val="0"/>
        <w:rPr>
          <w:rFonts w:cs="Times New Roman"/>
          <w:szCs w:val="24"/>
        </w:rPr>
      </w:pPr>
    </w:p>
    <w:p w14:paraId="6F08B16D" w14:textId="77777777" w:rsidR="007A4411" w:rsidRDefault="00DC6CC9" w:rsidP="00DC6CC9">
      <w:pPr>
        <w:autoSpaceDE w:val="0"/>
        <w:autoSpaceDN w:val="0"/>
        <w:adjustRightInd w:val="0"/>
        <w:rPr>
          <w:rFonts w:cs="Times New Roman"/>
          <w:b/>
          <w:szCs w:val="24"/>
        </w:rPr>
      </w:pPr>
      <w:r w:rsidRPr="00DC6CC9">
        <w:rPr>
          <w:rFonts w:cs="Times New Roman"/>
          <w:b/>
          <w:szCs w:val="24"/>
        </w:rPr>
        <w:t>Program Sportowa Polska</w:t>
      </w:r>
    </w:p>
    <w:p w14:paraId="3B8B9610" w14:textId="77777777" w:rsidR="00DC6CC9" w:rsidRPr="007A4411" w:rsidRDefault="00DC6CC9" w:rsidP="00DC6CC9">
      <w:pPr>
        <w:autoSpaceDE w:val="0"/>
        <w:autoSpaceDN w:val="0"/>
        <w:adjustRightInd w:val="0"/>
        <w:rPr>
          <w:rFonts w:cs="Times New Roman"/>
          <w:b/>
          <w:szCs w:val="24"/>
        </w:rPr>
      </w:pPr>
      <w:r w:rsidRPr="00DC6CC9">
        <w:rPr>
          <w:rFonts w:cs="Times New Roman"/>
          <w:szCs w:val="24"/>
        </w:rPr>
        <w:t>Programu Sportowa Polska to program rozwoju lokalnej infrastruktury sportowej. W 2020 r. w ramach III grupy zadań dofinansowanie uzyskało 28 inwestycji na łączną kwotę 47 154 000 zł. Ta grupa zadań dedykowana jest budowie nowej (nieprzyszkolnej) infrastruktury sportowej, dającej możliwość aktywnego spędzania czasu wolnego, stanowiącej ważny element profilaktyki zdrowotnej dla wszystkich grup wiekowych, w tym także dla osób starszych.</w:t>
      </w:r>
    </w:p>
    <w:p w14:paraId="7508BA34" w14:textId="77777777" w:rsidR="00DC6CC9" w:rsidRPr="00DC6CC9" w:rsidRDefault="00DC6CC9" w:rsidP="00DC6CC9">
      <w:pPr>
        <w:autoSpaceDE w:val="0"/>
        <w:autoSpaceDN w:val="0"/>
        <w:adjustRightInd w:val="0"/>
        <w:rPr>
          <w:rFonts w:cs="Times New Roman"/>
          <w:szCs w:val="24"/>
        </w:rPr>
      </w:pPr>
    </w:p>
    <w:p w14:paraId="6ADC4749" w14:textId="607966EC" w:rsidR="00DC6CC9" w:rsidRDefault="00154145" w:rsidP="00EC37A8">
      <w:pPr>
        <w:pStyle w:val="Nagwek3"/>
      </w:pPr>
      <w:bookmarkStart w:id="76" w:name="_Toc77513917"/>
      <w:bookmarkStart w:id="77" w:name="_Toc80523071"/>
      <w:r>
        <w:lastRenderedPageBreak/>
        <w:t>R</w:t>
      </w:r>
      <w:r w:rsidRPr="00DC6CC9">
        <w:t>ekreacja ruchowa osób z niepełnosprawnościami w starszym wieku</w:t>
      </w:r>
      <w:bookmarkEnd w:id="76"/>
      <w:bookmarkEnd w:id="77"/>
    </w:p>
    <w:p w14:paraId="29055749" w14:textId="77777777" w:rsidR="00154145" w:rsidRPr="00154145" w:rsidRDefault="00154145" w:rsidP="00154145"/>
    <w:p w14:paraId="1FA7B907" w14:textId="71326013" w:rsidR="00DC6CC9" w:rsidRPr="00DC6CC9" w:rsidRDefault="00DC6CC9" w:rsidP="00DC6CC9">
      <w:pPr>
        <w:autoSpaceDE w:val="0"/>
        <w:autoSpaceDN w:val="0"/>
        <w:adjustRightInd w:val="0"/>
        <w:rPr>
          <w:rFonts w:cs="Times New Roman"/>
          <w:szCs w:val="24"/>
        </w:rPr>
      </w:pPr>
      <w:r w:rsidRPr="00DC6CC9">
        <w:rPr>
          <w:rFonts w:cs="Times New Roman"/>
          <w:szCs w:val="24"/>
        </w:rPr>
        <w:t>Wychodząc naprzeciw zmianom demograficznym oraz zmieniającym się potrzebom osób starszych, jednym</w:t>
      </w:r>
      <w:r w:rsidR="00154145">
        <w:rPr>
          <w:rFonts w:cs="Times New Roman"/>
          <w:szCs w:val="24"/>
        </w:rPr>
        <w:t xml:space="preserve"> </w:t>
      </w:r>
      <w:r w:rsidRPr="00DC6CC9">
        <w:rPr>
          <w:rFonts w:cs="Times New Roman"/>
          <w:szCs w:val="24"/>
        </w:rPr>
        <w:t>z priorytetów Programu Upowszechniania Sportu Osób Niepełnosprawnych w 2020 r. było włączanie społeczne starszych osób niepełnosprawnych (50+). Program umożliwiał udział starszych osób niepełnosprawnych w zaj</w:t>
      </w:r>
      <w:r w:rsidR="001E0F91">
        <w:rPr>
          <w:rFonts w:cs="Times New Roman"/>
          <w:szCs w:val="24"/>
        </w:rPr>
        <w:t>ęciach i imprezach sportowych z </w:t>
      </w:r>
      <w:r w:rsidRPr="00DC6CC9">
        <w:rPr>
          <w:rFonts w:cs="Times New Roman"/>
          <w:szCs w:val="24"/>
        </w:rPr>
        <w:t>wykorzystaniem nowoczesnej infrastruktury sportowej. Ponadto organizowane były obozy sportowe dla starszych osób niepełnosprawnych, których programy przewidywały szeroki wachlarz aktywności ruchowych, uwzględniających wiek i możliwości uczestników.</w:t>
      </w:r>
    </w:p>
    <w:p w14:paraId="0071FE9D" w14:textId="77777777" w:rsidR="00DC6CC9" w:rsidRPr="00DC6CC9" w:rsidRDefault="00DC6CC9" w:rsidP="00DC6CC9">
      <w:pPr>
        <w:autoSpaceDE w:val="0"/>
        <w:autoSpaceDN w:val="0"/>
        <w:adjustRightInd w:val="0"/>
        <w:rPr>
          <w:rFonts w:cs="Times New Roman"/>
          <w:szCs w:val="24"/>
        </w:rPr>
      </w:pPr>
      <w:r w:rsidRPr="00DC6CC9">
        <w:rPr>
          <w:rFonts w:cs="Times New Roman"/>
          <w:szCs w:val="24"/>
        </w:rPr>
        <w:t>W 2020 r. ze środków FRKF wsparto udział osób niepełnosprawnych w starszym wieku (50+)</w:t>
      </w:r>
      <w:r w:rsidRPr="00DC6CC9">
        <w:rPr>
          <w:rFonts w:cs="Times New Roman"/>
          <w:szCs w:val="24"/>
        </w:rPr>
        <w:br/>
        <w:t>w przedsięwzięciach Programu Upowszechniania Sportu Osób Niepełnosprawnych:</w:t>
      </w:r>
    </w:p>
    <w:p w14:paraId="304181F0" w14:textId="77777777" w:rsidR="00DC6CC9" w:rsidRPr="00DC6CC9" w:rsidRDefault="00DC6CC9" w:rsidP="00FE70E3">
      <w:pPr>
        <w:numPr>
          <w:ilvl w:val="0"/>
          <w:numId w:val="48"/>
        </w:numPr>
        <w:autoSpaceDE w:val="0"/>
        <w:autoSpaceDN w:val="0"/>
        <w:adjustRightInd w:val="0"/>
        <w:rPr>
          <w:rFonts w:cs="Times New Roman"/>
          <w:szCs w:val="24"/>
        </w:rPr>
      </w:pPr>
      <w:r w:rsidRPr="00DC6CC9">
        <w:rPr>
          <w:rFonts w:cs="Times New Roman"/>
          <w:szCs w:val="24"/>
        </w:rPr>
        <w:t>w zajęciach sekcji sportowych dla osób niepełnosprawnych – udział 2 117 zawodników</w:t>
      </w:r>
      <w:r w:rsidRPr="00DC6CC9">
        <w:rPr>
          <w:rFonts w:cs="Times New Roman"/>
          <w:szCs w:val="24"/>
        </w:rPr>
        <w:br/>
        <w:t>w wieku 50+;</w:t>
      </w:r>
    </w:p>
    <w:p w14:paraId="5C2290CE" w14:textId="77777777" w:rsidR="00DC6CC9" w:rsidRPr="00DC6CC9" w:rsidRDefault="00DC6CC9" w:rsidP="00FE70E3">
      <w:pPr>
        <w:numPr>
          <w:ilvl w:val="0"/>
          <w:numId w:val="48"/>
        </w:numPr>
        <w:autoSpaceDE w:val="0"/>
        <w:autoSpaceDN w:val="0"/>
        <w:adjustRightInd w:val="0"/>
        <w:rPr>
          <w:rFonts w:cs="Times New Roman"/>
          <w:szCs w:val="24"/>
        </w:rPr>
      </w:pPr>
      <w:r w:rsidRPr="00DC6CC9">
        <w:rPr>
          <w:rFonts w:cs="Times New Roman"/>
          <w:szCs w:val="24"/>
        </w:rPr>
        <w:t>w imprezach sportowych dla osób niepełnosprawnych – udział 2 421 zawodników w wieku 50+;</w:t>
      </w:r>
    </w:p>
    <w:p w14:paraId="351A1228" w14:textId="77777777" w:rsidR="00DC6CC9" w:rsidRPr="00DC6CC9" w:rsidRDefault="00DC6CC9" w:rsidP="00FE70E3">
      <w:pPr>
        <w:numPr>
          <w:ilvl w:val="0"/>
          <w:numId w:val="48"/>
        </w:numPr>
        <w:autoSpaceDE w:val="0"/>
        <w:autoSpaceDN w:val="0"/>
        <w:adjustRightInd w:val="0"/>
        <w:rPr>
          <w:rFonts w:cs="Times New Roman"/>
          <w:szCs w:val="24"/>
        </w:rPr>
      </w:pPr>
      <w:r w:rsidRPr="00DC6CC9">
        <w:rPr>
          <w:rFonts w:cs="Times New Roman"/>
          <w:szCs w:val="24"/>
        </w:rPr>
        <w:t>w Mistrzostwach Polski i Pucharach Polski osób niepełnosprawnych – udział 943 zawodników</w:t>
      </w:r>
      <w:r w:rsidRPr="00DC6CC9">
        <w:rPr>
          <w:rFonts w:cs="Times New Roman"/>
          <w:szCs w:val="24"/>
        </w:rPr>
        <w:br/>
        <w:t>w wieku 50+;</w:t>
      </w:r>
    </w:p>
    <w:p w14:paraId="4437461F" w14:textId="77777777" w:rsidR="00DC6CC9" w:rsidRPr="00DC6CC9" w:rsidRDefault="00DC6CC9" w:rsidP="00FE70E3">
      <w:pPr>
        <w:numPr>
          <w:ilvl w:val="0"/>
          <w:numId w:val="48"/>
        </w:numPr>
        <w:autoSpaceDE w:val="0"/>
        <w:autoSpaceDN w:val="0"/>
        <w:adjustRightInd w:val="0"/>
        <w:rPr>
          <w:rFonts w:cs="Times New Roman"/>
          <w:szCs w:val="24"/>
        </w:rPr>
      </w:pPr>
      <w:r w:rsidRPr="00DC6CC9">
        <w:rPr>
          <w:rFonts w:cs="Times New Roman"/>
          <w:szCs w:val="24"/>
        </w:rPr>
        <w:t>w obozach sportowych dla osób niepełnosprawnych – udział 627 zawodników w wieku 50+.</w:t>
      </w:r>
    </w:p>
    <w:p w14:paraId="1789F8F1" w14:textId="77777777" w:rsidR="00DC6CC9" w:rsidRPr="00DC6CC9" w:rsidRDefault="00DC6CC9" w:rsidP="00DC6CC9">
      <w:pPr>
        <w:autoSpaceDE w:val="0"/>
        <w:autoSpaceDN w:val="0"/>
        <w:adjustRightInd w:val="0"/>
        <w:rPr>
          <w:rFonts w:cs="Times New Roman"/>
          <w:szCs w:val="24"/>
        </w:rPr>
      </w:pPr>
      <w:r w:rsidRPr="00DC6CC9">
        <w:rPr>
          <w:rFonts w:cs="Times New Roman"/>
          <w:szCs w:val="24"/>
        </w:rPr>
        <w:t xml:space="preserve">Łącznie w projektach realizowanych w ramach Programu Upowszechniania Sportu Osób Niepełnosprawnych w 2020 r. wzięło udział </w:t>
      </w:r>
      <w:r w:rsidRPr="00DC6CC9">
        <w:rPr>
          <w:rFonts w:cs="Times New Roman"/>
          <w:bCs/>
          <w:szCs w:val="24"/>
        </w:rPr>
        <w:t>6 108 osób</w:t>
      </w:r>
      <w:r w:rsidRPr="00DC6CC9">
        <w:rPr>
          <w:rFonts w:cs="Times New Roman"/>
          <w:szCs w:val="24"/>
        </w:rPr>
        <w:t xml:space="preserve"> </w:t>
      </w:r>
      <w:r w:rsidRPr="00DC6CC9">
        <w:rPr>
          <w:rFonts w:cs="Times New Roman"/>
          <w:bCs/>
          <w:szCs w:val="24"/>
        </w:rPr>
        <w:t>niepełnosprawnych 50+</w:t>
      </w:r>
      <w:r w:rsidRPr="00DC6CC9">
        <w:rPr>
          <w:rFonts w:cs="Times New Roman"/>
          <w:szCs w:val="24"/>
        </w:rPr>
        <w:t>, co stanowiło 15,64 % ogółu uczestników zajęć, imprez, Mistrzostw Polski, Pucharów Polski i obozów.</w:t>
      </w:r>
    </w:p>
    <w:p w14:paraId="231FFBB0" w14:textId="77777777" w:rsidR="00DC6CC9" w:rsidRPr="00DC6CC9" w:rsidRDefault="00DC6CC9" w:rsidP="00DC6CC9">
      <w:pPr>
        <w:autoSpaceDE w:val="0"/>
        <w:autoSpaceDN w:val="0"/>
        <w:adjustRightInd w:val="0"/>
        <w:rPr>
          <w:rFonts w:cs="Times New Roman"/>
          <w:szCs w:val="24"/>
        </w:rPr>
      </w:pPr>
    </w:p>
    <w:p w14:paraId="1D074304" w14:textId="577E1101" w:rsidR="00DC6CC9" w:rsidRDefault="00616DE3" w:rsidP="00EC37A8">
      <w:pPr>
        <w:pStyle w:val="Nagwek3"/>
      </w:pPr>
      <w:bookmarkStart w:id="78" w:name="_Toc77513918"/>
      <w:bookmarkStart w:id="79" w:name="_Toc80523072"/>
      <w:r>
        <w:t>W</w:t>
      </w:r>
      <w:r w:rsidRPr="00DC6CC9">
        <w:t>spółpraca międzysektorowa</w:t>
      </w:r>
      <w:bookmarkEnd w:id="78"/>
      <w:bookmarkEnd w:id="79"/>
    </w:p>
    <w:p w14:paraId="08D706BB" w14:textId="77777777" w:rsidR="00154145" w:rsidRPr="00154145" w:rsidRDefault="00154145" w:rsidP="00154145"/>
    <w:p w14:paraId="0DD9433B" w14:textId="20DB4CEA" w:rsidR="00DC6CC9" w:rsidRPr="00DC6CC9" w:rsidRDefault="00DC6CC9" w:rsidP="00DC6CC9">
      <w:pPr>
        <w:autoSpaceDE w:val="0"/>
        <w:autoSpaceDN w:val="0"/>
        <w:adjustRightInd w:val="0"/>
        <w:rPr>
          <w:rFonts w:cs="Times New Roman"/>
          <w:szCs w:val="24"/>
        </w:rPr>
      </w:pPr>
      <w:r w:rsidRPr="00DC6CC9">
        <w:rPr>
          <w:rFonts w:cs="Times New Roman"/>
          <w:szCs w:val="24"/>
        </w:rPr>
        <w:t>Istotnym elementem wspierania aktywności seniorów w kulturze jest współpraca z</w:t>
      </w:r>
      <w:r w:rsidR="00616DE3">
        <w:rPr>
          <w:rFonts w:cs="Times New Roman"/>
          <w:szCs w:val="24"/>
        </w:rPr>
        <w:t> </w:t>
      </w:r>
      <w:r w:rsidRPr="00DC6CC9">
        <w:rPr>
          <w:rFonts w:cs="Times New Roman"/>
          <w:szCs w:val="24"/>
        </w:rPr>
        <w:t>organizacjami pozarządowymi, zrzeszającymi seniorów oraz podmiotami sektora opieki społecznej, opieki zdrowotnej, kościołami i związkami wyznaniowymi.</w:t>
      </w:r>
      <w:r w:rsidR="00616DE3">
        <w:rPr>
          <w:rFonts w:cs="Times New Roman"/>
          <w:szCs w:val="24"/>
        </w:rPr>
        <w:t xml:space="preserve"> </w:t>
      </w:r>
      <w:r w:rsidRPr="00DC6CC9">
        <w:rPr>
          <w:rFonts w:cs="Times New Roman"/>
          <w:szCs w:val="24"/>
        </w:rPr>
        <w:t>Szczególnie ważna dla udziału osób starszych w kulturze jest stała współpraca nawiązywana pomiędzy sektorem kultury a środowiskami pozarządowymi, w których działają seniorzy. Najważniejszą rolę w tym współdziałaniu odgrywają Uniwersytety Trzeciego Wieku (UTW). Duża część instytucji kultury stale współdziała z UTW z danej miejscowości. Współpraca ta polega na likwidacji barier uczestnictwa (tanie lub darmowe bilety), dostosowywaniu oferty kulturalnej do potrzeb seniorów oraz przygotowaniu oferty specjalnie dla UTW. Część instytucji kultury realizuje działania dla seniorów również we współpracy ze związkami kombatantów, klubami seniora, stowarzyszeniami oraz domami pomocy społecznej. Realizacja działań z zakresu popularyzacji systematycznej aktywności fizycznej również realizowana jest we współpracy z</w:t>
      </w:r>
      <w:r w:rsidR="00616DE3">
        <w:rPr>
          <w:rFonts w:cs="Times New Roman"/>
          <w:szCs w:val="24"/>
        </w:rPr>
        <w:t> </w:t>
      </w:r>
      <w:r w:rsidRPr="00DC6CC9">
        <w:rPr>
          <w:rFonts w:cs="Times New Roman"/>
          <w:szCs w:val="24"/>
        </w:rPr>
        <w:t>Uniwersytetami Trzeciego Wieku, rozwijającymi swą działalność w całym kraju.</w:t>
      </w:r>
    </w:p>
    <w:p w14:paraId="62F4D94A" w14:textId="77777777" w:rsidR="00DC6CC9" w:rsidRPr="00DC6CC9" w:rsidRDefault="00DC6CC9" w:rsidP="00DC6CC9">
      <w:pPr>
        <w:autoSpaceDE w:val="0"/>
        <w:autoSpaceDN w:val="0"/>
        <w:adjustRightInd w:val="0"/>
        <w:rPr>
          <w:rFonts w:cs="Times New Roman"/>
          <w:b/>
          <w:szCs w:val="24"/>
        </w:rPr>
      </w:pPr>
    </w:p>
    <w:p w14:paraId="6640E830" w14:textId="06A5EEA8" w:rsidR="00DC6CC9" w:rsidRDefault="00616DE3" w:rsidP="00EC37A8">
      <w:pPr>
        <w:pStyle w:val="Nagwek3"/>
      </w:pPr>
      <w:bookmarkStart w:id="80" w:name="_Toc77513919"/>
      <w:bookmarkStart w:id="81" w:name="_Toc80523073"/>
      <w:r>
        <w:lastRenderedPageBreak/>
        <w:t>P</w:t>
      </w:r>
      <w:r w:rsidRPr="00DC6CC9">
        <w:t>ozostałe działania realizowane na rzecz osób starszych, w tym w szczególności inicjatywy związane z ochroną seniorów przed negatywnymi skutkami pandemii COVID-19</w:t>
      </w:r>
      <w:bookmarkEnd w:id="80"/>
      <w:bookmarkEnd w:id="81"/>
    </w:p>
    <w:p w14:paraId="2E465CD4" w14:textId="77777777" w:rsidR="00154145" w:rsidRPr="00154145" w:rsidRDefault="00154145" w:rsidP="00154145"/>
    <w:p w14:paraId="63186063" w14:textId="25B20303" w:rsidR="00DC6CC9" w:rsidRPr="00DC6CC9" w:rsidRDefault="00DC6CC9" w:rsidP="00DC6CC9">
      <w:pPr>
        <w:autoSpaceDE w:val="0"/>
        <w:autoSpaceDN w:val="0"/>
        <w:adjustRightInd w:val="0"/>
        <w:rPr>
          <w:rFonts w:cs="Times New Roman"/>
          <w:szCs w:val="24"/>
        </w:rPr>
      </w:pPr>
      <w:r w:rsidRPr="00DC6CC9">
        <w:rPr>
          <w:rFonts w:cs="Times New Roman"/>
          <w:szCs w:val="24"/>
        </w:rPr>
        <w:t>Instytucje kultury realizowały w dozwolonej przez przepisy sanitarne formie i zakresie działania zgodne</w:t>
      </w:r>
      <w:r w:rsidR="00616DE3">
        <w:rPr>
          <w:rFonts w:cs="Times New Roman"/>
          <w:szCs w:val="24"/>
        </w:rPr>
        <w:t xml:space="preserve"> </w:t>
      </w:r>
      <w:r w:rsidRPr="00DC6CC9">
        <w:rPr>
          <w:rFonts w:cs="Times New Roman"/>
          <w:szCs w:val="24"/>
        </w:rPr>
        <w:t>z zapisami statutowymi. W związku z pandemią podjęte zostały działania umożliwiające dostęp do kultury</w:t>
      </w:r>
      <w:r w:rsidR="00616DE3">
        <w:rPr>
          <w:rFonts w:cs="Times New Roman"/>
          <w:szCs w:val="24"/>
        </w:rPr>
        <w:t xml:space="preserve"> </w:t>
      </w:r>
      <w:r w:rsidRPr="00DC6CC9">
        <w:rPr>
          <w:rFonts w:cs="Times New Roman"/>
          <w:szCs w:val="24"/>
        </w:rPr>
        <w:t xml:space="preserve">w formie zdalnej. </w:t>
      </w:r>
    </w:p>
    <w:p w14:paraId="3936A5D5" w14:textId="77777777" w:rsidR="00DC6CC9" w:rsidRPr="00DC6CC9" w:rsidRDefault="00DC6CC9" w:rsidP="00DC6CC9">
      <w:pPr>
        <w:autoSpaceDE w:val="0"/>
        <w:autoSpaceDN w:val="0"/>
        <w:adjustRightInd w:val="0"/>
        <w:rPr>
          <w:rFonts w:cs="Times New Roman"/>
          <w:szCs w:val="24"/>
        </w:rPr>
      </w:pPr>
      <w:r w:rsidRPr="00DC6CC9">
        <w:rPr>
          <w:rFonts w:cs="Times New Roman"/>
          <w:szCs w:val="24"/>
        </w:rPr>
        <w:t>Inne przykładowe działania realizowane na rzecz osób starszych w związku z pandemią:</w:t>
      </w:r>
    </w:p>
    <w:p w14:paraId="0084BD7D" w14:textId="77777777" w:rsidR="00DC6CC9" w:rsidRPr="00DC6CC9" w:rsidRDefault="00DC6CC9" w:rsidP="00FE70E3">
      <w:pPr>
        <w:numPr>
          <w:ilvl w:val="0"/>
          <w:numId w:val="49"/>
        </w:numPr>
        <w:autoSpaceDE w:val="0"/>
        <w:autoSpaceDN w:val="0"/>
        <w:adjustRightInd w:val="0"/>
        <w:rPr>
          <w:rFonts w:cs="Times New Roman"/>
          <w:szCs w:val="24"/>
        </w:rPr>
      </w:pPr>
      <w:r w:rsidRPr="00DC6CC9">
        <w:rPr>
          <w:rFonts w:cs="Times New Roman"/>
          <w:szCs w:val="24"/>
        </w:rPr>
        <w:t xml:space="preserve">Telefoniczna i stacjonarna pomoc seniorom (wolontariusze w Muzeum </w:t>
      </w:r>
      <w:proofErr w:type="spellStart"/>
      <w:r w:rsidRPr="00DC6CC9">
        <w:rPr>
          <w:rFonts w:cs="Times New Roman"/>
          <w:szCs w:val="24"/>
        </w:rPr>
        <w:t>Polin</w:t>
      </w:r>
      <w:proofErr w:type="spellEnd"/>
      <w:r w:rsidRPr="00DC6CC9">
        <w:rPr>
          <w:rFonts w:cs="Times New Roman"/>
          <w:szCs w:val="24"/>
        </w:rPr>
        <w:t>),</w:t>
      </w:r>
    </w:p>
    <w:p w14:paraId="7F662778" w14:textId="77777777" w:rsidR="00DC6CC9" w:rsidRPr="00DC6CC9" w:rsidRDefault="00DC6CC9" w:rsidP="00FE70E3">
      <w:pPr>
        <w:numPr>
          <w:ilvl w:val="0"/>
          <w:numId w:val="49"/>
        </w:numPr>
        <w:autoSpaceDE w:val="0"/>
        <w:autoSpaceDN w:val="0"/>
        <w:adjustRightInd w:val="0"/>
        <w:rPr>
          <w:rFonts w:cs="Times New Roman"/>
          <w:szCs w:val="24"/>
        </w:rPr>
      </w:pPr>
      <w:r w:rsidRPr="00DC6CC9">
        <w:rPr>
          <w:rFonts w:cs="Times New Roman"/>
          <w:szCs w:val="24"/>
        </w:rPr>
        <w:t>Bezpłatnie rozdystrybuowanie wśród mieszkańców Gdańska, również seniorów, 18 tys. zestawów składających się z maski ochronnej i książki wydanej przez Muzeum II Wojny Światowej w Gdańsku,</w:t>
      </w:r>
    </w:p>
    <w:p w14:paraId="0D05163E" w14:textId="77777777" w:rsidR="00DC6CC9" w:rsidRPr="00DC6CC9" w:rsidRDefault="00DC6CC9" w:rsidP="00FE70E3">
      <w:pPr>
        <w:numPr>
          <w:ilvl w:val="0"/>
          <w:numId w:val="49"/>
        </w:numPr>
        <w:autoSpaceDE w:val="0"/>
        <w:autoSpaceDN w:val="0"/>
        <w:adjustRightInd w:val="0"/>
        <w:rPr>
          <w:rFonts w:cs="Times New Roman"/>
          <w:szCs w:val="24"/>
        </w:rPr>
      </w:pPr>
      <w:r w:rsidRPr="00DC6CC9">
        <w:rPr>
          <w:rFonts w:cs="Times New Roman"/>
          <w:szCs w:val="24"/>
        </w:rPr>
        <w:t xml:space="preserve">Wykłady w formie podcastów z prezentacją multimedialną publikowane raz w tygodniu na stronie internetowej Muzeum oraz w serwisach Facebook i Sound </w:t>
      </w:r>
      <w:proofErr w:type="spellStart"/>
      <w:r w:rsidRPr="00DC6CC9">
        <w:rPr>
          <w:rFonts w:cs="Times New Roman"/>
          <w:szCs w:val="24"/>
        </w:rPr>
        <w:t>Cloud</w:t>
      </w:r>
      <w:proofErr w:type="spellEnd"/>
      <w:r w:rsidRPr="00DC6CC9">
        <w:rPr>
          <w:rFonts w:cs="Times New Roman"/>
          <w:szCs w:val="24"/>
        </w:rPr>
        <w:t xml:space="preserve"> (Muzeum Narodowe w Warszawie),</w:t>
      </w:r>
    </w:p>
    <w:p w14:paraId="1732F9E7" w14:textId="137F358A" w:rsidR="00DC6CC9" w:rsidRPr="00DC6CC9" w:rsidRDefault="00DC6CC9" w:rsidP="00FE70E3">
      <w:pPr>
        <w:numPr>
          <w:ilvl w:val="0"/>
          <w:numId w:val="49"/>
        </w:numPr>
        <w:autoSpaceDE w:val="0"/>
        <w:autoSpaceDN w:val="0"/>
        <w:adjustRightInd w:val="0"/>
        <w:rPr>
          <w:rFonts w:cs="Times New Roman"/>
          <w:szCs w:val="24"/>
        </w:rPr>
      </w:pPr>
      <w:r w:rsidRPr="00DC6CC9">
        <w:rPr>
          <w:rFonts w:cs="Times New Roman"/>
          <w:szCs w:val="24"/>
        </w:rPr>
        <w:t>Projekt partycypacyjny skierowany m.in. do osób starszych, polegający na zbiórce archiwalnych zdjęć dokumentujących wspomnienia gości odwiedzających Łazienki Królewskie, prezentacja zdjęć</w:t>
      </w:r>
      <w:r w:rsidR="004849F1">
        <w:rPr>
          <w:rFonts w:cs="Times New Roman"/>
          <w:szCs w:val="24"/>
        </w:rPr>
        <w:t xml:space="preserve"> </w:t>
      </w:r>
      <w:r w:rsidRPr="00DC6CC9">
        <w:rPr>
          <w:rFonts w:cs="Times New Roman"/>
          <w:szCs w:val="24"/>
        </w:rPr>
        <w:t>w formie online i w postaci wystawy plenerowej (Łazienki Królewskie),</w:t>
      </w:r>
    </w:p>
    <w:p w14:paraId="19A9E14C" w14:textId="77777777" w:rsidR="00DC6CC9" w:rsidRPr="00DC6CC9" w:rsidRDefault="00DC6CC9" w:rsidP="00FE70E3">
      <w:pPr>
        <w:numPr>
          <w:ilvl w:val="0"/>
          <w:numId w:val="49"/>
        </w:numPr>
        <w:autoSpaceDE w:val="0"/>
        <w:autoSpaceDN w:val="0"/>
        <w:adjustRightInd w:val="0"/>
        <w:rPr>
          <w:rFonts w:cs="Times New Roman"/>
          <w:szCs w:val="24"/>
        </w:rPr>
      </w:pPr>
      <w:r w:rsidRPr="00DC6CC9">
        <w:rPr>
          <w:rFonts w:cs="Times New Roman"/>
          <w:szCs w:val="24"/>
        </w:rPr>
        <w:t>Dedykowany osobom starszym nr telefonu, pod którym dyżur pełnił pracownik Muzeum gotowy do rozmowy z seniorami na interesujące ich tematy, z oferty korzystały m.in. osoby potrzebujące informacji o aktualnej sytuacji epidemicznej i wsparcia w tym trudnym dla nich okresie (Państwowe Muzeum na Majdanku),</w:t>
      </w:r>
    </w:p>
    <w:p w14:paraId="2534D3F0" w14:textId="77777777" w:rsidR="00DC6CC9" w:rsidRPr="00DC6CC9" w:rsidRDefault="00DC6CC9" w:rsidP="00FE70E3">
      <w:pPr>
        <w:numPr>
          <w:ilvl w:val="0"/>
          <w:numId w:val="49"/>
        </w:numPr>
        <w:autoSpaceDE w:val="0"/>
        <w:autoSpaceDN w:val="0"/>
        <w:adjustRightInd w:val="0"/>
        <w:rPr>
          <w:rFonts w:cs="Times New Roman"/>
          <w:szCs w:val="24"/>
        </w:rPr>
      </w:pPr>
      <w:r w:rsidRPr="00DC6CC9">
        <w:rPr>
          <w:rFonts w:cs="Times New Roman"/>
          <w:szCs w:val="24"/>
        </w:rPr>
        <w:t xml:space="preserve">Biblioteka Narodowa uruchomiła usługę „Digitalizacja na życzenie”, w ramach której użytkownicy mogą zgłaszać sugestie digitalizacji potrzebnych materiałów z domeny publicznej, usługa jest bezpłatna, a </w:t>
      </w:r>
      <w:proofErr w:type="spellStart"/>
      <w:r w:rsidRPr="00DC6CC9">
        <w:rPr>
          <w:rFonts w:cs="Times New Roman"/>
          <w:szCs w:val="24"/>
        </w:rPr>
        <w:t>zdigitalizowane</w:t>
      </w:r>
      <w:proofErr w:type="spellEnd"/>
      <w:r w:rsidRPr="00DC6CC9">
        <w:rPr>
          <w:rFonts w:cs="Times New Roman"/>
          <w:szCs w:val="24"/>
        </w:rPr>
        <w:t xml:space="preserve"> obiekty publikowane są w stronie polona.pl, w 2020 r. BN obsłużyła 1 496 sugestii digitalizacji,</w:t>
      </w:r>
    </w:p>
    <w:p w14:paraId="76B361EB" w14:textId="2B8A36FD" w:rsidR="00DC6CC9" w:rsidRPr="00DC6CC9" w:rsidRDefault="00DC6CC9" w:rsidP="00FE70E3">
      <w:pPr>
        <w:numPr>
          <w:ilvl w:val="0"/>
          <w:numId w:val="49"/>
        </w:numPr>
        <w:autoSpaceDE w:val="0"/>
        <w:autoSpaceDN w:val="0"/>
        <w:adjustRightInd w:val="0"/>
        <w:rPr>
          <w:rFonts w:cs="Times New Roman"/>
          <w:szCs w:val="24"/>
        </w:rPr>
      </w:pPr>
      <w:r w:rsidRPr="00DC6CC9">
        <w:rPr>
          <w:rFonts w:cs="Times New Roman"/>
          <w:szCs w:val="24"/>
        </w:rPr>
        <w:t>Międzynarodowe Centrum Kultury, Ośrodek Wystaw, wirtualne wykłady dla seniorów prowadzone za pośrednictwem platformy Zoom przybliżające kulturę, sztukę i architekturę, poszerzające kontekst wystawy prezentowanej w Galerii</w:t>
      </w:r>
      <w:r w:rsidR="001E0F91">
        <w:rPr>
          <w:rFonts w:cs="Times New Roman"/>
          <w:szCs w:val="24"/>
        </w:rPr>
        <w:t xml:space="preserve"> MCK, odbywające się od maja do </w:t>
      </w:r>
      <w:r w:rsidRPr="00DC6CC9">
        <w:rPr>
          <w:rFonts w:cs="Times New Roman"/>
          <w:szCs w:val="24"/>
        </w:rPr>
        <w:t>grudnia 2020 r.</w:t>
      </w:r>
    </w:p>
    <w:p w14:paraId="5AC07C5D" w14:textId="77777777" w:rsidR="00DC6CC9" w:rsidRPr="00DC6CC9" w:rsidRDefault="00DC6CC9" w:rsidP="00DC6CC9">
      <w:pPr>
        <w:autoSpaceDE w:val="0"/>
        <w:autoSpaceDN w:val="0"/>
        <w:adjustRightInd w:val="0"/>
        <w:rPr>
          <w:rFonts w:cs="Times New Roman"/>
          <w:szCs w:val="24"/>
        </w:rPr>
      </w:pPr>
    </w:p>
    <w:p w14:paraId="256FEFB3" w14:textId="77777777" w:rsidR="00E46E76" w:rsidRPr="00E9293F" w:rsidRDefault="00E46E76" w:rsidP="00FE70E3">
      <w:pPr>
        <w:pStyle w:val="Nagwek2"/>
        <w:numPr>
          <w:ilvl w:val="1"/>
          <w:numId w:val="23"/>
        </w:numPr>
        <w:spacing w:before="240" w:after="240"/>
        <w:ind w:left="0" w:hanging="142"/>
        <w:rPr>
          <w:rFonts w:cs="Times New Roman"/>
          <w:sz w:val="40"/>
          <w:lang w:eastAsia="ar-SA"/>
        </w:rPr>
      </w:pPr>
      <w:bookmarkStart w:id="82" w:name="_Toc80523074"/>
      <w:r w:rsidRPr="00454337">
        <w:rPr>
          <w:rFonts w:cs="Times New Roman"/>
          <w:sz w:val="40"/>
          <w:lang w:eastAsia="ar-SA"/>
        </w:rPr>
        <w:t xml:space="preserve">Ministerstwo </w:t>
      </w:r>
      <w:r>
        <w:rPr>
          <w:rFonts w:cs="Times New Roman"/>
          <w:sz w:val="40"/>
          <w:lang w:eastAsia="ar-SA"/>
        </w:rPr>
        <w:t>Rodziny i Polityki Społecznej</w:t>
      </w:r>
      <w:bookmarkEnd w:id="82"/>
    </w:p>
    <w:p w14:paraId="3AB59958" w14:textId="479B2BFE" w:rsidR="002E48AA" w:rsidRPr="002E48AA" w:rsidRDefault="002E48AA" w:rsidP="00421BD1">
      <w:pPr>
        <w:autoSpaceDE w:val="0"/>
        <w:autoSpaceDN w:val="0"/>
        <w:adjustRightInd w:val="0"/>
        <w:rPr>
          <w:rFonts w:cs="Times New Roman"/>
          <w:szCs w:val="24"/>
        </w:rPr>
      </w:pPr>
      <w:r w:rsidRPr="002E48AA">
        <w:rPr>
          <w:rFonts w:cs="Times New Roman"/>
          <w:szCs w:val="24"/>
        </w:rPr>
        <w:t>Wsparciem dla osób zainteresowanych dalszym, aktywnym uczestnictwem w życiu społecznym jest realizacja programów rządowych skierowa</w:t>
      </w:r>
      <w:r w:rsidR="001E0F91">
        <w:rPr>
          <w:rFonts w:cs="Times New Roman"/>
          <w:szCs w:val="24"/>
        </w:rPr>
        <w:t>nych do osób starszych. Osoby w </w:t>
      </w:r>
      <w:r w:rsidRPr="002E48AA">
        <w:rPr>
          <w:rFonts w:cs="Times New Roman"/>
          <w:szCs w:val="24"/>
        </w:rPr>
        <w:t xml:space="preserve">podeszłym wieku coraz częściej mają potrzebę rozwijania swoich zainteresowań oraz aktywnego spędzania czasu wśród sąsiadów i znajomych. Ministerstwo Rodziny i Polityki Społecznej realizuje także programy, których beneficjentami są osoby wymagające codziennego wsparcia wraz z opiekunami. Wszelkie działania podejmowane są w stałej </w:t>
      </w:r>
      <w:r w:rsidRPr="002E48AA">
        <w:rPr>
          <w:rFonts w:cs="Times New Roman"/>
          <w:szCs w:val="24"/>
        </w:rPr>
        <w:lastRenderedPageBreak/>
        <w:t>współpracy z samorządami oraz organizacjami pozarządowymi, które na co dzień realizują politykę społeczną wobec osób starszych w środowisku lokalnym.</w:t>
      </w:r>
    </w:p>
    <w:p w14:paraId="699D7661" w14:textId="77777777" w:rsidR="002E48AA" w:rsidRDefault="002E48AA" w:rsidP="00421BD1">
      <w:pPr>
        <w:autoSpaceDE w:val="0"/>
        <w:autoSpaceDN w:val="0"/>
        <w:adjustRightInd w:val="0"/>
        <w:rPr>
          <w:rFonts w:cs="Times New Roman"/>
          <w:b/>
          <w:szCs w:val="24"/>
        </w:rPr>
      </w:pPr>
    </w:p>
    <w:p w14:paraId="524B7FCA" w14:textId="4B17C2EA" w:rsidR="00421BD1" w:rsidRDefault="00421BD1" w:rsidP="00421BD1">
      <w:pPr>
        <w:autoSpaceDE w:val="0"/>
        <w:autoSpaceDN w:val="0"/>
        <w:adjustRightInd w:val="0"/>
        <w:rPr>
          <w:rFonts w:cs="Times New Roman"/>
          <w:b/>
          <w:szCs w:val="24"/>
        </w:rPr>
      </w:pPr>
      <w:r w:rsidRPr="00DC6CC9">
        <w:rPr>
          <w:rFonts w:cs="Times New Roman"/>
          <w:b/>
          <w:szCs w:val="24"/>
        </w:rPr>
        <w:t xml:space="preserve">Program </w:t>
      </w:r>
      <w:r>
        <w:rPr>
          <w:rFonts w:cs="Times New Roman"/>
          <w:b/>
          <w:szCs w:val="24"/>
        </w:rPr>
        <w:t>Senior+</w:t>
      </w:r>
    </w:p>
    <w:p w14:paraId="35725973" w14:textId="0B62B2F1" w:rsidR="00421BD1" w:rsidRPr="00421BD1" w:rsidRDefault="00421BD1" w:rsidP="00421BD1">
      <w:pPr>
        <w:autoSpaceDE w:val="0"/>
        <w:autoSpaceDN w:val="0"/>
        <w:adjustRightInd w:val="0"/>
        <w:rPr>
          <w:rFonts w:cs="Times New Roman"/>
          <w:szCs w:val="24"/>
        </w:rPr>
      </w:pPr>
      <w:r w:rsidRPr="00421BD1">
        <w:rPr>
          <w:rFonts w:cs="Times New Roman"/>
          <w:szCs w:val="24"/>
        </w:rPr>
        <w:t>Program wieloletni „Senior+” na lata 2015-2020 polegał na wspieraniu gmi</w:t>
      </w:r>
      <w:r w:rsidR="001E0F91">
        <w:rPr>
          <w:rFonts w:cs="Times New Roman"/>
          <w:szCs w:val="24"/>
        </w:rPr>
        <w:t>n i powiatów w </w:t>
      </w:r>
      <w:r w:rsidRPr="00421BD1">
        <w:rPr>
          <w:rFonts w:cs="Times New Roman"/>
          <w:szCs w:val="24"/>
        </w:rPr>
        <w:t>tworzeniu ośrodków wsparcia - Dziennych Domów „Senior+” i Klubów „Senior+”. Celem strategicznym programu było zwiększenie aktywnego uczestnictwa seniorów, tj. osób w wieku 60+, w życiu społecznym.</w:t>
      </w:r>
    </w:p>
    <w:p w14:paraId="7EDE6E49" w14:textId="77777777" w:rsidR="00421BD1" w:rsidRPr="00421BD1" w:rsidRDefault="00421BD1" w:rsidP="00421BD1">
      <w:pPr>
        <w:autoSpaceDE w:val="0"/>
        <w:autoSpaceDN w:val="0"/>
        <w:adjustRightInd w:val="0"/>
        <w:rPr>
          <w:rFonts w:cs="Times New Roman"/>
          <w:szCs w:val="24"/>
        </w:rPr>
      </w:pPr>
    </w:p>
    <w:p w14:paraId="3639DABC" w14:textId="0F18DF9A" w:rsidR="00421BD1" w:rsidRPr="00421BD1" w:rsidRDefault="00421BD1" w:rsidP="00421BD1">
      <w:pPr>
        <w:autoSpaceDE w:val="0"/>
        <w:autoSpaceDN w:val="0"/>
        <w:adjustRightInd w:val="0"/>
        <w:rPr>
          <w:rFonts w:cs="Times New Roman"/>
          <w:szCs w:val="24"/>
        </w:rPr>
      </w:pPr>
      <w:r w:rsidRPr="00421BD1">
        <w:rPr>
          <w:rFonts w:cs="Times New Roman"/>
          <w:szCs w:val="24"/>
        </w:rPr>
        <w:t>Ośrodki wsparcia „Senior+” dają osobom starszym możliwość aktywnego spędzenia czasu, oferując różnorodne działania: od pomocy w czynnościach dnia codziennego, przez zapewnienie minimum jednego posiłku, nabywanie nowych umiejętności (np. naukę języków obcych, śpiewu, tańca), pielęgnowanie więzi międzypokoleniowych (m.in. dzięki spotkaniom z przedszkolakami i uczniami szkół), aż po zajęcia ruchowe (</w:t>
      </w:r>
      <w:r w:rsidR="001E0F91">
        <w:rPr>
          <w:rFonts w:cs="Times New Roman"/>
          <w:szCs w:val="24"/>
        </w:rPr>
        <w:t>w tym udział w spartakiadach) i </w:t>
      </w:r>
      <w:r w:rsidRPr="00421BD1">
        <w:rPr>
          <w:rFonts w:cs="Times New Roman"/>
          <w:szCs w:val="24"/>
        </w:rPr>
        <w:t xml:space="preserve">aktywny udział w życiu kulturalnym. </w:t>
      </w:r>
    </w:p>
    <w:p w14:paraId="64892DA5" w14:textId="77777777" w:rsidR="00421BD1" w:rsidRPr="00421BD1" w:rsidRDefault="00421BD1" w:rsidP="00421BD1">
      <w:pPr>
        <w:autoSpaceDE w:val="0"/>
        <w:autoSpaceDN w:val="0"/>
        <w:adjustRightInd w:val="0"/>
        <w:rPr>
          <w:rFonts w:cs="Times New Roman"/>
          <w:szCs w:val="24"/>
        </w:rPr>
      </w:pPr>
    </w:p>
    <w:p w14:paraId="7DA8FA7D" w14:textId="77777777" w:rsidR="00421BD1" w:rsidRPr="00421BD1" w:rsidRDefault="00421BD1" w:rsidP="00421BD1">
      <w:pPr>
        <w:autoSpaceDE w:val="0"/>
        <w:autoSpaceDN w:val="0"/>
        <w:adjustRightInd w:val="0"/>
        <w:rPr>
          <w:rFonts w:cs="Times New Roman"/>
          <w:szCs w:val="24"/>
        </w:rPr>
      </w:pPr>
      <w:r w:rsidRPr="00421BD1">
        <w:rPr>
          <w:rFonts w:cs="Times New Roman"/>
          <w:szCs w:val="24"/>
        </w:rPr>
        <w:t>W ramach dotychczasowej realizacji programu wieloletniego „Senior+” na lata 2015–2020, jednostki samorządu terytorialnego utworzyły do końca 2020 r. na terenie kraju  w sumie 970 ośrodków wsparcia „Senior+”, w tym 308 Dziennych Domów „Senior+” i 662 Kluby „Senior+”, z czego ponad połowa ośrodków wsparcia (51%) powstała na terenie gmin wiejskich (494).</w:t>
      </w:r>
    </w:p>
    <w:p w14:paraId="569E8EA9" w14:textId="77777777" w:rsidR="00421BD1" w:rsidRPr="00421BD1" w:rsidRDefault="00421BD1" w:rsidP="00421BD1">
      <w:pPr>
        <w:autoSpaceDE w:val="0"/>
        <w:autoSpaceDN w:val="0"/>
        <w:adjustRightInd w:val="0"/>
        <w:rPr>
          <w:rFonts w:cs="Times New Roman"/>
          <w:szCs w:val="24"/>
        </w:rPr>
      </w:pPr>
    </w:p>
    <w:p w14:paraId="1BD3CFF9" w14:textId="448C4036" w:rsidR="00E46E76" w:rsidRDefault="00421BD1" w:rsidP="00421BD1">
      <w:pPr>
        <w:autoSpaceDE w:val="0"/>
        <w:autoSpaceDN w:val="0"/>
        <w:adjustRightInd w:val="0"/>
        <w:rPr>
          <w:rFonts w:cs="Times New Roman"/>
          <w:szCs w:val="24"/>
        </w:rPr>
      </w:pPr>
      <w:r w:rsidRPr="00421BD1">
        <w:rPr>
          <w:rFonts w:cs="Times New Roman"/>
          <w:szCs w:val="24"/>
        </w:rPr>
        <w:t>Na realizację programu w 2020 r. w rezerwie celowej w</w:t>
      </w:r>
      <w:r w:rsidR="001E0F91">
        <w:rPr>
          <w:rFonts w:cs="Times New Roman"/>
          <w:szCs w:val="24"/>
        </w:rPr>
        <w:t xml:space="preserve"> poz. 55 ujęte zostały środki w </w:t>
      </w:r>
      <w:r w:rsidRPr="00421BD1">
        <w:rPr>
          <w:rFonts w:cs="Times New Roman"/>
          <w:szCs w:val="24"/>
        </w:rPr>
        <w:t xml:space="preserve">wysokości 80 mln zł, z tego: 76 mln zł na dotacje celowe i 4 mln zł na obsługę techniczną. Uruchomione środki stanowiły kwotę </w:t>
      </w:r>
      <w:r w:rsidR="00302B2D">
        <w:rPr>
          <w:rFonts w:cs="Times New Roman"/>
          <w:szCs w:val="24"/>
        </w:rPr>
        <w:t>70,1 mln zł, wydatki wyniosły 60,7</w:t>
      </w:r>
      <w:r w:rsidRPr="00421BD1">
        <w:rPr>
          <w:rFonts w:cs="Times New Roman"/>
          <w:szCs w:val="24"/>
        </w:rPr>
        <w:t xml:space="preserve"> mln zł, tj.</w:t>
      </w:r>
      <w:r w:rsidR="00302B2D">
        <w:rPr>
          <w:rFonts w:cs="Times New Roman"/>
          <w:szCs w:val="24"/>
        </w:rPr>
        <w:t xml:space="preserve"> 86,6</w:t>
      </w:r>
      <w:r w:rsidRPr="00421BD1">
        <w:rPr>
          <w:rFonts w:cs="Times New Roman"/>
          <w:szCs w:val="24"/>
        </w:rPr>
        <w:t>% planu po zmianach. Środki, które nie wygasły z upływem roku budżetowego (2020 r.) i mogą być wydatkowane do końca listopada 2021 r. – wynoszą 4,3 mln zł.</w:t>
      </w:r>
    </w:p>
    <w:p w14:paraId="27DE507C" w14:textId="13FE33E4" w:rsidR="00421BD1" w:rsidRDefault="00421BD1" w:rsidP="00421BD1">
      <w:pPr>
        <w:autoSpaceDE w:val="0"/>
        <w:autoSpaceDN w:val="0"/>
        <w:adjustRightInd w:val="0"/>
        <w:rPr>
          <w:rFonts w:cs="Times New Roman"/>
          <w:szCs w:val="24"/>
        </w:rPr>
      </w:pPr>
    </w:p>
    <w:p w14:paraId="16C27466" w14:textId="77777777" w:rsidR="00421BD1" w:rsidRPr="00421BD1" w:rsidRDefault="00421BD1" w:rsidP="00421BD1">
      <w:pPr>
        <w:spacing w:after="160" w:line="259" w:lineRule="auto"/>
        <w:rPr>
          <w:rFonts w:cs="Times New Roman"/>
          <w:szCs w:val="24"/>
        </w:rPr>
      </w:pPr>
      <w:r w:rsidRPr="00421BD1">
        <w:rPr>
          <w:rFonts w:cs="Times New Roman"/>
          <w:szCs w:val="24"/>
        </w:rPr>
        <w:t>Wobec wprowadzonych na terenie kraju obostrzeń dot. organizacji zajęć w placówkach pomocy społecznej, została zawieszona stacjonarna działalność większości Dziennych Domów „Senior+” i Klubów „Senior+”. Mimo to, Dzienne Domy „Senior+” i Kluby „Senior+” realizują swoje zadania w „alternatywnej” formie. Część zajęć realizowana jest on-line. Pracownicy ośrodków pozostają w stałym kontakcie z uczestnikami, organizując im różnego rodzaju zajęcia (np. warsztaty krawieckie – szycie maseczek, plastyczne, malarskie), dostarczając seniorom łamigłówki, krzyżówki, książki, prasę, itd., a także pomagając w zakupach, wizytach lekarskich, czy w załatwianiu spraw urzędowych. Osoby starsze mogą także liczyć na wsparcie kadry ośrodków, w tym psychologów, w postaci częstych kontaktów telefonicznych lub internetowych. Seniorzy otrzymują także jeden gorący posiłek dziennie, dostarczany bezpośrednio do miejsca zamieszkania. Natomiast osoby starsze, które wymagają usług opiekuńczych, zostały objęte pomocą świadczoną przez ośrodki pomocy społecznej.</w:t>
      </w:r>
    </w:p>
    <w:p w14:paraId="3CF82E3E" w14:textId="77777777" w:rsidR="00421BD1" w:rsidRPr="00421BD1" w:rsidRDefault="00421BD1" w:rsidP="00421BD1">
      <w:pPr>
        <w:spacing w:after="160" w:line="259" w:lineRule="auto"/>
        <w:rPr>
          <w:rFonts w:cs="Times New Roman"/>
          <w:szCs w:val="24"/>
        </w:rPr>
      </w:pPr>
      <w:r w:rsidRPr="00421BD1">
        <w:rPr>
          <w:rFonts w:cs="Times New Roman"/>
          <w:szCs w:val="24"/>
        </w:rPr>
        <w:t xml:space="preserve">Aby nadal przeciwdziałać szerzeniu się zakażeń SARS-CoV-2, Dziennym Domom „Senior+” i Klubom „Senior+” zostały przedłożone rekomendacje dotyczące działalności placówek </w:t>
      </w:r>
      <w:r w:rsidRPr="00421BD1">
        <w:rPr>
          <w:rFonts w:cs="Times New Roman"/>
          <w:szCs w:val="24"/>
        </w:rPr>
        <w:lastRenderedPageBreak/>
        <w:t xml:space="preserve">pobytu dziennego. Rekomendacje są dostępne na stronach internetowych Ministerstwa: https://www.gov.pl/web/rodzina oraz http://senior.gov.pl/. Działalność placówek jest nadzorowana przez służby wojewodów, a decyzje o wznowieniu ich funkcjonowania podejmowane są w zależności od sytuacji epidemiologicznej w danym regionie. </w:t>
      </w:r>
    </w:p>
    <w:p w14:paraId="1812DB6A" w14:textId="75398613" w:rsidR="00421BD1" w:rsidRDefault="00421BD1" w:rsidP="00421BD1">
      <w:pPr>
        <w:spacing w:after="160" w:line="259" w:lineRule="auto"/>
        <w:rPr>
          <w:rFonts w:cs="Times New Roman"/>
          <w:szCs w:val="24"/>
        </w:rPr>
      </w:pPr>
      <w:r w:rsidRPr="00421BD1">
        <w:rPr>
          <w:rFonts w:cs="Times New Roman"/>
          <w:szCs w:val="24"/>
        </w:rPr>
        <w:t xml:space="preserve">Aby umożliwić Dziennym Domom „Senior+” i Klubom „Senior+” wymianę doświadczeń, dotyczących świadczenia usług w czasie pandemii, Ministerstwo założyło na stronie internetowej http://senior.gov.pl/ zakładkę „SENIOR+ kontra </w:t>
      </w:r>
      <w:proofErr w:type="spellStart"/>
      <w:r w:rsidRPr="00421BD1">
        <w:rPr>
          <w:rFonts w:cs="Times New Roman"/>
          <w:szCs w:val="24"/>
        </w:rPr>
        <w:t>koronawirus</w:t>
      </w:r>
      <w:proofErr w:type="spellEnd"/>
      <w:r w:rsidRPr="00421BD1">
        <w:rPr>
          <w:rFonts w:cs="Times New Roman"/>
          <w:szCs w:val="24"/>
        </w:rPr>
        <w:t xml:space="preserve"> – dobre praktyki”, na której są publikowane najciekawsze sposoby</w:t>
      </w:r>
      <w:r w:rsidR="00A5053D">
        <w:rPr>
          <w:rFonts w:cs="Times New Roman"/>
          <w:szCs w:val="24"/>
        </w:rPr>
        <w:t xml:space="preserve"> realizacji działań.</w:t>
      </w:r>
    </w:p>
    <w:p w14:paraId="267831A6" w14:textId="77777777" w:rsidR="00421BD1" w:rsidRDefault="00421BD1" w:rsidP="00421BD1">
      <w:pPr>
        <w:autoSpaceDE w:val="0"/>
        <w:autoSpaceDN w:val="0"/>
        <w:adjustRightInd w:val="0"/>
        <w:rPr>
          <w:rFonts w:cs="Times New Roman"/>
          <w:szCs w:val="24"/>
        </w:rPr>
      </w:pPr>
    </w:p>
    <w:p w14:paraId="6C15735C" w14:textId="77777777" w:rsidR="00421BD1" w:rsidRPr="00421BD1" w:rsidRDefault="00421BD1" w:rsidP="00421BD1">
      <w:pPr>
        <w:rPr>
          <w:rFonts w:cs="Times New Roman"/>
          <w:b/>
          <w:szCs w:val="24"/>
        </w:rPr>
      </w:pPr>
      <w:r w:rsidRPr="00421BD1">
        <w:rPr>
          <w:rFonts w:cs="Times New Roman"/>
          <w:b/>
          <w:szCs w:val="24"/>
        </w:rPr>
        <w:t>Program ASOS</w:t>
      </w:r>
    </w:p>
    <w:p w14:paraId="0DF78A42" w14:textId="3D097628" w:rsidR="00421BD1" w:rsidRDefault="00421BD1" w:rsidP="00421BD1">
      <w:pPr>
        <w:autoSpaceDE w:val="0"/>
        <w:autoSpaceDN w:val="0"/>
        <w:adjustRightInd w:val="0"/>
        <w:rPr>
          <w:rFonts w:cs="Times New Roman"/>
        </w:rPr>
      </w:pPr>
      <w:r w:rsidRPr="00421BD1">
        <w:rPr>
          <w:rFonts w:cs="Times New Roman"/>
        </w:rPr>
        <w:t xml:space="preserve">Regularny udział </w:t>
      </w:r>
      <w:r w:rsidR="00A5053D">
        <w:rPr>
          <w:rFonts w:cs="Times New Roman"/>
        </w:rPr>
        <w:t xml:space="preserve">seniorów </w:t>
      </w:r>
      <w:r w:rsidRPr="00421BD1">
        <w:rPr>
          <w:rFonts w:cs="Times New Roman"/>
        </w:rPr>
        <w:t xml:space="preserve">w zajęciach umożliwia poszerzenie wiedzy, nabywanie nowych umiejętności czy też daje możliwość podejmowania aktywności na rzecz społeczności lokalnych, </w:t>
      </w:r>
      <w:r w:rsidR="00A5053D">
        <w:rPr>
          <w:rFonts w:cs="Times New Roman"/>
        </w:rPr>
        <w:t xml:space="preserve">w tym </w:t>
      </w:r>
      <w:r w:rsidRPr="00421BD1">
        <w:rPr>
          <w:rFonts w:cs="Times New Roman"/>
        </w:rPr>
        <w:t>również w formie wolontariatu. W</w:t>
      </w:r>
      <w:r w:rsidR="00616DE3">
        <w:rPr>
          <w:rFonts w:cs="Times New Roman"/>
        </w:rPr>
        <w:t> </w:t>
      </w:r>
      <w:r w:rsidRPr="00421BD1">
        <w:rPr>
          <w:rFonts w:cs="Times New Roman"/>
        </w:rPr>
        <w:t xml:space="preserve">ramach Programu ASOS realizowane są także działania zwiększające dostęp do usług społecznych oraz wspierające ideę samopomocy i samoorganizacji. </w:t>
      </w:r>
    </w:p>
    <w:p w14:paraId="6C7FC6F0" w14:textId="77777777" w:rsidR="00421BD1" w:rsidRDefault="00421BD1" w:rsidP="00421BD1">
      <w:pPr>
        <w:autoSpaceDE w:val="0"/>
        <w:autoSpaceDN w:val="0"/>
        <w:adjustRightInd w:val="0"/>
        <w:rPr>
          <w:rFonts w:cs="Times New Roman"/>
        </w:rPr>
      </w:pPr>
    </w:p>
    <w:p w14:paraId="7CFFD188" w14:textId="057F0D12" w:rsidR="00421BD1" w:rsidRPr="00421BD1" w:rsidRDefault="00421BD1" w:rsidP="00421BD1">
      <w:pPr>
        <w:pStyle w:val="Legenda"/>
        <w:keepNext/>
        <w:rPr>
          <w:rFonts w:cs="Times New Roman"/>
          <w:b/>
          <w:i w:val="0"/>
          <w:color w:val="auto"/>
          <w:sz w:val="24"/>
        </w:rPr>
      </w:pPr>
      <w:r w:rsidRPr="00432294">
        <w:rPr>
          <w:rFonts w:cs="Times New Roman"/>
          <w:b/>
          <w:i w:val="0"/>
          <w:color w:val="auto"/>
          <w:sz w:val="24"/>
        </w:rPr>
        <w:t xml:space="preserve">Tabela </w:t>
      </w:r>
      <w:r w:rsidR="00B401C8">
        <w:rPr>
          <w:rFonts w:cs="Times New Roman"/>
          <w:b/>
          <w:i w:val="0"/>
          <w:color w:val="auto"/>
          <w:sz w:val="24"/>
        </w:rPr>
        <w:t>42</w:t>
      </w:r>
      <w:r w:rsidR="00EE73AF">
        <w:rPr>
          <w:rFonts w:cs="Times New Roman"/>
          <w:b/>
          <w:i w:val="0"/>
          <w:color w:val="auto"/>
          <w:sz w:val="24"/>
        </w:rPr>
        <w:t>.</w:t>
      </w:r>
      <w:r w:rsidRPr="00432294">
        <w:rPr>
          <w:rFonts w:cs="Times New Roman"/>
          <w:b/>
          <w:i w:val="0"/>
          <w:color w:val="auto"/>
          <w:sz w:val="24"/>
        </w:rPr>
        <w:t xml:space="preserve"> </w:t>
      </w:r>
      <w:r w:rsidRPr="00421BD1">
        <w:rPr>
          <w:rFonts w:cs="Times New Roman"/>
          <w:b/>
          <w:i w:val="0"/>
          <w:color w:val="auto"/>
          <w:sz w:val="24"/>
        </w:rPr>
        <w:t>Program ASOS - dane za lata 2014-2020</w:t>
      </w:r>
    </w:p>
    <w:tbl>
      <w:tblPr>
        <w:tblStyle w:val="Tabelasiatki4akcent21"/>
        <w:tblW w:w="0" w:type="auto"/>
        <w:tblLook w:val="04A0" w:firstRow="1" w:lastRow="0" w:firstColumn="1" w:lastColumn="0" w:noHBand="0" w:noVBand="1"/>
      </w:tblPr>
      <w:tblGrid>
        <w:gridCol w:w="1126"/>
        <w:gridCol w:w="2002"/>
        <w:gridCol w:w="1974"/>
        <w:gridCol w:w="1746"/>
        <w:gridCol w:w="2202"/>
      </w:tblGrid>
      <w:tr w:rsidR="00421BD1" w:rsidRPr="0092226B" w14:paraId="5A64738A" w14:textId="77777777" w:rsidTr="00421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hideMark/>
          </w:tcPr>
          <w:p w14:paraId="7D16416B" w14:textId="77777777" w:rsidR="00421BD1" w:rsidRPr="00421BD1" w:rsidRDefault="00421BD1" w:rsidP="00D96C8C">
            <w:pPr>
              <w:spacing w:line="240" w:lineRule="auto"/>
              <w:rPr>
                <w:rFonts w:cs="Times New Roman"/>
                <w:color w:val="auto"/>
                <w:sz w:val="20"/>
                <w:szCs w:val="20"/>
              </w:rPr>
            </w:pPr>
            <w:r w:rsidRPr="00421BD1">
              <w:rPr>
                <w:rFonts w:cs="Times New Roman"/>
                <w:color w:val="auto"/>
                <w:sz w:val="20"/>
                <w:szCs w:val="20"/>
              </w:rPr>
              <w:t>Rok</w:t>
            </w:r>
          </w:p>
        </w:tc>
        <w:tc>
          <w:tcPr>
            <w:tcW w:w="2002" w:type="dxa"/>
            <w:hideMark/>
          </w:tcPr>
          <w:p w14:paraId="59D89F2E" w14:textId="77777777" w:rsidR="00421BD1" w:rsidRPr="00421BD1" w:rsidRDefault="00421BD1" w:rsidP="00D96C8C">
            <w:pPr>
              <w:spacing w:line="240" w:lineRule="auto"/>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421BD1">
              <w:rPr>
                <w:rFonts w:cs="Times New Roman"/>
                <w:color w:val="auto"/>
                <w:sz w:val="20"/>
                <w:szCs w:val="20"/>
              </w:rPr>
              <w:t>Liczba dofinansowanych projektów</w:t>
            </w:r>
          </w:p>
        </w:tc>
        <w:tc>
          <w:tcPr>
            <w:tcW w:w="1974" w:type="dxa"/>
            <w:hideMark/>
          </w:tcPr>
          <w:p w14:paraId="665F848C" w14:textId="77777777" w:rsidR="00421BD1" w:rsidRPr="00421BD1" w:rsidRDefault="00421BD1" w:rsidP="00D96C8C">
            <w:pPr>
              <w:spacing w:line="240" w:lineRule="auto"/>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421BD1">
              <w:rPr>
                <w:rFonts w:cs="Times New Roman"/>
                <w:color w:val="auto"/>
                <w:sz w:val="20"/>
                <w:szCs w:val="20"/>
              </w:rPr>
              <w:t xml:space="preserve">Wartość </w:t>
            </w:r>
            <w:r w:rsidRPr="00421BD1">
              <w:rPr>
                <w:rFonts w:cs="Times New Roman"/>
                <w:color w:val="auto"/>
                <w:sz w:val="20"/>
                <w:szCs w:val="20"/>
              </w:rPr>
              <w:br/>
              <w:t xml:space="preserve">wsparcia dla osób w wieku </w:t>
            </w:r>
            <w:r w:rsidRPr="00421BD1">
              <w:rPr>
                <w:rFonts w:cs="Times New Roman"/>
                <w:color w:val="auto"/>
                <w:sz w:val="20"/>
                <w:szCs w:val="20"/>
              </w:rPr>
              <w:br/>
              <w:t>60 lat i więcej</w:t>
            </w:r>
          </w:p>
        </w:tc>
        <w:tc>
          <w:tcPr>
            <w:tcW w:w="1746" w:type="dxa"/>
            <w:hideMark/>
          </w:tcPr>
          <w:p w14:paraId="796CCAB8" w14:textId="77777777" w:rsidR="00421BD1" w:rsidRPr="00421BD1" w:rsidRDefault="00421BD1" w:rsidP="00D96C8C">
            <w:pPr>
              <w:spacing w:line="240" w:lineRule="auto"/>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421BD1">
              <w:rPr>
                <w:rFonts w:cs="Times New Roman"/>
                <w:color w:val="auto"/>
                <w:sz w:val="20"/>
                <w:szCs w:val="20"/>
              </w:rPr>
              <w:t xml:space="preserve">Liczba beneficjentów w wieku 60 lat </w:t>
            </w:r>
            <w:r w:rsidRPr="00421BD1">
              <w:rPr>
                <w:rFonts w:cs="Times New Roman"/>
                <w:color w:val="auto"/>
                <w:sz w:val="20"/>
                <w:szCs w:val="20"/>
              </w:rPr>
              <w:br/>
              <w:t>i więcej</w:t>
            </w:r>
          </w:p>
        </w:tc>
        <w:tc>
          <w:tcPr>
            <w:tcW w:w="2202" w:type="dxa"/>
            <w:hideMark/>
          </w:tcPr>
          <w:p w14:paraId="5DA9E935" w14:textId="77777777" w:rsidR="00421BD1" w:rsidRPr="00421BD1" w:rsidRDefault="00421BD1" w:rsidP="00D96C8C">
            <w:pPr>
              <w:spacing w:line="240" w:lineRule="auto"/>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Pr>
                <w:rFonts w:cs="Times New Roman"/>
                <w:color w:val="auto"/>
                <w:sz w:val="20"/>
                <w:szCs w:val="20"/>
              </w:rPr>
              <w:t>w</w:t>
            </w:r>
            <w:r w:rsidRPr="00421BD1">
              <w:rPr>
                <w:rFonts w:cs="Times New Roman"/>
                <w:color w:val="auto"/>
                <w:sz w:val="20"/>
                <w:szCs w:val="20"/>
              </w:rPr>
              <w:t xml:space="preserve"> tym osób niepełnosprawnych w wieku 60 lat i więcej</w:t>
            </w:r>
          </w:p>
        </w:tc>
      </w:tr>
      <w:tr w:rsidR="00421BD1" w:rsidRPr="0092226B" w14:paraId="14E801B3" w14:textId="77777777" w:rsidTr="00421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hideMark/>
          </w:tcPr>
          <w:p w14:paraId="5AB15471" w14:textId="77777777" w:rsidR="00421BD1" w:rsidRPr="00421BD1" w:rsidRDefault="00421BD1" w:rsidP="00D96C8C">
            <w:pPr>
              <w:spacing w:line="240" w:lineRule="auto"/>
              <w:rPr>
                <w:rFonts w:cs="Times New Roman"/>
                <w:b w:val="0"/>
                <w:sz w:val="20"/>
                <w:szCs w:val="20"/>
              </w:rPr>
            </w:pPr>
            <w:r w:rsidRPr="00421BD1">
              <w:rPr>
                <w:rFonts w:cs="Times New Roman"/>
                <w:b w:val="0"/>
                <w:sz w:val="20"/>
                <w:szCs w:val="20"/>
              </w:rPr>
              <w:t>2014</w:t>
            </w:r>
          </w:p>
        </w:tc>
        <w:tc>
          <w:tcPr>
            <w:tcW w:w="2002" w:type="dxa"/>
            <w:hideMark/>
          </w:tcPr>
          <w:p w14:paraId="60014EB0" w14:textId="4C465CF8" w:rsidR="00421BD1" w:rsidRPr="00421BD1" w:rsidRDefault="00521C0B" w:rsidP="00D96C8C">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Pr>
                <w:rFonts w:cs="Times New Roman"/>
                <w:bCs/>
                <w:sz w:val="20"/>
                <w:szCs w:val="20"/>
              </w:rPr>
              <w:t>494</w:t>
            </w:r>
          </w:p>
        </w:tc>
        <w:tc>
          <w:tcPr>
            <w:tcW w:w="1974" w:type="dxa"/>
            <w:hideMark/>
          </w:tcPr>
          <w:p w14:paraId="2D349566" w14:textId="77777777" w:rsidR="00421BD1" w:rsidRPr="00421BD1" w:rsidRDefault="00421BD1" w:rsidP="00D96C8C">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421BD1">
              <w:rPr>
                <w:rFonts w:cs="Times New Roman"/>
                <w:bCs/>
                <w:sz w:val="20"/>
                <w:szCs w:val="20"/>
              </w:rPr>
              <w:t>38 200 107,30 zł</w:t>
            </w:r>
          </w:p>
        </w:tc>
        <w:tc>
          <w:tcPr>
            <w:tcW w:w="1746" w:type="dxa"/>
            <w:hideMark/>
          </w:tcPr>
          <w:p w14:paraId="55542D44" w14:textId="77777777" w:rsidR="00421BD1" w:rsidRPr="00421BD1" w:rsidRDefault="00421BD1" w:rsidP="00D96C8C">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421BD1">
              <w:rPr>
                <w:rFonts w:cs="Times New Roman"/>
                <w:bCs/>
                <w:sz w:val="20"/>
                <w:szCs w:val="20"/>
              </w:rPr>
              <w:t>333 849</w:t>
            </w:r>
          </w:p>
        </w:tc>
        <w:tc>
          <w:tcPr>
            <w:tcW w:w="2202" w:type="dxa"/>
            <w:hideMark/>
          </w:tcPr>
          <w:p w14:paraId="195960EC" w14:textId="77777777" w:rsidR="00421BD1" w:rsidRPr="00421BD1" w:rsidRDefault="00421BD1" w:rsidP="00D96C8C">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421BD1">
              <w:rPr>
                <w:rFonts w:cs="Times New Roman"/>
                <w:bCs/>
                <w:sz w:val="20"/>
                <w:szCs w:val="20"/>
              </w:rPr>
              <w:t>brak danych</w:t>
            </w:r>
          </w:p>
        </w:tc>
      </w:tr>
      <w:tr w:rsidR="00421BD1" w:rsidRPr="0092226B" w14:paraId="49589880" w14:textId="77777777" w:rsidTr="00421BD1">
        <w:tc>
          <w:tcPr>
            <w:cnfStyle w:val="001000000000" w:firstRow="0" w:lastRow="0" w:firstColumn="1" w:lastColumn="0" w:oddVBand="0" w:evenVBand="0" w:oddHBand="0" w:evenHBand="0" w:firstRowFirstColumn="0" w:firstRowLastColumn="0" w:lastRowFirstColumn="0" w:lastRowLastColumn="0"/>
            <w:tcW w:w="1126" w:type="dxa"/>
            <w:hideMark/>
          </w:tcPr>
          <w:p w14:paraId="2395D9D7" w14:textId="77777777" w:rsidR="00421BD1" w:rsidRPr="00421BD1" w:rsidRDefault="00421BD1" w:rsidP="00D96C8C">
            <w:pPr>
              <w:spacing w:line="240" w:lineRule="auto"/>
              <w:rPr>
                <w:rFonts w:cs="Times New Roman"/>
                <w:b w:val="0"/>
                <w:sz w:val="20"/>
                <w:szCs w:val="20"/>
              </w:rPr>
            </w:pPr>
            <w:r w:rsidRPr="00421BD1">
              <w:rPr>
                <w:rFonts w:cs="Times New Roman"/>
                <w:b w:val="0"/>
                <w:sz w:val="20"/>
                <w:szCs w:val="20"/>
              </w:rPr>
              <w:t>2015</w:t>
            </w:r>
          </w:p>
        </w:tc>
        <w:tc>
          <w:tcPr>
            <w:tcW w:w="2002" w:type="dxa"/>
            <w:hideMark/>
          </w:tcPr>
          <w:p w14:paraId="46D2CE38" w14:textId="2561E2E8" w:rsidR="00421BD1" w:rsidRPr="00421BD1" w:rsidRDefault="00521C0B" w:rsidP="00D96C8C">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Pr>
                <w:rFonts w:cs="Times New Roman"/>
                <w:bCs/>
                <w:sz w:val="20"/>
                <w:szCs w:val="20"/>
              </w:rPr>
              <w:t>471</w:t>
            </w:r>
          </w:p>
        </w:tc>
        <w:tc>
          <w:tcPr>
            <w:tcW w:w="1974" w:type="dxa"/>
            <w:hideMark/>
          </w:tcPr>
          <w:p w14:paraId="203E0E44" w14:textId="77777777" w:rsidR="00421BD1" w:rsidRPr="00421BD1" w:rsidRDefault="00421BD1" w:rsidP="00D96C8C">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421BD1">
              <w:rPr>
                <w:rFonts w:cs="Times New Roman"/>
                <w:bCs/>
                <w:sz w:val="20"/>
                <w:szCs w:val="20"/>
              </w:rPr>
              <w:t>37 989 996,04 zł</w:t>
            </w:r>
          </w:p>
        </w:tc>
        <w:tc>
          <w:tcPr>
            <w:tcW w:w="1746" w:type="dxa"/>
            <w:hideMark/>
          </w:tcPr>
          <w:p w14:paraId="07B60AF7" w14:textId="77777777" w:rsidR="00421BD1" w:rsidRPr="00421BD1" w:rsidRDefault="00421BD1" w:rsidP="00D96C8C">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421BD1">
              <w:rPr>
                <w:rFonts w:cs="Times New Roman"/>
                <w:bCs/>
                <w:sz w:val="20"/>
                <w:szCs w:val="20"/>
              </w:rPr>
              <w:t>265 941</w:t>
            </w:r>
          </w:p>
        </w:tc>
        <w:tc>
          <w:tcPr>
            <w:tcW w:w="2202" w:type="dxa"/>
            <w:hideMark/>
          </w:tcPr>
          <w:p w14:paraId="6DCF6B69" w14:textId="77777777" w:rsidR="00421BD1" w:rsidRPr="00421BD1" w:rsidRDefault="00421BD1" w:rsidP="00D96C8C">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421BD1">
              <w:rPr>
                <w:rFonts w:cs="Times New Roman"/>
                <w:bCs/>
                <w:sz w:val="20"/>
                <w:szCs w:val="20"/>
              </w:rPr>
              <w:t>brak danych</w:t>
            </w:r>
          </w:p>
        </w:tc>
      </w:tr>
      <w:tr w:rsidR="00421BD1" w:rsidRPr="0092226B" w14:paraId="784140F9" w14:textId="77777777" w:rsidTr="00421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hideMark/>
          </w:tcPr>
          <w:p w14:paraId="66DF3BFE" w14:textId="77777777" w:rsidR="00421BD1" w:rsidRPr="00421BD1" w:rsidRDefault="00421BD1" w:rsidP="00D96C8C">
            <w:pPr>
              <w:spacing w:line="240" w:lineRule="auto"/>
              <w:rPr>
                <w:rFonts w:cs="Times New Roman"/>
                <w:b w:val="0"/>
                <w:sz w:val="20"/>
                <w:szCs w:val="20"/>
              </w:rPr>
            </w:pPr>
            <w:r w:rsidRPr="00421BD1">
              <w:rPr>
                <w:rFonts w:cs="Times New Roman"/>
                <w:b w:val="0"/>
                <w:sz w:val="20"/>
                <w:szCs w:val="20"/>
              </w:rPr>
              <w:t>2016</w:t>
            </w:r>
          </w:p>
        </w:tc>
        <w:tc>
          <w:tcPr>
            <w:tcW w:w="2002" w:type="dxa"/>
            <w:hideMark/>
          </w:tcPr>
          <w:p w14:paraId="1D0D62C8" w14:textId="77777777" w:rsidR="00421BD1" w:rsidRPr="00421BD1" w:rsidRDefault="00421BD1" w:rsidP="00D96C8C">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421BD1">
              <w:rPr>
                <w:rFonts w:cs="Times New Roman"/>
                <w:bCs/>
                <w:sz w:val="20"/>
                <w:szCs w:val="20"/>
              </w:rPr>
              <w:t>432</w:t>
            </w:r>
          </w:p>
        </w:tc>
        <w:tc>
          <w:tcPr>
            <w:tcW w:w="1974" w:type="dxa"/>
            <w:hideMark/>
          </w:tcPr>
          <w:p w14:paraId="25934E87" w14:textId="77777777" w:rsidR="00421BD1" w:rsidRPr="00421BD1" w:rsidRDefault="00421BD1" w:rsidP="00D96C8C">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421BD1">
              <w:rPr>
                <w:rFonts w:cs="Times New Roman"/>
                <w:bCs/>
                <w:sz w:val="20"/>
                <w:szCs w:val="20"/>
              </w:rPr>
              <w:t>37 947 108,93 zł</w:t>
            </w:r>
          </w:p>
        </w:tc>
        <w:tc>
          <w:tcPr>
            <w:tcW w:w="1746" w:type="dxa"/>
            <w:hideMark/>
          </w:tcPr>
          <w:p w14:paraId="1F38498B" w14:textId="77777777" w:rsidR="00421BD1" w:rsidRPr="00421BD1" w:rsidRDefault="00421BD1" w:rsidP="00D96C8C">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421BD1">
              <w:rPr>
                <w:rFonts w:cs="Times New Roman"/>
                <w:bCs/>
                <w:sz w:val="20"/>
                <w:szCs w:val="20"/>
              </w:rPr>
              <w:t>128 560</w:t>
            </w:r>
          </w:p>
        </w:tc>
        <w:tc>
          <w:tcPr>
            <w:tcW w:w="2202" w:type="dxa"/>
            <w:hideMark/>
          </w:tcPr>
          <w:p w14:paraId="4D6A0B53" w14:textId="77777777" w:rsidR="00421BD1" w:rsidRPr="00421BD1" w:rsidRDefault="00421BD1" w:rsidP="00D96C8C">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421BD1">
              <w:rPr>
                <w:rFonts w:cs="Times New Roman"/>
                <w:bCs/>
                <w:sz w:val="20"/>
                <w:szCs w:val="20"/>
              </w:rPr>
              <w:t>10 963</w:t>
            </w:r>
          </w:p>
        </w:tc>
      </w:tr>
      <w:tr w:rsidR="00421BD1" w:rsidRPr="0092226B" w14:paraId="61B86018" w14:textId="77777777" w:rsidTr="00421BD1">
        <w:tc>
          <w:tcPr>
            <w:cnfStyle w:val="001000000000" w:firstRow="0" w:lastRow="0" w:firstColumn="1" w:lastColumn="0" w:oddVBand="0" w:evenVBand="0" w:oddHBand="0" w:evenHBand="0" w:firstRowFirstColumn="0" w:firstRowLastColumn="0" w:lastRowFirstColumn="0" w:lastRowLastColumn="0"/>
            <w:tcW w:w="1126" w:type="dxa"/>
            <w:hideMark/>
          </w:tcPr>
          <w:p w14:paraId="7A6677C8" w14:textId="77777777" w:rsidR="00421BD1" w:rsidRPr="00421BD1" w:rsidRDefault="00421BD1" w:rsidP="00D96C8C">
            <w:pPr>
              <w:spacing w:line="240" w:lineRule="auto"/>
              <w:rPr>
                <w:rFonts w:cs="Times New Roman"/>
                <w:b w:val="0"/>
                <w:sz w:val="20"/>
                <w:szCs w:val="20"/>
              </w:rPr>
            </w:pPr>
            <w:r w:rsidRPr="00421BD1">
              <w:rPr>
                <w:rFonts w:cs="Times New Roman"/>
                <w:b w:val="0"/>
                <w:sz w:val="20"/>
                <w:szCs w:val="20"/>
              </w:rPr>
              <w:t>2017</w:t>
            </w:r>
          </w:p>
        </w:tc>
        <w:tc>
          <w:tcPr>
            <w:tcW w:w="2002" w:type="dxa"/>
            <w:hideMark/>
          </w:tcPr>
          <w:p w14:paraId="480E2014" w14:textId="77777777" w:rsidR="00421BD1" w:rsidRPr="00421BD1" w:rsidRDefault="00421BD1" w:rsidP="00D96C8C">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421BD1">
              <w:rPr>
                <w:rFonts w:cs="Times New Roman"/>
                <w:bCs/>
                <w:sz w:val="20"/>
                <w:szCs w:val="20"/>
              </w:rPr>
              <w:t>370</w:t>
            </w:r>
          </w:p>
        </w:tc>
        <w:tc>
          <w:tcPr>
            <w:tcW w:w="1974" w:type="dxa"/>
            <w:hideMark/>
          </w:tcPr>
          <w:p w14:paraId="60F172CF" w14:textId="77777777" w:rsidR="00421BD1" w:rsidRPr="00421BD1" w:rsidRDefault="00421BD1" w:rsidP="00D96C8C">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421BD1">
              <w:rPr>
                <w:rFonts w:cs="Times New Roman"/>
                <w:bCs/>
                <w:sz w:val="20"/>
                <w:szCs w:val="20"/>
              </w:rPr>
              <w:t>37 998 198,78 zł</w:t>
            </w:r>
          </w:p>
        </w:tc>
        <w:tc>
          <w:tcPr>
            <w:tcW w:w="1746" w:type="dxa"/>
            <w:hideMark/>
          </w:tcPr>
          <w:p w14:paraId="29CE5D58" w14:textId="77777777" w:rsidR="00421BD1" w:rsidRPr="00421BD1" w:rsidRDefault="00421BD1" w:rsidP="00D96C8C">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421BD1">
              <w:rPr>
                <w:rFonts w:cs="Times New Roman"/>
                <w:bCs/>
                <w:sz w:val="20"/>
                <w:szCs w:val="20"/>
              </w:rPr>
              <w:t>179 338</w:t>
            </w:r>
          </w:p>
        </w:tc>
        <w:tc>
          <w:tcPr>
            <w:tcW w:w="2202" w:type="dxa"/>
            <w:hideMark/>
          </w:tcPr>
          <w:p w14:paraId="6CDFD341" w14:textId="77777777" w:rsidR="00421BD1" w:rsidRPr="00421BD1" w:rsidRDefault="00421BD1" w:rsidP="00D96C8C">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421BD1">
              <w:rPr>
                <w:rFonts w:cs="Times New Roman"/>
                <w:bCs/>
                <w:sz w:val="20"/>
                <w:szCs w:val="20"/>
              </w:rPr>
              <w:t>10 577</w:t>
            </w:r>
          </w:p>
        </w:tc>
      </w:tr>
      <w:tr w:rsidR="00421BD1" w:rsidRPr="0092226B" w14:paraId="31D10755" w14:textId="77777777" w:rsidTr="00421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hideMark/>
          </w:tcPr>
          <w:p w14:paraId="794B5FBE" w14:textId="77777777" w:rsidR="00421BD1" w:rsidRPr="00421BD1" w:rsidRDefault="00421BD1" w:rsidP="00D96C8C">
            <w:pPr>
              <w:spacing w:line="240" w:lineRule="auto"/>
              <w:rPr>
                <w:rFonts w:cs="Times New Roman"/>
                <w:b w:val="0"/>
                <w:sz w:val="20"/>
                <w:szCs w:val="20"/>
              </w:rPr>
            </w:pPr>
            <w:r w:rsidRPr="00421BD1">
              <w:rPr>
                <w:rFonts w:cs="Times New Roman"/>
                <w:b w:val="0"/>
                <w:sz w:val="20"/>
                <w:szCs w:val="20"/>
              </w:rPr>
              <w:t>2018</w:t>
            </w:r>
          </w:p>
        </w:tc>
        <w:tc>
          <w:tcPr>
            <w:tcW w:w="2002" w:type="dxa"/>
            <w:hideMark/>
          </w:tcPr>
          <w:p w14:paraId="5BA4F2DC" w14:textId="2157E970" w:rsidR="00421BD1" w:rsidRPr="00421BD1" w:rsidRDefault="00521C0B" w:rsidP="00D96C8C">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Pr>
                <w:rFonts w:cs="Times New Roman"/>
                <w:bCs/>
                <w:sz w:val="20"/>
                <w:szCs w:val="20"/>
              </w:rPr>
              <w:t>325</w:t>
            </w:r>
          </w:p>
        </w:tc>
        <w:tc>
          <w:tcPr>
            <w:tcW w:w="1974" w:type="dxa"/>
            <w:hideMark/>
          </w:tcPr>
          <w:p w14:paraId="6205BF0E" w14:textId="77777777" w:rsidR="00421BD1" w:rsidRPr="00421BD1" w:rsidRDefault="00421BD1" w:rsidP="00D96C8C">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421BD1">
              <w:rPr>
                <w:rFonts w:cs="Times New Roman"/>
                <w:bCs/>
                <w:sz w:val="20"/>
                <w:szCs w:val="20"/>
              </w:rPr>
              <w:t>37 996 494,49 zł</w:t>
            </w:r>
          </w:p>
        </w:tc>
        <w:tc>
          <w:tcPr>
            <w:tcW w:w="1746" w:type="dxa"/>
            <w:hideMark/>
          </w:tcPr>
          <w:p w14:paraId="117F73D3" w14:textId="77777777" w:rsidR="00421BD1" w:rsidRPr="00421BD1" w:rsidRDefault="00421BD1" w:rsidP="00D96C8C">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421BD1">
              <w:rPr>
                <w:rFonts w:cs="Times New Roman"/>
                <w:bCs/>
                <w:sz w:val="20"/>
                <w:szCs w:val="20"/>
              </w:rPr>
              <w:t>106 088</w:t>
            </w:r>
          </w:p>
        </w:tc>
        <w:tc>
          <w:tcPr>
            <w:tcW w:w="2202" w:type="dxa"/>
            <w:hideMark/>
          </w:tcPr>
          <w:p w14:paraId="618B232B" w14:textId="77777777" w:rsidR="00421BD1" w:rsidRPr="00421BD1" w:rsidRDefault="00421BD1" w:rsidP="00D96C8C">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421BD1">
              <w:rPr>
                <w:rFonts w:cs="Times New Roman"/>
                <w:bCs/>
                <w:sz w:val="20"/>
                <w:szCs w:val="20"/>
              </w:rPr>
              <w:t>8 224</w:t>
            </w:r>
          </w:p>
        </w:tc>
      </w:tr>
      <w:tr w:rsidR="00421BD1" w:rsidRPr="0092226B" w14:paraId="6ACEEFCE" w14:textId="77777777" w:rsidTr="00421BD1">
        <w:tc>
          <w:tcPr>
            <w:cnfStyle w:val="001000000000" w:firstRow="0" w:lastRow="0" w:firstColumn="1" w:lastColumn="0" w:oddVBand="0" w:evenVBand="0" w:oddHBand="0" w:evenHBand="0" w:firstRowFirstColumn="0" w:firstRowLastColumn="0" w:lastRowFirstColumn="0" w:lastRowLastColumn="0"/>
            <w:tcW w:w="1126" w:type="dxa"/>
            <w:hideMark/>
          </w:tcPr>
          <w:p w14:paraId="3B131222" w14:textId="77777777" w:rsidR="00421BD1" w:rsidRPr="00421BD1" w:rsidRDefault="00421BD1" w:rsidP="00D96C8C">
            <w:pPr>
              <w:spacing w:line="240" w:lineRule="auto"/>
              <w:rPr>
                <w:rFonts w:cs="Times New Roman"/>
                <w:b w:val="0"/>
                <w:sz w:val="20"/>
                <w:szCs w:val="20"/>
              </w:rPr>
            </w:pPr>
            <w:r w:rsidRPr="00421BD1">
              <w:rPr>
                <w:rFonts w:cs="Times New Roman"/>
                <w:b w:val="0"/>
                <w:sz w:val="20"/>
                <w:szCs w:val="20"/>
              </w:rPr>
              <w:t>2019</w:t>
            </w:r>
          </w:p>
        </w:tc>
        <w:tc>
          <w:tcPr>
            <w:tcW w:w="2002" w:type="dxa"/>
            <w:hideMark/>
          </w:tcPr>
          <w:p w14:paraId="65AB7C6A" w14:textId="77777777" w:rsidR="00421BD1" w:rsidRPr="00421BD1" w:rsidRDefault="00421BD1" w:rsidP="00D96C8C">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421BD1">
              <w:rPr>
                <w:rFonts w:cs="Times New Roman"/>
                <w:bCs/>
                <w:sz w:val="20"/>
                <w:szCs w:val="20"/>
              </w:rPr>
              <w:t>310</w:t>
            </w:r>
          </w:p>
        </w:tc>
        <w:tc>
          <w:tcPr>
            <w:tcW w:w="1974" w:type="dxa"/>
            <w:hideMark/>
          </w:tcPr>
          <w:p w14:paraId="7ED0D515" w14:textId="77777777" w:rsidR="00421BD1" w:rsidRPr="00421BD1" w:rsidRDefault="00421BD1" w:rsidP="00D96C8C">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421BD1">
              <w:rPr>
                <w:rFonts w:cs="Times New Roman"/>
                <w:bCs/>
                <w:sz w:val="20"/>
                <w:szCs w:val="20"/>
              </w:rPr>
              <w:t>37 914 217,57 zł</w:t>
            </w:r>
          </w:p>
        </w:tc>
        <w:tc>
          <w:tcPr>
            <w:tcW w:w="1746" w:type="dxa"/>
            <w:hideMark/>
          </w:tcPr>
          <w:p w14:paraId="2C8B7A05" w14:textId="77777777" w:rsidR="00421BD1" w:rsidRPr="00421BD1" w:rsidRDefault="00421BD1" w:rsidP="00D96C8C">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eastAsia="pl-PL"/>
              </w:rPr>
            </w:pPr>
            <w:r w:rsidRPr="00421BD1">
              <w:rPr>
                <w:rFonts w:cs="Times New Roman"/>
                <w:bCs/>
                <w:sz w:val="20"/>
                <w:szCs w:val="20"/>
                <w:lang w:eastAsia="pl-PL"/>
              </w:rPr>
              <w:t>156 152</w:t>
            </w:r>
          </w:p>
        </w:tc>
        <w:tc>
          <w:tcPr>
            <w:tcW w:w="2202" w:type="dxa"/>
            <w:hideMark/>
          </w:tcPr>
          <w:p w14:paraId="7DD4E129" w14:textId="77777777" w:rsidR="00421BD1" w:rsidRPr="00421BD1" w:rsidRDefault="00421BD1" w:rsidP="00D96C8C">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lang w:eastAsia="pl-PL"/>
              </w:rPr>
            </w:pPr>
            <w:r w:rsidRPr="00421BD1">
              <w:rPr>
                <w:rFonts w:cs="Times New Roman"/>
                <w:bCs/>
                <w:sz w:val="20"/>
                <w:szCs w:val="20"/>
                <w:lang w:eastAsia="pl-PL"/>
              </w:rPr>
              <w:t>8 685</w:t>
            </w:r>
          </w:p>
        </w:tc>
      </w:tr>
      <w:tr w:rsidR="00421BD1" w:rsidRPr="0092226B" w14:paraId="0487F9EB" w14:textId="77777777" w:rsidTr="00421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dxa"/>
          </w:tcPr>
          <w:p w14:paraId="1FD2B33D" w14:textId="77777777" w:rsidR="00421BD1" w:rsidRPr="00421BD1" w:rsidRDefault="00421BD1" w:rsidP="00D96C8C">
            <w:pPr>
              <w:spacing w:line="240" w:lineRule="auto"/>
              <w:rPr>
                <w:rFonts w:cs="Times New Roman"/>
                <w:b w:val="0"/>
                <w:sz w:val="20"/>
                <w:szCs w:val="20"/>
              </w:rPr>
            </w:pPr>
            <w:r w:rsidRPr="00421BD1">
              <w:rPr>
                <w:rFonts w:cs="Times New Roman"/>
                <w:b w:val="0"/>
                <w:sz w:val="20"/>
                <w:szCs w:val="20"/>
              </w:rPr>
              <w:t>2020</w:t>
            </w:r>
          </w:p>
        </w:tc>
        <w:tc>
          <w:tcPr>
            <w:tcW w:w="2002" w:type="dxa"/>
          </w:tcPr>
          <w:p w14:paraId="7132F94F" w14:textId="77777777" w:rsidR="00421BD1" w:rsidRPr="00421BD1" w:rsidRDefault="00421BD1" w:rsidP="00D96C8C">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Pr>
                <w:rFonts w:cs="Times New Roman"/>
                <w:bCs/>
                <w:sz w:val="20"/>
                <w:szCs w:val="20"/>
              </w:rPr>
              <w:t>311</w:t>
            </w:r>
          </w:p>
        </w:tc>
        <w:tc>
          <w:tcPr>
            <w:tcW w:w="1974" w:type="dxa"/>
          </w:tcPr>
          <w:p w14:paraId="4B9336D9" w14:textId="77777777" w:rsidR="00421BD1" w:rsidRPr="00421BD1" w:rsidRDefault="00421BD1" w:rsidP="00D96C8C">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421BD1">
              <w:rPr>
                <w:rFonts w:cs="Times New Roman"/>
                <w:bCs/>
                <w:sz w:val="20"/>
                <w:szCs w:val="20"/>
              </w:rPr>
              <w:t>37 857 866,06 zł</w:t>
            </w:r>
          </w:p>
        </w:tc>
        <w:tc>
          <w:tcPr>
            <w:tcW w:w="1746" w:type="dxa"/>
          </w:tcPr>
          <w:p w14:paraId="69ABF314" w14:textId="77777777" w:rsidR="00421BD1" w:rsidRPr="00421BD1" w:rsidRDefault="00F04CE0" w:rsidP="00D96C8C">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eastAsia="pl-PL"/>
              </w:rPr>
            </w:pPr>
            <w:r>
              <w:rPr>
                <w:rFonts w:cs="Times New Roman"/>
                <w:bCs/>
                <w:sz w:val="20"/>
                <w:szCs w:val="20"/>
                <w:lang w:eastAsia="pl-PL"/>
              </w:rPr>
              <w:t>151 618</w:t>
            </w:r>
          </w:p>
        </w:tc>
        <w:tc>
          <w:tcPr>
            <w:tcW w:w="2202" w:type="dxa"/>
          </w:tcPr>
          <w:p w14:paraId="049934B7" w14:textId="77777777" w:rsidR="00421BD1" w:rsidRPr="00421BD1" w:rsidRDefault="00F04CE0" w:rsidP="00D96C8C">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lang w:eastAsia="pl-PL"/>
              </w:rPr>
            </w:pPr>
            <w:r>
              <w:rPr>
                <w:rFonts w:cs="Times New Roman"/>
                <w:bCs/>
                <w:sz w:val="20"/>
                <w:szCs w:val="20"/>
                <w:lang w:eastAsia="pl-PL"/>
              </w:rPr>
              <w:t>10 723</w:t>
            </w:r>
          </w:p>
        </w:tc>
      </w:tr>
    </w:tbl>
    <w:p w14:paraId="6F8B7101" w14:textId="77777777" w:rsidR="00421BD1" w:rsidRDefault="00421BD1" w:rsidP="00421BD1">
      <w:pPr>
        <w:tabs>
          <w:tab w:val="left" w:pos="5400"/>
        </w:tabs>
        <w:rPr>
          <w:rFonts w:eastAsia="Times New Roman" w:cs="Times New Roman"/>
          <w:b/>
          <w:szCs w:val="24"/>
          <w:lang w:eastAsia="pl-PL"/>
        </w:rPr>
      </w:pPr>
      <w:r w:rsidRPr="00432294">
        <w:rPr>
          <w:rFonts w:eastAsia="Times New Roman" w:cs="Times New Roman"/>
          <w:b/>
          <w:szCs w:val="24"/>
          <w:lang w:eastAsia="pl-PL"/>
        </w:rPr>
        <w:t xml:space="preserve">Źródło: </w:t>
      </w:r>
      <w:r>
        <w:rPr>
          <w:rFonts w:eastAsia="Times New Roman" w:cs="Times New Roman"/>
          <w:b/>
          <w:szCs w:val="24"/>
          <w:lang w:eastAsia="pl-PL"/>
        </w:rPr>
        <w:t>Dane Ministerstwa Rodziny i Polityki Społecznej</w:t>
      </w:r>
      <w:r w:rsidRPr="00432294">
        <w:rPr>
          <w:rFonts w:eastAsia="Times New Roman" w:cs="Times New Roman"/>
          <w:b/>
          <w:szCs w:val="24"/>
          <w:lang w:eastAsia="pl-PL"/>
        </w:rPr>
        <w:t xml:space="preserve">. </w:t>
      </w:r>
    </w:p>
    <w:p w14:paraId="537B1BE3" w14:textId="77777777" w:rsidR="00421BD1" w:rsidRDefault="00421BD1" w:rsidP="00421BD1">
      <w:pPr>
        <w:spacing w:after="160" w:line="259" w:lineRule="auto"/>
        <w:contextualSpacing/>
        <w:rPr>
          <w:rFonts w:cs="Times New Roman"/>
          <w:b/>
          <w:szCs w:val="24"/>
        </w:rPr>
      </w:pPr>
    </w:p>
    <w:p w14:paraId="34E9BC4A" w14:textId="318DF6D1" w:rsidR="00977BA7" w:rsidRDefault="00421BD1" w:rsidP="00977BA7">
      <w:pPr>
        <w:spacing w:after="160" w:line="259" w:lineRule="auto"/>
        <w:contextualSpacing/>
      </w:pPr>
      <w:r w:rsidRPr="00421BD1">
        <w:rPr>
          <w:rFonts w:cs="Times New Roman"/>
          <w:color w:val="000000"/>
          <w:szCs w:val="24"/>
        </w:rPr>
        <w:t>Program ASOS na lata 2014-2020 powstał po to, by wspierać szeroko pojętą aktywność społeczną seniorów. Regularny udział w zajęciach umożliwia poszerzenie wiedzy, nabywanie nowych umiejętności,  daje też możliwość podejmowania aktywności na rzecz społeczności lokalnych, również w formie wolontariatu. W ramach Programu ASOS realizowane były także działania zwiększające dostęp do usług społecznych ora</w:t>
      </w:r>
      <w:r w:rsidR="001E0F91">
        <w:rPr>
          <w:rFonts w:cs="Times New Roman"/>
          <w:color w:val="000000"/>
          <w:szCs w:val="24"/>
        </w:rPr>
        <w:t>z wspierające ideę samopomocy i </w:t>
      </w:r>
      <w:r w:rsidRPr="00421BD1">
        <w:rPr>
          <w:rFonts w:cs="Times New Roman"/>
          <w:color w:val="000000"/>
          <w:szCs w:val="24"/>
        </w:rPr>
        <w:t>samoorganizacji.</w:t>
      </w:r>
      <w:r w:rsidR="00977BA7" w:rsidRPr="00977BA7">
        <w:t xml:space="preserve"> </w:t>
      </w:r>
    </w:p>
    <w:p w14:paraId="05E94125" w14:textId="77777777" w:rsidR="00977BA7" w:rsidRDefault="00977BA7" w:rsidP="00977BA7">
      <w:pPr>
        <w:spacing w:after="160" w:line="259" w:lineRule="auto"/>
        <w:contextualSpacing/>
      </w:pPr>
    </w:p>
    <w:p w14:paraId="21418060" w14:textId="342608C7" w:rsidR="00616DE3" w:rsidRDefault="00977BA7" w:rsidP="00F0608C">
      <w:pPr>
        <w:spacing w:after="160" w:line="259" w:lineRule="auto"/>
        <w:contextualSpacing/>
        <w:rPr>
          <w:rFonts w:cs="Times New Roman"/>
          <w:color w:val="000000"/>
          <w:szCs w:val="24"/>
        </w:rPr>
      </w:pPr>
      <w:r w:rsidRPr="00977BA7">
        <w:rPr>
          <w:rFonts w:cs="Times New Roman"/>
          <w:color w:val="000000"/>
          <w:szCs w:val="24"/>
        </w:rPr>
        <w:t>W związku z zakończeniem Programu ASOS po 202</w:t>
      </w:r>
      <w:r>
        <w:rPr>
          <w:rFonts w:cs="Times New Roman"/>
          <w:color w:val="000000"/>
          <w:szCs w:val="24"/>
        </w:rPr>
        <w:t xml:space="preserve">0 r. – w Ministerstwie Rodziny </w:t>
      </w:r>
      <w:r w:rsidRPr="00977BA7">
        <w:rPr>
          <w:rFonts w:cs="Times New Roman"/>
          <w:color w:val="000000"/>
          <w:szCs w:val="24"/>
        </w:rPr>
        <w:t xml:space="preserve">i Polityki Społecznej zaprojektowany został nowy </w:t>
      </w:r>
      <w:r>
        <w:rPr>
          <w:rFonts w:cs="Times New Roman"/>
          <w:color w:val="000000"/>
          <w:szCs w:val="24"/>
        </w:rPr>
        <w:t xml:space="preserve">Program o podobnym charakterze </w:t>
      </w:r>
      <w:r w:rsidRPr="00977BA7">
        <w:rPr>
          <w:rFonts w:cs="Times New Roman"/>
          <w:color w:val="000000"/>
          <w:szCs w:val="24"/>
        </w:rPr>
        <w:t>– Program Wieloletni na rzecz Osób Stars</w:t>
      </w:r>
      <w:r>
        <w:rPr>
          <w:rFonts w:cs="Times New Roman"/>
          <w:color w:val="000000"/>
          <w:szCs w:val="24"/>
        </w:rPr>
        <w:t>zych Aktywni+ na lata 2021-2025, który został przyjęty przez Radę Ministrów w listopadzie 2020 r.</w:t>
      </w:r>
      <w:r>
        <w:rPr>
          <w:rStyle w:val="Odwoanieprzypisudolnego"/>
          <w:rFonts w:cs="Times New Roman"/>
          <w:color w:val="000000"/>
          <w:szCs w:val="24"/>
        </w:rPr>
        <w:footnoteReference w:id="27"/>
      </w:r>
    </w:p>
    <w:p w14:paraId="322B9050" w14:textId="2B08C457" w:rsidR="00F0608C" w:rsidRDefault="00F0608C" w:rsidP="00F0608C">
      <w:pPr>
        <w:spacing w:after="160" w:line="259" w:lineRule="auto"/>
        <w:contextualSpacing/>
        <w:rPr>
          <w:rFonts w:cs="Times New Roman"/>
          <w:color w:val="000000"/>
          <w:szCs w:val="24"/>
        </w:rPr>
      </w:pPr>
    </w:p>
    <w:p w14:paraId="0A60FD70" w14:textId="77777777" w:rsidR="00F0608C" w:rsidRPr="00F0608C" w:rsidRDefault="00F0608C" w:rsidP="00F0608C">
      <w:pPr>
        <w:spacing w:after="160" w:line="259" w:lineRule="auto"/>
        <w:contextualSpacing/>
        <w:rPr>
          <w:rFonts w:cs="Times New Roman"/>
          <w:color w:val="000000"/>
          <w:szCs w:val="24"/>
        </w:rPr>
      </w:pPr>
    </w:p>
    <w:p w14:paraId="71E4D8C3" w14:textId="7A0116B8" w:rsidR="00F04CE0" w:rsidRDefault="00F04CE0" w:rsidP="00616DE3">
      <w:pPr>
        <w:contextualSpacing/>
        <w:rPr>
          <w:rFonts w:cs="Times New Roman"/>
          <w:b/>
          <w:szCs w:val="24"/>
        </w:rPr>
      </w:pPr>
      <w:r w:rsidRPr="00F04CE0">
        <w:rPr>
          <w:rFonts w:cs="Times New Roman"/>
          <w:b/>
          <w:szCs w:val="24"/>
        </w:rPr>
        <w:lastRenderedPageBreak/>
        <w:t>Solidarnościowy Korpus Wsparcia Seniorów</w:t>
      </w:r>
    </w:p>
    <w:p w14:paraId="58071653" w14:textId="0652C0BB" w:rsidR="004E5794" w:rsidRDefault="004E5794" w:rsidP="004E5794">
      <w:pPr>
        <w:contextualSpacing/>
        <w:rPr>
          <w:rFonts w:cs="Times New Roman"/>
          <w:szCs w:val="24"/>
        </w:rPr>
      </w:pPr>
      <w:r w:rsidRPr="004E5794">
        <w:rPr>
          <w:rFonts w:cs="Times New Roman"/>
          <w:szCs w:val="24"/>
        </w:rPr>
        <w:t xml:space="preserve">W ramach Solidarnościowego Korpusu Wsparcia Seniorów został opracowany Program „Wspieraj Seniora”. Dzięki programowi pomoc seniorom w </w:t>
      </w:r>
      <w:r w:rsidR="001E0F91">
        <w:rPr>
          <w:rFonts w:cs="Times New Roman"/>
          <w:szCs w:val="24"/>
        </w:rPr>
        <w:t xml:space="preserve">okresie pandemii </w:t>
      </w:r>
      <w:proofErr w:type="spellStart"/>
      <w:r w:rsidR="001E0F91">
        <w:rPr>
          <w:rFonts w:cs="Times New Roman"/>
          <w:szCs w:val="24"/>
        </w:rPr>
        <w:t>koronawirusa</w:t>
      </w:r>
      <w:proofErr w:type="spellEnd"/>
      <w:r w:rsidR="001E0F91">
        <w:rPr>
          <w:rFonts w:cs="Times New Roman"/>
          <w:szCs w:val="24"/>
        </w:rPr>
        <w:t xml:space="preserve"> i </w:t>
      </w:r>
      <w:r w:rsidRPr="004E5794">
        <w:rPr>
          <w:rFonts w:cs="Times New Roman"/>
          <w:szCs w:val="24"/>
        </w:rPr>
        <w:t>działania podejmowane w tym zakresie przez rząd, jednostki samorządu terytorialnego, ośrodki pomocy społecznej i wolontariuszy przebiegały sprawniej, a osoby starsze uzyskały pomoc w czynnościach dnia codziennego. Program „Wspieraj</w:t>
      </w:r>
      <w:r w:rsidR="001E0F91">
        <w:rPr>
          <w:rFonts w:cs="Times New Roman"/>
          <w:szCs w:val="24"/>
        </w:rPr>
        <w:t xml:space="preserve"> Seniora” realizowany był od 20 </w:t>
      </w:r>
      <w:r w:rsidRPr="004E5794">
        <w:rPr>
          <w:rFonts w:cs="Times New Roman"/>
          <w:szCs w:val="24"/>
        </w:rPr>
        <w:t>października  do 31 grudnia 2020 r.</w:t>
      </w:r>
    </w:p>
    <w:p w14:paraId="3A94ED9E" w14:textId="77777777" w:rsidR="004E5794" w:rsidRPr="004E5794" w:rsidRDefault="004E5794" w:rsidP="004E5794">
      <w:pPr>
        <w:contextualSpacing/>
        <w:rPr>
          <w:rFonts w:cs="Times New Roman"/>
          <w:szCs w:val="24"/>
        </w:rPr>
      </w:pPr>
    </w:p>
    <w:p w14:paraId="22F062AB" w14:textId="45F90B25" w:rsidR="004E5794" w:rsidRDefault="004E5794" w:rsidP="004E5794">
      <w:pPr>
        <w:contextualSpacing/>
        <w:rPr>
          <w:rFonts w:cs="Times New Roman"/>
          <w:szCs w:val="24"/>
        </w:rPr>
      </w:pPr>
      <w:r w:rsidRPr="004E5794">
        <w:rPr>
          <w:rFonts w:cs="Times New Roman"/>
          <w:szCs w:val="24"/>
        </w:rPr>
        <w:t xml:space="preserve">Celem programu było zapewnienie usługi wsparcia seniorom w </w:t>
      </w:r>
      <w:r w:rsidR="001E0F91">
        <w:rPr>
          <w:rFonts w:cs="Times New Roman"/>
          <w:szCs w:val="24"/>
        </w:rPr>
        <w:t>wieku 70 lat i więcej, którzy w </w:t>
      </w:r>
      <w:r w:rsidRPr="004E5794">
        <w:rPr>
          <w:rFonts w:cs="Times New Roman"/>
          <w:szCs w:val="24"/>
        </w:rPr>
        <w:t>obowiązującym stanie epidemii zdecydowali się na pozostanie w domu i nie byli w stanie np. poprzez wsparcie rodziny zabezpieczyć sobie artykułów podstawowej potrzeby. Usługa wsparcia polegała w szczególności na dostarczeniu zakupów obejmujących artykuły podstawowej potrzeby, w tym artykuły spożywcze, środki higieny osobistej.</w:t>
      </w:r>
    </w:p>
    <w:p w14:paraId="7781D4BE" w14:textId="77777777" w:rsidR="004E5794" w:rsidRPr="004E5794" w:rsidRDefault="004E5794" w:rsidP="004E5794">
      <w:pPr>
        <w:contextualSpacing/>
        <w:rPr>
          <w:rFonts w:cs="Times New Roman"/>
          <w:szCs w:val="24"/>
        </w:rPr>
      </w:pPr>
    </w:p>
    <w:p w14:paraId="7B05FEE7" w14:textId="3ACFDBFA" w:rsidR="004E5794" w:rsidRDefault="004E5794" w:rsidP="004E5794">
      <w:pPr>
        <w:contextualSpacing/>
        <w:rPr>
          <w:rFonts w:cs="Times New Roman"/>
          <w:szCs w:val="24"/>
        </w:rPr>
      </w:pPr>
      <w:r w:rsidRPr="004E5794">
        <w:rPr>
          <w:rFonts w:cs="Times New Roman"/>
          <w:szCs w:val="24"/>
        </w:rPr>
        <w:t>Program skierowany był do wszystkich gmin w Polsce, zar</w:t>
      </w:r>
      <w:r w:rsidR="001E0F91">
        <w:rPr>
          <w:rFonts w:cs="Times New Roman"/>
          <w:szCs w:val="24"/>
        </w:rPr>
        <w:t>ówno miejskich, wiejskich jak i </w:t>
      </w:r>
      <w:r w:rsidRPr="004E5794">
        <w:rPr>
          <w:rFonts w:cs="Times New Roman"/>
          <w:szCs w:val="24"/>
        </w:rPr>
        <w:t>miejsko-wiejskich. Do realizacji Programu mogła przystąpić każda gmina zainteresowana uzyskaniem dofinansowania ze środków budżetu państwa na zorganizowanie i realizację usługi wsparcia w ramach ww. programu polegającej w szczególności na dostarczeniu seniorom zakupów obejmujących artykuły pierwszej potrzeby, w tym artykuły spożywcze oraz środki higieny osobistej.</w:t>
      </w:r>
    </w:p>
    <w:p w14:paraId="17383EA7" w14:textId="77777777" w:rsidR="004E5794" w:rsidRPr="004E5794" w:rsidRDefault="004E5794" w:rsidP="004E5794">
      <w:pPr>
        <w:contextualSpacing/>
        <w:rPr>
          <w:rFonts w:cs="Times New Roman"/>
          <w:szCs w:val="24"/>
        </w:rPr>
      </w:pPr>
    </w:p>
    <w:p w14:paraId="3010DA62" w14:textId="77777777" w:rsidR="004E5794" w:rsidRPr="004E5794" w:rsidRDefault="004E5794" w:rsidP="004E5794">
      <w:pPr>
        <w:contextualSpacing/>
        <w:rPr>
          <w:rFonts w:cs="Times New Roman"/>
          <w:szCs w:val="24"/>
        </w:rPr>
      </w:pPr>
      <w:r w:rsidRPr="004E5794">
        <w:rPr>
          <w:rFonts w:cs="Times New Roman"/>
          <w:szCs w:val="24"/>
        </w:rPr>
        <w:t xml:space="preserve">Program adresowany był do: </w:t>
      </w:r>
    </w:p>
    <w:p w14:paraId="4414D380" w14:textId="77777777" w:rsidR="004E5794" w:rsidRDefault="004E5794" w:rsidP="004E5794">
      <w:pPr>
        <w:pStyle w:val="Akapitzlist"/>
        <w:numPr>
          <w:ilvl w:val="0"/>
          <w:numId w:val="218"/>
        </w:numPr>
        <w:rPr>
          <w:rFonts w:cs="Times New Roman"/>
          <w:szCs w:val="24"/>
        </w:rPr>
      </w:pPr>
      <w:r w:rsidRPr="004E5794">
        <w:rPr>
          <w:rFonts w:cs="Times New Roman"/>
          <w:szCs w:val="24"/>
        </w:rPr>
        <w:t>osób w wieku 70 lat i więcej, które pozostały w domu w związku z zagrożeniem zakażeniem COVID-19,</w:t>
      </w:r>
    </w:p>
    <w:p w14:paraId="5BA7FA75" w14:textId="77777777" w:rsidR="004E5794" w:rsidRDefault="004E5794" w:rsidP="004E5794">
      <w:pPr>
        <w:pStyle w:val="Akapitzlist"/>
        <w:numPr>
          <w:ilvl w:val="0"/>
          <w:numId w:val="218"/>
        </w:numPr>
        <w:rPr>
          <w:rFonts w:cs="Times New Roman"/>
          <w:szCs w:val="24"/>
        </w:rPr>
      </w:pPr>
      <w:r w:rsidRPr="004E5794">
        <w:rPr>
          <w:rFonts w:cs="Times New Roman"/>
          <w:szCs w:val="24"/>
        </w:rPr>
        <w:t>w szczególnych przypadkach do osób poniżej 70 roku życia.</w:t>
      </w:r>
    </w:p>
    <w:p w14:paraId="33CC97BD" w14:textId="3F0FC93D" w:rsidR="004E5794" w:rsidRPr="004E5794" w:rsidRDefault="004E5794" w:rsidP="004E5794">
      <w:pPr>
        <w:rPr>
          <w:rFonts w:cs="Times New Roman"/>
          <w:szCs w:val="24"/>
        </w:rPr>
      </w:pPr>
      <w:r w:rsidRPr="004E5794">
        <w:rPr>
          <w:rFonts w:cs="Times New Roman"/>
          <w:szCs w:val="24"/>
        </w:rPr>
        <w:t>W ramach programu gmina mogła skorzystać z dofinansowania ze środków budżetu państwa na zorganizowanie i realizację usługi wsparcia polegającej w szczególności na dostarczeniu zakupów obejmujących artykuły podstawowej potrzeby, w tym artykuły spożywcze, środki higieny osobistej, dla osób w wieku 70 lat i więcej, jeżeli:</w:t>
      </w:r>
    </w:p>
    <w:p w14:paraId="4AE5F73D" w14:textId="77777777" w:rsidR="004E5794" w:rsidRPr="004E5794" w:rsidRDefault="004E5794" w:rsidP="004E5794">
      <w:pPr>
        <w:contextualSpacing/>
        <w:rPr>
          <w:rFonts w:cs="Times New Roman"/>
          <w:szCs w:val="24"/>
        </w:rPr>
      </w:pPr>
      <w:r w:rsidRPr="004E5794">
        <w:rPr>
          <w:rFonts w:cs="Times New Roman"/>
          <w:szCs w:val="24"/>
        </w:rPr>
        <w:t>1)</w:t>
      </w:r>
      <w:r w:rsidRPr="004E5794">
        <w:rPr>
          <w:rFonts w:cs="Times New Roman"/>
          <w:szCs w:val="24"/>
        </w:rPr>
        <w:tab/>
        <w:t xml:space="preserve">dane zadanie realizowała samodzielnie tj. przez pracowników ośrodka pomocy społecznej, </w:t>
      </w:r>
    </w:p>
    <w:p w14:paraId="734AC73C" w14:textId="77777777" w:rsidR="004E5794" w:rsidRPr="004E5794" w:rsidRDefault="004E5794" w:rsidP="004E5794">
      <w:pPr>
        <w:contextualSpacing/>
        <w:rPr>
          <w:rFonts w:cs="Times New Roman"/>
          <w:szCs w:val="24"/>
        </w:rPr>
      </w:pPr>
      <w:r w:rsidRPr="004E5794">
        <w:rPr>
          <w:rFonts w:cs="Times New Roman"/>
          <w:szCs w:val="24"/>
        </w:rPr>
        <w:t>2)</w:t>
      </w:r>
      <w:r w:rsidRPr="004E5794">
        <w:rPr>
          <w:rFonts w:cs="Times New Roman"/>
          <w:szCs w:val="24"/>
        </w:rPr>
        <w:tab/>
        <w:t xml:space="preserve">poprzez zlecanie realizacji przedmiotowego zadania organizacjom pozarządowym, </w:t>
      </w:r>
    </w:p>
    <w:p w14:paraId="16CA2E1A" w14:textId="77777777" w:rsidR="004E5794" w:rsidRPr="004E5794" w:rsidRDefault="004E5794" w:rsidP="004E5794">
      <w:pPr>
        <w:contextualSpacing/>
        <w:rPr>
          <w:rFonts w:cs="Times New Roman"/>
          <w:szCs w:val="24"/>
        </w:rPr>
      </w:pPr>
      <w:r w:rsidRPr="004E5794">
        <w:rPr>
          <w:rFonts w:cs="Times New Roman"/>
          <w:szCs w:val="24"/>
        </w:rPr>
        <w:t>o których mowa w art. 25 ust. 1 ustawy o pomocy społecznej, tj. organizacjom pozarządowym, o których mowa w art. 3 ust. 2 ustawy z dnia 24 kwietnia 2003 r. o działalności pożytku publicznego i wolontariacie oraz podmiotom wymienionym w art. 3 ust. 3 pkt 1 i 3 tej ustawy,</w:t>
      </w:r>
    </w:p>
    <w:p w14:paraId="65576519" w14:textId="77777777" w:rsidR="004E5794" w:rsidRPr="004E5794" w:rsidRDefault="004E5794" w:rsidP="004E5794">
      <w:pPr>
        <w:contextualSpacing/>
        <w:rPr>
          <w:rFonts w:cs="Times New Roman"/>
          <w:szCs w:val="24"/>
        </w:rPr>
      </w:pPr>
      <w:r w:rsidRPr="004E5794">
        <w:rPr>
          <w:rFonts w:cs="Times New Roman"/>
          <w:szCs w:val="24"/>
        </w:rPr>
        <w:t>3)</w:t>
      </w:r>
      <w:r w:rsidRPr="004E5794">
        <w:rPr>
          <w:rFonts w:cs="Times New Roman"/>
          <w:szCs w:val="24"/>
        </w:rPr>
        <w:tab/>
        <w:t>poprzez zakup usługi od sektora prywatnego,</w:t>
      </w:r>
    </w:p>
    <w:p w14:paraId="64CE5F20" w14:textId="49E5B35A" w:rsidR="004E5794" w:rsidRDefault="004E5794" w:rsidP="004E5794">
      <w:pPr>
        <w:contextualSpacing/>
        <w:rPr>
          <w:rFonts w:cs="Times New Roman"/>
          <w:szCs w:val="24"/>
        </w:rPr>
      </w:pPr>
      <w:r w:rsidRPr="004E5794">
        <w:rPr>
          <w:rFonts w:cs="Times New Roman"/>
          <w:szCs w:val="24"/>
        </w:rPr>
        <w:t>4)</w:t>
      </w:r>
      <w:r w:rsidRPr="004E5794">
        <w:rPr>
          <w:rFonts w:cs="Times New Roman"/>
          <w:szCs w:val="24"/>
        </w:rPr>
        <w:tab/>
        <w:t>poprzez współpracę z wolontariuszami, harcerzami, żołnierzami WOT, członkami ochotniczych straży pożarnych.</w:t>
      </w:r>
    </w:p>
    <w:p w14:paraId="0C1E5FA3" w14:textId="77777777" w:rsidR="004E5794" w:rsidRPr="004E5794" w:rsidRDefault="004E5794" w:rsidP="004E5794">
      <w:pPr>
        <w:contextualSpacing/>
        <w:rPr>
          <w:rFonts w:cs="Times New Roman"/>
          <w:szCs w:val="24"/>
        </w:rPr>
      </w:pPr>
    </w:p>
    <w:p w14:paraId="5C242FCE" w14:textId="1B6FAC46" w:rsidR="004E5794" w:rsidRDefault="004E5794" w:rsidP="004E5794">
      <w:pPr>
        <w:contextualSpacing/>
        <w:rPr>
          <w:rFonts w:cs="Times New Roman"/>
          <w:szCs w:val="24"/>
        </w:rPr>
      </w:pPr>
      <w:r w:rsidRPr="004E5794">
        <w:rPr>
          <w:rFonts w:cs="Times New Roman"/>
          <w:szCs w:val="24"/>
        </w:rPr>
        <w:lastRenderedPageBreak/>
        <w:t>Na realizację programu przeznaczono ogółem kwotę 100 mln zł. Gminy otrzymywały dofinansowanie na realizację zadania w wysokości 80%, ze środków własnych musiały pokryć 20% kosztów całkowitych zadania.</w:t>
      </w:r>
    </w:p>
    <w:p w14:paraId="2630ADF5" w14:textId="77777777" w:rsidR="004E5794" w:rsidRPr="004E5794" w:rsidRDefault="004E5794" w:rsidP="004E5794">
      <w:pPr>
        <w:contextualSpacing/>
        <w:rPr>
          <w:rFonts w:cs="Times New Roman"/>
          <w:szCs w:val="24"/>
        </w:rPr>
      </w:pPr>
    </w:p>
    <w:p w14:paraId="734AE23A" w14:textId="6C94EC61" w:rsidR="004E5794" w:rsidRDefault="004E5794" w:rsidP="004E5794">
      <w:pPr>
        <w:contextualSpacing/>
        <w:rPr>
          <w:rFonts w:cs="Times New Roman"/>
          <w:szCs w:val="24"/>
        </w:rPr>
      </w:pPr>
      <w:r w:rsidRPr="004E5794">
        <w:rPr>
          <w:rFonts w:cs="Times New Roman"/>
          <w:szCs w:val="24"/>
        </w:rPr>
        <w:t>W ramach Korpusu uruchomiona została również dedykowana seniorom infolinia. Dzwoniąc pod bezpłatny numer telefonu, osoby starsze mogły poprosić o pomoc w czynnościach dnia codziennego, które wymagały wyjścia z domu, a które utrudnione były przez panującą pandemię.</w:t>
      </w:r>
    </w:p>
    <w:p w14:paraId="283D26DF" w14:textId="77777777" w:rsidR="004E5794" w:rsidRPr="004E5794" w:rsidRDefault="004E5794" w:rsidP="004E5794">
      <w:pPr>
        <w:contextualSpacing/>
        <w:rPr>
          <w:rFonts w:cs="Times New Roman"/>
          <w:szCs w:val="24"/>
        </w:rPr>
      </w:pPr>
    </w:p>
    <w:p w14:paraId="1AD5B698" w14:textId="25B16EBD" w:rsidR="004E5794" w:rsidRDefault="004E5794" w:rsidP="004E5794">
      <w:pPr>
        <w:contextualSpacing/>
        <w:rPr>
          <w:rFonts w:cs="Times New Roman"/>
          <w:szCs w:val="24"/>
        </w:rPr>
      </w:pPr>
      <w:r w:rsidRPr="004E5794">
        <w:rPr>
          <w:rFonts w:cs="Times New Roman"/>
          <w:szCs w:val="24"/>
        </w:rPr>
        <w:t>Z analizy sprawozdań z realizacji przedmiotowego pr</w:t>
      </w:r>
      <w:r w:rsidR="001E0F91">
        <w:rPr>
          <w:rFonts w:cs="Times New Roman"/>
          <w:szCs w:val="24"/>
        </w:rPr>
        <w:t>ogramu w roku 2020 wynika, że w </w:t>
      </w:r>
      <w:r w:rsidRPr="004E5794">
        <w:rPr>
          <w:rFonts w:cs="Times New Roman"/>
          <w:szCs w:val="24"/>
        </w:rPr>
        <w:t xml:space="preserve">programie uczestniczyło ogółem 2019 gmin ze wszystkich województw. Faktyczna liczba osób objętych wsparciem wyniosła 33 633 osoby, w tym 27 862 osoby w wieku 70 lat i więcej  oraz 5 801 osób poniżej 70 r.ż. </w:t>
      </w:r>
    </w:p>
    <w:p w14:paraId="447B7878" w14:textId="77777777" w:rsidR="004E5794" w:rsidRPr="004E5794" w:rsidRDefault="004E5794" w:rsidP="004E5794">
      <w:pPr>
        <w:contextualSpacing/>
        <w:rPr>
          <w:rFonts w:cs="Times New Roman"/>
          <w:szCs w:val="24"/>
        </w:rPr>
      </w:pPr>
    </w:p>
    <w:p w14:paraId="13CAB1E0" w14:textId="12507671" w:rsidR="004E5794" w:rsidRDefault="004E5794" w:rsidP="004E5794">
      <w:pPr>
        <w:contextualSpacing/>
        <w:rPr>
          <w:rFonts w:cs="Times New Roman"/>
          <w:szCs w:val="24"/>
        </w:rPr>
      </w:pPr>
      <w:r w:rsidRPr="004E5794">
        <w:rPr>
          <w:rFonts w:cs="Times New Roman"/>
          <w:szCs w:val="24"/>
        </w:rPr>
        <w:t>Dzięki przystąpieniu przez gminy do realizacji ww. programu, wsparciem w jego ramach zostało objętych 69,7% wszystkich osób zgłaszających się o pomoc.</w:t>
      </w:r>
    </w:p>
    <w:p w14:paraId="33DC7630" w14:textId="77777777" w:rsidR="004E5794" w:rsidRPr="004E5794" w:rsidRDefault="004E5794" w:rsidP="004E5794">
      <w:pPr>
        <w:contextualSpacing/>
        <w:rPr>
          <w:rFonts w:cs="Times New Roman"/>
          <w:szCs w:val="24"/>
        </w:rPr>
      </w:pPr>
    </w:p>
    <w:p w14:paraId="16D1862F" w14:textId="51DB51AC" w:rsidR="004E5794" w:rsidRDefault="004E5794" w:rsidP="004E5794">
      <w:pPr>
        <w:contextualSpacing/>
        <w:rPr>
          <w:rFonts w:cs="Times New Roman"/>
          <w:szCs w:val="24"/>
        </w:rPr>
      </w:pPr>
      <w:r w:rsidRPr="004E5794">
        <w:rPr>
          <w:rFonts w:cs="Times New Roman"/>
          <w:szCs w:val="24"/>
        </w:rPr>
        <w:t>Gminy w ramach programu wykorzystały środki na kwotę ogółem 27 094 887,74 zł, w tym kwota wydatkowana z dotacji wyniosła</w:t>
      </w:r>
      <w:r w:rsidRPr="004E5794">
        <w:rPr>
          <w:rFonts w:cs="Times New Roman"/>
          <w:b/>
          <w:szCs w:val="24"/>
        </w:rPr>
        <w:t xml:space="preserve"> </w:t>
      </w:r>
      <w:r w:rsidRPr="004E5794">
        <w:rPr>
          <w:rFonts w:cs="Times New Roman"/>
          <w:szCs w:val="24"/>
        </w:rPr>
        <w:t>21 231 463,56 zł natomiast wymagany wkład własny gmin wyniósł  5 863 424,18 zł.</w:t>
      </w:r>
    </w:p>
    <w:p w14:paraId="65D90EAC" w14:textId="4BADCAE8" w:rsidR="00F0608C" w:rsidRDefault="00F0608C" w:rsidP="004E5794">
      <w:pPr>
        <w:contextualSpacing/>
        <w:rPr>
          <w:rFonts w:cs="Times New Roman"/>
          <w:szCs w:val="24"/>
        </w:rPr>
      </w:pPr>
    </w:p>
    <w:p w14:paraId="627F6899" w14:textId="61573457" w:rsidR="00F0608C" w:rsidRPr="00421BD1" w:rsidRDefault="00F0608C" w:rsidP="00F0608C">
      <w:pPr>
        <w:spacing w:after="160" w:line="259" w:lineRule="auto"/>
        <w:contextualSpacing/>
        <w:rPr>
          <w:rFonts w:cs="Times New Roman"/>
          <w:b/>
          <w:szCs w:val="24"/>
        </w:rPr>
      </w:pPr>
      <w:r>
        <w:rPr>
          <w:rFonts w:cs="Times New Roman"/>
          <w:b/>
          <w:szCs w:val="24"/>
        </w:rPr>
        <w:t>Pozostałe działania skierowane do osób starszych w związku z trwającą pandemią</w:t>
      </w:r>
      <w:r w:rsidRPr="00421BD1">
        <w:rPr>
          <w:rFonts w:cs="Times New Roman"/>
          <w:b/>
          <w:szCs w:val="24"/>
        </w:rPr>
        <w:t xml:space="preserve"> </w:t>
      </w:r>
      <w:proofErr w:type="spellStart"/>
      <w:r>
        <w:rPr>
          <w:rFonts w:cs="Times New Roman"/>
          <w:b/>
          <w:szCs w:val="24"/>
        </w:rPr>
        <w:t>koronawirusa</w:t>
      </w:r>
      <w:proofErr w:type="spellEnd"/>
    </w:p>
    <w:p w14:paraId="4CDC980A" w14:textId="6EC462CD" w:rsidR="00F0608C" w:rsidRDefault="00F0608C" w:rsidP="00F0608C">
      <w:pPr>
        <w:spacing w:after="160" w:line="259" w:lineRule="auto"/>
        <w:rPr>
          <w:rFonts w:cs="Times New Roman"/>
          <w:szCs w:val="24"/>
        </w:rPr>
      </w:pPr>
      <w:r w:rsidRPr="00421BD1">
        <w:rPr>
          <w:rFonts w:cs="Times New Roman"/>
          <w:szCs w:val="24"/>
        </w:rPr>
        <w:t>W celu niwelowania poczucia samotności oraz zape</w:t>
      </w:r>
      <w:r w:rsidR="001E0F91">
        <w:rPr>
          <w:rFonts w:cs="Times New Roman"/>
          <w:szCs w:val="24"/>
        </w:rPr>
        <w:t>wnienia bezpiecznych warunków i </w:t>
      </w:r>
      <w:r w:rsidRPr="00421BD1">
        <w:rPr>
          <w:rFonts w:cs="Times New Roman"/>
          <w:szCs w:val="24"/>
        </w:rPr>
        <w:t>podtrzymywania aktywności osób starszych, Ministerstwo realizowało działania na rzecz seniorów w zakresie:</w:t>
      </w:r>
    </w:p>
    <w:p w14:paraId="45C18509" w14:textId="12CC9577" w:rsidR="00F0608C" w:rsidRDefault="00F0608C" w:rsidP="00F0608C">
      <w:pPr>
        <w:pStyle w:val="Akapitzlist"/>
        <w:numPr>
          <w:ilvl w:val="0"/>
          <w:numId w:val="59"/>
        </w:numPr>
        <w:spacing w:after="160" w:line="259" w:lineRule="auto"/>
        <w:rPr>
          <w:rFonts w:cs="Times New Roman"/>
          <w:szCs w:val="24"/>
        </w:rPr>
      </w:pPr>
      <w:r w:rsidRPr="00421BD1">
        <w:rPr>
          <w:rFonts w:cs="Times New Roman"/>
          <w:szCs w:val="24"/>
        </w:rPr>
        <w:t>informowania o zagrożeniach oraz o ochronie osób star</w:t>
      </w:r>
      <w:r w:rsidR="001E0F91">
        <w:rPr>
          <w:rFonts w:cs="Times New Roman"/>
          <w:szCs w:val="24"/>
        </w:rPr>
        <w:t xml:space="preserve">szych przed </w:t>
      </w:r>
      <w:proofErr w:type="spellStart"/>
      <w:r w:rsidR="001E0F91">
        <w:rPr>
          <w:rFonts w:cs="Times New Roman"/>
          <w:szCs w:val="24"/>
        </w:rPr>
        <w:t>koronawirusem</w:t>
      </w:r>
      <w:proofErr w:type="spellEnd"/>
      <w:r w:rsidR="001E0F91">
        <w:rPr>
          <w:rFonts w:cs="Times New Roman"/>
          <w:szCs w:val="24"/>
        </w:rPr>
        <w:t>: (np. </w:t>
      </w:r>
      <w:r w:rsidRPr="00421BD1">
        <w:rPr>
          <w:rFonts w:cs="Times New Roman"/>
          <w:szCs w:val="24"/>
        </w:rPr>
        <w:t xml:space="preserve">zasady postępowania oraz wszelkie informacje dot. ochrony osobistej), </w:t>
      </w:r>
    </w:p>
    <w:p w14:paraId="2C197619" w14:textId="5FF7E566" w:rsidR="00F0608C" w:rsidRDefault="00F0608C" w:rsidP="00F0608C">
      <w:pPr>
        <w:pStyle w:val="Akapitzlist"/>
        <w:numPr>
          <w:ilvl w:val="0"/>
          <w:numId w:val="59"/>
        </w:numPr>
        <w:spacing w:after="160" w:line="259" w:lineRule="auto"/>
        <w:rPr>
          <w:rFonts w:cs="Times New Roman"/>
          <w:szCs w:val="24"/>
        </w:rPr>
      </w:pPr>
      <w:r w:rsidRPr="00421BD1">
        <w:rPr>
          <w:rFonts w:cs="Times New Roman"/>
          <w:szCs w:val="24"/>
        </w:rPr>
        <w:t xml:space="preserve">promowania akcji </w:t>
      </w:r>
      <w:proofErr w:type="spellStart"/>
      <w:r w:rsidRPr="00421BD1">
        <w:rPr>
          <w:rFonts w:cs="Times New Roman"/>
          <w:szCs w:val="24"/>
        </w:rPr>
        <w:t>wolontariackich</w:t>
      </w:r>
      <w:proofErr w:type="spellEnd"/>
      <w:r w:rsidRPr="00421BD1">
        <w:rPr>
          <w:rFonts w:cs="Times New Roman"/>
          <w:szCs w:val="24"/>
        </w:rPr>
        <w:t xml:space="preserve"> dla seniorów or</w:t>
      </w:r>
      <w:r w:rsidR="001E0F91">
        <w:rPr>
          <w:rFonts w:cs="Times New Roman"/>
          <w:szCs w:val="24"/>
        </w:rPr>
        <w:t>az lokalnych społeczności, dot. </w:t>
      </w:r>
      <w:r w:rsidRPr="00421BD1">
        <w:rPr>
          <w:rFonts w:cs="Times New Roman"/>
          <w:szCs w:val="24"/>
        </w:rPr>
        <w:t>wspierania seniorów w codziennych czynnościach (zwłaszcza pomo</w:t>
      </w:r>
      <w:r w:rsidR="001E0F91">
        <w:rPr>
          <w:rFonts w:cs="Times New Roman"/>
          <w:szCs w:val="24"/>
        </w:rPr>
        <w:t>c sąsiedzka m.in. </w:t>
      </w:r>
      <w:r w:rsidRPr="00421BD1">
        <w:rPr>
          <w:rFonts w:cs="Times New Roman"/>
          <w:szCs w:val="24"/>
        </w:rPr>
        <w:t xml:space="preserve">przy zrobieniu zakupów, czy zapewnieniu posiłków), </w:t>
      </w:r>
    </w:p>
    <w:p w14:paraId="5BDA994E" w14:textId="3214A7F0" w:rsidR="00F0608C" w:rsidRPr="00F0608C" w:rsidRDefault="00F0608C" w:rsidP="00F0608C">
      <w:pPr>
        <w:pStyle w:val="Akapitzlist"/>
        <w:numPr>
          <w:ilvl w:val="0"/>
          <w:numId w:val="59"/>
        </w:numPr>
        <w:spacing w:after="160" w:line="259" w:lineRule="auto"/>
        <w:rPr>
          <w:rFonts w:cs="Times New Roman"/>
          <w:szCs w:val="24"/>
        </w:rPr>
      </w:pPr>
      <w:r w:rsidRPr="00421BD1">
        <w:rPr>
          <w:rFonts w:cs="Times New Roman"/>
          <w:szCs w:val="24"/>
        </w:rPr>
        <w:t>promowania aktywności seniorów w domu, np. warsztaty i wykłady dostępne on-line oraz filmy z ćwiczeniami fizycznymi (przygotowane przez Ministerstwo Zdrowia), które seniorzy mogą wykonywać sami w domach</w:t>
      </w:r>
      <w:r w:rsidRPr="00F0608C">
        <w:rPr>
          <w:rFonts w:cs="Times New Roman"/>
          <w:szCs w:val="24"/>
        </w:rPr>
        <w:t>.</w:t>
      </w:r>
    </w:p>
    <w:p w14:paraId="6C381A3A" w14:textId="77777777" w:rsidR="00F0608C" w:rsidRPr="00421BD1" w:rsidRDefault="00F0608C" w:rsidP="00F0608C">
      <w:pPr>
        <w:spacing w:after="160" w:line="259" w:lineRule="auto"/>
        <w:rPr>
          <w:rFonts w:cs="Times New Roman"/>
          <w:szCs w:val="24"/>
        </w:rPr>
      </w:pPr>
      <w:r w:rsidRPr="00421BD1">
        <w:rPr>
          <w:rFonts w:cs="Times New Roman"/>
          <w:szCs w:val="24"/>
        </w:rPr>
        <w:t xml:space="preserve">Powyższe informacje zostały rozesłane do wszystkich Dziennych Domów „Senior+” i Klubów „Senior+” w całym kraju. </w:t>
      </w:r>
    </w:p>
    <w:p w14:paraId="3F531B8E" w14:textId="00957ACB" w:rsidR="00F0608C" w:rsidRDefault="00F0608C" w:rsidP="00F0608C">
      <w:pPr>
        <w:spacing w:after="160" w:line="259" w:lineRule="auto"/>
        <w:rPr>
          <w:rFonts w:cs="Times New Roman"/>
          <w:szCs w:val="24"/>
        </w:rPr>
      </w:pPr>
      <w:r w:rsidRPr="00421BD1">
        <w:rPr>
          <w:rFonts w:cs="Times New Roman"/>
          <w:szCs w:val="24"/>
        </w:rPr>
        <w:t>Informacje zostały także zamieszczone i są aktualizowane na bieżąco na stronach internetowych Ministerstwa: https://www.gov.pl/web/rodzin</w:t>
      </w:r>
      <w:r w:rsidR="001E0F91">
        <w:rPr>
          <w:rFonts w:cs="Times New Roman"/>
          <w:szCs w:val="24"/>
        </w:rPr>
        <w:t>a oraz http://senior.gov.pl/ (w </w:t>
      </w:r>
      <w:r w:rsidRPr="00421BD1">
        <w:rPr>
          <w:rFonts w:cs="Times New Roman"/>
          <w:szCs w:val="24"/>
        </w:rPr>
        <w:t xml:space="preserve">zakładce „Bezpieczny i aktywny senior”) oraz w mediach społecznościowych, co zapewnia dotarcie do jak najszerszego grona zainteresowanych: seniorów oraz osób, które mogą </w:t>
      </w:r>
      <w:r w:rsidRPr="00421BD1">
        <w:rPr>
          <w:rFonts w:cs="Times New Roman"/>
          <w:szCs w:val="24"/>
        </w:rPr>
        <w:lastRenderedPageBreak/>
        <w:t>przekazać informacje swoim najbliższym, czy też zechcą wesprzeć osoby starsze w czasie epidemii.</w:t>
      </w:r>
    </w:p>
    <w:p w14:paraId="6CD1775E" w14:textId="6EA05CE5" w:rsidR="004E5794" w:rsidRPr="00421BD1" w:rsidRDefault="004E5794" w:rsidP="00616DE3">
      <w:pPr>
        <w:contextualSpacing/>
        <w:rPr>
          <w:rFonts w:cs="Times New Roman"/>
          <w:b/>
          <w:szCs w:val="24"/>
        </w:rPr>
      </w:pPr>
    </w:p>
    <w:p w14:paraId="25CAF1D4" w14:textId="77777777" w:rsidR="003A56CF" w:rsidRPr="003A56CF" w:rsidRDefault="003A56CF" w:rsidP="003A56CF">
      <w:pPr>
        <w:spacing w:after="160" w:line="259" w:lineRule="auto"/>
        <w:rPr>
          <w:rFonts w:cs="Times New Roman"/>
          <w:szCs w:val="24"/>
        </w:rPr>
      </w:pPr>
      <w:r w:rsidRPr="003A56CF">
        <w:rPr>
          <w:rFonts w:cs="Times New Roman"/>
          <w:b/>
          <w:szCs w:val="24"/>
        </w:rPr>
        <w:t>Zmiana zasad waloryzacji świadczeń emerytalno-rentowych</w:t>
      </w:r>
    </w:p>
    <w:p w14:paraId="75AC0B55" w14:textId="1235B3FF" w:rsidR="003A56CF" w:rsidRPr="003A56CF" w:rsidRDefault="003A56CF" w:rsidP="003A56CF">
      <w:pPr>
        <w:spacing w:after="160" w:line="259" w:lineRule="auto"/>
        <w:rPr>
          <w:rFonts w:cs="Times New Roman"/>
          <w:szCs w:val="24"/>
        </w:rPr>
      </w:pPr>
      <w:r w:rsidRPr="003A56CF">
        <w:rPr>
          <w:rFonts w:cs="Times New Roman"/>
          <w:szCs w:val="24"/>
        </w:rPr>
        <w:t xml:space="preserve">Ustawa z dnia 9 stycznia 2020 r. o zmianie ustawy o emeryturach i rentach z Funduszu Ubezpieczeń Społecznych oraz niektórych innych ustaw (Dz. U. poz. 252) - wprowadziła modyfikację obowiązujących zasad waloryzacji świadczeń emerytalno-rentowych (waloryzacja procentowa), która polegała na: </w:t>
      </w:r>
    </w:p>
    <w:p w14:paraId="643BBA5B" w14:textId="11249A9E" w:rsidR="003A56CF" w:rsidRPr="00616DE3" w:rsidRDefault="003A56CF" w:rsidP="001E0F91">
      <w:pPr>
        <w:pStyle w:val="Akapitzlist"/>
        <w:numPr>
          <w:ilvl w:val="0"/>
          <w:numId w:val="82"/>
        </w:numPr>
        <w:rPr>
          <w:rFonts w:cs="Times New Roman"/>
          <w:szCs w:val="24"/>
        </w:rPr>
      </w:pPr>
      <w:r w:rsidRPr="00616DE3">
        <w:rPr>
          <w:rFonts w:cs="Times New Roman"/>
          <w:szCs w:val="24"/>
        </w:rPr>
        <w:t>podwyższeniu najniższych świadczeń odpowiednio do:</w:t>
      </w:r>
    </w:p>
    <w:p w14:paraId="62692646" w14:textId="7764C662" w:rsidR="003A56CF" w:rsidRPr="003A56CF" w:rsidRDefault="003A56CF" w:rsidP="001E0F91">
      <w:pPr>
        <w:rPr>
          <w:rFonts w:cs="Times New Roman"/>
          <w:szCs w:val="24"/>
        </w:rPr>
      </w:pPr>
      <w:r w:rsidRPr="003A56CF">
        <w:rPr>
          <w:rFonts w:cs="Times New Roman"/>
          <w:szCs w:val="24"/>
        </w:rPr>
        <w:t>a)</w:t>
      </w:r>
      <w:r w:rsidRPr="003A56CF">
        <w:rPr>
          <w:rFonts w:cs="Times New Roman"/>
          <w:szCs w:val="24"/>
        </w:rPr>
        <w:tab/>
        <w:t>1</w:t>
      </w:r>
      <w:r w:rsidR="001E0F91">
        <w:rPr>
          <w:rFonts w:cs="Times New Roman"/>
          <w:szCs w:val="24"/>
        </w:rPr>
        <w:t> </w:t>
      </w:r>
      <w:r w:rsidRPr="003A56CF">
        <w:rPr>
          <w:rFonts w:cs="Times New Roman"/>
          <w:szCs w:val="24"/>
        </w:rPr>
        <w:t>200 zł w przypadku najniższej emerytury, renty z tytu</w:t>
      </w:r>
      <w:r w:rsidR="001E0F91">
        <w:rPr>
          <w:rFonts w:cs="Times New Roman"/>
          <w:szCs w:val="24"/>
        </w:rPr>
        <w:t>łu całkowitej niezdolności do </w:t>
      </w:r>
      <w:r w:rsidRPr="003A56CF">
        <w:rPr>
          <w:rFonts w:cs="Times New Roman"/>
          <w:szCs w:val="24"/>
        </w:rPr>
        <w:t>pracy, renty rodz</w:t>
      </w:r>
      <w:r w:rsidR="003109C6">
        <w:rPr>
          <w:rFonts w:cs="Times New Roman"/>
          <w:szCs w:val="24"/>
        </w:rPr>
        <w:t>innej i renty socjalnej</w:t>
      </w:r>
      <w:r w:rsidRPr="003A56CF">
        <w:rPr>
          <w:rFonts w:cs="Times New Roman"/>
          <w:szCs w:val="24"/>
        </w:rPr>
        <w:t>,</w:t>
      </w:r>
    </w:p>
    <w:p w14:paraId="76EE36E0" w14:textId="77777777" w:rsidR="003A56CF" w:rsidRPr="003A56CF" w:rsidRDefault="003A56CF" w:rsidP="001E0F91">
      <w:pPr>
        <w:rPr>
          <w:rFonts w:cs="Times New Roman"/>
          <w:szCs w:val="24"/>
        </w:rPr>
      </w:pPr>
      <w:r w:rsidRPr="003A56CF">
        <w:rPr>
          <w:rFonts w:cs="Times New Roman"/>
          <w:szCs w:val="24"/>
        </w:rPr>
        <w:t>b)</w:t>
      </w:r>
      <w:r w:rsidRPr="003A56CF">
        <w:rPr>
          <w:rFonts w:cs="Times New Roman"/>
          <w:szCs w:val="24"/>
        </w:rPr>
        <w:tab/>
        <w:t>900 zł w przypadku najniższej renty z tytułu częściowej niezdolności do pracy,</w:t>
      </w:r>
    </w:p>
    <w:p w14:paraId="2BBC1B59" w14:textId="7876CF41" w:rsidR="003A56CF" w:rsidRPr="00616DE3" w:rsidRDefault="003A56CF" w:rsidP="001E0F91">
      <w:pPr>
        <w:pStyle w:val="Akapitzlist"/>
        <w:numPr>
          <w:ilvl w:val="0"/>
          <w:numId w:val="82"/>
        </w:numPr>
        <w:rPr>
          <w:rFonts w:cs="Times New Roman"/>
          <w:szCs w:val="24"/>
        </w:rPr>
      </w:pPr>
      <w:r w:rsidRPr="00616DE3">
        <w:rPr>
          <w:rFonts w:cs="Times New Roman"/>
          <w:szCs w:val="24"/>
        </w:rPr>
        <w:t>zastosowaniu ustawowego wskaźnika waloryzacji, przy zapewnieniu minimalnej gwarantowanej podwyżki świadczenia na poziomie 70 zł.</w:t>
      </w:r>
    </w:p>
    <w:p w14:paraId="6A71F56E" w14:textId="77777777" w:rsidR="003A56CF" w:rsidRPr="003A56CF" w:rsidRDefault="003A56CF" w:rsidP="003A56CF">
      <w:pPr>
        <w:spacing w:after="160" w:line="259" w:lineRule="auto"/>
        <w:rPr>
          <w:rFonts w:cs="Times New Roman"/>
          <w:szCs w:val="24"/>
        </w:rPr>
      </w:pPr>
    </w:p>
    <w:p w14:paraId="30E15D78" w14:textId="77777777" w:rsidR="003A56CF" w:rsidRPr="003A56CF" w:rsidRDefault="003A56CF" w:rsidP="003A56CF">
      <w:pPr>
        <w:spacing w:after="160" w:line="259" w:lineRule="auto"/>
        <w:rPr>
          <w:rFonts w:cs="Times New Roman"/>
          <w:szCs w:val="24"/>
        </w:rPr>
      </w:pPr>
      <w:r w:rsidRPr="003A56CF">
        <w:rPr>
          <w:rFonts w:cs="Times New Roman"/>
          <w:szCs w:val="24"/>
        </w:rPr>
        <w:t>Tym samym, od 1 marca 2020 r. wszystkie świadczenia emerytalno-rentowe zostały podwyższone ustawowym wskaźnikiem waloryzacji w wysokości 103,56% jednak nie mniej niż o 70 zł (przy spełnieniu wymogów stażowych do gwarancji najniższego świadczenia).</w:t>
      </w:r>
    </w:p>
    <w:p w14:paraId="2E44DD1A" w14:textId="1CA7F63C" w:rsidR="003A56CF" w:rsidRPr="003A56CF" w:rsidRDefault="003A56CF" w:rsidP="003A56CF">
      <w:pPr>
        <w:spacing w:after="160" w:line="259" w:lineRule="auto"/>
        <w:rPr>
          <w:rFonts w:cs="Times New Roman"/>
          <w:szCs w:val="24"/>
        </w:rPr>
      </w:pPr>
      <w:r w:rsidRPr="003A56CF">
        <w:rPr>
          <w:rFonts w:cs="Times New Roman"/>
          <w:szCs w:val="24"/>
        </w:rPr>
        <w:t>Minimalna podwyżka z tytułu waloryzacji w przypadku renty z tytułu częściowej niezdolności do pracy i renty inwalidzkiej III grupy wyniosła 75% gwar</w:t>
      </w:r>
      <w:r w:rsidR="001E0F91">
        <w:rPr>
          <w:rFonts w:cs="Times New Roman"/>
          <w:szCs w:val="24"/>
        </w:rPr>
        <w:t>antowanej minimalnej kwoty, tj. </w:t>
      </w:r>
      <w:r w:rsidRPr="003A56CF">
        <w:rPr>
          <w:rFonts w:cs="Times New Roman"/>
          <w:szCs w:val="24"/>
        </w:rPr>
        <w:t xml:space="preserve">52,50 zł. Przedmiotowa ustawa ustaliła także wysokość podstawy wymiaru renty inwalidzkiej określonej w ustawie z dnia 29 maja 1974 r. o zaopatrzeniu inwalidów wojennych i wojskowych oraz ich rodzin (Dz. U. z 2020 r. poz. </w:t>
      </w:r>
      <w:r w:rsidR="0046663C">
        <w:rPr>
          <w:rFonts w:cs="Times New Roman"/>
          <w:szCs w:val="24"/>
        </w:rPr>
        <w:t xml:space="preserve">1790, z </w:t>
      </w:r>
      <w:proofErr w:type="spellStart"/>
      <w:r w:rsidR="0046663C">
        <w:rPr>
          <w:rFonts w:cs="Times New Roman"/>
          <w:szCs w:val="24"/>
        </w:rPr>
        <w:t>późn</w:t>
      </w:r>
      <w:proofErr w:type="spellEnd"/>
      <w:r w:rsidR="0046663C">
        <w:rPr>
          <w:rFonts w:cs="Times New Roman"/>
          <w:szCs w:val="24"/>
        </w:rPr>
        <w:t>. zm.</w:t>
      </w:r>
      <w:r w:rsidR="001E0F91">
        <w:rPr>
          <w:rFonts w:cs="Times New Roman"/>
          <w:szCs w:val="24"/>
        </w:rPr>
        <w:t>), która wyniosła 2 745,83 </w:t>
      </w:r>
      <w:r w:rsidRPr="003A56CF">
        <w:rPr>
          <w:rFonts w:cs="Times New Roman"/>
          <w:szCs w:val="24"/>
        </w:rPr>
        <w:t xml:space="preserve">zł. </w:t>
      </w:r>
    </w:p>
    <w:p w14:paraId="0DFED52A" w14:textId="1FE64EEE" w:rsidR="00616DE3" w:rsidRDefault="003A56CF" w:rsidP="00616DE3">
      <w:pPr>
        <w:rPr>
          <w:rFonts w:cs="Times New Roman"/>
          <w:szCs w:val="24"/>
        </w:rPr>
      </w:pPr>
      <w:r w:rsidRPr="003A56CF">
        <w:rPr>
          <w:rFonts w:cs="Times New Roman"/>
          <w:szCs w:val="24"/>
        </w:rPr>
        <w:t>Dodatkowo, od 1 marca 2020 r. podwyższony został próg dochodowy uprawniający do</w:t>
      </w:r>
      <w:r w:rsidR="001E0F91">
        <w:rPr>
          <w:rFonts w:cs="Times New Roman"/>
          <w:szCs w:val="24"/>
        </w:rPr>
        <w:t> </w:t>
      </w:r>
      <w:r w:rsidRPr="003A56CF">
        <w:rPr>
          <w:rFonts w:cs="Times New Roman"/>
          <w:szCs w:val="24"/>
        </w:rPr>
        <w:t xml:space="preserve">świadczenia uzupełniającego dla osób niezdolnych do samodzielnej egzystencji </w:t>
      </w:r>
      <w:r w:rsidR="00616DE3">
        <w:rPr>
          <w:rFonts w:cs="Times New Roman"/>
          <w:szCs w:val="24"/>
        </w:rPr>
        <w:t xml:space="preserve"> </w:t>
      </w:r>
      <w:r w:rsidRPr="003A56CF">
        <w:rPr>
          <w:rFonts w:cs="Times New Roman"/>
          <w:szCs w:val="24"/>
        </w:rPr>
        <w:t>(tzw. 500+ dla osób niezdolnych do samodzielnej egzystencji) - do kwoty 1</w:t>
      </w:r>
      <w:r w:rsidR="001E0F91">
        <w:rPr>
          <w:rFonts w:cs="Times New Roman"/>
          <w:szCs w:val="24"/>
        </w:rPr>
        <w:t> </w:t>
      </w:r>
      <w:r w:rsidRPr="003A56CF">
        <w:rPr>
          <w:rFonts w:cs="Times New Roman"/>
          <w:szCs w:val="24"/>
        </w:rPr>
        <w:t xml:space="preserve">700 zł. </w:t>
      </w:r>
    </w:p>
    <w:p w14:paraId="000FD817" w14:textId="77777777" w:rsidR="00616DE3" w:rsidRDefault="00616DE3" w:rsidP="00616DE3">
      <w:pPr>
        <w:rPr>
          <w:rFonts w:cs="Times New Roman"/>
          <w:szCs w:val="24"/>
        </w:rPr>
      </w:pPr>
    </w:p>
    <w:p w14:paraId="519B1F76" w14:textId="2AAE6971" w:rsidR="003A56CF" w:rsidRDefault="00616DE3" w:rsidP="00616DE3">
      <w:pPr>
        <w:rPr>
          <w:rFonts w:cs="Times New Roman"/>
          <w:szCs w:val="24"/>
        </w:rPr>
      </w:pPr>
      <w:r>
        <w:rPr>
          <w:rFonts w:cs="Times New Roman"/>
          <w:szCs w:val="24"/>
        </w:rPr>
        <w:t>P</w:t>
      </w:r>
      <w:r w:rsidR="003A56CF" w:rsidRPr="003A56CF">
        <w:rPr>
          <w:rFonts w:cs="Times New Roman"/>
          <w:szCs w:val="24"/>
        </w:rPr>
        <w:t xml:space="preserve">o podwyższeniu kwoty miesięcznego progu, maksymalna kwota świadczenia uzupełniającego, nadal wynosiła 500 zł. Żadna z osób uprawnionych do tego świadczenia nie musiała obawiać się jego obniżenia lub utraty ze względu na podwyżkę emerytury bądź renty z tytułu waloryzacji. </w:t>
      </w:r>
    </w:p>
    <w:p w14:paraId="131F167D" w14:textId="77777777" w:rsidR="00616DE3" w:rsidRPr="003A56CF" w:rsidRDefault="00616DE3" w:rsidP="00616DE3">
      <w:pPr>
        <w:rPr>
          <w:rFonts w:cs="Times New Roman"/>
          <w:szCs w:val="24"/>
        </w:rPr>
      </w:pPr>
    </w:p>
    <w:p w14:paraId="4BF4D54A" w14:textId="10F2A06F" w:rsidR="003A56CF" w:rsidRPr="003A56CF" w:rsidRDefault="003A56CF" w:rsidP="00616DE3">
      <w:pPr>
        <w:rPr>
          <w:rFonts w:cs="Times New Roman"/>
          <w:szCs w:val="24"/>
        </w:rPr>
      </w:pPr>
      <w:r w:rsidRPr="003A56CF">
        <w:rPr>
          <w:rFonts w:cs="Times New Roman"/>
          <w:szCs w:val="24"/>
        </w:rPr>
        <w:t xml:space="preserve">Co do zasady świadczenia emerytalno-rentowe mają charakter długookresowy </w:t>
      </w:r>
      <w:r w:rsidR="00616DE3">
        <w:rPr>
          <w:rFonts w:cs="Times New Roman"/>
          <w:szCs w:val="24"/>
        </w:rPr>
        <w:t xml:space="preserve"> </w:t>
      </w:r>
      <w:r w:rsidRPr="003A56CF">
        <w:rPr>
          <w:rFonts w:cs="Times New Roman"/>
          <w:szCs w:val="24"/>
        </w:rPr>
        <w:t xml:space="preserve">(są wypłacane nawet przez kilkadziesiąt lat), a pod wpływem zazwyczaj </w:t>
      </w:r>
      <w:r w:rsidR="00616DE3">
        <w:rPr>
          <w:rFonts w:cs="Times New Roman"/>
          <w:szCs w:val="24"/>
        </w:rPr>
        <w:t xml:space="preserve"> </w:t>
      </w:r>
      <w:r w:rsidRPr="003A56CF">
        <w:rPr>
          <w:rFonts w:cs="Times New Roman"/>
          <w:szCs w:val="24"/>
        </w:rPr>
        <w:t>występującej w gospodarce inflacji, świadczeniobiorca narażony jest na spadek wartości pobieranego świadczenia. Osoby te mają także ograniczoną możliwość reakcji na negatywne zmiany ich dochodu, stąd też poszukiwane są optymalne w danym czasie mechanizmy waloryzacji, uwzględniające z jednej strony</w:t>
      </w:r>
      <w:r w:rsidR="00616DE3">
        <w:rPr>
          <w:rFonts w:cs="Times New Roman"/>
          <w:szCs w:val="24"/>
        </w:rPr>
        <w:t xml:space="preserve"> </w:t>
      </w:r>
      <w:r w:rsidRPr="003A56CF">
        <w:rPr>
          <w:rFonts w:cs="Times New Roman"/>
          <w:szCs w:val="24"/>
        </w:rPr>
        <w:lastRenderedPageBreak/>
        <w:t xml:space="preserve">potrzeby socjalne świadczeniobiorców, </w:t>
      </w:r>
      <w:r w:rsidR="00616DE3">
        <w:rPr>
          <w:rFonts w:cs="Times New Roman"/>
          <w:szCs w:val="24"/>
        </w:rPr>
        <w:t xml:space="preserve"> </w:t>
      </w:r>
      <w:r w:rsidRPr="003A56CF">
        <w:rPr>
          <w:rFonts w:cs="Times New Roman"/>
          <w:szCs w:val="24"/>
        </w:rPr>
        <w:t xml:space="preserve">a z drugiej bieżącą sytuację gospodarczą, stan budżetu państwa i finansów ubezpieczeń społecznych. </w:t>
      </w:r>
    </w:p>
    <w:p w14:paraId="2141666B" w14:textId="77777777" w:rsidR="00616DE3" w:rsidRDefault="00616DE3" w:rsidP="00616DE3">
      <w:pPr>
        <w:rPr>
          <w:rFonts w:cs="Times New Roman"/>
          <w:szCs w:val="24"/>
        </w:rPr>
      </w:pPr>
    </w:p>
    <w:p w14:paraId="394126EF" w14:textId="6BFFF7B0" w:rsidR="003A56CF" w:rsidRPr="003A56CF" w:rsidRDefault="003A56CF" w:rsidP="00616DE3">
      <w:pPr>
        <w:rPr>
          <w:rFonts w:cs="Times New Roman"/>
          <w:szCs w:val="24"/>
        </w:rPr>
      </w:pPr>
      <w:r w:rsidRPr="003A56CF">
        <w:rPr>
          <w:rFonts w:cs="Times New Roman"/>
          <w:szCs w:val="24"/>
        </w:rPr>
        <w:t>Zmiana zasad waloryzacji odpowiadała oczekiwaniom - w zakresie wyższej podwyżki świadczeń - przez znaczną część świadczeniobiorców.</w:t>
      </w:r>
      <w:r w:rsidR="00616DE3">
        <w:rPr>
          <w:rFonts w:cs="Times New Roman"/>
          <w:szCs w:val="24"/>
        </w:rPr>
        <w:t xml:space="preserve"> </w:t>
      </w:r>
      <w:r w:rsidRPr="003A56CF">
        <w:rPr>
          <w:rFonts w:cs="Times New Roman"/>
          <w:szCs w:val="24"/>
        </w:rPr>
        <w:t>Dzięki działaniom rządu, najniższa gwarantowana emerytura wzrosła od 2015 r.</w:t>
      </w:r>
      <w:r w:rsidR="00616DE3">
        <w:rPr>
          <w:rFonts w:cs="Times New Roman"/>
          <w:szCs w:val="24"/>
        </w:rPr>
        <w:t xml:space="preserve"> </w:t>
      </w:r>
      <w:r w:rsidRPr="003A56CF">
        <w:rPr>
          <w:rFonts w:cs="Times New Roman"/>
          <w:szCs w:val="24"/>
        </w:rPr>
        <w:t>o ponad 36%, tj. z 880,45 zł do 1200 zł w 2020</w:t>
      </w:r>
      <w:r w:rsidR="00616DE3">
        <w:rPr>
          <w:rFonts w:cs="Times New Roman"/>
          <w:szCs w:val="24"/>
        </w:rPr>
        <w:t> </w:t>
      </w:r>
      <w:r w:rsidRPr="003A56CF">
        <w:rPr>
          <w:rFonts w:cs="Times New Roman"/>
          <w:szCs w:val="24"/>
        </w:rPr>
        <w:t>r.</w:t>
      </w:r>
    </w:p>
    <w:p w14:paraId="137F7957" w14:textId="77777777" w:rsidR="003A56CF" w:rsidRPr="003A56CF" w:rsidRDefault="003A56CF" w:rsidP="003A56CF">
      <w:pPr>
        <w:spacing w:after="160" w:line="259" w:lineRule="auto"/>
        <w:rPr>
          <w:rFonts w:cs="Times New Roman"/>
          <w:szCs w:val="24"/>
        </w:rPr>
      </w:pPr>
    </w:p>
    <w:p w14:paraId="7A4F855D" w14:textId="0E2C68CB" w:rsidR="003A56CF" w:rsidRPr="00616DE3" w:rsidRDefault="003A56CF" w:rsidP="00616DE3">
      <w:pPr>
        <w:rPr>
          <w:rFonts w:cs="Times New Roman"/>
          <w:b/>
          <w:szCs w:val="24"/>
        </w:rPr>
      </w:pPr>
      <w:r w:rsidRPr="003A56CF">
        <w:rPr>
          <w:rFonts w:cs="Times New Roman"/>
          <w:b/>
          <w:szCs w:val="24"/>
        </w:rPr>
        <w:t>Dodatkowe roczne świadczenie pieniężne – tzw. 13 emerytura</w:t>
      </w:r>
    </w:p>
    <w:p w14:paraId="57BC38BF" w14:textId="5D0BAD2F" w:rsidR="003A56CF" w:rsidRDefault="003A56CF" w:rsidP="00616DE3">
      <w:pPr>
        <w:rPr>
          <w:rFonts w:cs="Times New Roman"/>
          <w:szCs w:val="24"/>
        </w:rPr>
      </w:pPr>
      <w:r w:rsidRPr="003A56CF">
        <w:rPr>
          <w:rFonts w:cs="Times New Roman"/>
          <w:szCs w:val="24"/>
        </w:rPr>
        <w:t>Ustawa z dnia  9 stycznia 2020 r. o dodatkowym rocznym świadczeniu pieniężnym dla emerytów i rencistów (Dz. U. poz. 321</w:t>
      </w:r>
      <w:r w:rsidR="0046663C">
        <w:rPr>
          <w:rFonts w:cs="Times New Roman"/>
          <w:szCs w:val="24"/>
        </w:rPr>
        <w:t xml:space="preserve">, z </w:t>
      </w:r>
      <w:proofErr w:type="spellStart"/>
      <w:r w:rsidR="0046663C">
        <w:rPr>
          <w:rFonts w:cs="Times New Roman"/>
          <w:szCs w:val="24"/>
        </w:rPr>
        <w:t>późn</w:t>
      </w:r>
      <w:proofErr w:type="spellEnd"/>
      <w:r w:rsidR="0046663C">
        <w:rPr>
          <w:rFonts w:cs="Times New Roman"/>
          <w:szCs w:val="24"/>
        </w:rPr>
        <w:t>. zm.</w:t>
      </w:r>
      <w:r w:rsidRPr="003A56CF">
        <w:rPr>
          <w:rFonts w:cs="Times New Roman"/>
          <w:szCs w:val="24"/>
        </w:rPr>
        <w:t xml:space="preserve">) - wprowadziła coroczną wypłatę – obok pobieranego świadczenia emerytalno-rentowego – dodatkowego świadczenia pieniężnego (tzw. </w:t>
      </w:r>
      <w:r w:rsidR="0046663C">
        <w:rPr>
          <w:rFonts w:cs="Times New Roman"/>
          <w:szCs w:val="24"/>
        </w:rPr>
        <w:t>„</w:t>
      </w:r>
      <w:r w:rsidRPr="003A56CF">
        <w:rPr>
          <w:rFonts w:cs="Times New Roman"/>
          <w:szCs w:val="24"/>
        </w:rPr>
        <w:t>13 emerytury</w:t>
      </w:r>
      <w:r w:rsidR="0046663C">
        <w:rPr>
          <w:rFonts w:cs="Times New Roman"/>
          <w:szCs w:val="24"/>
        </w:rPr>
        <w:t>”</w:t>
      </w:r>
      <w:r w:rsidRPr="003A56CF">
        <w:rPr>
          <w:rFonts w:cs="Times New Roman"/>
          <w:szCs w:val="24"/>
        </w:rPr>
        <w:t>).</w:t>
      </w:r>
    </w:p>
    <w:p w14:paraId="72F78045" w14:textId="77777777" w:rsidR="00616DE3" w:rsidRPr="003A56CF" w:rsidRDefault="00616DE3" w:rsidP="00616DE3">
      <w:pPr>
        <w:rPr>
          <w:rFonts w:cs="Times New Roman"/>
          <w:szCs w:val="24"/>
        </w:rPr>
      </w:pPr>
    </w:p>
    <w:p w14:paraId="6AD9C9E1" w14:textId="1C00D866" w:rsidR="003A56CF" w:rsidRDefault="003A56CF" w:rsidP="00616DE3">
      <w:pPr>
        <w:rPr>
          <w:rFonts w:cs="Times New Roman"/>
          <w:szCs w:val="24"/>
        </w:rPr>
      </w:pPr>
      <w:r w:rsidRPr="003A56CF">
        <w:rPr>
          <w:rFonts w:cs="Times New Roman"/>
          <w:szCs w:val="24"/>
        </w:rPr>
        <w:t>W maju 2019 r. emeryci i renciści po raz pierwszy otrzymali jednorazowe świadczenie pieniężne w kwocie 1100 zł (potocznie nazywane 13 emeryturą). Ten rodzaj finansowego wsparcia odbił się szerokim echem wśród świadczeniobiorców, stąd od 2020 r. zdecydowano się na coroczną wypłatę tzw. 13 emerytury dla wszystkich emerytów i rencistów.</w:t>
      </w:r>
    </w:p>
    <w:p w14:paraId="677A78E0" w14:textId="77777777" w:rsidR="00616DE3" w:rsidRPr="003A56CF" w:rsidRDefault="00616DE3" w:rsidP="00616DE3">
      <w:pPr>
        <w:rPr>
          <w:rFonts w:cs="Times New Roman"/>
          <w:szCs w:val="24"/>
        </w:rPr>
      </w:pPr>
    </w:p>
    <w:p w14:paraId="4022BC6B" w14:textId="607C0F93" w:rsidR="003A56CF" w:rsidRDefault="003A56CF" w:rsidP="00616DE3">
      <w:pPr>
        <w:rPr>
          <w:rFonts w:cs="Times New Roman"/>
          <w:szCs w:val="24"/>
        </w:rPr>
      </w:pPr>
      <w:r w:rsidRPr="003A56CF">
        <w:rPr>
          <w:rFonts w:cs="Times New Roman"/>
          <w:szCs w:val="24"/>
        </w:rPr>
        <w:t>Zgodnie z ustawą, wysokość 13 emerytury odpowiada wysokości najniższej emerytury, obowiązującej od dnia 1 marca roku, w którym wypłacane jest dodatkowe świadczenie pieniężne. W 2020 r. była to kwota 1200 zł brutto. Świadczenie to przysługiwało osobom, które w dniu 31 marca 2020 r. miały prawo do świadczeń określonych w  ustawie.</w:t>
      </w:r>
    </w:p>
    <w:p w14:paraId="126E7151" w14:textId="77777777" w:rsidR="00616DE3" w:rsidRPr="003A56CF" w:rsidRDefault="00616DE3" w:rsidP="00616DE3">
      <w:pPr>
        <w:rPr>
          <w:rFonts w:cs="Times New Roman"/>
          <w:szCs w:val="24"/>
        </w:rPr>
      </w:pPr>
    </w:p>
    <w:p w14:paraId="0FA31C22" w14:textId="55128429" w:rsidR="003A56CF" w:rsidRDefault="003A56CF" w:rsidP="00616DE3">
      <w:pPr>
        <w:rPr>
          <w:rFonts w:cs="Times New Roman"/>
          <w:szCs w:val="24"/>
        </w:rPr>
      </w:pPr>
      <w:r w:rsidRPr="003A56CF">
        <w:rPr>
          <w:rFonts w:cs="Times New Roman"/>
          <w:szCs w:val="24"/>
        </w:rPr>
        <w:t xml:space="preserve">Rozwiązanie to zostało zastosowane do emerytur i rent w systemie powszechnym, do emerytur i rent rolników, służb mundurowych, emerytur pomostowych, świadczeń i zasiłków przedemerytalnych, rent socjalnych, rent strukturalnych, nauczycielskich świadczeń kompensacyjnych, rodzicielskich świadczeń uzupełniających </w:t>
      </w:r>
      <w:r w:rsidR="001E0F91">
        <w:rPr>
          <w:rFonts w:cs="Times New Roman"/>
          <w:szCs w:val="24"/>
        </w:rPr>
        <w:t>oraz rent inwalidów wojennych i </w:t>
      </w:r>
      <w:r w:rsidRPr="003A56CF">
        <w:rPr>
          <w:rFonts w:cs="Times New Roman"/>
          <w:szCs w:val="24"/>
        </w:rPr>
        <w:t xml:space="preserve">wojskowych. </w:t>
      </w:r>
    </w:p>
    <w:p w14:paraId="75A0F521" w14:textId="77777777" w:rsidR="00616DE3" w:rsidRPr="003A56CF" w:rsidRDefault="00616DE3" w:rsidP="00616DE3">
      <w:pPr>
        <w:rPr>
          <w:rFonts w:cs="Times New Roman"/>
          <w:szCs w:val="24"/>
        </w:rPr>
      </w:pPr>
    </w:p>
    <w:p w14:paraId="7F7AEDDC" w14:textId="3AE8DF7C" w:rsidR="003A56CF" w:rsidRDefault="003A56CF" w:rsidP="00616DE3">
      <w:pPr>
        <w:rPr>
          <w:rFonts w:cs="Times New Roman"/>
          <w:szCs w:val="24"/>
        </w:rPr>
      </w:pPr>
      <w:r w:rsidRPr="003A56CF">
        <w:rPr>
          <w:rFonts w:cs="Times New Roman"/>
          <w:szCs w:val="24"/>
        </w:rPr>
        <w:t>Co ważne, z kwoty trzynastej emerytury nie są dokonywane potrącenia i egzekucje, nie jest też ona wliczana do dochodu. Tak więc kwota dodatkowego rocznego świadczenia pieniężnego nie ma wpływu na uprawnienia osób ubiegających się o świadczenia, dodatki, zasiłki, pomoc lub inne wsparcie (np. ulga rehabilitacyjna).</w:t>
      </w:r>
    </w:p>
    <w:p w14:paraId="12D2727D" w14:textId="77777777" w:rsidR="00616DE3" w:rsidRPr="003A56CF" w:rsidRDefault="00616DE3" w:rsidP="00616DE3">
      <w:pPr>
        <w:rPr>
          <w:rFonts w:cs="Times New Roman"/>
          <w:szCs w:val="24"/>
        </w:rPr>
      </w:pPr>
    </w:p>
    <w:p w14:paraId="6EA57496" w14:textId="19E7655D" w:rsidR="003A56CF" w:rsidRPr="003A56CF" w:rsidRDefault="003A56CF" w:rsidP="00616DE3">
      <w:pPr>
        <w:rPr>
          <w:rFonts w:cs="Times New Roman"/>
          <w:szCs w:val="24"/>
        </w:rPr>
      </w:pPr>
      <w:r w:rsidRPr="003A56CF">
        <w:rPr>
          <w:rFonts w:cs="Times New Roman"/>
          <w:szCs w:val="24"/>
        </w:rPr>
        <w:t xml:space="preserve">Celem dodatkowych świadczeń pieniężnych jest poprawa sytuacji emerytów i rencistów, przede wszystkim tych pobierających niskie świadczenia. </w:t>
      </w:r>
      <w:r w:rsidR="00616DE3">
        <w:rPr>
          <w:rFonts w:cs="Times New Roman"/>
          <w:szCs w:val="24"/>
        </w:rPr>
        <w:t xml:space="preserve"> </w:t>
      </w:r>
      <w:r w:rsidR="001E0F91">
        <w:rPr>
          <w:rFonts w:cs="Times New Roman"/>
          <w:szCs w:val="24"/>
        </w:rPr>
        <w:t>Należy przy tym zaznaczyć, że </w:t>
      </w:r>
      <w:r w:rsidRPr="003A56CF">
        <w:rPr>
          <w:rFonts w:cs="Times New Roman"/>
          <w:szCs w:val="24"/>
        </w:rPr>
        <w:t xml:space="preserve">pomimo bardzo trudnej sytuacji w 2020 r. związanej </w:t>
      </w:r>
      <w:r w:rsidR="00616DE3">
        <w:rPr>
          <w:rFonts w:cs="Times New Roman"/>
          <w:szCs w:val="24"/>
        </w:rPr>
        <w:t xml:space="preserve"> </w:t>
      </w:r>
      <w:r w:rsidRPr="003A56CF">
        <w:rPr>
          <w:rFonts w:cs="Times New Roman"/>
          <w:szCs w:val="24"/>
        </w:rPr>
        <w:t xml:space="preserve">z wprowadzonym w Polsce stanem epidemicznym, wypłata 13. emerytury nie była zagrożona </w:t>
      </w:r>
      <w:r w:rsidR="00616DE3">
        <w:rPr>
          <w:rFonts w:cs="Times New Roman"/>
          <w:szCs w:val="24"/>
        </w:rPr>
        <w:t xml:space="preserve"> </w:t>
      </w:r>
      <w:r w:rsidRPr="003A56CF">
        <w:rPr>
          <w:rFonts w:cs="Times New Roman"/>
          <w:szCs w:val="24"/>
        </w:rPr>
        <w:t>i przebiegła zgodnie z</w:t>
      </w:r>
      <w:r w:rsidR="001E0F91">
        <w:rPr>
          <w:rFonts w:cs="Times New Roman"/>
          <w:szCs w:val="24"/>
        </w:rPr>
        <w:t> </w:t>
      </w:r>
      <w:r w:rsidRPr="003A56CF">
        <w:rPr>
          <w:rFonts w:cs="Times New Roman"/>
          <w:szCs w:val="24"/>
        </w:rPr>
        <w:t xml:space="preserve">harmonogramem. </w:t>
      </w:r>
    </w:p>
    <w:p w14:paraId="5C76A1EA" w14:textId="77777777" w:rsidR="003A56CF" w:rsidRPr="003A56CF" w:rsidRDefault="003A56CF" w:rsidP="00616DE3">
      <w:pPr>
        <w:rPr>
          <w:rFonts w:cs="Times New Roman"/>
          <w:szCs w:val="24"/>
        </w:rPr>
      </w:pPr>
    </w:p>
    <w:p w14:paraId="4E2E7EED" w14:textId="7B55F969" w:rsidR="003A56CF" w:rsidRDefault="003A56CF" w:rsidP="00616DE3">
      <w:pPr>
        <w:rPr>
          <w:rFonts w:cs="Times New Roman"/>
          <w:szCs w:val="24"/>
        </w:rPr>
      </w:pPr>
      <w:r w:rsidRPr="003A56CF">
        <w:rPr>
          <w:rFonts w:cs="Times New Roman"/>
          <w:szCs w:val="24"/>
        </w:rPr>
        <w:lastRenderedPageBreak/>
        <w:t>Dla polityki społecznej państwa istotne jest, w jakim zakresie system emerytalny chroni świadczeniobiorców, legitymujących się często stopniem niepełnosprawności, przed ubóstwem i wykluczeniem społecznym. Cykliczne podnoszenie najniższych świadczeń emerytalno-rentowych oraz dodatkowe wsparcie pieniężne silnie wpisuje się działania wsparcia osób znajdujących się w trudnym położeniu materialnym, w tym osób niepełnosprawnych. Wszelkie dodatkowe świadczenia pieniężne są przejawem troski o sytuację materialną polskich emerytów i rencistów.</w:t>
      </w:r>
    </w:p>
    <w:p w14:paraId="2C4E1A92" w14:textId="77777777" w:rsidR="00616DE3" w:rsidRPr="003A56CF" w:rsidRDefault="00616DE3" w:rsidP="00616DE3">
      <w:pPr>
        <w:rPr>
          <w:rFonts w:cs="Times New Roman"/>
          <w:szCs w:val="24"/>
        </w:rPr>
      </w:pPr>
    </w:p>
    <w:p w14:paraId="68C819AB" w14:textId="223C7184" w:rsidR="003A56CF" w:rsidRPr="003A56CF" w:rsidRDefault="003A56CF" w:rsidP="00616DE3">
      <w:pPr>
        <w:rPr>
          <w:rFonts w:cs="Times New Roman"/>
          <w:szCs w:val="24"/>
        </w:rPr>
      </w:pPr>
      <w:r w:rsidRPr="003A56CF">
        <w:rPr>
          <w:rFonts w:cs="Times New Roman"/>
          <w:szCs w:val="24"/>
        </w:rPr>
        <w:t xml:space="preserve">Wymaga dodania, że w 2020 r. </w:t>
      </w:r>
      <w:r w:rsidR="003109C6">
        <w:rPr>
          <w:rFonts w:cs="Times New Roman"/>
          <w:szCs w:val="24"/>
        </w:rPr>
        <w:t>rozpoczęto również prace</w:t>
      </w:r>
      <w:r w:rsidRPr="003A56CF">
        <w:rPr>
          <w:rFonts w:cs="Times New Roman"/>
          <w:szCs w:val="24"/>
        </w:rPr>
        <w:t xml:space="preserve"> nad:</w:t>
      </w:r>
    </w:p>
    <w:p w14:paraId="2288F58A" w14:textId="23FFC841" w:rsidR="00616DE3" w:rsidRDefault="003A56CF" w:rsidP="00FE70E3">
      <w:pPr>
        <w:pStyle w:val="Akapitzlist"/>
        <w:numPr>
          <w:ilvl w:val="0"/>
          <w:numId w:val="82"/>
        </w:numPr>
        <w:rPr>
          <w:rFonts w:cs="Times New Roman"/>
          <w:szCs w:val="24"/>
        </w:rPr>
      </w:pPr>
      <w:r w:rsidRPr="00616DE3">
        <w:rPr>
          <w:rFonts w:cs="Times New Roman"/>
          <w:szCs w:val="24"/>
        </w:rPr>
        <w:t>zmianą zasad waloryzacji świadczeń w 2021 r. – ustawa z dnia 21 stycznia 2021 r. o zmianie ustawy o emeryturach i rentach z Funduszu Ubezpieczeń Społecznych oraz niektórych innych ustaw (Dz. U. z 2021 r. poz. 353),</w:t>
      </w:r>
    </w:p>
    <w:p w14:paraId="59E2494A" w14:textId="26B239D6" w:rsidR="003A56CF" w:rsidRPr="00616DE3" w:rsidRDefault="003A56CF" w:rsidP="00FE70E3">
      <w:pPr>
        <w:pStyle w:val="Akapitzlist"/>
        <w:numPr>
          <w:ilvl w:val="0"/>
          <w:numId w:val="82"/>
        </w:numPr>
        <w:rPr>
          <w:rFonts w:cs="Times New Roman"/>
          <w:szCs w:val="24"/>
        </w:rPr>
      </w:pPr>
      <w:r w:rsidRPr="00616DE3">
        <w:rPr>
          <w:rFonts w:cs="Times New Roman"/>
          <w:szCs w:val="24"/>
        </w:rPr>
        <w:t xml:space="preserve">ustawą o kolejnym w 2021 r. dodatkowym rocznym świadczeniu pieniężnym dla emerytów i rencistów (Dz. U. z 2021 r. poz.  432) - tzw. </w:t>
      </w:r>
      <w:r w:rsidR="0046663C">
        <w:rPr>
          <w:rFonts w:cs="Times New Roman"/>
          <w:szCs w:val="24"/>
        </w:rPr>
        <w:t>„</w:t>
      </w:r>
      <w:r w:rsidRPr="00616DE3">
        <w:rPr>
          <w:rFonts w:cs="Times New Roman"/>
          <w:szCs w:val="24"/>
        </w:rPr>
        <w:t>14 emerytura</w:t>
      </w:r>
      <w:r w:rsidR="0046663C">
        <w:rPr>
          <w:rFonts w:cs="Times New Roman"/>
          <w:szCs w:val="24"/>
        </w:rPr>
        <w:t>”</w:t>
      </w:r>
      <w:r w:rsidRPr="00616DE3">
        <w:rPr>
          <w:rFonts w:cs="Times New Roman"/>
          <w:szCs w:val="24"/>
        </w:rPr>
        <w:t xml:space="preserve"> (wypłata kolejnego dodatkowego świadczenia pieniężnego odbędzie się w listopadzie 2021 r.).</w:t>
      </w:r>
    </w:p>
    <w:p w14:paraId="59228382" w14:textId="77777777" w:rsidR="003A56CF" w:rsidRPr="003A56CF" w:rsidRDefault="003A56CF" w:rsidP="00616DE3">
      <w:pPr>
        <w:rPr>
          <w:rFonts w:cs="Times New Roman"/>
          <w:szCs w:val="24"/>
        </w:rPr>
      </w:pPr>
    </w:p>
    <w:p w14:paraId="1C1BF416" w14:textId="77777777" w:rsidR="003A56CF" w:rsidRPr="003A56CF" w:rsidRDefault="003A56CF" w:rsidP="00616DE3">
      <w:pPr>
        <w:rPr>
          <w:rFonts w:cs="Times New Roman"/>
          <w:szCs w:val="24"/>
        </w:rPr>
      </w:pPr>
    </w:p>
    <w:p w14:paraId="776FAC02" w14:textId="77777777" w:rsidR="003A56CF" w:rsidRPr="003A56CF" w:rsidRDefault="003A56CF" w:rsidP="00616DE3">
      <w:pPr>
        <w:rPr>
          <w:rFonts w:cs="Times New Roman"/>
          <w:b/>
          <w:szCs w:val="24"/>
        </w:rPr>
      </w:pPr>
      <w:r w:rsidRPr="003A56CF">
        <w:rPr>
          <w:rFonts w:cs="Times New Roman"/>
          <w:b/>
          <w:szCs w:val="24"/>
        </w:rPr>
        <w:t xml:space="preserve">Rodzicielskie </w:t>
      </w:r>
      <w:r>
        <w:rPr>
          <w:rFonts w:cs="Times New Roman"/>
          <w:b/>
          <w:szCs w:val="24"/>
        </w:rPr>
        <w:t>Świadczenie Uzupełniające (RSU)</w:t>
      </w:r>
    </w:p>
    <w:p w14:paraId="1226B587" w14:textId="398617A1" w:rsidR="003A56CF" w:rsidRPr="003A56CF" w:rsidRDefault="003A56CF" w:rsidP="00616DE3">
      <w:pPr>
        <w:rPr>
          <w:rFonts w:cs="Times New Roman"/>
          <w:szCs w:val="24"/>
        </w:rPr>
      </w:pPr>
      <w:r w:rsidRPr="003A56CF">
        <w:rPr>
          <w:rFonts w:cs="Times New Roman"/>
          <w:szCs w:val="24"/>
        </w:rPr>
        <w:t>Od marca 2019 r. wypłacane jest Rodzicielskie Świadczenie Uzupełniające</w:t>
      </w:r>
      <w:r w:rsidR="003109C6">
        <w:rPr>
          <w:rFonts w:cs="Times New Roman"/>
          <w:szCs w:val="24"/>
        </w:rPr>
        <w:t xml:space="preserve"> (RSU)</w:t>
      </w:r>
      <w:r w:rsidRPr="003A56CF">
        <w:rPr>
          <w:rFonts w:cs="Times New Roman"/>
          <w:szCs w:val="24"/>
        </w:rPr>
        <w:t xml:space="preserve"> – tzw. Program Mama 4+. Ustawa  o rodzicielskim świadczeniu uzupełniającym ma na celu uhonorowanie i docenienie okresu wychowywania dzieci. Rodzicielskie świadczenie uzupełniające ma zapewnić minimalny dochód osobo</w:t>
      </w:r>
      <w:r w:rsidR="001E0F91">
        <w:rPr>
          <w:rFonts w:cs="Times New Roman"/>
          <w:szCs w:val="24"/>
        </w:rPr>
        <w:t xml:space="preserve">m, które by wychowywać dzieci </w:t>
      </w:r>
      <w:r w:rsidR="001E0F91" w:rsidRPr="001E0F91">
        <w:t>w</w:t>
      </w:r>
      <w:r w:rsidR="001E0F91">
        <w:t> </w:t>
      </w:r>
      <w:r w:rsidRPr="001E0F91">
        <w:t>rodzinach</w:t>
      </w:r>
      <w:r w:rsidRPr="003A56CF">
        <w:rPr>
          <w:rFonts w:cs="Times New Roman"/>
          <w:szCs w:val="24"/>
        </w:rPr>
        <w:t xml:space="preserve"> wielodzietnych nie podjęły zatrudnienia, bardzo często z przyczyn niezależnych od siebie, lub z niego zrezygnowały, i z tego powodu nie nabyły prawa do emerytury lub nie wypracowały emerytury w wysokości najniższej. Świadczenie wypłacane jest z budżetu państwa dla mam, ale także w niektórych przypadkach ojców, którzy wychowali przynajmniej 4 dzieci. W przypadku osoby niemającej prawa do żadnego świadczenia, wysokość RSU odpowiadać będzie kwocie najniższej emerytury. W przypadku, gdy osoba zainteresowana pobiera już świadczenie niższe od najniższej emerytury, świadczenie rodzicielskie będzie uzupełniać pobierane świadczenie do tej kwoty. </w:t>
      </w:r>
    </w:p>
    <w:p w14:paraId="720EA5A0" w14:textId="77777777" w:rsidR="003A56CF" w:rsidRPr="003A56CF" w:rsidRDefault="003A56CF" w:rsidP="00616DE3">
      <w:pPr>
        <w:rPr>
          <w:rFonts w:cs="Times New Roman"/>
          <w:szCs w:val="24"/>
        </w:rPr>
      </w:pPr>
      <w:r w:rsidRPr="003A56CF">
        <w:rPr>
          <w:rFonts w:cs="Times New Roman"/>
          <w:szCs w:val="24"/>
        </w:rPr>
        <w:t>W grudniu 2020 r.:</w:t>
      </w:r>
    </w:p>
    <w:p w14:paraId="3A1EC9A0" w14:textId="418CF2B8" w:rsidR="00616DE3" w:rsidRDefault="003A56CF" w:rsidP="00FE70E3">
      <w:pPr>
        <w:pStyle w:val="Akapitzlist"/>
        <w:numPr>
          <w:ilvl w:val="0"/>
          <w:numId w:val="83"/>
        </w:numPr>
        <w:rPr>
          <w:rFonts w:cs="Times New Roman"/>
          <w:szCs w:val="24"/>
        </w:rPr>
      </w:pPr>
      <w:r w:rsidRPr="00616DE3">
        <w:rPr>
          <w:rFonts w:cs="Times New Roman"/>
          <w:szCs w:val="24"/>
        </w:rPr>
        <w:t>w ZUS - liczba wydanych decyzji wyniosła 67 529, w tym</w:t>
      </w:r>
      <w:r w:rsidR="001E0F91">
        <w:rPr>
          <w:rFonts w:cs="Times New Roman"/>
          <w:szCs w:val="24"/>
        </w:rPr>
        <w:t xml:space="preserve"> 59 656 decyzji przyznających i 7 </w:t>
      </w:r>
      <w:r w:rsidRPr="00616DE3">
        <w:rPr>
          <w:rFonts w:cs="Times New Roman"/>
          <w:szCs w:val="24"/>
        </w:rPr>
        <w:t>873 decyzje odmawiające. Kwota wypłaconych rodzicielskich świadczeń uzupełniających w okresie od 1 marca 2019 r. do 31 grudnia 2020 r. wyniosła 720 300 371,14 zł.</w:t>
      </w:r>
    </w:p>
    <w:p w14:paraId="6BDDF3E1" w14:textId="5792173E" w:rsidR="003A56CF" w:rsidRPr="00616DE3" w:rsidRDefault="003A56CF" w:rsidP="00FE70E3">
      <w:pPr>
        <w:pStyle w:val="Akapitzlist"/>
        <w:numPr>
          <w:ilvl w:val="0"/>
          <w:numId w:val="83"/>
        </w:numPr>
        <w:rPr>
          <w:rFonts w:cs="Times New Roman"/>
          <w:szCs w:val="24"/>
        </w:rPr>
      </w:pPr>
      <w:r w:rsidRPr="00616DE3">
        <w:rPr>
          <w:rFonts w:cs="Times New Roman"/>
          <w:szCs w:val="24"/>
        </w:rPr>
        <w:t>w KRUS - liczba osób, którym przyznano RSU wynios</w:t>
      </w:r>
      <w:r w:rsidR="001E0F91">
        <w:rPr>
          <w:rFonts w:cs="Times New Roman"/>
          <w:szCs w:val="24"/>
        </w:rPr>
        <w:t>ła – 1097 (wydatkowana kwota: 1 </w:t>
      </w:r>
      <w:r w:rsidRPr="00616DE3">
        <w:rPr>
          <w:rFonts w:cs="Times New Roman"/>
          <w:szCs w:val="24"/>
        </w:rPr>
        <w:t>303 394,79 zł).</w:t>
      </w:r>
    </w:p>
    <w:p w14:paraId="3CE1F62D" w14:textId="77777777" w:rsidR="003A56CF" w:rsidRPr="003A56CF" w:rsidRDefault="003A56CF" w:rsidP="00616DE3">
      <w:pPr>
        <w:rPr>
          <w:rFonts w:cs="Times New Roman"/>
          <w:szCs w:val="24"/>
        </w:rPr>
      </w:pPr>
    </w:p>
    <w:p w14:paraId="0123FFA2" w14:textId="4A29DE82" w:rsidR="003A56CF" w:rsidRPr="003A56CF" w:rsidRDefault="003A56CF" w:rsidP="00616DE3">
      <w:pPr>
        <w:rPr>
          <w:rFonts w:cs="Times New Roman"/>
          <w:szCs w:val="24"/>
        </w:rPr>
      </w:pPr>
      <w:r w:rsidRPr="003A56CF">
        <w:rPr>
          <w:rFonts w:cs="Times New Roman"/>
          <w:b/>
          <w:szCs w:val="24"/>
        </w:rPr>
        <w:t>Świadczenie wyrównawcze przysługujące działaczom opozycji antykomunistycznej oraz osobom represjonowanym  z powodów politycznych</w:t>
      </w:r>
      <w:r w:rsidRPr="003A56CF">
        <w:rPr>
          <w:rFonts w:cs="Times New Roman"/>
          <w:szCs w:val="24"/>
        </w:rPr>
        <w:t xml:space="preserve">. </w:t>
      </w:r>
    </w:p>
    <w:p w14:paraId="5D12AA5D" w14:textId="5172DB3C" w:rsidR="003A56CF" w:rsidRDefault="003A56CF" w:rsidP="00616DE3">
      <w:pPr>
        <w:rPr>
          <w:rFonts w:cs="Times New Roman"/>
          <w:szCs w:val="24"/>
        </w:rPr>
      </w:pPr>
      <w:r w:rsidRPr="003A56CF">
        <w:rPr>
          <w:rFonts w:cs="Times New Roman"/>
          <w:szCs w:val="24"/>
        </w:rPr>
        <w:lastRenderedPageBreak/>
        <w:t>Od 15 października 2020 r. działaczom opozycji antykomunistycznej oraz osobom represjonowanym z powodów politycznych uprawnionym do emerytury lub renty inwalidzkiej albo renty z tytułu niezdolności do pracy, na podstawie w</w:t>
      </w:r>
      <w:r w:rsidR="001E0F91">
        <w:rPr>
          <w:rFonts w:cs="Times New Roman"/>
          <w:szCs w:val="24"/>
        </w:rPr>
        <w:t>prowadzonych zmian w ustawie  z </w:t>
      </w:r>
      <w:r w:rsidRPr="003A56CF">
        <w:rPr>
          <w:rFonts w:cs="Times New Roman"/>
          <w:szCs w:val="24"/>
        </w:rPr>
        <w:t>dnia 20 marca 2015 r. o działaczach opozycji antykomunistycznej oraz osobach represjonowanych z powodów politycznych (Dz. U. z 202</w:t>
      </w:r>
      <w:r w:rsidR="0046663C">
        <w:rPr>
          <w:rFonts w:cs="Times New Roman"/>
          <w:szCs w:val="24"/>
        </w:rPr>
        <w:t>1</w:t>
      </w:r>
      <w:r w:rsidRPr="003A56CF">
        <w:rPr>
          <w:rFonts w:cs="Times New Roman"/>
          <w:szCs w:val="24"/>
        </w:rPr>
        <w:t xml:space="preserve"> r. poz. </w:t>
      </w:r>
      <w:r w:rsidR="0046663C">
        <w:rPr>
          <w:rFonts w:cs="Times New Roman"/>
          <w:szCs w:val="24"/>
        </w:rPr>
        <w:t>1255</w:t>
      </w:r>
      <w:r w:rsidRPr="003A56CF">
        <w:rPr>
          <w:rFonts w:cs="Times New Roman"/>
          <w:szCs w:val="24"/>
        </w:rPr>
        <w:t xml:space="preserve">), przysługuje prawo do świadczenia wyrównawczego. </w:t>
      </w:r>
    </w:p>
    <w:p w14:paraId="0981DDB8" w14:textId="77777777" w:rsidR="00616DE3" w:rsidRPr="003A56CF" w:rsidRDefault="00616DE3" w:rsidP="00616DE3">
      <w:pPr>
        <w:rPr>
          <w:rFonts w:cs="Times New Roman"/>
          <w:szCs w:val="24"/>
        </w:rPr>
      </w:pPr>
    </w:p>
    <w:p w14:paraId="301E9AB0" w14:textId="17FE92D3" w:rsidR="003A56CF" w:rsidRDefault="003A56CF" w:rsidP="00616DE3">
      <w:pPr>
        <w:rPr>
          <w:rFonts w:cs="Times New Roman"/>
          <w:szCs w:val="24"/>
        </w:rPr>
      </w:pPr>
      <w:r w:rsidRPr="003A56CF">
        <w:rPr>
          <w:rFonts w:cs="Times New Roman"/>
          <w:szCs w:val="24"/>
        </w:rPr>
        <w:t>W 2020 r. prawo do świadczenia wyrównawczego przysługiwało osobom uprawnionym pobierającym emeryturę lub rentę w kwocie niższej niż 2400 zł miesięcznie. Wysokość tego świadczenia odpowiada kwocie stanowiącej różnicę pom</w:t>
      </w:r>
      <w:r w:rsidR="001E0F91">
        <w:rPr>
          <w:rFonts w:cs="Times New Roman"/>
          <w:szCs w:val="24"/>
        </w:rPr>
        <w:t>iędzy kwotą tego świadczenia, a </w:t>
      </w:r>
      <w:r w:rsidRPr="003A56CF">
        <w:rPr>
          <w:rFonts w:cs="Times New Roman"/>
          <w:szCs w:val="24"/>
        </w:rPr>
        <w:t xml:space="preserve">kwotą emerytury lub renty pobieranej przez osobę uprawnioną. Świadczenie to podlega waloryzacji. Przez kwotę emerytury lub renty rozumie się wysokość pobieranej emerytury lub renty brutto lub sumę tych świadczeń, wraz z kwotą wypłacaną przez zagraniczne instytucje właściwe do spraw </w:t>
      </w:r>
      <w:proofErr w:type="spellStart"/>
      <w:r w:rsidRPr="003A56CF">
        <w:rPr>
          <w:rFonts w:cs="Times New Roman"/>
          <w:szCs w:val="24"/>
        </w:rPr>
        <w:t>emerytalno</w:t>
      </w:r>
      <w:proofErr w:type="spellEnd"/>
      <w:r w:rsidRPr="003A56CF">
        <w:rPr>
          <w:rFonts w:cs="Times New Roman"/>
          <w:szCs w:val="24"/>
        </w:rPr>
        <w:t>–rentowych, z wyłączeniem dodatku pielęgnacyjnego oraz innych dodatków i świadczeń wypłacanych wraz z tymi świadczeniami na podstawie odrębnych przepisów, przed dokonaniem odliczeń, potrąceń i zmniejszeń.  W razie przyznania, ustania lub ponownego obliczenia wysokości emerytury lub renty, świadczenie wyrównawcze jest ponownie obliczane  z urzędu, w taki sposób, aby łącz</w:t>
      </w:r>
      <w:r w:rsidR="001E0F91">
        <w:rPr>
          <w:rFonts w:cs="Times New Roman"/>
          <w:szCs w:val="24"/>
        </w:rPr>
        <w:t>na kwota tych świadczeń wraz ze </w:t>
      </w:r>
      <w:r w:rsidRPr="003A56CF">
        <w:rPr>
          <w:rFonts w:cs="Times New Roman"/>
          <w:szCs w:val="24"/>
        </w:rPr>
        <w:t xml:space="preserve">świadczeniem wyrównawczym, nie przekroczyła aktualnej wysokości świadczenia wyrównawczego. </w:t>
      </w:r>
    </w:p>
    <w:p w14:paraId="2FA812A8" w14:textId="77777777" w:rsidR="00616DE3" w:rsidRPr="003A56CF" w:rsidRDefault="00616DE3" w:rsidP="00616DE3">
      <w:pPr>
        <w:rPr>
          <w:rFonts w:cs="Times New Roman"/>
          <w:szCs w:val="24"/>
        </w:rPr>
      </w:pPr>
    </w:p>
    <w:p w14:paraId="0E463DBD" w14:textId="72358152" w:rsidR="003A56CF" w:rsidRPr="00421BD1" w:rsidRDefault="003A56CF" w:rsidP="00616DE3">
      <w:pPr>
        <w:rPr>
          <w:rFonts w:cs="Times New Roman"/>
          <w:szCs w:val="24"/>
        </w:rPr>
      </w:pPr>
      <w:r w:rsidRPr="003A56CF">
        <w:rPr>
          <w:rFonts w:cs="Times New Roman"/>
          <w:szCs w:val="24"/>
        </w:rPr>
        <w:t>Decyzje w sprawie świadczenia wyrównawczego wydają, na podstawie udokumentowanego wniosku osoby zainteresowanej,  i świadczenia te wypłacają organy wypłacające emeryturę lub rentę. Od decyzji o odmowie przyznania prawa do świadczenia wyrównawczego osobie zainteresowanej przysługuje odwołanie na drodze sądowej. Wypłata świadczenia wyrównawczego następuje wraz z wypłatą emerytury lub</w:t>
      </w:r>
      <w:r w:rsidR="001E0F91">
        <w:rPr>
          <w:rFonts w:cs="Times New Roman"/>
          <w:szCs w:val="24"/>
        </w:rPr>
        <w:t xml:space="preserve"> renty. W razie zbiegu prawa do </w:t>
      </w:r>
      <w:r w:rsidRPr="003A56CF">
        <w:rPr>
          <w:rFonts w:cs="Times New Roman"/>
          <w:szCs w:val="24"/>
        </w:rPr>
        <w:t>świadczeń wypłacanych przez różne organy, decyzje w sprawie świadczenia wyrównawczego wydaje i świadczenie to wypłaca Zak</w:t>
      </w:r>
      <w:r w:rsidR="001E0F91">
        <w:rPr>
          <w:rFonts w:cs="Times New Roman"/>
          <w:szCs w:val="24"/>
        </w:rPr>
        <w:t>ład Ubezpieczeń Społecznych. Na </w:t>
      </w:r>
      <w:r w:rsidRPr="003A56CF">
        <w:rPr>
          <w:rFonts w:cs="Times New Roman"/>
          <w:szCs w:val="24"/>
        </w:rPr>
        <w:t>wniosek osoby uprawnionej do świadczenia wyrównawczego, zamiesz</w:t>
      </w:r>
      <w:r w:rsidR="001E0F91">
        <w:rPr>
          <w:rFonts w:cs="Times New Roman"/>
          <w:szCs w:val="24"/>
        </w:rPr>
        <w:t>kałej za granicą świadczenie to </w:t>
      </w:r>
      <w:r w:rsidRPr="003A56CF">
        <w:rPr>
          <w:rFonts w:cs="Times New Roman"/>
          <w:szCs w:val="24"/>
        </w:rPr>
        <w:t>wypłacane jest w państwie  zamieszkania.</w:t>
      </w:r>
      <w:r w:rsidR="00616DE3">
        <w:rPr>
          <w:rFonts w:cs="Times New Roman"/>
          <w:szCs w:val="24"/>
        </w:rPr>
        <w:t xml:space="preserve"> </w:t>
      </w:r>
      <w:r w:rsidRPr="003A56CF">
        <w:rPr>
          <w:rFonts w:cs="Times New Roman"/>
          <w:szCs w:val="24"/>
        </w:rPr>
        <w:t>(Od 30 maja 2021 r. krąg osób uprawnionych zostanie rozszerzony o osoby legitymujące się statusem działacza opozycji antykomunistycznej lub osoby represjonowanej z  powodów politycznych uprawnione do renty rodzinnej).</w:t>
      </w:r>
    </w:p>
    <w:p w14:paraId="37BB37C1" w14:textId="77777777" w:rsidR="00421BD1" w:rsidRDefault="00421BD1" w:rsidP="00421BD1">
      <w:pPr>
        <w:rPr>
          <w:rFonts w:cs="Times New Roman"/>
          <w:color w:val="FF0000"/>
        </w:rPr>
      </w:pPr>
    </w:p>
    <w:p w14:paraId="2456B484" w14:textId="498C1DE0" w:rsidR="00C715D7" w:rsidRDefault="00B84865" w:rsidP="00C715D7">
      <w:pPr>
        <w:pStyle w:val="Nagwek3"/>
      </w:pPr>
      <w:bookmarkStart w:id="83" w:name="_Toc77513921"/>
      <w:bookmarkStart w:id="84" w:name="_Toc80523075"/>
      <w:r>
        <w:t>Usługi opiekuńcze i specjalistyczne usługi opiekuńcze</w:t>
      </w:r>
      <w:bookmarkEnd w:id="83"/>
      <w:bookmarkEnd w:id="84"/>
    </w:p>
    <w:p w14:paraId="2D57F7C8" w14:textId="77777777" w:rsidR="003E645C" w:rsidRDefault="003E645C" w:rsidP="00C715D7">
      <w:pPr>
        <w:rPr>
          <w:rFonts w:cs="Times New Roman"/>
          <w:b/>
        </w:rPr>
      </w:pPr>
    </w:p>
    <w:p w14:paraId="22C9869B" w14:textId="77777777" w:rsidR="00C715D7" w:rsidRPr="00C715D7" w:rsidRDefault="00C715D7" w:rsidP="00C715D7">
      <w:pPr>
        <w:rPr>
          <w:rFonts w:cs="Times New Roman"/>
          <w:b/>
        </w:rPr>
      </w:pPr>
      <w:r w:rsidRPr="00C715D7">
        <w:rPr>
          <w:rFonts w:cs="Times New Roman"/>
          <w:b/>
        </w:rPr>
        <w:t>Program „</w:t>
      </w:r>
      <w:r w:rsidRPr="00C715D7">
        <w:rPr>
          <w:rFonts w:cs="Times New Roman"/>
          <w:b/>
          <w:i/>
        </w:rPr>
        <w:t>Opieka 75+”</w:t>
      </w:r>
    </w:p>
    <w:p w14:paraId="283D9EB5" w14:textId="62372CD7" w:rsidR="00C715D7" w:rsidRPr="00C715D7" w:rsidRDefault="00C715D7" w:rsidP="00C715D7">
      <w:pPr>
        <w:rPr>
          <w:rFonts w:cs="Times New Roman"/>
        </w:rPr>
      </w:pPr>
      <w:r w:rsidRPr="00C715D7">
        <w:rPr>
          <w:rFonts w:cs="Times New Roman"/>
        </w:rPr>
        <w:t>Program „Opieka 75+” jest odpowiedzią na wyzwania jakie stawiają przed Polską zachodzące procesy demograficzne, dlatego skierowany jest do osób starszych w wieku 75 lat i więcej, które mieszkają na terenie małych gmin. Corocznie obserwuje się wzrost liczby osób korzystających z usług opiekuńczych. Z analizy roc</w:t>
      </w:r>
      <w:r w:rsidR="00942717">
        <w:rPr>
          <w:rFonts w:cs="Times New Roman"/>
        </w:rPr>
        <w:t xml:space="preserve">znych sprawozdań resortowych </w:t>
      </w:r>
      <w:proofErr w:type="spellStart"/>
      <w:r w:rsidR="00942717">
        <w:rPr>
          <w:rFonts w:cs="Times New Roman"/>
        </w:rPr>
        <w:t>MR</w:t>
      </w:r>
      <w:r w:rsidRPr="00C715D7">
        <w:rPr>
          <w:rFonts w:cs="Times New Roman"/>
        </w:rPr>
        <w:t>iPS</w:t>
      </w:r>
      <w:proofErr w:type="spellEnd"/>
      <w:r w:rsidRPr="00C715D7">
        <w:rPr>
          <w:rFonts w:cs="Times New Roman"/>
        </w:rPr>
        <w:t xml:space="preserve"> - </w:t>
      </w:r>
      <w:r w:rsidRPr="00C715D7">
        <w:rPr>
          <w:rFonts w:cs="Times New Roman"/>
        </w:rPr>
        <w:lastRenderedPageBreak/>
        <w:t xml:space="preserve">03 wynika, że w gminach wiejskich, miejskich oraz miejsko – wiejskich następuje wzrost liczby osób, którym w drodze decyzji administracyjnych przyznaje się usługi opiekuńcze. </w:t>
      </w:r>
    </w:p>
    <w:p w14:paraId="333CA846" w14:textId="77777777" w:rsidR="00B84865" w:rsidRDefault="00B84865" w:rsidP="00C715D7">
      <w:pPr>
        <w:rPr>
          <w:rFonts w:cs="Times New Roman"/>
        </w:rPr>
      </w:pPr>
    </w:p>
    <w:p w14:paraId="5EFE5AA5" w14:textId="1F62FACF" w:rsidR="00C715D7" w:rsidRPr="00C715D7" w:rsidRDefault="00C715D7" w:rsidP="00C715D7">
      <w:pPr>
        <w:rPr>
          <w:rFonts w:cs="Times New Roman"/>
        </w:rPr>
      </w:pPr>
      <w:r w:rsidRPr="00C715D7">
        <w:rPr>
          <w:rFonts w:cs="Times New Roman"/>
        </w:rPr>
        <w:t>Program „Opieka 75+” realizowany jest od stycznia 2018 r. i jest adresowany do gmin miejskich, wiejskich, miejsko – wiejskich do 60 tys. mieszkańców.</w:t>
      </w:r>
    </w:p>
    <w:p w14:paraId="41778A85" w14:textId="77777777" w:rsidR="00B84865" w:rsidRDefault="00B84865" w:rsidP="00C715D7">
      <w:pPr>
        <w:rPr>
          <w:rFonts w:cs="Times New Roman"/>
        </w:rPr>
      </w:pPr>
    </w:p>
    <w:p w14:paraId="5EE8646D" w14:textId="39104D70" w:rsidR="00C715D7" w:rsidRPr="00C715D7" w:rsidRDefault="00C715D7" w:rsidP="00C715D7">
      <w:pPr>
        <w:rPr>
          <w:rFonts w:cs="Times New Roman"/>
        </w:rPr>
      </w:pPr>
      <w:r w:rsidRPr="00C715D7">
        <w:rPr>
          <w:rFonts w:cs="Times New Roman"/>
        </w:rPr>
        <w:t xml:space="preserve">Gminy, które przystąpią do realizacji programu uzyskają finansowe wsparcie </w:t>
      </w:r>
      <w:r w:rsidRPr="00C715D7">
        <w:rPr>
          <w:rFonts w:cs="Times New Roman"/>
        </w:rPr>
        <w:br/>
        <w:t xml:space="preserve">do 50% przewidywanych kosztów realizacji zadania w zakresie realizacji  usług opiekuńczych, w tym specjalistycznych usług opiekuńczych, dla osób spełniających kryteria określone </w:t>
      </w:r>
      <w:r w:rsidRPr="00C715D7">
        <w:rPr>
          <w:rFonts w:cs="Times New Roman"/>
        </w:rPr>
        <w:br/>
        <w:t xml:space="preserve">w programie. </w:t>
      </w:r>
    </w:p>
    <w:p w14:paraId="6ED96FB0" w14:textId="77777777" w:rsidR="00B84865" w:rsidRDefault="00B84865" w:rsidP="00C715D7">
      <w:pPr>
        <w:rPr>
          <w:rFonts w:cs="Times New Roman"/>
        </w:rPr>
      </w:pPr>
    </w:p>
    <w:p w14:paraId="14618670" w14:textId="2209D913" w:rsidR="00C715D7" w:rsidRPr="00C715D7" w:rsidRDefault="00C715D7" w:rsidP="00C715D7">
      <w:pPr>
        <w:rPr>
          <w:rFonts w:cs="Times New Roman"/>
        </w:rPr>
      </w:pPr>
      <w:r w:rsidRPr="00C715D7">
        <w:rPr>
          <w:rFonts w:cs="Times New Roman"/>
        </w:rPr>
        <w:t>Strategicznym celem programu jest poprawa dostępności do usług opiekuńczych, w tym specjalistycznych usług opiekuńczych zarówno dla osób samotnych, jak również pozostających w rodzinach będących w wieku 75 lat i więcej.</w:t>
      </w:r>
    </w:p>
    <w:p w14:paraId="7C6F2C2F" w14:textId="1B2FC68A" w:rsidR="00C715D7" w:rsidRPr="00C715D7" w:rsidRDefault="00C715D7" w:rsidP="00C715D7">
      <w:pPr>
        <w:rPr>
          <w:rFonts w:cs="Times New Roman"/>
        </w:rPr>
      </w:pPr>
      <w:r w:rsidRPr="00C715D7">
        <w:rPr>
          <w:rFonts w:cs="Times New Roman"/>
        </w:rPr>
        <w:t>W ramach programu gmina może skorzystać z dofinansowani</w:t>
      </w:r>
      <w:r w:rsidR="001E0F91">
        <w:rPr>
          <w:rFonts w:cs="Times New Roman"/>
        </w:rPr>
        <w:t>a ze środków budżetu państwa na </w:t>
      </w:r>
      <w:r w:rsidRPr="00C715D7">
        <w:rPr>
          <w:rFonts w:cs="Times New Roman"/>
        </w:rPr>
        <w:t>świadczenie usług opiekuńczych, w tym specjalistycznych usług opiekuńczych, jeżeli:</w:t>
      </w:r>
    </w:p>
    <w:p w14:paraId="4FFEFB70" w14:textId="77777777" w:rsidR="00C715D7" w:rsidRPr="00C715D7" w:rsidRDefault="00C715D7" w:rsidP="00FE70E3">
      <w:pPr>
        <w:numPr>
          <w:ilvl w:val="0"/>
          <w:numId w:val="61"/>
        </w:numPr>
        <w:ind w:left="360"/>
        <w:rPr>
          <w:rFonts w:cs="Times New Roman"/>
        </w:rPr>
      </w:pPr>
      <w:r w:rsidRPr="00C715D7">
        <w:rPr>
          <w:rFonts w:cs="Times New Roman"/>
        </w:rPr>
        <w:t>dane świadczenie realizuje samodzielnie, tj. przez pracowników ośrodka pomocy społecznej, urzędu gminy lub innych gminnych jednostek organizacyjnych (zatrudnionych na umowę o pracę) lub</w:t>
      </w:r>
    </w:p>
    <w:p w14:paraId="0400D4FA" w14:textId="77777777" w:rsidR="00C715D7" w:rsidRPr="00C715D7" w:rsidRDefault="00C715D7" w:rsidP="00FE70E3">
      <w:pPr>
        <w:numPr>
          <w:ilvl w:val="0"/>
          <w:numId w:val="61"/>
        </w:numPr>
        <w:ind w:left="360"/>
        <w:rPr>
          <w:rFonts w:cs="Times New Roman"/>
        </w:rPr>
      </w:pPr>
      <w:r w:rsidRPr="00C715D7">
        <w:rPr>
          <w:rFonts w:cs="Times New Roman"/>
        </w:rPr>
        <w:t>zleca realizację przedmiotowego zadania organizacjom pozarządowym lub</w:t>
      </w:r>
    </w:p>
    <w:p w14:paraId="2EF733C4" w14:textId="76F22D58" w:rsidR="00C715D7" w:rsidRPr="00C715D7" w:rsidRDefault="00C715D7" w:rsidP="00B84865">
      <w:pPr>
        <w:rPr>
          <w:rFonts w:cs="Times New Roman"/>
        </w:rPr>
      </w:pPr>
      <w:r w:rsidRPr="00C715D7">
        <w:rPr>
          <w:rFonts w:cs="Times New Roman"/>
        </w:rPr>
        <w:t>3)   kupuje usługi opiekuńcze od podmiotów sektora prywatnego.</w:t>
      </w:r>
    </w:p>
    <w:p w14:paraId="5C89C1D7" w14:textId="77777777" w:rsidR="00C715D7" w:rsidRPr="00C715D7" w:rsidRDefault="00C715D7" w:rsidP="00C715D7">
      <w:pPr>
        <w:rPr>
          <w:rFonts w:cs="Times New Roman"/>
        </w:rPr>
      </w:pPr>
      <w:r w:rsidRPr="00C715D7">
        <w:rPr>
          <w:rFonts w:cs="Times New Roman"/>
        </w:rPr>
        <w:t>Środki finansowe z programu w 2020 r. mogły być przeznaczone na:</w:t>
      </w:r>
    </w:p>
    <w:p w14:paraId="2BDE3491" w14:textId="6C8B1371" w:rsidR="00C715D7" w:rsidRPr="00C715D7" w:rsidRDefault="00C715D7" w:rsidP="00FE70E3">
      <w:pPr>
        <w:numPr>
          <w:ilvl w:val="0"/>
          <w:numId w:val="62"/>
        </w:numPr>
        <w:rPr>
          <w:rFonts w:cs="Times New Roman"/>
        </w:rPr>
      </w:pPr>
      <w:r w:rsidRPr="00C715D7">
        <w:rPr>
          <w:rFonts w:cs="Times New Roman"/>
        </w:rPr>
        <w:t>dofinansowanie do usług opiekuńczych, w tym specjalistycznych usług opiekuńczych dla osób, którym przedmiotowe usługi były</w:t>
      </w:r>
      <w:r w:rsidR="001E0F91">
        <w:rPr>
          <w:rFonts w:cs="Times New Roman"/>
        </w:rPr>
        <w:t xml:space="preserve"> świadczone w ramach programu i </w:t>
      </w:r>
      <w:r w:rsidRPr="00C715D7">
        <w:rPr>
          <w:rFonts w:cs="Times New Roman"/>
        </w:rPr>
        <w:t>będą kontynuowane w 2020</w:t>
      </w:r>
      <w:r w:rsidR="0068642A">
        <w:rPr>
          <w:rFonts w:cs="Times New Roman"/>
        </w:rPr>
        <w:t xml:space="preserve"> r.</w:t>
      </w:r>
      <w:r w:rsidRPr="00C715D7">
        <w:rPr>
          <w:rFonts w:cs="Times New Roman"/>
        </w:rPr>
        <w:t>;</w:t>
      </w:r>
    </w:p>
    <w:p w14:paraId="069361E4" w14:textId="1EF92EFE" w:rsidR="00C715D7" w:rsidRPr="00C715D7" w:rsidRDefault="00C715D7" w:rsidP="00FE70E3">
      <w:pPr>
        <w:numPr>
          <w:ilvl w:val="0"/>
          <w:numId w:val="62"/>
        </w:numPr>
        <w:rPr>
          <w:rFonts w:cs="Times New Roman"/>
        </w:rPr>
      </w:pPr>
      <w:r w:rsidRPr="00C715D7">
        <w:rPr>
          <w:rFonts w:cs="Times New Roman"/>
        </w:rPr>
        <w:t xml:space="preserve">dofinansowanie do usług opiekuńczych lub specjalistycznych usług opiekuńczych dla osób, którym w 2019 </w:t>
      </w:r>
      <w:r w:rsidR="0068642A">
        <w:rPr>
          <w:rFonts w:cs="Times New Roman"/>
        </w:rPr>
        <w:t xml:space="preserve">r. </w:t>
      </w:r>
      <w:r w:rsidRPr="00C715D7">
        <w:rPr>
          <w:rFonts w:cs="Times New Roman"/>
        </w:rPr>
        <w:t>te usługi nie były świadczone;</w:t>
      </w:r>
    </w:p>
    <w:p w14:paraId="5F1F18AE" w14:textId="77777777" w:rsidR="00C715D7" w:rsidRPr="00C715D7" w:rsidRDefault="00C715D7" w:rsidP="00FE70E3">
      <w:pPr>
        <w:numPr>
          <w:ilvl w:val="0"/>
          <w:numId w:val="62"/>
        </w:numPr>
        <w:rPr>
          <w:rFonts w:cs="Times New Roman"/>
        </w:rPr>
      </w:pPr>
      <w:r w:rsidRPr="00C715D7">
        <w:rPr>
          <w:rFonts w:cs="Times New Roman"/>
        </w:rPr>
        <w:t>dofinansowanie do zwiększenia liczby godzin usług opiekuńczych, w tym specjalistycznych usług opiekuńczych dla osób w wieku 75 lat i więcej;</w:t>
      </w:r>
    </w:p>
    <w:p w14:paraId="4702B589" w14:textId="21D0F949" w:rsidR="00C715D7" w:rsidRPr="00C715D7" w:rsidRDefault="00C715D7" w:rsidP="00C715D7">
      <w:pPr>
        <w:rPr>
          <w:rFonts w:cs="Times New Roman"/>
        </w:rPr>
      </w:pPr>
      <w:r w:rsidRPr="00C715D7">
        <w:rPr>
          <w:rFonts w:cs="Times New Roman"/>
        </w:rPr>
        <w:t xml:space="preserve">Z analizy sprawozdań przesłanych przez wojewodów podsumowujących realizację przedmiotowego programu w 2020 </w:t>
      </w:r>
      <w:r w:rsidR="0068642A">
        <w:rPr>
          <w:rFonts w:cs="Times New Roman"/>
        </w:rPr>
        <w:t>r.</w:t>
      </w:r>
      <w:r w:rsidRPr="00C715D7">
        <w:rPr>
          <w:rFonts w:cs="Times New Roman"/>
        </w:rPr>
        <w:t xml:space="preserve"> wynika, że  w roku sprawozdawczym program realizowało 509 gmin, usługami w jego ramach objęto 7 731 osób na kwotę 15 187 202, 45 zł.</w:t>
      </w:r>
    </w:p>
    <w:p w14:paraId="4DFB18F1" w14:textId="77777777" w:rsidR="00C715D7" w:rsidRPr="00C715D7" w:rsidRDefault="00C715D7" w:rsidP="00C715D7">
      <w:pPr>
        <w:rPr>
          <w:rFonts w:cs="Times New Roman"/>
        </w:rPr>
      </w:pPr>
      <w:r w:rsidRPr="00C715D7" w:rsidDel="00F5322C">
        <w:rPr>
          <w:rFonts w:cs="Times New Roman"/>
        </w:rPr>
        <w:t xml:space="preserve"> </w:t>
      </w:r>
    </w:p>
    <w:p w14:paraId="4424FABA" w14:textId="48C85FA5" w:rsidR="004E5794" w:rsidRPr="004E5794" w:rsidRDefault="00324288" w:rsidP="004E5794">
      <w:pPr>
        <w:rPr>
          <w:rFonts w:cs="Times New Roman"/>
        </w:rPr>
      </w:pPr>
      <w:r w:rsidRPr="00324288">
        <w:rPr>
          <w:rFonts w:cs="Times New Roman"/>
        </w:rPr>
        <w:t>Jednym ze skutków wprowadzenia programu „Opieka 75+” może być wzrost liczby gmin, które świadczą usługi opiekuńcze (z 2148 gmin w 2018 roku, przez 2 197 gmin w 2019 r</w:t>
      </w:r>
      <w:r w:rsidR="0068642A">
        <w:rPr>
          <w:rFonts w:cs="Times New Roman"/>
        </w:rPr>
        <w:t>.</w:t>
      </w:r>
      <w:r w:rsidRPr="00324288">
        <w:rPr>
          <w:rFonts w:cs="Times New Roman"/>
        </w:rPr>
        <w:t xml:space="preserve"> do 2 212 gmin w 2020</w:t>
      </w:r>
      <w:r w:rsidR="0068642A">
        <w:rPr>
          <w:rFonts w:cs="Times New Roman"/>
        </w:rPr>
        <w:t xml:space="preserve"> r.</w:t>
      </w:r>
      <w:r w:rsidRPr="00324288">
        <w:rPr>
          <w:rFonts w:cs="Times New Roman"/>
        </w:rPr>
        <w:t>), tj. na przestrzeni tych 3 lat wzrost o 64 gmi</w:t>
      </w:r>
      <w:r w:rsidR="001E0F91">
        <w:rPr>
          <w:rFonts w:cs="Times New Roman"/>
        </w:rPr>
        <w:t>ny, przy ogólnej liczbie gmin 2 </w:t>
      </w:r>
      <w:r w:rsidRPr="00324288">
        <w:rPr>
          <w:rFonts w:cs="Times New Roman"/>
        </w:rPr>
        <w:t>477 funkcjonujących w Polsce w latach 2019 – 2020 (w 2018 r</w:t>
      </w:r>
      <w:r w:rsidR="0068642A">
        <w:rPr>
          <w:rFonts w:cs="Times New Roman"/>
        </w:rPr>
        <w:t>.</w:t>
      </w:r>
      <w:r w:rsidRPr="00324288">
        <w:rPr>
          <w:rFonts w:cs="Times New Roman"/>
        </w:rPr>
        <w:t xml:space="preserve"> funkcjonowało w Polsce 2 478 gmin). Oznacza to, że obecnie ponad 89 % gmin w Polsce realizuje to zadanie.</w:t>
      </w:r>
      <w:r w:rsidR="004E5794" w:rsidRPr="004E5794">
        <w:t xml:space="preserve"> </w:t>
      </w:r>
    </w:p>
    <w:p w14:paraId="202F6902" w14:textId="77777777" w:rsidR="004E5794" w:rsidRDefault="004E5794" w:rsidP="004E5794">
      <w:pPr>
        <w:rPr>
          <w:rFonts w:cs="Times New Roman"/>
        </w:rPr>
      </w:pPr>
    </w:p>
    <w:p w14:paraId="34F8BD07" w14:textId="07CEA169" w:rsidR="00C715D7" w:rsidRPr="00324288" w:rsidRDefault="004E5794" w:rsidP="004E5794">
      <w:pPr>
        <w:rPr>
          <w:rFonts w:cs="Times New Roman"/>
        </w:rPr>
      </w:pPr>
      <w:r w:rsidRPr="004E5794">
        <w:rPr>
          <w:rFonts w:cs="Times New Roman"/>
        </w:rPr>
        <w:t>Realizacja programu pozwoliła również na zwiększenie liczby osób w wieku 75 lat i więcej korzystających z usług opiekuńczych, w tym specjali</w:t>
      </w:r>
      <w:r w:rsidR="001E0F91">
        <w:rPr>
          <w:rFonts w:cs="Times New Roman"/>
        </w:rPr>
        <w:t>stycznych usług, jak również na </w:t>
      </w:r>
      <w:r w:rsidRPr="004E5794">
        <w:rPr>
          <w:rFonts w:cs="Times New Roman"/>
        </w:rPr>
        <w:t xml:space="preserve">zwiększenie liczby godzin usług dla osób, które już korzystały z tej formy pomocy. Pomoc </w:t>
      </w:r>
      <w:r w:rsidRPr="004E5794">
        <w:rPr>
          <w:rFonts w:cs="Times New Roman"/>
        </w:rPr>
        <w:lastRenderedPageBreak/>
        <w:t>świadczona osobom starszym przyczyniła się do poprawy ich życia, zwiększenia aktywności w codziennym funkcjonowaniu i zaspokajaniu potrzeb życiowych, a także umożliwiła tym osobom dalsze funkcjonowanie w dotychczasowym środowisku.</w:t>
      </w:r>
    </w:p>
    <w:p w14:paraId="45788976" w14:textId="77777777" w:rsidR="00324288" w:rsidRPr="00C715D7" w:rsidRDefault="00324288" w:rsidP="00C715D7">
      <w:pPr>
        <w:rPr>
          <w:rFonts w:cs="Times New Roman"/>
          <w:b/>
        </w:rPr>
      </w:pPr>
    </w:p>
    <w:p w14:paraId="3C3E5E7E" w14:textId="1C75C1B4" w:rsidR="00C715D7" w:rsidRPr="00C715D7" w:rsidRDefault="00C715D7" w:rsidP="00C715D7">
      <w:pPr>
        <w:rPr>
          <w:rFonts w:cs="Times New Roman"/>
        </w:rPr>
      </w:pPr>
      <w:r w:rsidRPr="00C715D7">
        <w:rPr>
          <w:rFonts w:cs="Times New Roman"/>
        </w:rPr>
        <w:t>Warto również wspomnieć o programach rządowych służą</w:t>
      </w:r>
      <w:r w:rsidR="001E0F91">
        <w:rPr>
          <w:rFonts w:cs="Times New Roman"/>
        </w:rPr>
        <w:t>cych osobom starszym. Należą do </w:t>
      </w:r>
      <w:r w:rsidRPr="00C715D7">
        <w:rPr>
          <w:rFonts w:cs="Times New Roman"/>
        </w:rPr>
        <w:t xml:space="preserve">nich: Program Operacyjny Pomoc Żywnościowa 2014-2020 oraz  Program </w:t>
      </w:r>
      <w:r w:rsidR="001E0F91">
        <w:rPr>
          <w:rFonts w:cs="Times New Roman"/>
          <w:iCs/>
        </w:rPr>
        <w:t>„Posiłek w </w:t>
      </w:r>
      <w:r w:rsidRPr="00C715D7">
        <w:rPr>
          <w:rFonts w:cs="Times New Roman"/>
          <w:iCs/>
        </w:rPr>
        <w:t>szkole i w domu” na lata 2019-2023.</w:t>
      </w:r>
    </w:p>
    <w:p w14:paraId="3FBBCD75" w14:textId="77777777" w:rsidR="00C715D7" w:rsidRPr="00C715D7" w:rsidRDefault="00C715D7" w:rsidP="00C715D7">
      <w:pPr>
        <w:rPr>
          <w:rFonts w:cs="Times New Roman"/>
        </w:rPr>
      </w:pPr>
    </w:p>
    <w:p w14:paraId="22C5D87F" w14:textId="77777777" w:rsidR="00C715D7" w:rsidRPr="00C715D7" w:rsidRDefault="00C715D7" w:rsidP="00C715D7">
      <w:pPr>
        <w:rPr>
          <w:rFonts w:cs="Times New Roman"/>
          <w:b/>
        </w:rPr>
      </w:pPr>
      <w:r w:rsidRPr="00C715D7">
        <w:rPr>
          <w:rFonts w:cs="Times New Roman"/>
          <w:b/>
        </w:rPr>
        <w:t>Program Operacyjny Pomoc Żywnościowa 2014-2020</w:t>
      </w:r>
    </w:p>
    <w:p w14:paraId="1B0F558F" w14:textId="43C26F2C" w:rsidR="00C715D7" w:rsidRDefault="00C715D7" w:rsidP="00C715D7">
      <w:pPr>
        <w:rPr>
          <w:rFonts w:cs="Times New Roman"/>
        </w:rPr>
      </w:pPr>
      <w:r w:rsidRPr="00C715D7">
        <w:rPr>
          <w:rFonts w:cs="Times New Roman"/>
        </w:rPr>
        <w:t xml:space="preserve">Dzięki Programowi Operacyjnemu Pomoc Żywnościowa 2014-2020 (PO PŻ), współfinansowanemu ze środków Europejskiego Funduszu Pomocy Najbardziej Potrzebującym (FEAD), rodziny znajdujące się w trudnej sytuacji życiowej np. dotknięte ubóstwem, niepełnosprawnością, bezdomnością, długotrwałą lub ciężką chorobą otrzymują wsparcie w formie paczek z artykułami spożywczymi lub posiłków. </w:t>
      </w:r>
    </w:p>
    <w:p w14:paraId="152FBB89" w14:textId="77777777" w:rsidR="00B84865" w:rsidRPr="00C715D7" w:rsidRDefault="00B84865" w:rsidP="00C715D7">
      <w:pPr>
        <w:rPr>
          <w:rFonts w:cs="Times New Roman"/>
        </w:rPr>
      </w:pPr>
    </w:p>
    <w:p w14:paraId="36520520" w14:textId="633A345C" w:rsidR="00C715D7" w:rsidRDefault="00C715D7" w:rsidP="00C715D7">
      <w:pPr>
        <w:rPr>
          <w:rFonts w:cs="Times New Roman"/>
        </w:rPr>
      </w:pPr>
      <w:r w:rsidRPr="00C715D7">
        <w:rPr>
          <w:rFonts w:cs="Times New Roman"/>
        </w:rPr>
        <w:t>Dodatkowo osoby objęte programem mogą skorzystać z bezpłatnych szkoleń lub warsztatów organizowanych w celu zwiększenia samodzielności i włączenia społecznego a dotyczących m.in. przygotowywania posiłków, dietetyki oraz zdrowego odżywiania, sprawnego zarządzania budżetem domowym, zapobiegania marnowaniu żywności.</w:t>
      </w:r>
    </w:p>
    <w:p w14:paraId="4AF79319" w14:textId="77777777" w:rsidR="00B84865" w:rsidRPr="00C715D7" w:rsidRDefault="00B84865" w:rsidP="00C715D7">
      <w:pPr>
        <w:rPr>
          <w:rFonts w:cs="Times New Roman"/>
        </w:rPr>
      </w:pPr>
    </w:p>
    <w:p w14:paraId="039B5C9E" w14:textId="16D31295" w:rsidR="00C715D7" w:rsidRDefault="00C715D7" w:rsidP="00C715D7">
      <w:pPr>
        <w:rPr>
          <w:rFonts w:cs="Times New Roman"/>
        </w:rPr>
      </w:pPr>
      <w:r w:rsidRPr="00C715D7">
        <w:rPr>
          <w:rFonts w:cs="Times New Roman"/>
        </w:rPr>
        <w:t xml:space="preserve">Z Programu mogą korzystać osoby, które spełniają kryterium dochodowe: </w:t>
      </w:r>
      <w:r w:rsidRPr="00C715D7">
        <w:rPr>
          <w:rFonts w:cs="Times New Roman"/>
        </w:rPr>
        <w:br/>
        <w:t xml:space="preserve">w przypadku osoby samotnie gospodarującej 1 542,20 zł, natomiast w przypadku osoby </w:t>
      </w:r>
      <w:r w:rsidRPr="00C715D7">
        <w:rPr>
          <w:rFonts w:cs="Times New Roman"/>
        </w:rPr>
        <w:br/>
        <w:t xml:space="preserve">w rodzinie  - 1 161,60 zł oraz przynajmniej jedną z przesłanek wymienionych w art. 7 ustawy </w:t>
      </w:r>
      <w:r w:rsidR="0068642A">
        <w:rPr>
          <w:rFonts w:cs="Times New Roman"/>
        </w:rPr>
        <w:t>z dnia 12 marca 2004 r.</w:t>
      </w:r>
      <w:r w:rsidRPr="00C715D7">
        <w:rPr>
          <w:rFonts w:cs="Times New Roman"/>
        </w:rPr>
        <w:t xml:space="preserve"> o pomocy społecznej. </w:t>
      </w:r>
    </w:p>
    <w:p w14:paraId="3A7C9234" w14:textId="77777777" w:rsidR="00B84865" w:rsidRPr="00C715D7" w:rsidRDefault="00B84865" w:rsidP="00C715D7">
      <w:pPr>
        <w:rPr>
          <w:rFonts w:cs="Times New Roman"/>
        </w:rPr>
      </w:pPr>
    </w:p>
    <w:p w14:paraId="7A3CD184" w14:textId="30E7934C" w:rsidR="00C715D7" w:rsidRDefault="00C715D7" w:rsidP="00C715D7">
      <w:pPr>
        <w:rPr>
          <w:rFonts w:cs="Times New Roman"/>
        </w:rPr>
      </w:pPr>
      <w:r w:rsidRPr="00C715D7">
        <w:rPr>
          <w:rFonts w:cs="Times New Roman"/>
        </w:rPr>
        <w:t>W 2020 r. pomoc żywnościową otrzymało łącznie ok. 1,3 mln osób najbardziej potrzebujących, w tym ponad 158 tys. osób powyżej 65. roku życia, które stanowiły ok. 12% wszystkich odbiorców. Z uwagi na epidemię COVID-19, w 2020 r. odbiorcy byli kwalifikowani do Programu przez ośrodki pomocy społecznej w sposób zdalny telefonicznie. Ponadto dzięki zaangażowaniu różnych służb, w tym Wojsk Obrony Terytorialnej, żywność była dostarczana bezpośrednio do miejsc zamieszkania osób potrzebujących, w</w:t>
      </w:r>
      <w:r w:rsidR="001E0F91">
        <w:rPr>
          <w:rFonts w:cs="Times New Roman"/>
        </w:rPr>
        <w:t xml:space="preserve"> szczególności osób starszych i </w:t>
      </w:r>
      <w:r w:rsidRPr="00C715D7">
        <w:rPr>
          <w:rFonts w:cs="Times New Roman"/>
        </w:rPr>
        <w:t>osób niepełnosprawnych.</w:t>
      </w:r>
    </w:p>
    <w:p w14:paraId="54FA9DB3" w14:textId="77777777" w:rsidR="00B84865" w:rsidRPr="00C715D7" w:rsidRDefault="00B84865" w:rsidP="00C715D7">
      <w:pPr>
        <w:rPr>
          <w:rFonts w:cs="Times New Roman"/>
        </w:rPr>
      </w:pPr>
    </w:p>
    <w:p w14:paraId="23006DF9" w14:textId="7599E461" w:rsidR="00C715D7" w:rsidRDefault="00C715D7" w:rsidP="00C715D7">
      <w:pPr>
        <w:rPr>
          <w:rFonts w:cs="Times New Roman"/>
        </w:rPr>
      </w:pPr>
      <w:r w:rsidRPr="00C715D7">
        <w:rPr>
          <w:rFonts w:cs="Times New Roman"/>
        </w:rPr>
        <w:t xml:space="preserve">W 2019 r. pomoc trafiła do ok. 1,3 mln osób, w tym do ok. 142 tys. osób powyżej 65. roku życia (10,5% odbiorców), zatem udział seniorów wśród korzystających z pomocy żywnościowej wzrósł. </w:t>
      </w:r>
    </w:p>
    <w:p w14:paraId="2BDB45C4" w14:textId="77777777" w:rsidR="004E5794" w:rsidRPr="00C715D7" w:rsidRDefault="004E5794" w:rsidP="00C715D7">
      <w:pPr>
        <w:rPr>
          <w:rFonts w:cs="Times New Roman"/>
        </w:rPr>
      </w:pPr>
    </w:p>
    <w:p w14:paraId="6287A88B" w14:textId="77777777" w:rsidR="00C715D7" w:rsidRPr="00C715D7" w:rsidRDefault="00C715D7" w:rsidP="00C715D7">
      <w:pPr>
        <w:rPr>
          <w:rFonts w:cs="Times New Roman"/>
          <w:iCs/>
        </w:rPr>
      </w:pPr>
      <w:r w:rsidRPr="00C715D7">
        <w:rPr>
          <w:rFonts w:cs="Times New Roman"/>
          <w:b/>
        </w:rPr>
        <w:t xml:space="preserve">Wieloletni rządowy program </w:t>
      </w:r>
      <w:r w:rsidRPr="00C715D7">
        <w:rPr>
          <w:rFonts w:cs="Times New Roman"/>
          <w:b/>
          <w:iCs/>
        </w:rPr>
        <w:t>„Posiłek w szkole i w domu” na lata 2019-2023</w:t>
      </w:r>
    </w:p>
    <w:p w14:paraId="0959DA74" w14:textId="3C834631" w:rsidR="00C715D7" w:rsidRDefault="00C715D7" w:rsidP="00C715D7">
      <w:pPr>
        <w:rPr>
          <w:rFonts w:cs="Times New Roman"/>
        </w:rPr>
      </w:pPr>
      <w:r w:rsidRPr="00C715D7">
        <w:rPr>
          <w:rFonts w:cs="Times New Roman"/>
        </w:rPr>
        <w:t xml:space="preserve">Program „Posiłek w szkole i w domu” zapewnia pomoc zarówno osobom starszym, niepełnosprawnych, o niskich dochodach, jak i dzieciom, które wychowują się w rodzinach znajdujących się w trudnej sytuacji.  Program wspiera finansowo gminy w zakresie realizacji zadań własnych o charakterze obowiązkowym określonych w art. 17 ust. 1 pkt 3 i 14 ustawy </w:t>
      </w:r>
      <w:r w:rsidRPr="00C715D7">
        <w:rPr>
          <w:rFonts w:cs="Times New Roman"/>
        </w:rPr>
        <w:br/>
      </w:r>
      <w:r w:rsidRPr="00C715D7">
        <w:rPr>
          <w:rFonts w:cs="Times New Roman"/>
        </w:rPr>
        <w:lastRenderedPageBreak/>
        <w:t xml:space="preserve">z dnia 12 marca 2004 r. o pomocy społecznej oraz organów prowadzących publiczne szkoły podstawowe w zakresie realizacji zadań, o których mowa w art. 10 ust. 1 pkt 1 ustawy z dnia 14 grudnia 2016 r. – Prawo oświatowe. </w:t>
      </w:r>
    </w:p>
    <w:p w14:paraId="1328ACC1" w14:textId="77777777" w:rsidR="00B84865" w:rsidRPr="00C715D7" w:rsidRDefault="00B84865" w:rsidP="00C715D7">
      <w:pPr>
        <w:rPr>
          <w:rFonts w:cs="Times New Roman"/>
        </w:rPr>
      </w:pPr>
    </w:p>
    <w:p w14:paraId="571E5494" w14:textId="1A78319F" w:rsidR="00C715D7" w:rsidRDefault="00C715D7" w:rsidP="00C715D7">
      <w:pPr>
        <w:rPr>
          <w:rFonts w:cs="Times New Roman"/>
        </w:rPr>
      </w:pPr>
      <w:r w:rsidRPr="00C715D7">
        <w:rPr>
          <w:rFonts w:cs="Times New Roman"/>
        </w:rPr>
        <w:t xml:space="preserve">Ze środków przekazywanych w ramach Programu gminy udzielają wsparcia osobom spełniającym warunki otrzymania pomocy wskazane w ustawie z dnia 12 marca 2004 r. </w:t>
      </w:r>
      <w:r w:rsidRPr="00C715D7">
        <w:rPr>
          <w:rFonts w:cs="Times New Roman"/>
        </w:rPr>
        <w:br/>
        <w:t xml:space="preserve">o pomocy społecznej oraz spełniającym kryterium dochodowe w wysokości 150% kryterium, o którym mowa w art. 8 ww. ustawy, m.in. osobom i rodzinom znajdującym się w sytuacjach wymienionych w art. 7 ustawy z dnia 12 marca 2004 r. o pomocy społecznej, w szczególności osobom starszym, chorym i niepełnosprawnym. Osoby te otrzymują wsparcie w formie posiłku, świadczenia pieniężnego na zakup posiłku lub żywności albo świadczenia rzeczowego </w:t>
      </w:r>
      <w:r w:rsidRPr="00C715D7">
        <w:rPr>
          <w:rFonts w:cs="Times New Roman"/>
        </w:rPr>
        <w:br/>
        <w:t>w postaci produktów żywnościowych.</w:t>
      </w:r>
    </w:p>
    <w:p w14:paraId="10145B82" w14:textId="77777777" w:rsidR="00B84865" w:rsidRPr="00C715D7" w:rsidRDefault="00B84865" w:rsidP="00C715D7">
      <w:pPr>
        <w:rPr>
          <w:rFonts w:cs="Times New Roman"/>
        </w:rPr>
      </w:pPr>
    </w:p>
    <w:p w14:paraId="419F93B2" w14:textId="77777777" w:rsidR="00C715D7" w:rsidRPr="00C715D7" w:rsidRDefault="00C715D7" w:rsidP="00C715D7">
      <w:pPr>
        <w:rPr>
          <w:rFonts w:cs="Times New Roman"/>
        </w:rPr>
      </w:pPr>
      <w:r w:rsidRPr="00C715D7">
        <w:rPr>
          <w:rFonts w:cs="Times New Roman"/>
        </w:rPr>
        <w:t>Wysokość kryterium dochodowego uprawniającego do skorzystania z Programu wynosi:</w:t>
      </w:r>
    </w:p>
    <w:p w14:paraId="7E33D399" w14:textId="77777777" w:rsidR="00B84865" w:rsidRDefault="00C715D7" w:rsidP="00FE70E3">
      <w:pPr>
        <w:pStyle w:val="Akapitzlist"/>
        <w:numPr>
          <w:ilvl w:val="0"/>
          <w:numId w:val="84"/>
        </w:numPr>
        <w:rPr>
          <w:rFonts w:cs="Times New Roman"/>
        </w:rPr>
      </w:pPr>
      <w:r w:rsidRPr="00B84865">
        <w:rPr>
          <w:rFonts w:cs="Times New Roman"/>
        </w:rPr>
        <w:t>dla osoby samotnie gospodarującej – 1051,50 zł,</w:t>
      </w:r>
    </w:p>
    <w:p w14:paraId="0F76BBE1" w14:textId="7C719C8C" w:rsidR="00B84865" w:rsidRDefault="00C715D7" w:rsidP="00FE70E3">
      <w:pPr>
        <w:pStyle w:val="Akapitzlist"/>
        <w:numPr>
          <w:ilvl w:val="0"/>
          <w:numId w:val="84"/>
        </w:numPr>
        <w:rPr>
          <w:rFonts w:cs="Times New Roman"/>
        </w:rPr>
      </w:pPr>
      <w:r w:rsidRPr="00B84865">
        <w:rPr>
          <w:rFonts w:cs="Times New Roman"/>
        </w:rPr>
        <w:t>na osobę w rodzinie – 792 zł.</w:t>
      </w:r>
    </w:p>
    <w:p w14:paraId="2D8F929C" w14:textId="77777777" w:rsidR="00B84865" w:rsidRPr="00B84865" w:rsidRDefault="00B84865" w:rsidP="00B84865">
      <w:pPr>
        <w:rPr>
          <w:rFonts w:cs="Times New Roman"/>
        </w:rPr>
      </w:pPr>
    </w:p>
    <w:p w14:paraId="7C4EE386" w14:textId="5919E938" w:rsidR="00C715D7" w:rsidRPr="00B84865" w:rsidRDefault="00C715D7" w:rsidP="00C715D7">
      <w:pPr>
        <w:rPr>
          <w:rFonts w:cs="Times New Roman"/>
          <w:b/>
          <w:bCs/>
          <w:u w:val="single"/>
        </w:rPr>
      </w:pPr>
      <w:r w:rsidRPr="00B84865">
        <w:rPr>
          <w:rFonts w:cs="Times New Roman"/>
          <w:b/>
          <w:bCs/>
          <w:u w:val="single"/>
        </w:rPr>
        <w:t>W 2020 r. pomocą w ramach Programu zostały ob</w:t>
      </w:r>
      <w:r w:rsidR="004E5794">
        <w:rPr>
          <w:rFonts w:cs="Times New Roman"/>
          <w:b/>
          <w:bCs/>
          <w:u w:val="single"/>
        </w:rPr>
        <w:t>jęte 1 014 232 osoby, w tym: 463 435</w:t>
      </w:r>
      <w:r w:rsidRPr="00B84865">
        <w:rPr>
          <w:rFonts w:cs="Times New Roman"/>
          <w:b/>
          <w:bCs/>
          <w:u w:val="single"/>
        </w:rPr>
        <w:t xml:space="preserve"> dzieci, 556 925 osób dorosłych.</w:t>
      </w:r>
    </w:p>
    <w:p w14:paraId="534C1DB0" w14:textId="77777777" w:rsidR="00B84865" w:rsidRPr="00C715D7" w:rsidRDefault="00B84865" w:rsidP="00C715D7">
      <w:pPr>
        <w:rPr>
          <w:rFonts w:cs="Times New Roman"/>
        </w:rPr>
      </w:pPr>
    </w:p>
    <w:p w14:paraId="797B8117" w14:textId="382B94EF" w:rsidR="00C715D7" w:rsidRDefault="00C715D7" w:rsidP="00C715D7">
      <w:pPr>
        <w:rPr>
          <w:rFonts w:cs="Times New Roman"/>
        </w:rPr>
      </w:pPr>
      <w:r w:rsidRPr="00C715D7">
        <w:rPr>
          <w:rFonts w:cs="Times New Roman"/>
        </w:rPr>
        <w:t xml:space="preserve">Program dofinansuje posiłki dowożone osobom dorosłym (np. niewychodzącym </w:t>
      </w:r>
      <w:r w:rsidRPr="00C715D7">
        <w:rPr>
          <w:rFonts w:cs="Times New Roman"/>
        </w:rPr>
        <w:br/>
        <w:t xml:space="preserve">z domu ze względu na podeszły wiek czy niepełnosprawność), które same nie są w stanie ich przygotować. Program zapewnia ponadto pozyskanie dodatkowych środków na dowóz posiłków - w ramach modułu 2 wójt (burmistrz, prezydent miasta) może pozyskać zwiększenie dotacji do 5% środków finansowych z przeznaczeniem na dowóz posiłków w gminie, </w:t>
      </w:r>
      <w:r w:rsidRPr="00C715D7">
        <w:rPr>
          <w:rFonts w:cs="Times New Roman"/>
        </w:rPr>
        <w:br/>
        <w:t>w szczególności dla osób starszych, niepełnosprawnych.</w:t>
      </w:r>
    </w:p>
    <w:p w14:paraId="7AFD78A0" w14:textId="77777777" w:rsidR="00B84865" w:rsidRPr="00C715D7" w:rsidRDefault="00B84865" w:rsidP="00C715D7">
      <w:pPr>
        <w:rPr>
          <w:rFonts w:cs="Times New Roman"/>
        </w:rPr>
      </w:pPr>
    </w:p>
    <w:p w14:paraId="12144179" w14:textId="1BA8CBB9" w:rsidR="00C715D7" w:rsidRDefault="00C715D7" w:rsidP="00C715D7">
      <w:pPr>
        <w:rPr>
          <w:rFonts w:cs="Times New Roman"/>
          <w:color w:val="FF0000"/>
        </w:rPr>
      </w:pPr>
      <w:r w:rsidRPr="00C715D7">
        <w:rPr>
          <w:rFonts w:cs="Times New Roman"/>
        </w:rPr>
        <w:t>Program finansowany  jest  ze  środków  budżetu  państwa oraz  środków  własnych jednostek samorządu terytorialnego. Ogólna kwota środków z budżetu państwa przewidziana w całym okresie realizacji Programu to  2 750 000 tys. zł, rocznie 550 mln zł, w tym na realizację modułów 1 i 2 Programu (moduł dla dzieci i młodzieży or</w:t>
      </w:r>
      <w:r w:rsidR="001E0F91">
        <w:rPr>
          <w:rFonts w:cs="Times New Roman"/>
        </w:rPr>
        <w:t>az moduł dla osób dorosłych), w </w:t>
      </w:r>
      <w:r w:rsidRPr="00C715D7">
        <w:rPr>
          <w:rFonts w:cs="Times New Roman"/>
        </w:rPr>
        <w:t>latach 2019-2023 przewidziano 2 550 000 tys. zł z budżetu państwa</w:t>
      </w:r>
      <w:r w:rsidRPr="00C715D7">
        <w:rPr>
          <w:rFonts w:cs="Times New Roman"/>
          <w:color w:val="FF0000"/>
        </w:rPr>
        <w:t>.</w:t>
      </w:r>
    </w:p>
    <w:p w14:paraId="06173EE3" w14:textId="77777777" w:rsidR="00B84865" w:rsidRDefault="00B84865" w:rsidP="00C715D7">
      <w:pPr>
        <w:rPr>
          <w:rFonts w:cs="Times New Roman"/>
          <w:color w:val="FF0000"/>
        </w:rPr>
      </w:pPr>
    </w:p>
    <w:p w14:paraId="2E208B03" w14:textId="77777777" w:rsidR="00C715D7" w:rsidRPr="00C715D7" w:rsidRDefault="00C715D7" w:rsidP="00C715D7">
      <w:pPr>
        <w:rPr>
          <w:rFonts w:cs="Times New Roman"/>
          <w:color w:val="ED7D31" w:themeColor="accent2"/>
        </w:rPr>
      </w:pPr>
    </w:p>
    <w:p w14:paraId="3181B394" w14:textId="74E102DB" w:rsidR="00C715D7" w:rsidRDefault="00B84865" w:rsidP="00C715D7">
      <w:pPr>
        <w:pStyle w:val="Nagwek3"/>
      </w:pPr>
      <w:bookmarkStart w:id="85" w:name="_Toc77513922"/>
      <w:bookmarkStart w:id="86" w:name="_Toc80523076"/>
      <w:r w:rsidRPr="00C715D7">
        <w:t xml:space="preserve">Krajowy </w:t>
      </w:r>
      <w:r>
        <w:t>P</w:t>
      </w:r>
      <w:r w:rsidRPr="00C715D7">
        <w:t xml:space="preserve">rogram </w:t>
      </w:r>
      <w:r>
        <w:t>R</w:t>
      </w:r>
      <w:r w:rsidRPr="00C715D7">
        <w:t xml:space="preserve">ozwoju </w:t>
      </w:r>
      <w:r>
        <w:t>E</w:t>
      </w:r>
      <w:r w:rsidRPr="00C715D7">
        <w:t xml:space="preserve">konomii </w:t>
      </w:r>
      <w:r>
        <w:t>S</w:t>
      </w:r>
      <w:r w:rsidRPr="00C715D7">
        <w:t xml:space="preserve">połecznej do 2023 r. Ekonomia </w:t>
      </w:r>
      <w:r>
        <w:t>S</w:t>
      </w:r>
      <w:r w:rsidRPr="00C715D7">
        <w:t xml:space="preserve">olidarności </w:t>
      </w:r>
      <w:r>
        <w:t>S</w:t>
      </w:r>
      <w:r w:rsidRPr="00C715D7">
        <w:t>połecznej</w:t>
      </w:r>
      <w:bookmarkEnd w:id="85"/>
      <w:bookmarkEnd w:id="86"/>
    </w:p>
    <w:p w14:paraId="77378DEE" w14:textId="77777777" w:rsidR="00B84865" w:rsidRPr="00B84865" w:rsidRDefault="00B84865" w:rsidP="00B84865"/>
    <w:p w14:paraId="57D3052A" w14:textId="44D44429" w:rsidR="00C715D7" w:rsidRDefault="00C715D7" w:rsidP="001E0F91">
      <w:pPr>
        <w:tabs>
          <w:tab w:val="left" w:pos="567"/>
        </w:tabs>
        <w:suppressAutoHyphens/>
        <w:rPr>
          <w:rFonts w:eastAsia="Times New Roman" w:cs="Times New Roman"/>
          <w:szCs w:val="24"/>
          <w:lang w:eastAsia="x-none"/>
        </w:rPr>
      </w:pPr>
      <w:r w:rsidRPr="00C715D7">
        <w:rPr>
          <w:rFonts w:eastAsia="Times New Roman" w:cs="Times New Roman"/>
          <w:szCs w:val="24"/>
          <w:lang w:eastAsia="x-none"/>
        </w:rPr>
        <w:t xml:space="preserve">Pierwszy cel szczegółowy KPRES: „Wspieranie trwałego partnerstwa podmiotów ekonomii społecznej i solidarnej z samorządem terytorialnym w realizacji usług społecznych użyteczności publicznej oraz zadań publicznych w zakresie rozwoju lokalnego” jest realizowany w ramach działań skupionych w obszarze „Solidarny rynek pracy”. Jeden </w:t>
      </w:r>
      <w:r w:rsidRPr="00C715D7">
        <w:rPr>
          <w:rFonts w:eastAsia="Times New Roman" w:cs="Times New Roman"/>
          <w:szCs w:val="24"/>
          <w:lang w:eastAsia="x-none"/>
        </w:rPr>
        <w:br/>
      </w:r>
      <w:r w:rsidRPr="00C715D7">
        <w:rPr>
          <w:rFonts w:eastAsia="Times New Roman" w:cs="Times New Roman"/>
          <w:szCs w:val="24"/>
          <w:lang w:eastAsia="x-none"/>
        </w:rPr>
        <w:lastRenderedPageBreak/>
        <w:t>z priorytetów ww. obszaru – Wspieranie reintegracji społecznej i zawodowej osób zagrożonych wykluczeniem społecznym w jednostkach reintegracyjnych obejmuje Działanie I.1.3. Rozwój usług społecznych użyteczności publicznej na rzecz rodzin, osób niepełnosprawnych, niesamodzielnych oraz osób starszych.</w:t>
      </w:r>
    </w:p>
    <w:p w14:paraId="1E47AD7E" w14:textId="77777777" w:rsidR="00B84865" w:rsidRPr="00C715D7" w:rsidRDefault="00B84865" w:rsidP="001E0F91">
      <w:pPr>
        <w:tabs>
          <w:tab w:val="left" w:pos="567"/>
        </w:tabs>
        <w:suppressAutoHyphens/>
        <w:rPr>
          <w:rFonts w:eastAsia="Times New Roman" w:cs="Times New Roman"/>
          <w:szCs w:val="24"/>
          <w:lang w:eastAsia="x-none"/>
        </w:rPr>
      </w:pPr>
    </w:p>
    <w:p w14:paraId="5579F246" w14:textId="374BFA5A" w:rsidR="00C715D7" w:rsidRPr="00C715D7" w:rsidRDefault="00C715D7" w:rsidP="001E0F91">
      <w:pPr>
        <w:tabs>
          <w:tab w:val="left" w:pos="567"/>
        </w:tabs>
        <w:suppressAutoHyphens/>
        <w:rPr>
          <w:rFonts w:eastAsia="Times New Roman" w:cs="Times New Roman"/>
          <w:szCs w:val="24"/>
          <w:lang w:eastAsia="x-none"/>
        </w:rPr>
      </w:pPr>
      <w:r w:rsidRPr="00C715D7">
        <w:rPr>
          <w:rFonts w:eastAsia="Times New Roman" w:cs="Times New Roman"/>
          <w:szCs w:val="24"/>
          <w:lang w:eastAsia="x-none"/>
        </w:rPr>
        <w:t>U podstaw wymienionych tu interwencji leży diagnoza, wskazująca na podmioty ekonomii społecznej i solidarnej jako kluczowych aktorów w świadczeniu usług na rzecz rodzin, osób niepełnosprawnych, niesamodzielnych oraz osób starszych na poziomie lokalnym. Szczególnie istotna w tym przypadku jest zdolność PES, we współpracy z JST,</w:t>
      </w:r>
      <w:r w:rsidR="00B84865">
        <w:rPr>
          <w:rFonts w:eastAsia="Times New Roman" w:cs="Times New Roman"/>
          <w:szCs w:val="24"/>
          <w:lang w:eastAsia="x-none"/>
        </w:rPr>
        <w:t xml:space="preserve"> </w:t>
      </w:r>
      <w:r w:rsidRPr="00C715D7">
        <w:rPr>
          <w:rFonts w:eastAsia="Times New Roman" w:cs="Times New Roman"/>
          <w:szCs w:val="24"/>
          <w:lang w:eastAsia="x-none"/>
        </w:rPr>
        <w:t xml:space="preserve">do identyfikacji konkretnych i indywidualnych potrzeb występujących w społecznościach lokalnych, a także do opierania działań na potencjale tych społeczności. Należy podkreślić, </w:t>
      </w:r>
      <w:r w:rsidR="00B84865">
        <w:rPr>
          <w:rFonts w:eastAsia="Times New Roman" w:cs="Times New Roman"/>
          <w:szCs w:val="24"/>
          <w:lang w:eastAsia="x-none"/>
        </w:rPr>
        <w:t xml:space="preserve"> </w:t>
      </w:r>
      <w:r w:rsidRPr="00C715D7">
        <w:rPr>
          <w:rFonts w:eastAsia="Times New Roman" w:cs="Times New Roman"/>
          <w:szCs w:val="24"/>
          <w:lang w:eastAsia="x-none"/>
        </w:rPr>
        <w:t xml:space="preserve">że ww. rola PES została uwypuklona także w zapisach </w:t>
      </w:r>
      <w:r w:rsidRPr="00C715D7">
        <w:rPr>
          <w:rFonts w:eastAsia="Times New Roman" w:cs="Times New Roman"/>
          <w:i/>
          <w:szCs w:val="24"/>
          <w:lang w:eastAsia="x-none"/>
        </w:rPr>
        <w:t>Polityki społecznej wobec osób starszych 2030. Bezpieczeństwo – Uczestnictwo – Solidarność</w:t>
      </w:r>
      <w:r w:rsidRPr="00C715D7">
        <w:rPr>
          <w:rFonts w:eastAsia="Times New Roman" w:cs="Times New Roman"/>
          <w:szCs w:val="24"/>
          <w:lang w:eastAsia="x-none"/>
        </w:rPr>
        <w:t>.</w:t>
      </w:r>
    </w:p>
    <w:p w14:paraId="4250555A" w14:textId="77777777" w:rsidR="00C715D7" w:rsidRPr="00C715D7" w:rsidRDefault="00C715D7" w:rsidP="001E0F91">
      <w:pPr>
        <w:tabs>
          <w:tab w:val="left" w:pos="567"/>
        </w:tabs>
        <w:suppressAutoHyphens/>
        <w:rPr>
          <w:rFonts w:eastAsia="Times New Roman" w:cs="Times New Roman"/>
          <w:szCs w:val="24"/>
          <w:lang w:eastAsia="x-none"/>
        </w:rPr>
      </w:pPr>
    </w:p>
    <w:p w14:paraId="1EE72315" w14:textId="77777777" w:rsidR="00C715D7" w:rsidRPr="00C715D7" w:rsidRDefault="00C715D7" w:rsidP="001E0F91">
      <w:pPr>
        <w:tabs>
          <w:tab w:val="left" w:pos="567"/>
        </w:tabs>
        <w:suppressAutoHyphens/>
        <w:rPr>
          <w:rFonts w:eastAsia="Times New Roman" w:cs="Times New Roman"/>
          <w:szCs w:val="24"/>
          <w:lang w:eastAsia="x-none"/>
        </w:rPr>
      </w:pPr>
      <w:r w:rsidRPr="00C715D7">
        <w:rPr>
          <w:rFonts w:eastAsia="Times New Roman" w:cs="Times New Roman"/>
          <w:szCs w:val="24"/>
          <w:lang w:eastAsia="x-none"/>
        </w:rPr>
        <w:t>Konkretne działania zapisane w tym punkcie, dotyczące bezpośrednio osób starszych, wymieniono poniżej:</w:t>
      </w:r>
    </w:p>
    <w:p w14:paraId="23B6EF10" w14:textId="77777777" w:rsidR="00B84865" w:rsidRDefault="00C715D7" w:rsidP="001E0F91">
      <w:pPr>
        <w:pStyle w:val="Akapitzlist"/>
        <w:numPr>
          <w:ilvl w:val="0"/>
          <w:numId w:val="85"/>
        </w:numPr>
        <w:tabs>
          <w:tab w:val="left" w:pos="567"/>
        </w:tabs>
        <w:suppressAutoHyphens/>
        <w:rPr>
          <w:rFonts w:eastAsia="Times New Roman" w:cs="Times New Roman"/>
          <w:szCs w:val="24"/>
          <w:lang w:eastAsia="x-none"/>
        </w:rPr>
      </w:pPr>
      <w:r w:rsidRPr="00B84865">
        <w:rPr>
          <w:rFonts w:eastAsia="Times New Roman" w:cs="Times New Roman"/>
          <w:szCs w:val="24"/>
          <w:lang w:eastAsia="x-none"/>
        </w:rPr>
        <w:t xml:space="preserve">Stworzone zostaną podstawy do wprowadzenia jednolitego systemu oceny niesamodzielności osób starszych, który – po zaimplementowaniu – przyczyni się </w:t>
      </w:r>
      <w:r w:rsidRPr="00B84865">
        <w:rPr>
          <w:rFonts w:eastAsia="Times New Roman" w:cs="Times New Roman"/>
          <w:szCs w:val="24"/>
          <w:lang w:eastAsia="x-none"/>
        </w:rPr>
        <w:br/>
        <w:t xml:space="preserve">do optymalnego dostosowania oferty usług opiekuńczych, asystenckich i </w:t>
      </w:r>
      <w:proofErr w:type="spellStart"/>
      <w:r w:rsidRPr="00B84865">
        <w:rPr>
          <w:rFonts w:eastAsia="Times New Roman" w:cs="Times New Roman"/>
          <w:szCs w:val="24"/>
          <w:lang w:eastAsia="x-none"/>
        </w:rPr>
        <w:t>teleopieki</w:t>
      </w:r>
      <w:proofErr w:type="spellEnd"/>
      <w:r w:rsidRPr="00B84865">
        <w:rPr>
          <w:rFonts w:eastAsia="Times New Roman" w:cs="Times New Roman"/>
          <w:szCs w:val="24"/>
          <w:lang w:eastAsia="x-none"/>
        </w:rPr>
        <w:t xml:space="preserve"> </w:t>
      </w:r>
      <w:r w:rsidRPr="00B84865">
        <w:rPr>
          <w:rFonts w:eastAsia="Times New Roman" w:cs="Times New Roman"/>
          <w:szCs w:val="24"/>
          <w:lang w:eastAsia="x-none"/>
        </w:rPr>
        <w:br/>
        <w:t xml:space="preserve">do zróżnicowanych potrzeb niesamodzielnych osób starszych w ich miejscu zamieszkania, </w:t>
      </w:r>
      <w:r w:rsidRPr="00B84865">
        <w:rPr>
          <w:rFonts w:eastAsia="Times New Roman" w:cs="Times New Roman"/>
          <w:szCs w:val="24"/>
          <w:lang w:eastAsia="x-none"/>
        </w:rPr>
        <w:br/>
        <w:t>a także ograniczy nierówności w standardach dostępnych usług.</w:t>
      </w:r>
    </w:p>
    <w:p w14:paraId="7A770833" w14:textId="77777777" w:rsidR="00B84865" w:rsidRDefault="00C715D7" w:rsidP="001E0F91">
      <w:pPr>
        <w:pStyle w:val="Akapitzlist"/>
        <w:numPr>
          <w:ilvl w:val="0"/>
          <w:numId w:val="85"/>
        </w:numPr>
        <w:tabs>
          <w:tab w:val="left" w:pos="567"/>
        </w:tabs>
        <w:suppressAutoHyphens/>
        <w:rPr>
          <w:rFonts w:eastAsia="Times New Roman" w:cs="Times New Roman"/>
          <w:szCs w:val="24"/>
          <w:lang w:eastAsia="x-none"/>
        </w:rPr>
      </w:pPr>
      <w:r w:rsidRPr="00B84865">
        <w:rPr>
          <w:rFonts w:eastAsia="Times New Roman" w:cs="Times New Roman"/>
          <w:szCs w:val="24"/>
          <w:lang w:eastAsia="x-none"/>
        </w:rPr>
        <w:t>Podmioty ekonomii społecznej będą aktywnie uczestniczyć w poszerzaniu dostępności usług świadczonych na rzecz osób starszych, w szczególności przez:</w:t>
      </w:r>
    </w:p>
    <w:p w14:paraId="229D06FB" w14:textId="77777777" w:rsidR="00B84865" w:rsidRDefault="00C715D7" w:rsidP="001E0F91">
      <w:pPr>
        <w:pStyle w:val="Akapitzlist"/>
        <w:numPr>
          <w:ilvl w:val="1"/>
          <w:numId w:val="85"/>
        </w:numPr>
        <w:tabs>
          <w:tab w:val="left" w:pos="567"/>
        </w:tabs>
        <w:suppressAutoHyphens/>
        <w:rPr>
          <w:rFonts w:eastAsia="Times New Roman" w:cs="Times New Roman"/>
          <w:szCs w:val="24"/>
          <w:lang w:eastAsia="x-none"/>
        </w:rPr>
      </w:pPr>
      <w:r w:rsidRPr="00B84865">
        <w:rPr>
          <w:rFonts w:eastAsia="Times New Roman" w:cs="Times New Roman"/>
          <w:szCs w:val="24"/>
          <w:lang w:eastAsia="x-none"/>
        </w:rPr>
        <w:t>szkolenia dla wolontariuszy i opiekunów (z zakresu pomocy osobom starszym);</w:t>
      </w:r>
    </w:p>
    <w:p w14:paraId="458293D1" w14:textId="77777777" w:rsidR="00B84865" w:rsidRDefault="00C715D7" w:rsidP="001E0F91">
      <w:pPr>
        <w:pStyle w:val="Akapitzlist"/>
        <w:numPr>
          <w:ilvl w:val="1"/>
          <w:numId w:val="85"/>
        </w:numPr>
        <w:tabs>
          <w:tab w:val="left" w:pos="567"/>
        </w:tabs>
        <w:suppressAutoHyphens/>
        <w:rPr>
          <w:rFonts w:eastAsia="Times New Roman" w:cs="Times New Roman"/>
          <w:szCs w:val="24"/>
          <w:lang w:eastAsia="x-none"/>
        </w:rPr>
      </w:pPr>
      <w:r w:rsidRPr="00B84865">
        <w:rPr>
          <w:rFonts w:eastAsia="Times New Roman" w:cs="Times New Roman"/>
          <w:szCs w:val="24"/>
          <w:lang w:eastAsia="x-none"/>
        </w:rPr>
        <w:t>wspieranie różnych form samopomocy;</w:t>
      </w:r>
    </w:p>
    <w:p w14:paraId="4CDC7E13" w14:textId="23547370" w:rsidR="00B84865" w:rsidRDefault="00C715D7" w:rsidP="001E0F91">
      <w:pPr>
        <w:pStyle w:val="Akapitzlist"/>
        <w:numPr>
          <w:ilvl w:val="1"/>
          <w:numId w:val="85"/>
        </w:numPr>
        <w:tabs>
          <w:tab w:val="left" w:pos="567"/>
        </w:tabs>
        <w:suppressAutoHyphens/>
        <w:rPr>
          <w:rFonts w:eastAsia="Times New Roman" w:cs="Times New Roman"/>
          <w:szCs w:val="24"/>
          <w:lang w:eastAsia="x-none"/>
        </w:rPr>
      </w:pPr>
      <w:r w:rsidRPr="00B84865">
        <w:rPr>
          <w:rFonts w:eastAsia="Times New Roman" w:cs="Times New Roman"/>
          <w:szCs w:val="24"/>
          <w:lang w:eastAsia="x-none"/>
        </w:rPr>
        <w:t>wspieranie rodzin w opiece nad osobą starszą</w:t>
      </w:r>
      <w:r w:rsidR="001E0F91">
        <w:rPr>
          <w:rFonts w:eastAsia="Times New Roman" w:cs="Times New Roman"/>
          <w:szCs w:val="24"/>
          <w:lang w:eastAsia="x-none"/>
        </w:rPr>
        <w:t xml:space="preserve"> przez rozwój usług opartych na </w:t>
      </w:r>
      <w:r w:rsidRPr="00B84865">
        <w:rPr>
          <w:rFonts w:eastAsia="Times New Roman" w:cs="Times New Roman"/>
          <w:szCs w:val="24"/>
          <w:lang w:eastAsia="x-none"/>
        </w:rPr>
        <w:t>działalności wolontariuszy;</w:t>
      </w:r>
    </w:p>
    <w:p w14:paraId="66D39AA3" w14:textId="5389144C" w:rsidR="00C715D7" w:rsidRPr="00B84865" w:rsidRDefault="00C715D7" w:rsidP="001E0F91">
      <w:pPr>
        <w:pStyle w:val="Akapitzlist"/>
        <w:numPr>
          <w:ilvl w:val="1"/>
          <w:numId w:val="85"/>
        </w:numPr>
        <w:tabs>
          <w:tab w:val="left" w:pos="567"/>
        </w:tabs>
        <w:suppressAutoHyphens/>
        <w:rPr>
          <w:rFonts w:eastAsia="Times New Roman" w:cs="Times New Roman"/>
          <w:szCs w:val="24"/>
          <w:lang w:eastAsia="x-none"/>
        </w:rPr>
      </w:pPr>
      <w:r w:rsidRPr="00B84865">
        <w:rPr>
          <w:rFonts w:eastAsia="Times New Roman" w:cs="Times New Roman"/>
          <w:szCs w:val="24"/>
          <w:lang w:eastAsia="x-none"/>
        </w:rPr>
        <w:t>rozszerzanie dostępności usług społecznych, m.in. opiekuńczych, kulturalnych, edukacyjnych, poradniczo-doradczych, sportowych i turystycznych.</w:t>
      </w:r>
    </w:p>
    <w:p w14:paraId="5EE03AC7" w14:textId="77777777" w:rsidR="00C715D7" w:rsidRPr="00C715D7" w:rsidRDefault="00C715D7" w:rsidP="001E0F91">
      <w:pPr>
        <w:tabs>
          <w:tab w:val="left" w:pos="567"/>
        </w:tabs>
        <w:suppressAutoHyphens/>
        <w:rPr>
          <w:rFonts w:eastAsia="Times New Roman" w:cs="Times New Roman"/>
          <w:szCs w:val="24"/>
          <w:lang w:eastAsia="x-none"/>
        </w:rPr>
      </w:pPr>
    </w:p>
    <w:p w14:paraId="5B3BBCC8" w14:textId="69C35D8C" w:rsidR="00C715D7" w:rsidRPr="00C715D7" w:rsidRDefault="00C715D7" w:rsidP="001E0F91">
      <w:pPr>
        <w:tabs>
          <w:tab w:val="left" w:pos="567"/>
        </w:tabs>
        <w:suppressAutoHyphens/>
        <w:rPr>
          <w:rFonts w:eastAsia="Times New Roman" w:cs="Times New Roman"/>
          <w:szCs w:val="24"/>
          <w:lang w:eastAsia="x-none"/>
        </w:rPr>
      </w:pPr>
      <w:r w:rsidRPr="00C715D7">
        <w:rPr>
          <w:rFonts w:eastAsia="Times New Roman" w:cs="Times New Roman"/>
          <w:szCs w:val="24"/>
          <w:lang w:eastAsia="x-none"/>
        </w:rPr>
        <w:t xml:space="preserve">Inny cel szczegółowy KPRES - „Zwiększenie liczby wysokiej jakości miejsc pracy </w:t>
      </w:r>
      <w:r w:rsidRPr="00C715D7">
        <w:rPr>
          <w:rFonts w:eastAsia="Times New Roman" w:cs="Times New Roman"/>
          <w:szCs w:val="24"/>
          <w:lang w:eastAsia="x-none"/>
        </w:rPr>
        <w:br/>
        <w:t xml:space="preserve">w przedsiębiorstwach społecznych, dla osób zagrożonych wykluczeniem społecznym” </w:t>
      </w:r>
      <w:r w:rsidRPr="00C715D7">
        <w:rPr>
          <w:rFonts w:eastAsia="Times New Roman" w:cs="Times New Roman"/>
          <w:szCs w:val="24"/>
          <w:lang w:eastAsia="x-none"/>
        </w:rPr>
        <w:br/>
        <w:t xml:space="preserve">– uwzględnia w swym zakresie osoby starsze jako wchodzące w skład grup osób zagrożonych wykluczeniem społecznym. Operacjonalizacją ww. celu szczegółowego jest obszar „Solidarny rynek pracy”, w ramach którego wyodrębniony został priorytet 2. Aktywizacja zawodowa osób niepełnosprawnych oraz osób starszych w podmiotach ekonomii społecznej </w:t>
      </w:r>
      <w:r w:rsidR="00B84865">
        <w:rPr>
          <w:rFonts w:eastAsia="Times New Roman" w:cs="Times New Roman"/>
          <w:szCs w:val="24"/>
          <w:lang w:eastAsia="x-none"/>
        </w:rPr>
        <w:t xml:space="preserve"> </w:t>
      </w:r>
      <w:r w:rsidRPr="00C715D7">
        <w:rPr>
          <w:rFonts w:eastAsia="Times New Roman" w:cs="Times New Roman"/>
          <w:szCs w:val="24"/>
          <w:lang w:eastAsia="x-none"/>
        </w:rPr>
        <w:t>i solidarnej.</w:t>
      </w:r>
    </w:p>
    <w:p w14:paraId="1DC6325B" w14:textId="77777777" w:rsidR="00C715D7" w:rsidRPr="00C715D7" w:rsidRDefault="00C715D7" w:rsidP="001E0F91">
      <w:pPr>
        <w:tabs>
          <w:tab w:val="left" w:pos="567"/>
        </w:tabs>
        <w:suppressAutoHyphens/>
        <w:rPr>
          <w:rFonts w:eastAsia="Times New Roman" w:cs="Times New Roman"/>
          <w:szCs w:val="24"/>
          <w:lang w:eastAsia="x-none"/>
        </w:rPr>
      </w:pPr>
    </w:p>
    <w:p w14:paraId="57867D89" w14:textId="77777777" w:rsidR="00C715D7" w:rsidRPr="00C715D7" w:rsidRDefault="00C715D7" w:rsidP="001E0F91">
      <w:pPr>
        <w:tabs>
          <w:tab w:val="left" w:pos="567"/>
        </w:tabs>
        <w:suppressAutoHyphens/>
        <w:rPr>
          <w:rFonts w:eastAsia="Times New Roman" w:cs="Times New Roman"/>
          <w:szCs w:val="24"/>
          <w:lang w:eastAsia="x-none"/>
        </w:rPr>
      </w:pPr>
      <w:r w:rsidRPr="00C715D7">
        <w:rPr>
          <w:rFonts w:eastAsia="Times New Roman" w:cs="Times New Roman"/>
          <w:szCs w:val="24"/>
          <w:lang w:eastAsia="x-none"/>
        </w:rPr>
        <w:t xml:space="preserve">W ramach uwzględnionego w ww. priorytecie działania II.2.3. Tworzenie warunków </w:t>
      </w:r>
      <w:r w:rsidRPr="00C715D7">
        <w:rPr>
          <w:rFonts w:eastAsia="Times New Roman" w:cs="Times New Roman"/>
          <w:szCs w:val="24"/>
          <w:lang w:eastAsia="x-none"/>
        </w:rPr>
        <w:br/>
        <w:t xml:space="preserve">do kontynuowania aktywności zawodowej osób starszych w podmiotach ekonomii społecznej </w:t>
      </w:r>
    </w:p>
    <w:p w14:paraId="5D8ADE9D" w14:textId="77777777" w:rsidR="00C715D7" w:rsidRPr="00C715D7" w:rsidRDefault="00C715D7" w:rsidP="001E0F91">
      <w:pPr>
        <w:tabs>
          <w:tab w:val="left" w:pos="567"/>
        </w:tabs>
        <w:suppressAutoHyphens/>
        <w:rPr>
          <w:rFonts w:eastAsia="Times New Roman" w:cs="Times New Roman"/>
          <w:szCs w:val="24"/>
          <w:lang w:eastAsia="x-none"/>
        </w:rPr>
      </w:pPr>
      <w:r w:rsidRPr="00C715D7">
        <w:rPr>
          <w:rFonts w:eastAsia="Times New Roman" w:cs="Times New Roman"/>
          <w:szCs w:val="24"/>
          <w:lang w:eastAsia="x-none"/>
        </w:rPr>
        <w:t>i solidarnej  wskazuje się na następujące działania:</w:t>
      </w:r>
    </w:p>
    <w:p w14:paraId="61E1CA14" w14:textId="77777777" w:rsidR="00B84865" w:rsidRDefault="00C715D7" w:rsidP="001E0F91">
      <w:pPr>
        <w:pStyle w:val="Akapitzlist"/>
        <w:numPr>
          <w:ilvl w:val="0"/>
          <w:numId w:val="86"/>
        </w:numPr>
        <w:tabs>
          <w:tab w:val="left" w:pos="567"/>
        </w:tabs>
        <w:suppressAutoHyphens/>
        <w:rPr>
          <w:rFonts w:eastAsia="Times New Roman" w:cs="Times New Roman"/>
          <w:szCs w:val="24"/>
          <w:lang w:eastAsia="x-none"/>
        </w:rPr>
      </w:pPr>
      <w:r w:rsidRPr="00B84865">
        <w:rPr>
          <w:rFonts w:eastAsia="Times New Roman" w:cs="Times New Roman"/>
          <w:szCs w:val="24"/>
          <w:lang w:eastAsia="x-none"/>
        </w:rPr>
        <w:lastRenderedPageBreak/>
        <w:t>Promowanie wśród podmiotów ekonomii społecznej elastycznych form zatrudnienia odpowiadających na potrzeby osób starszych.</w:t>
      </w:r>
    </w:p>
    <w:p w14:paraId="40F930CE" w14:textId="77777777" w:rsidR="00B84865" w:rsidRDefault="00C715D7" w:rsidP="001E0F91">
      <w:pPr>
        <w:pStyle w:val="Akapitzlist"/>
        <w:numPr>
          <w:ilvl w:val="0"/>
          <w:numId w:val="86"/>
        </w:numPr>
        <w:tabs>
          <w:tab w:val="left" w:pos="567"/>
        </w:tabs>
        <w:suppressAutoHyphens/>
        <w:rPr>
          <w:rFonts w:eastAsia="Times New Roman" w:cs="Times New Roman"/>
          <w:szCs w:val="24"/>
          <w:lang w:eastAsia="x-none"/>
        </w:rPr>
      </w:pPr>
      <w:r w:rsidRPr="00B84865">
        <w:rPr>
          <w:rFonts w:eastAsia="Times New Roman" w:cs="Times New Roman"/>
          <w:szCs w:val="24"/>
          <w:lang w:eastAsia="x-none"/>
        </w:rPr>
        <w:t xml:space="preserve">Wspieranie zakładania i prowadzenia przedsiębiorstw społecznych przez pracowników </w:t>
      </w:r>
      <w:r w:rsidRPr="00B84865">
        <w:rPr>
          <w:rFonts w:eastAsia="Times New Roman" w:cs="Times New Roman"/>
          <w:szCs w:val="24"/>
          <w:lang w:eastAsia="x-none"/>
        </w:rPr>
        <w:br/>
        <w:t>w wieku przedemerytalnym oraz wspieranie zatrudnienia pracowników po 50. roku życia.</w:t>
      </w:r>
    </w:p>
    <w:p w14:paraId="649D192F" w14:textId="77777777" w:rsidR="00B84865" w:rsidRDefault="00C715D7" w:rsidP="001E0F91">
      <w:pPr>
        <w:pStyle w:val="Akapitzlist"/>
        <w:numPr>
          <w:ilvl w:val="0"/>
          <w:numId w:val="86"/>
        </w:numPr>
        <w:tabs>
          <w:tab w:val="left" w:pos="567"/>
        </w:tabs>
        <w:suppressAutoHyphens/>
        <w:rPr>
          <w:rFonts w:eastAsia="Times New Roman" w:cs="Times New Roman"/>
          <w:szCs w:val="24"/>
          <w:lang w:eastAsia="x-none"/>
        </w:rPr>
      </w:pPr>
      <w:r w:rsidRPr="00B84865">
        <w:rPr>
          <w:rFonts w:eastAsia="Times New Roman" w:cs="Times New Roman"/>
          <w:szCs w:val="24"/>
          <w:lang w:eastAsia="x-none"/>
        </w:rPr>
        <w:t>Wspieranie wykorzystania przedsiębiorczości społecznej w procesach „</w:t>
      </w:r>
      <w:proofErr w:type="spellStart"/>
      <w:r w:rsidRPr="00B84865">
        <w:rPr>
          <w:rFonts w:eastAsia="Times New Roman" w:cs="Times New Roman"/>
          <w:szCs w:val="24"/>
          <w:lang w:eastAsia="x-none"/>
        </w:rPr>
        <w:t>outplacementu</w:t>
      </w:r>
      <w:proofErr w:type="spellEnd"/>
      <w:r w:rsidRPr="00B84865">
        <w:rPr>
          <w:rFonts w:eastAsia="Times New Roman" w:cs="Times New Roman"/>
          <w:szCs w:val="24"/>
          <w:lang w:eastAsia="x-none"/>
        </w:rPr>
        <w:t xml:space="preserve">” </w:t>
      </w:r>
      <w:r w:rsidRPr="00B84865">
        <w:rPr>
          <w:rFonts w:eastAsia="Times New Roman" w:cs="Times New Roman"/>
          <w:szCs w:val="24"/>
          <w:lang w:eastAsia="x-none"/>
        </w:rPr>
        <w:br/>
        <w:t>i adaptacji zawodowej oraz tworzenia przedsiębiorstw społecznych w związku z procesami restrukturyzacyjnymi, w szczególności dla pracowników po 50. roku życia.</w:t>
      </w:r>
    </w:p>
    <w:p w14:paraId="6F768488" w14:textId="77777777" w:rsidR="00B84865" w:rsidRDefault="00C715D7" w:rsidP="001E0F91">
      <w:pPr>
        <w:pStyle w:val="Akapitzlist"/>
        <w:numPr>
          <w:ilvl w:val="0"/>
          <w:numId w:val="86"/>
        </w:numPr>
        <w:tabs>
          <w:tab w:val="left" w:pos="567"/>
        </w:tabs>
        <w:suppressAutoHyphens/>
        <w:rPr>
          <w:rFonts w:eastAsia="Times New Roman" w:cs="Times New Roman"/>
          <w:szCs w:val="24"/>
          <w:lang w:eastAsia="x-none"/>
        </w:rPr>
      </w:pPr>
      <w:r w:rsidRPr="00B84865">
        <w:rPr>
          <w:rFonts w:eastAsia="Times New Roman" w:cs="Times New Roman"/>
          <w:szCs w:val="24"/>
          <w:lang w:eastAsia="x-none"/>
        </w:rPr>
        <w:t>Prowadzenie działań na rzecz promocji i rozwoju działalności gospodarczej w sektorze „srebrnej gospodarki”, w szczególności przez rozwój działalności podmiotów ekonomii społecznej  solidarnej w zakresie dostarczania usług społecznych użyteczności publicznej adresowanych do osób starszych.</w:t>
      </w:r>
    </w:p>
    <w:p w14:paraId="3856BF51" w14:textId="73431481" w:rsidR="00C715D7" w:rsidRPr="00B84865" w:rsidRDefault="00C715D7" w:rsidP="001E0F91">
      <w:pPr>
        <w:pStyle w:val="Akapitzlist"/>
        <w:numPr>
          <w:ilvl w:val="0"/>
          <w:numId w:val="86"/>
        </w:numPr>
        <w:tabs>
          <w:tab w:val="left" w:pos="567"/>
        </w:tabs>
        <w:suppressAutoHyphens/>
        <w:rPr>
          <w:rFonts w:eastAsia="Times New Roman" w:cs="Times New Roman"/>
          <w:szCs w:val="24"/>
          <w:lang w:eastAsia="x-none"/>
        </w:rPr>
      </w:pPr>
      <w:r w:rsidRPr="00B84865">
        <w:rPr>
          <w:rFonts w:eastAsia="Times New Roman" w:cs="Times New Roman"/>
          <w:szCs w:val="24"/>
          <w:lang w:eastAsia="x-none"/>
        </w:rPr>
        <w:t>Organy administracji publicznej, zwłaszcza na szczeblu regionalnym i lokalnym, dzięki odpowiedniemu formułowaniu kryteriów strategicznych czy kryteriów dostępu będą wspierać aktywność zawodową osób starszych w PES.</w:t>
      </w:r>
    </w:p>
    <w:p w14:paraId="72F6649C" w14:textId="77777777" w:rsidR="00C715D7" w:rsidRPr="00C715D7" w:rsidRDefault="00C715D7" w:rsidP="001E0F91">
      <w:pPr>
        <w:tabs>
          <w:tab w:val="left" w:pos="567"/>
        </w:tabs>
        <w:suppressAutoHyphens/>
        <w:rPr>
          <w:rFonts w:eastAsia="Times New Roman" w:cs="Times New Roman"/>
          <w:szCs w:val="24"/>
          <w:lang w:eastAsia="x-none"/>
        </w:rPr>
      </w:pPr>
    </w:p>
    <w:p w14:paraId="717EA656" w14:textId="09D23E52" w:rsidR="00C715D7" w:rsidRPr="00C715D7" w:rsidRDefault="00C715D7" w:rsidP="001E0F91">
      <w:pPr>
        <w:tabs>
          <w:tab w:val="left" w:pos="567"/>
        </w:tabs>
        <w:suppressAutoHyphens/>
        <w:rPr>
          <w:rFonts w:eastAsia="Times New Roman" w:cs="Times New Roman"/>
          <w:szCs w:val="24"/>
          <w:lang w:eastAsia="x-none"/>
        </w:rPr>
      </w:pPr>
      <w:r w:rsidRPr="00C715D7">
        <w:rPr>
          <w:rFonts w:eastAsia="Times New Roman" w:cs="Times New Roman"/>
          <w:szCs w:val="24"/>
          <w:lang w:eastAsia="x-none"/>
        </w:rPr>
        <w:t>Zgodnie z zapisami KPRES, od 2014 r</w:t>
      </w:r>
      <w:r w:rsidR="00A049DE">
        <w:rPr>
          <w:rFonts w:eastAsia="Times New Roman" w:cs="Times New Roman"/>
          <w:szCs w:val="24"/>
          <w:lang w:eastAsia="x-none"/>
        </w:rPr>
        <w:t>.</w:t>
      </w:r>
      <w:r w:rsidRPr="00C715D7">
        <w:rPr>
          <w:rFonts w:eastAsia="Times New Roman" w:cs="Times New Roman"/>
          <w:szCs w:val="24"/>
          <w:lang w:eastAsia="x-none"/>
        </w:rPr>
        <w:t xml:space="preserve"> usługi wsparcia ekonomii społecznej </w:t>
      </w:r>
      <w:r w:rsidRPr="00C715D7">
        <w:rPr>
          <w:rFonts w:eastAsia="Times New Roman" w:cs="Times New Roman"/>
          <w:szCs w:val="24"/>
          <w:lang w:eastAsia="x-none"/>
        </w:rPr>
        <w:br/>
        <w:t>i przedsiębiorstw społecznych prowadzą Ośrodki Wsparcia Ekonomii Społecznej (OWES), akredytowane przez Ministra Rodziny i Polityki Społecznej. P</w:t>
      </w:r>
      <w:r w:rsidR="001E0F91">
        <w:rPr>
          <w:rFonts w:eastAsia="Times New Roman" w:cs="Times New Roman"/>
          <w:szCs w:val="24"/>
          <w:lang w:eastAsia="x-none"/>
        </w:rPr>
        <w:t>roces akredytacji odbywa się na </w:t>
      </w:r>
      <w:r w:rsidRPr="00C715D7">
        <w:rPr>
          <w:rFonts w:eastAsia="Times New Roman" w:cs="Times New Roman"/>
          <w:szCs w:val="24"/>
          <w:lang w:eastAsia="x-none"/>
        </w:rPr>
        <w:t xml:space="preserve">podstawie Regulaminu oraz Zakresu standardów usług i działania OWES przyjętych przez Komitet akredytacyjny do spraw akredytacji oraz standardów usług </w:t>
      </w:r>
      <w:r w:rsidRPr="00C715D7">
        <w:rPr>
          <w:rFonts w:eastAsia="Times New Roman" w:cs="Times New Roman"/>
          <w:szCs w:val="24"/>
          <w:lang w:eastAsia="x-none"/>
        </w:rPr>
        <w:br/>
        <w:t>i działania ośrodków wsparcia ekonomii społecznej.</w:t>
      </w:r>
    </w:p>
    <w:p w14:paraId="22C02037" w14:textId="77777777" w:rsidR="00C715D7" w:rsidRPr="00C715D7" w:rsidRDefault="00C715D7" w:rsidP="001E0F91">
      <w:pPr>
        <w:tabs>
          <w:tab w:val="left" w:pos="567"/>
        </w:tabs>
        <w:suppressAutoHyphens/>
        <w:rPr>
          <w:rFonts w:eastAsia="Times New Roman" w:cs="Times New Roman"/>
          <w:szCs w:val="24"/>
          <w:lang w:eastAsia="x-none"/>
        </w:rPr>
      </w:pPr>
    </w:p>
    <w:p w14:paraId="3FA091E8" w14:textId="2237BBE4" w:rsidR="00C715D7" w:rsidRPr="00C715D7" w:rsidRDefault="00C715D7" w:rsidP="001E0F91">
      <w:pPr>
        <w:tabs>
          <w:tab w:val="left" w:pos="567"/>
        </w:tabs>
        <w:suppressAutoHyphens/>
        <w:rPr>
          <w:rFonts w:eastAsia="Times New Roman" w:cs="Times New Roman"/>
          <w:szCs w:val="24"/>
          <w:lang w:eastAsia="x-none"/>
        </w:rPr>
      </w:pPr>
      <w:r w:rsidRPr="00C715D7">
        <w:rPr>
          <w:rFonts w:eastAsia="Times New Roman" w:cs="Times New Roman"/>
          <w:szCs w:val="24"/>
          <w:lang w:eastAsia="x-none"/>
        </w:rPr>
        <w:t>Wśród PES szczególną rolę odgrywają przedsiębiorstwa społeczne (dalej: PS), które zatrudniają osoby z grup zagrożonych wykluczeniem społeczn</w:t>
      </w:r>
      <w:r w:rsidR="001E0F91">
        <w:rPr>
          <w:rFonts w:eastAsia="Times New Roman" w:cs="Times New Roman"/>
          <w:szCs w:val="24"/>
          <w:lang w:eastAsia="x-none"/>
        </w:rPr>
        <w:t>ym. Jedną z grup zaliczanych do </w:t>
      </w:r>
      <w:r w:rsidRPr="00C715D7">
        <w:rPr>
          <w:rFonts w:eastAsia="Times New Roman" w:cs="Times New Roman"/>
          <w:szCs w:val="24"/>
          <w:lang w:eastAsia="x-none"/>
        </w:rPr>
        <w:t xml:space="preserve">tego katalogu są osoby do 30. roku życia oraz po ukończeniu 50. roku życia, posiadające status osoby poszukującej pracy, bez zatrudnienia w rozumieniu przepisów ustawy z dnia </w:t>
      </w:r>
      <w:r w:rsidRPr="00C715D7">
        <w:rPr>
          <w:rFonts w:eastAsia="Times New Roman" w:cs="Times New Roman"/>
          <w:szCs w:val="24"/>
          <w:lang w:eastAsia="x-none"/>
        </w:rPr>
        <w:br/>
        <w:t xml:space="preserve">20 kwietnia 2004 r. o promocji zatrudnienia i instytucjach rynku pracy. </w:t>
      </w:r>
      <w:proofErr w:type="spellStart"/>
      <w:r w:rsidRPr="00C715D7">
        <w:rPr>
          <w:rFonts w:eastAsia="Times New Roman" w:cs="Times New Roman"/>
          <w:szCs w:val="24"/>
          <w:lang w:eastAsia="x-none"/>
        </w:rPr>
        <w:t>MRiPS</w:t>
      </w:r>
      <w:proofErr w:type="spellEnd"/>
      <w:r w:rsidRPr="00C715D7">
        <w:rPr>
          <w:rFonts w:eastAsia="Times New Roman" w:cs="Times New Roman"/>
          <w:szCs w:val="24"/>
          <w:lang w:eastAsia="x-none"/>
        </w:rPr>
        <w:t xml:space="preserve"> prowadzi Bazę PS, w ramach której gromadzone są informacje o podmiotach, którym przyznano status przedsiębiorstwa społecznego (PS), czyli podmiotu, który nie dzieli zysku, ale przeznacza </w:t>
      </w:r>
      <w:r w:rsidRPr="00C715D7">
        <w:rPr>
          <w:rFonts w:eastAsia="Times New Roman" w:cs="Times New Roman"/>
          <w:szCs w:val="24"/>
          <w:lang w:eastAsia="x-none"/>
        </w:rPr>
        <w:br/>
        <w:t xml:space="preserve">go na cele społeczne (np. na rzecz społeczności lokalnej lub na rzecz osób zagrożonych wykluczeniem społecznym, które pracują w tym przedsiębiorstwie). </w:t>
      </w:r>
    </w:p>
    <w:p w14:paraId="0E0A4667" w14:textId="77777777" w:rsidR="00C715D7" w:rsidRPr="00C715D7" w:rsidRDefault="00C715D7" w:rsidP="001E0F91">
      <w:pPr>
        <w:tabs>
          <w:tab w:val="left" w:pos="567"/>
        </w:tabs>
        <w:suppressAutoHyphens/>
        <w:rPr>
          <w:rFonts w:ascii="Helv" w:eastAsia="Times New Roman" w:hAnsi="Helv" w:cs="Helv"/>
          <w:color w:val="000000"/>
          <w:sz w:val="20"/>
          <w:szCs w:val="20"/>
          <w:lang w:eastAsia="pl-PL"/>
        </w:rPr>
      </w:pPr>
    </w:p>
    <w:p w14:paraId="05BADF66" w14:textId="1459EBCA" w:rsidR="00E46E76" w:rsidRDefault="00C715D7" w:rsidP="001E0F91">
      <w:pPr>
        <w:tabs>
          <w:tab w:val="left" w:pos="567"/>
        </w:tabs>
        <w:suppressAutoHyphens/>
        <w:rPr>
          <w:rFonts w:eastAsia="Times New Roman" w:cs="Times New Roman"/>
          <w:szCs w:val="24"/>
          <w:lang w:eastAsia="x-none"/>
        </w:rPr>
      </w:pPr>
      <w:r w:rsidRPr="00C715D7">
        <w:rPr>
          <w:rFonts w:eastAsia="Times New Roman" w:cs="Times New Roman"/>
          <w:szCs w:val="24"/>
          <w:lang w:eastAsia="x-none"/>
        </w:rPr>
        <w:t xml:space="preserve">Z uwagi na dwuletni cykl sprawozdawczy realizacji KPRES, szczegółowe informacje </w:t>
      </w:r>
      <w:r w:rsidRPr="00C715D7">
        <w:rPr>
          <w:rFonts w:eastAsia="Times New Roman" w:cs="Times New Roman"/>
          <w:szCs w:val="24"/>
          <w:lang w:eastAsia="x-none"/>
        </w:rPr>
        <w:br/>
        <w:t xml:space="preserve">o realizacji poszczególnych działań i wskaźników Programu za 2020 r. będą dostępne </w:t>
      </w:r>
      <w:r w:rsidRPr="00C715D7">
        <w:rPr>
          <w:rFonts w:eastAsia="Times New Roman" w:cs="Times New Roman"/>
          <w:szCs w:val="24"/>
          <w:lang w:eastAsia="x-none"/>
        </w:rPr>
        <w:br/>
        <w:t>pod koniec 2021 r.</w:t>
      </w:r>
    </w:p>
    <w:p w14:paraId="58B7692A" w14:textId="77777777" w:rsidR="005B094D" w:rsidRPr="005B094D" w:rsidRDefault="005B094D" w:rsidP="005B094D">
      <w:pPr>
        <w:tabs>
          <w:tab w:val="left" w:pos="567"/>
        </w:tabs>
        <w:suppressAutoHyphens/>
        <w:spacing w:line="240" w:lineRule="auto"/>
        <w:rPr>
          <w:rFonts w:eastAsia="Times New Roman" w:cs="Times New Roman"/>
          <w:szCs w:val="24"/>
          <w:lang w:eastAsia="x-none"/>
        </w:rPr>
      </w:pPr>
    </w:p>
    <w:p w14:paraId="6D190573" w14:textId="15978E11" w:rsidR="00FD6C20" w:rsidRPr="00FD6C20" w:rsidRDefault="00B84865" w:rsidP="00FD6C20">
      <w:pPr>
        <w:pStyle w:val="Nagwek3"/>
      </w:pPr>
      <w:bookmarkStart w:id="87" w:name="_Toc77513923"/>
      <w:bookmarkStart w:id="88" w:name="_Toc80523077"/>
      <w:r>
        <w:t>I</w:t>
      </w:r>
      <w:r w:rsidRPr="00FD6C20">
        <w:t xml:space="preserve">nformacje nt. programów resortowych </w:t>
      </w:r>
      <w:r>
        <w:t>M</w:t>
      </w:r>
      <w:r w:rsidRPr="00FD6C20">
        <w:t xml:space="preserve">inisterstwa </w:t>
      </w:r>
      <w:r>
        <w:t>R</w:t>
      </w:r>
      <w:r w:rsidRPr="00FD6C20">
        <w:t xml:space="preserve">odziny i </w:t>
      </w:r>
      <w:r>
        <w:t>P</w:t>
      </w:r>
      <w:r w:rsidRPr="00FD6C20">
        <w:t xml:space="preserve">olityki </w:t>
      </w:r>
      <w:r w:rsidR="00AC0C90">
        <w:t>S</w:t>
      </w:r>
      <w:r w:rsidRPr="00FD6C20">
        <w:t xml:space="preserve">połecznej finansowanych ze środków </w:t>
      </w:r>
      <w:r w:rsidR="00AC0C90">
        <w:t>F</w:t>
      </w:r>
      <w:r w:rsidRPr="00FD6C20">
        <w:t xml:space="preserve">unduszu </w:t>
      </w:r>
      <w:r w:rsidR="00AC0C90">
        <w:t>S</w:t>
      </w:r>
      <w:r w:rsidRPr="00FD6C20">
        <w:t>olidarnościowego</w:t>
      </w:r>
      <w:bookmarkEnd w:id="87"/>
      <w:bookmarkEnd w:id="88"/>
    </w:p>
    <w:p w14:paraId="73F2EBDC" w14:textId="77777777" w:rsidR="00FD6C20" w:rsidRPr="00FD6C20" w:rsidRDefault="00FD6C20" w:rsidP="00FD6C20">
      <w:pPr>
        <w:autoSpaceDE w:val="0"/>
        <w:autoSpaceDN w:val="0"/>
        <w:adjustRightInd w:val="0"/>
        <w:rPr>
          <w:rFonts w:cs="Times New Roman"/>
          <w:szCs w:val="24"/>
        </w:rPr>
      </w:pPr>
    </w:p>
    <w:p w14:paraId="494F4418" w14:textId="1298C509" w:rsidR="00FD6C20" w:rsidRPr="00FD6C20" w:rsidRDefault="00FD6C20" w:rsidP="00FD6C20">
      <w:pPr>
        <w:autoSpaceDE w:val="0"/>
        <w:autoSpaceDN w:val="0"/>
        <w:adjustRightInd w:val="0"/>
        <w:rPr>
          <w:rFonts w:cs="Times New Roman"/>
          <w:szCs w:val="24"/>
        </w:rPr>
      </w:pPr>
      <w:r w:rsidRPr="00FD6C20">
        <w:rPr>
          <w:rFonts w:cs="Times New Roman"/>
          <w:szCs w:val="24"/>
        </w:rPr>
        <w:t xml:space="preserve">Istotną formą wsparcia, z której </w:t>
      </w:r>
      <w:r w:rsidR="00DD0149">
        <w:rPr>
          <w:rFonts w:cs="Times New Roman"/>
          <w:szCs w:val="24"/>
        </w:rPr>
        <w:t>mogły</w:t>
      </w:r>
      <w:r w:rsidRPr="00FD6C20">
        <w:rPr>
          <w:rFonts w:cs="Times New Roman"/>
          <w:szCs w:val="24"/>
        </w:rPr>
        <w:t xml:space="preserve"> skorzystać osoby starsze </w:t>
      </w:r>
      <w:r w:rsidR="00DD0149">
        <w:rPr>
          <w:rFonts w:cs="Times New Roman"/>
          <w:szCs w:val="24"/>
        </w:rPr>
        <w:t>są</w:t>
      </w:r>
      <w:r w:rsidRPr="00FD6C20">
        <w:rPr>
          <w:rFonts w:cs="Times New Roman"/>
          <w:szCs w:val="24"/>
        </w:rPr>
        <w:t xml:space="preserve"> programy resortowe Ministerstwa Rodziny i Polityki Społecznej dotyczące usług opiekuńczych, </w:t>
      </w:r>
      <w:proofErr w:type="spellStart"/>
      <w:r w:rsidRPr="00FD6C20">
        <w:rPr>
          <w:rFonts w:cs="Times New Roman"/>
          <w:szCs w:val="24"/>
        </w:rPr>
        <w:t>wytchnieniowych</w:t>
      </w:r>
      <w:proofErr w:type="spellEnd"/>
      <w:r w:rsidRPr="00FD6C20">
        <w:rPr>
          <w:rFonts w:cs="Times New Roman"/>
          <w:szCs w:val="24"/>
        </w:rPr>
        <w:t xml:space="preserve"> </w:t>
      </w:r>
      <w:r w:rsidRPr="00FD6C20">
        <w:rPr>
          <w:rFonts w:cs="Times New Roman"/>
          <w:szCs w:val="24"/>
        </w:rPr>
        <w:lastRenderedPageBreak/>
        <w:t>oraz asystenckich finansowanych ze środków Funduszu Solidarnościowego. Celem Funduszu jest wsparcie: społeczne, zawodowe, zdrowotne oraz finansowe osób z niepełnosprawnościami.</w:t>
      </w:r>
    </w:p>
    <w:p w14:paraId="00F4193A" w14:textId="5F667E62" w:rsidR="00FD6C20" w:rsidRDefault="00FD6C20" w:rsidP="00FD6C20">
      <w:pPr>
        <w:autoSpaceDE w:val="0"/>
        <w:autoSpaceDN w:val="0"/>
        <w:adjustRightInd w:val="0"/>
        <w:rPr>
          <w:rFonts w:cs="Times New Roman"/>
          <w:szCs w:val="24"/>
        </w:rPr>
      </w:pPr>
      <w:r w:rsidRPr="00FD6C20">
        <w:rPr>
          <w:rFonts w:cs="Times New Roman"/>
          <w:szCs w:val="24"/>
        </w:rPr>
        <w:t xml:space="preserve">W ramach środków Funduszu Solidarnościowego w 2021 </w:t>
      </w:r>
      <w:r w:rsidR="00A049DE">
        <w:rPr>
          <w:rFonts w:cs="Times New Roman"/>
          <w:szCs w:val="24"/>
        </w:rPr>
        <w:t xml:space="preserve">r. </w:t>
      </w:r>
      <w:r w:rsidRPr="00FD6C20">
        <w:rPr>
          <w:rFonts w:cs="Times New Roman"/>
          <w:szCs w:val="24"/>
        </w:rPr>
        <w:t>ist</w:t>
      </w:r>
      <w:r w:rsidR="001E0F91">
        <w:rPr>
          <w:rFonts w:cs="Times New Roman"/>
          <w:szCs w:val="24"/>
        </w:rPr>
        <w:t>nieje możliwość skorzystania ze </w:t>
      </w:r>
      <w:r w:rsidRPr="00FD6C20">
        <w:rPr>
          <w:rFonts w:cs="Times New Roman"/>
          <w:szCs w:val="24"/>
        </w:rPr>
        <w:t xml:space="preserve">wsparcia w ramach programów: „Asystent osobisty osoby niepełnosprawnej” – edycja 2021 „Asystent osobisty osoby z niepełnosprawnościami” – edycja 2020-2021, „Opieka </w:t>
      </w:r>
      <w:proofErr w:type="spellStart"/>
      <w:r w:rsidRPr="00FD6C20">
        <w:rPr>
          <w:rFonts w:cs="Times New Roman"/>
          <w:szCs w:val="24"/>
        </w:rPr>
        <w:t>wytchnieniowa</w:t>
      </w:r>
      <w:proofErr w:type="spellEnd"/>
      <w:r w:rsidRPr="00FD6C20">
        <w:rPr>
          <w:rFonts w:cs="Times New Roman"/>
          <w:szCs w:val="24"/>
        </w:rPr>
        <w:t xml:space="preserve">” – edycja 2021, „Opieka </w:t>
      </w:r>
      <w:proofErr w:type="spellStart"/>
      <w:r w:rsidRPr="00FD6C20">
        <w:rPr>
          <w:rFonts w:cs="Times New Roman"/>
          <w:szCs w:val="24"/>
        </w:rPr>
        <w:t>wytchnieniowa</w:t>
      </w:r>
      <w:proofErr w:type="spellEnd"/>
      <w:r w:rsidRPr="00FD6C20">
        <w:rPr>
          <w:rFonts w:cs="Times New Roman"/>
          <w:szCs w:val="24"/>
        </w:rPr>
        <w:t xml:space="preserve"> dla członków rodzin lub opiekunów osób z niepełnosprawnością” – edycja 2020-2021 oraz Centra opiekuńczo-mieszkalne. </w:t>
      </w:r>
    </w:p>
    <w:p w14:paraId="2F7864A4" w14:textId="77777777" w:rsidR="00FD6C20" w:rsidRPr="00FD6C20" w:rsidRDefault="00FD6C20" w:rsidP="00FD6C20">
      <w:pPr>
        <w:autoSpaceDE w:val="0"/>
        <w:autoSpaceDN w:val="0"/>
        <w:adjustRightInd w:val="0"/>
        <w:rPr>
          <w:rFonts w:cs="Times New Roman"/>
          <w:szCs w:val="24"/>
        </w:rPr>
      </w:pPr>
    </w:p>
    <w:p w14:paraId="38B9C59D" w14:textId="73CA0968" w:rsidR="00FD6C20" w:rsidRDefault="00FD6C20" w:rsidP="00FD6C20">
      <w:pPr>
        <w:autoSpaceDE w:val="0"/>
        <w:autoSpaceDN w:val="0"/>
        <w:adjustRightInd w:val="0"/>
        <w:rPr>
          <w:rFonts w:cs="Times New Roman"/>
          <w:szCs w:val="24"/>
        </w:rPr>
      </w:pPr>
      <w:r w:rsidRPr="00FD6C20">
        <w:rPr>
          <w:rFonts w:cs="Times New Roman"/>
          <w:szCs w:val="24"/>
        </w:rPr>
        <w:t xml:space="preserve">Program </w:t>
      </w:r>
      <w:r w:rsidRPr="00FD6C20">
        <w:rPr>
          <w:rFonts w:cs="Times New Roman"/>
          <w:b/>
          <w:szCs w:val="24"/>
        </w:rPr>
        <w:t>„Asystent osobisty osoby niepełnosprawnej” – edycja 2021</w:t>
      </w:r>
      <w:r w:rsidR="001E0F91">
        <w:rPr>
          <w:rFonts w:cs="Times New Roman"/>
          <w:szCs w:val="24"/>
        </w:rPr>
        <w:t xml:space="preserve"> skierowany jest do </w:t>
      </w:r>
      <w:r w:rsidRPr="00FD6C20">
        <w:rPr>
          <w:rFonts w:cs="Times New Roman"/>
          <w:szCs w:val="24"/>
        </w:rPr>
        <w:t>samorządów szczebla gminnego lub powiatowego. Ma na celu</w:t>
      </w:r>
      <w:r w:rsidR="001E0F91">
        <w:rPr>
          <w:rFonts w:cs="Times New Roman"/>
          <w:szCs w:val="24"/>
        </w:rPr>
        <w:t xml:space="preserve"> zapewnienie dostępności do </w:t>
      </w:r>
      <w:r w:rsidRPr="00FD6C20">
        <w:rPr>
          <w:rFonts w:cs="Times New Roman"/>
          <w:szCs w:val="24"/>
        </w:rPr>
        <w:t>usługi asystenta, tj. wsparcia w wykonywan</w:t>
      </w:r>
      <w:r w:rsidR="001E0F91">
        <w:rPr>
          <w:rFonts w:cs="Times New Roman"/>
          <w:szCs w:val="24"/>
        </w:rPr>
        <w:t>iu codziennych czynności oraz w </w:t>
      </w:r>
      <w:r w:rsidRPr="00FD6C20">
        <w:rPr>
          <w:rFonts w:cs="Times New Roman"/>
          <w:szCs w:val="24"/>
        </w:rPr>
        <w:t xml:space="preserve">funkcjonowaniu w życiu społecznym osób niepełnosprawnych. Program jest elementem polityki społecznej państwa w zakresie poprawy jakości życia osób niepełnoprawnych, zapewnienia osobom niepełnosprawnym wsparcia oraz pomocy adekwatnej do potrzeb, umożliwienia zaangażowania osób niepełnosprawnych w wydarzenia społeczne, kulturalne, rozrywkowe lub sportowe itp., dofinansowania jednostek samorządu terytorialnego dotyczącego realizacji zadań mających na celu wsparcie społeczne osób niepełnosprawnych. </w:t>
      </w:r>
    </w:p>
    <w:p w14:paraId="49DEFBCD" w14:textId="77777777" w:rsidR="00FD6C20" w:rsidRPr="00FD6C20" w:rsidRDefault="00FD6C20" w:rsidP="00FD6C20">
      <w:pPr>
        <w:autoSpaceDE w:val="0"/>
        <w:autoSpaceDN w:val="0"/>
        <w:adjustRightInd w:val="0"/>
        <w:rPr>
          <w:rFonts w:cs="Times New Roman"/>
          <w:szCs w:val="24"/>
        </w:rPr>
      </w:pPr>
    </w:p>
    <w:p w14:paraId="0A6ECEE1" w14:textId="77777777" w:rsidR="00FD6C20" w:rsidRDefault="00FD6C20" w:rsidP="00FD6C20">
      <w:pPr>
        <w:autoSpaceDE w:val="0"/>
        <w:autoSpaceDN w:val="0"/>
        <w:adjustRightInd w:val="0"/>
        <w:rPr>
          <w:rFonts w:cs="Times New Roman"/>
          <w:szCs w:val="24"/>
        </w:rPr>
      </w:pPr>
      <w:r w:rsidRPr="00FD6C20">
        <w:rPr>
          <w:rFonts w:cs="Times New Roman"/>
          <w:szCs w:val="24"/>
        </w:rPr>
        <w:t xml:space="preserve">Program zapewnia m. in. wsparcie w wykonywaniu codziennych czynności </w:t>
      </w:r>
      <w:r w:rsidRPr="00FD6C20">
        <w:rPr>
          <w:rFonts w:cs="Times New Roman"/>
          <w:szCs w:val="24"/>
        </w:rPr>
        <w:br/>
        <w:t xml:space="preserve">oraz funkcjonowaniu w życiu społecznym osobom niepełnosprawnym posiadającym orzeczenie o znacznym lub umiarkowanym stopniu niepełnosprawności lub orzeczenie równoważne do wyżej wymienionego. </w:t>
      </w:r>
    </w:p>
    <w:p w14:paraId="58033453" w14:textId="77777777" w:rsidR="00FD6C20" w:rsidRPr="00FD6C20" w:rsidRDefault="00FD6C20" w:rsidP="00FD6C20">
      <w:pPr>
        <w:autoSpaceDE w:val="0"/>
        <w:autoSpaceDN w:val="0"/>
        <w:adjustRightInd w:val="0"/>
        <w:rPr>
          <w:rFonts w:cs="Times New Roman"/>
          <w:szCs w:val="24"/>
        </w:rPr>
      </w:pPr>
    </w:p>
    <w:p w14:paraId="0DFB42E6" w14:textId="77777777" w:rsidR="00FD6C20" w:rsidRDefault="00FD6C20" w:rsidP="00FD6C20">
      <w:pPr>
        <w:autoSpaceDE w:val="0"/>
        <w:autoSpaceDN w:val="0"/>
        <w:adjustRightInd w:val="0"/>
        <w:rPr>
          <w:rFonts w:cs="Times New Roman"/>
          <w:szCs w:val="24"/>
        </w:rPr>
      </w:pPr>
      <w:r w:rsidRPr="00FD6C20">
        <w:rPr>
          <w:rFonts w:cs="Times New Roman"/>
          <w:szCs w:val="24"/>
        </w:rPr>
        <w:t xml:space="preserve">Program ma także ograniczyć skutki niepełnosprawności oraz stymulować osoby niepełnosprawne do podejmowania aktywności i umożliwić tym samym realizowanie prawa </w:t>
      </w:r>
      <w:r w:rsidRPr="00FD6C20">
        <w:rPr>
          <w:rFonts w:cs="Times New Roman"/>
          <w:szCs w:val="24"/>
        </w:rPr>
        <w:br/>
        <w:t xml:space="preserve">do niezależnego życia. Co więcej, ma zapewnić przeciwdziałanie dyskryminacji ze względu </w:t>
      </w:r>
      <w:r w:rsidRPr="00FD6C20">
        <w:rPr>
          <w:rFonts w:cs="Times New Roman"/>
          <w:szCs w:val="24"/>
        </w:rPr>
        <w:br/>
        <w:t xml:space="preserve">na niepełnosprawność oraz wykluczeniu społecznemu osób niepełnosprawnych, umożliwienie osobom niepełnosprawnym uczestnictwa w życiu lokalnej społeczności np. poprzez udział w wydarzeniach społecznych, kulturalnych, rozrywkowych czy też sportowych. </w:t>
      </w:r>
    </w:p>
    <w:p w14:paraId="7B4236DC" w14:textId="77777777" w:rsidR="00FD6C20" w:rsidRPr="00FD6C20" w:rsidRDefault="00FD6C20" w:rsidP="00FD6C20">
      <w:pPr>
        <w:autoSpaceDE w:val="0"/>
        <w:autoSpaceDN w:val="0"/>
        <w:adjustRightInd w:val="0"/>
        <w:rPr>
          <w:rFonts w:cs="Times New Roman"/>
          <w:szCs w:val="24"/>
        </w:rPr>
      </w:pPr>
    </w:p>
    <w:p w14:paraId="363F96CD" w14:textId="77777777" w:rsidR="00FD6C20" w:rsidRDefault="00FD6C20" w:rsidP="00FD6C20">
      <w:pPr>
        <w:autoSpaceDE w:val="0"/>
        <w:autoSpaceDN w:val="0"/>
        <w:adjustRightInd w:val="0"/>
        <w:rPr>
          <w:rFonts w:cs="Times New Roman"/>
          <w:szCs w:val="24"/>
        </w:rPr>
      </w:pPr>
      <w:r w:rsidRPr="00FD6C20">
        <w:rPr>
          <w:rFonts w:cs="Times New Roman"/>
          <w:szCs w:val="24"/>
        </w:rPr>
        <w:t xml:space="preserve">Celem Programu </w:t>
      </w:r>
      <w:r w:rsidRPr="00FD6C20">
        <w:rPr>
          <w:rFonts w:cs="Times New Roman"/>
          <w:b/>
          <w:szCs w:val="24"/>
        </w:rPr>
        <w:t>„Asystent osobisty osoby z niepełnosprawnościami” – edycja 2020-2021</w:t>
      </w:r>
      <w:r w:rsidRPr="00FD6C20">
        <w:rPr>
          <w:rFonts w:cs="Times New Roman"/>
          <w:szCs w:val="24"/>
        </w:rPr>
        <w:t xml:space="preserve"> jest m. in. rozpowszechnienie usługi asystenta jako formy ogólnodostępnego wsparcia dla osób niepełnosprawnych, posiadających orzeczenie o znacznym lub umiarkowanym stopniu niepełnosprawności, wydawane na podstawie ustawy z dnia 27 sierpnia 1997 r. o rehabilitacji zawodowej i społecznej oraz zatrudnianiu osób niepełnosprawnych (Dz. U. z 2021 r. poz. 573) albo orzeczenie równoważne do wyżej wymienionych, w liczbie nie mniejszej niż 600 osób. Dodatkowym założeniem jest, aby minimum 70% uczestników Programu stanowiły osoby wymagające wysokiego poziomu wsparcia, w tym osoby z niepełnosprawnościami sprzężonymi i trudnościami związanymi  z mobilnością i komunikacją. </w:t>
      </w:r>
    </w:p>
    <w:p w14:paraId="4088FA22" w14:textId="77777777" w:rsidR="00FD6C20" w:rsidRPr="00FD6C20" w:rsidRDefault="00FD6C20" w:rsidP="00FD6C20">
      <w:pPr>
        <w:autoSpaceDE w:val="0"/>
        <w:autoSpaceDN w:val="0"/>
        <w:adjustRightInd w:val="0"/>
        <w:rPr>
          <w:rFonts w:cs="Times New Roman"/>
          <w:szCs w:val="24"/>
        </w:rPr>
      </w:pPr>
    </w:p>
    <w:p w14:paraId="61F0C503" w14:textId="3DED43C6" w:rsidR="00FD6C20" w:rsidRDefault="00FD6C20" w:rsidP="00FD6C20">
      <w:pPr>
        <w:autoSpaceDE w:val="0"/>
        <w:autoSpaceDN w:val="0"/>
        <w:adjustRightInd w:val="0"/>
        <w:rPr>
          <w:rFonts w:cs="Times New Roman"/>
          <w:szCs w:val="24"/>
        </w:rPr>
      </w:pPr>
      <w:r w:rsidRPr="00FD6C20">
        <w:rPr>
          <w:rFonts w:cs="Times New Roman"/>
          <w:szCs w:val="24"/>
        </w:rPr>
        <w:t xml:space="preserve">Podobnie jak w przypadku Programu „Asystent osobisty osoby niepełnosprawnej”, Program zapewniać ma zwiększenie możliwości skorzystania przez osoby niepełnosprawne z pomocy </w:t>
      </w:r>
      <w:r w:rsidRPr="00FD6C20">
        <w:rPr>
          <w:rFonts w:cs="Times New Roman"/>
          <w:szCs w:val="24"/>
        </w:rPr>
        <w:lastRenderedPageBreak/>
        <w:t>asystenta przy wykonywaniu codziennych czynności oraz funkcjonowaniu w życiu społecznym. Ma również ograniczać skutki niepełnosprawności oraz stymulować osoby niepełnosprawnej do podejmowania aktywności i umożliwić tym samym realizowanie prawa do niezależnego życia. Następnie ma na celu przeciwdziała</w:t>
      </w:r>
      <w:r w:rsidR="001E0F91">
        <w:rPr>
          <w:rFonts w:cs="Times New Roman"/>
          <w:szCs w:val="24"/>
        </w:rPr>
        <w:t>nie dyskryminacji ze względu na </w:t>
      </w:r>
      <w:r w:rsidRPr="00FD6C20">
        <w:rPr>
          <w:rFonts w:cs="Times New Roman"/>
          <w:szCs w:val="24"/>
        </w:rPr>
        <w:t xml:space="preserve">niepełnosprawność oraz wykluczeniu społecznemu osób niepełnosprawnych, poprzez umożliwienie osobom niepełnosprawnym uczestnictwa w </w:t>
      </w:r>
      <w:r w:rsidR="001E0F91">
        <w:rPr>
          <w:rFonts w:cs="Times New Roman"/>
          <w:szCs w:val="24"/>
        </w:rPr>
        <w:t>życiu lokalnej społeczności np. </w:t>
      </w:r>
      <w:r w:rsidRPr="00FD6C20">
        <w:rPr>
          <w:rFonts w:cs="Times New Roman"/>
          <w:szCs w:val="24"/>
        </w:rPr>
        <w:t xml:space="preserve">udział w wydarzeniach społecznych, kulturalnych, rozrywkowych, edukacyjnych, sportowych, czy też rehabilitacyjnych. </w:t>
      </w:r>
    </w:p>
    <w:p w14:paraId="6CC2FC0C" w14:textId="77777777" w:rsidR="00FD6C20" w:rsidRPr="00FD6C20" w:rsidRDefault="00FD6C20" w:rsidP="00FD6C20">
      <w:pPr>
        <w:autoSpaceDE w:val="0"/>
        <w:autoSpaceDN w:val="0"/>
        <w:adjustRightInd w:val="0"/>
        <w:rPr>
          <w:rFonts w:cs="Times New Roman"/>
          <w:szCs w:val="24"/>
        </w:rPr>
      </w:pPr>
    </w:p>
    <w:p w14:paraId="0F4C5126" w14:textId="77777777" w:rsidR="00FD6C20" w:rsidRPr="00FD6C20" w:rsidRDefault="00FD6C20" w:rsidP="00FD6C20">
      <w:pPr>
        <w:autoSpaceDE w:val="0"/>
        <w:autoSpaceDN w:val="0"/>
        <w:adjustRightInd w:val="0"/>
        <w:rPr>
          <w:rFonts w:cs="Times New Roman"/>
          <w:szCs w:val="24"/>
        </w:rPr>
      </w:pPr>
      <w:r w:rsidRPr="00FD6C20">
        <w:rPr>
          <w:rFonts w:cs="Times New Roman"/>
          <w:szCs w:val="24"/>
        </w:rPr>
        <w:t xml:space="preserve">O dofinansowanie oferty w ramach konkursu mogą ubiegać się organizacje pozarządowe, </w:t>
      </w:r>
      <w:r w:rsidRPr="00FD6C20">
        <w:rPr>
          <w:rFonts w:cs="Times New Roman"/>
          <w:szCs w:val="24"/>
        </w:rPr>
        <w:br/>
        <w:t xml:space="preserve">o których mowa  w art. 3 ust. 2 oraz w art. 3 ust. 3 pkt 1 ustawy z dnia 24 kwietnia 2003 r. </w:t>
      </w:r>
      <w:r w:rsidRPr="00FD6C20">
        <w:rPr>
          <w:rFonts w:cs="Times New Roman"/>
          <w:szCs w:val="24"/>
        </w:rPr>
        <w:br/>
        <w:t xml:space="preserve">o działalności pożytku publicznego i o wolontariacie (Dz. U. z 2020 r. poz. 1057) – posiadające statutowy zapis o prowadzeniu działań na rzecz osób niepełnosprawnych oraz prowadzące działalność na rzecz tych osób przez okres co najmniej 3 lat przed dniem złożenia oferty. </w:t>
      </w:r>
    </w:p>
    <w:p w14:paraId="7DD1CAC9" w14:textId="77777777" w:rsidR="00FD6C20" w:rsidRPr="00FD6C20" w:rsidRDefault="00FD6C20" w:rsidP="00FD6C20">
      <w:pPr>
        <w:autoSpaceDE w:val="0"/>
        <w:autoSpaceDN w:val="0"/>
        <w:adjustRightInd w:val="0"/>
        <w:rPr>
          <w:rFonts w:cs="Times New Roman"/>
          <w:szCs w:val="24"/>
        </w:rPr>
      </w:pPr>
    </w:p>
    <w:p w14:paraId="745D72C2" w14:textId="221B61D1" w:rsidR="00FD6C20" w:rsidRDefault="00FD6C20" w:rsidP="00FD6C20">
      <w:pPr>
        <w:autoSpaceDE w:val="0"/>
        <w:autoSpaceDN w:val="0"/>
        <w:adjustRightInd w:val="0"/>
        <w:rPr>
          <w:rFonts w:cs="Times New Roman"/>
          <w:szCs w:val="24"/>
        </w:rPr>
      </w:pPr>
      <w:r w:rsidRPr="00FD6C20">
        <w:rPr>
          <w:rFonts w:cs="Times New Roman"/>
          <w:szCs w:val="24"/>
        </w:rPr>
        <w:t xml:space="preserve">Program </w:t>
      </w:r>
      <w:r w:rsidRPr="00FD6C20">
        <w:rPr>
          <w:rFonts w:cs="Times New Roman"/>
          <w:b/>
          <w:szCs w:val="24"/>
        </w:rPr>
        <w:t xml:space="preserve">„Opieka </w:t>
      </w:r>
      <w:proofErr w:type="spellStart"/>
      <w:r w:rsidRPr="00FD6C20">
        <w:rPr>
          <w:rFonts w:cs="Times New Roman"/>
          <w:b/>
          <w:szCs w:val="24"/>
        </w:rPr>
        <w:t>wytchnieniowa</w:t>
      </w:r>
      <w:proofErr w:type="spellEnd"/>
      <w:r w:rsidRPr="00FD6C20">
        <w:rPr>
          <w:rFonts w:cs="Times New Roman"/>
          <w:b/>
          <w:szCs w:val="24"/>
        </w:rPr>
        <w:t>” – edycja 2021</w:t>
      </w:r>
      <w:r w:rsidRPr="00FD6C20">
        <w:rPr>
          <w:rFonts w:cs="Times New Roman"/>
          <w:szCs w:val="24"/>
        </w:rPr>
        <w:t xml:space="preserve">, stanowi kontynuację Programów „Opieka </w:t>
      </w:r>
      <w:proofErr w:type="spellStart"/>
      <w:r w:rsidRPr="00FD6C20">
        <w:rPr>
          <w:rFonts w:cs="Times New Roman"/>
          <w:szCs w:val="24"/>
        </w:rPr>
        <w:t>wytchnieniowa</w:t>
      </w:r>
      <w:proofErr w:type="spellEnd"/>
      <w:r w:rsidRPr="00FD6C20">
        <w:rPr>
          <w:rFonts w:cs="Times New Roman"/>
          <w:szCs w:val="24"/>
        </w:rPr>
        <w:t xml:space="preserve">” – edycja 2019 i „Opieka </w:t>
      </w:r>
      <w:proofErr w:type="spellStart"/>
      <w:r w:rsidRPr="00FD6C20">
        <w:rPr>
          <w:rFonts w:cs="Times New Roman"/>
          <w:szCs w:val="24"/>
        </w:rPr>
        <w:t>wytchnieniowa</w:t>
      </w:r>
      <w:proofErr w:type="spellEnd"/>
      <w:r w:rsidRPr="00FD6C20">
        <w:rPr>
          <w:rFonts w:cs="Times New Roman"/>
          <w:szCs w:val="24"/>
        </w:rPr>
        <w:t>” – edycja 2020. Doświadczenia płynące z realizacji pierwszej i drugiej edycji programu wskazują na konieczność kontynuacji działań zmierzających do zwiększenia dostępności tego rodzaju wsparcia dla osób niepełnosprawnych oraz ich opiekunów i rozwijania s</w:t>
      </w:r>
      <w:r w:rsidR="001E0F91">
        <w:rPr>
          <w:rFonts w:cs="Times New Roman"/>
          <w:szCs w:val="24"/>
        </w:rPr>
        <w:t xml:space="preserve">ystemu opieki </w:t>
      </w:r>
      <w:proofErr w:type="spellStart"/>
      <w:r w:rsidR="001E0F91">
        <w:rPr>
          <w:rFonts w:cs="Times New Roman"/>
          <w:szCs w:val="24"/>
        </w:rPr>
        <w:t>wytchnieniowej</w:t>
      </w:r>
      <w:proofErr w:type="spellEnd"/>
      <w:r w:rsidR="001E0F91">
        <w:rPr>
          <w:rFonts w:cs="Times New Roman"/>
          <w:szCs w:val="24"/>
        </w:rPr>
        <w:t xml:space="preserve"> na </w:t>
      </w:r>
      <w:r w:rsidRPr="00FD6C20">
        <w:rPr>
          <w:rFonts w:cs="Times New Roman"/>
          <w:szCs w:val="24"/>
        </w:rPr>
        <w:t>poziomie lokalnym. Program kierowany jest do członków rodzin lub opiekunów, którzy wymagają wsparcia w postaci doraźnej, czasowej przerwy w sprawowaniu bezpośredniej opieki nad osobami ze znacznym stopniem niepełnosprawności oraz podniesienia swoich umiejętności i wiedzy w tym zakresie.</w:t>
      </w:r>
    </w:p>
    <w:p w14:paraId="4008727D" w14:textId="77777777" w:rsidR="00FD6C20" w:rsidRPr="00FD6C20" w:rsidRDefault="00FD6C20" w:rsidP="00FD6C20">
      <w:pPr>
        <w:autoSpaceDE w:val="0"/>
        <w:autoSpaceDN w:val="0"/>
        <w:adjustRightInd w:val="0"/>
        <w:rPr>
          <w:rFonts w:cs="Times New Roman"/>
          <w:szCs w:val="24"/>
        </w:rPr>
      </w:pPr>
    </w:p>
    <w:p w14:paraId="1F1D028C" w14:textId="61BBEBEC" w:rsidR="00FD6C20" w:rsidRDefault="00FD6C20" w:rsidP="00FD6C20">
      <w:pPr>
        <w:autoSpaceDE w:val="0"/>
        <w:autoSpaceDN w:val="0"/>
        <w:adjustRightInd w:val="0"/>
        <w:rPr>
          <w:rFonts w:cs="Times New Roman"/>
          <w:szCs w:val="24"/>
        </w:rPr>
      </w:pPr>
      <w:r w:rsidRPr="00FD6C20">
        <w:rPr>
          <w:rFonts w:cs="Times New Roman"/>
          <w:szCs w:val="24"/>
        </w:rPr>
        <w:t xml:space="preserve">Opieka </w:t>
      </w:r>
      <w:proofErr w:type="spellStart"/>
      <w:r w:rsidRPr="00FD6C20">
        <w:rPr>
          <w:rFonts w:cs="Times New Roman"/>
          <w:szCs w:val="24"/>
        </w:rPr>
        <w:t>wytchnieniowa</w:t>
      </w:r>
      <w:proofErr w:type="spellEnd"/>
      <w:r w:rsidRPr="00FD6C20">
        <w:rPr>
          <w:rFonts w:cs="Times New Roman"/>
          <w:szCs w:val="24"/>
        </w:rPr>
        <w:t xml:space="preserve"> ma za zadanie odciążenie członków rodzin lub opiekunów poprzez wsparcie ich w codziennych obowiązkach lub zapewnienie czasowego zastępstwa. Dzięki temu wsparciu osoby zaangażowane na co dzień w sprawowanie opieki dysponować będą czasem dla siebie, który będą mogły przeznaczyć na odpoczynek i regenerację, jak również na załatwienie niezbędnych spraw. Usługa opieki </w:t>
      </w:r>
      <w:proofErr w:type="spellStart"/>
      <w:r w:rsidRPr="00FD6C20">
        <w:rPr>
          <w:rFonts w:cs="Times New Roman"/>
          <w:szCs w:val="24"/>
        </w:rPr>
        <w:t>wytchnieniowej</w:t>
      </w:r>
      <w:proofErr w:type="spellEnd"/>
      <w:r w:rsidRPr="00FD6C20">
        <w:rPr>
          <w:rFonts w:cs="Times New Roman"/>
          <w:szCs w:val="24"/>
        </w:rPr>
        <w:t xml:space="preserve"> może służyć również okresowemu zabezpieczeniu potrzeb osoby niepełnosprawne</w:t>
      </w:r>
      <w:r w:rsidR="001E0F91">
        <w:rPr>
          <w:rFonts w:cs="Times New Roman"/>
          <w:szCs w:val="24"/>
        </w:rPr>
        <w:t>j w sytuacji, gdy opiekunowie z </w:t>
      </w:r>
      <w:r w:rsidRPr="00FD6C20">
        <w:rPr>
          <w:rFonts w:cs="Times New Roman"/>
          <w:szCs w:val="24"/>
        </w:rPr>
        <w:t>różnych powodów nie będą mogli wykonywać swoich obowiązków.</w:t>
      </w:r>
    </w:p>
    <w:p w14:paraId="36F7863B" w14:textId="77777777" w:rsidR="00FD6C20" w:rsidRPr="00FD6C20" w:rsidRDefault="00FD6C20" w:rsidP="00FD6C20">
      <w:pPr>
        <w:autoSpaceDE w:val="0"/>
        <w:autoSpaceDN w:val="0"/>
        <w:adjustRightInd w:val="0"/>
        <w:rPr>
          <w:rFonts w:cs="Times New Roman"/>
          <w:szCs w:val="24"/>
        </w:rPr>
      </w:pPr>
      <w:r w:rsidRPr="00FD6C20">
        <w:rPr>
          <w:rFonts w:cs="Times New Roman"/>
          <w:szCs w:val="24"/>
        </w:rPr>
        <w:tab/>
      </w:r>
    </w:p>
    <w:p w14:paraId="50E56950" w14:textId="3851CFD8" w:rsidR="00FD6C20" w:rsidRPr="00FD6C20" w:rsidRDefault="00FD6C20" w:rsidP="00FD6C20">
      <w:pPr>
        <w:autoSpaceDE w:val="0"/>
        <w:autoSpaceDN w:val="0"/>
        <w:adjustRightInd w:val="0"/>
        <w:rPr>
          <w:rFonts w:cs="Times New Roman"/>
          <w:szCs w:val="24"/>
        </w:rPr>
      </w:pPr>
      <w:r w:rsidRPr="00FD6C20">
        <w:rPr>
          <w:rFonts w:cs="Times New Roman"/>
          <w:szCs w:val="24"/>
        </w:rPr>
        <w:t xml:space="preserve">Poprzez uruchomienie Programu „Opieka </w:t>
      </w:r>
      <w:proofErr w:type="spellStart"/>
      <w:r w:rsidRPr="00FD6C20">
        <w:rPr>
          <w:rFonts w:cs="Times New Roman"/>
          <w:szCs w:val="24"/>
        </w:rPr>
        <w:t>wytchnieniowa</w:t>
      </w:r>
      <w:proofErr w:type="spellEnd"/>
      <w:r w:rsidRPr="00FD6C20">
        <w:rPr>
          <w:rFonts w:cs="Times New Roman"/>
          <w:szCs w:val="24"/>
        </w:rPr>
        <w:t xml:space="preserve">” – </w:t>
      </w:r>
      <w:r w:rsidR="001E0F91">
        <w:rPr>
          <w:rFonts w:cs="Times New Roman"/>
          <w:szCs w:val="24"/>
        </w:rPr>
        <w:t>edycja 2019 r. oraz edycja 2020 </w:t>
      </w:r>
      <w:r w:rsidR="00A049DE">
        <w:rPr>
          <w:rFonts w:cs="Times New Roman"/>
          <w:szCs w:val="24"/>
        </w:rPr>
        <w:t xml:space="preserve">r. </w:t>
      </w:r>
      <w:r w:rsidRPr="00FD6C20">
        <w:rPr>
          <w:rFonts w:cs="Times New Roman"/>
          <w:szCs w:val="24"/>
        </w:rPr>
        <w:t xml:space="preserve">zwiększył się zakres i zasięg realizacji usług opieki </w:t>
      </w:r>
      <w:proofErr w:type="spellStart"/>
      <w:r w:rsidRPr="00FD6C20">
        <w:rPr>
          <w:rFonts w:cs="Times New Roman"/>
          <w:szCs w:val="24"/>
        </w:rPr>
        <w:t>wytchnieniowej</w:t>
      </w:r>
      <w:proofErr w:type="spellEnd"/>
      <w:r w:rsidRPr="00FD6C20">
        <w:rPr>
          <w:rFonts w:cs="Times New Roman"/>
          <w:szCs w:val="24"/>
        </w:rPr>
        <w:t xml:space="preserve">. Wcześniej tylko nieliczne organizacje pozarządowe oraz jednostki samorządu terytorialnego oferowały pomoc członkom rodzin, opiekunom osób z niepełnosprawnością. </w:t>
      </w:r>
    </w:p>
    <w:p w14:paraId="6010E5E0" w14:textId="77777777" w:rsidR="001E0F91" w:rsidRDefault="001E0F91" w:rsidP="00FD6C20">
      <w:pPr>
        <w:autoSpaceDE w:val="0"/>
        <w:autoSpaceDN w:val="0"/>
        <w:adjustRightInd w:val="0"/>
        <w:rPr>
          <w:rFonts w:cs="Times New Roman"/>
          <w:szCs w:val="24"/>
        </w:rPr>
      </w:pPr>
    </w:p>
    <w:p w14:paraId="0C0600C6" w14:textId="039468F9" w:rsidR="00FD6C20" w:rsidRDefault="00FD6C20" w:rsidP="00FD6C20">
      <w:pPr>
        <w:autoSpaceDE w:val="0"/>
        <w:autoSpaceDN w:val="0"/>
        <w:adjustRightInd w:val="0"/>
        <w:rPr>
          <w:rFonts w:cs="Times New Roman"/>
          <w:szCs w:val="24"/>
        </w:rPr>
      </w:pPr>
      <w:r w:rsidRPr="00FD6C20">
        <w:rPr>
          <w:rFonts w:cs="Times New Roman"/>
          <w:szCs w:val="24"/>
        </w:rPr>
        <w:t>Celem Programu jest m. in. wsparcie członków rodzin lub opiekunów sprawujących bezpośrednią opiekę nad osobami ze znacznym stopniem niepełnosprawności oraz orzeczeniami równoważnymi, poprzez możliwość uzyska</w:t>
      </w:r>
      <w:r w:rsidR="001E0F91">
        <w:rPr>
          <w:rFonts w:cs="Times New Roman"/>
          <w:szCs w:val="24"/>
        </w:rPr>
        <w:t>nia doraźnej, czasowej pomocy w </w:t>
      </w:r>
      <w:r w:rsidRPr="00FD6C20">
        <w:rPr>
          <w:rFonts w:cs="Times New Roman"/>
          <w:szCs w:val="24"/>
        </w:rPr>
        <w:t xml:space="preserve">formie usługi opieki </w:t>
      </w:r>
      <w:proofErr w:type="spellStart"/>
      <w:r w:rsidRPr="00FD6C20">
        <w:rPr>
          <w:rFonts w:cs="Times New Roman"/>
          <w:szCs w:val="24"/>
        </w:rPr>
        <w:t>wytchnieniowej</w:t>
      </w:r>
      <w:proofErr w:type="spellEnd"/>
      <w:r w:rsidRPr="00FD6C20">
        <w:rPr>
          <w:rFonts w:cs="Times New Roman"/>
          <w:szCs w:val="24"/>
        </w:rPr>
        <w:t>.</w:t>
      </w:r>
    </w:p>
    <w:p w14:paraId="5D58762F" w14:textId="77777777" w:rsidR="00FD6C20" w:rsidRPr="00FD6C20" w:rsidRDefault="00FD6C20" w:rsidP="00FD6C20">
      <w:pPr>
        <w:autoSpaceDE w:val="0"/>
        <w:autoSpaceDN w:val="0"/>
        <w:adjustRightInd w:val="0"/>
        <w:rPr>
          <w:rFonts w:cs="Times New Roman"/>
          <w:szCs w:val="24"/>
        </w:rPr>
      </w:pPr>
    </w:p>
    <w:p w14:paraId="25BAC324" w14:textId="5FBD99AC" w:rsidR="00FD6C20" w:rsidRDefault="00FD6C20" w:rsidP="00FD6C20">
      <w:pPr>
        <w:autoSpaceDE w:val="0"/>
        <w:autoSpaceDN w:val="0"/>
        <w:adjustRightInd w:val="0"/>
        <w:rPr>
          <w:rFonts w:cs="Times New Roman"/>
          <w:szCs w:val="24"/>
        </w:rPr>
      </w:pPr>
      <w:r w:rsidRPr="00FD6C20">
        <w:rPr>
          <w:rFonts w:cs="Times New Roman"/>
          <w:szCs w:val="24"/>
        </w:rPr>
        <w:t xml:space="preserve">Program jest realizowany w trzech formach: świadczenia usługi opieki </w:t>
      </w:r>
      <w:proofErr w:type="spellStart"/>
      <w:r w:rsidRPr="00FD6C20">
        <w:rPr>
          <w:rFonts w:cs="Times New Roman"/>
          <w:szCs w:val="24"/>
        </w:rPr>
        <w:t>wytchnieniowej</w:t>
      </w:r>
      <w:proofErr w:type="spellEnd"/>
      <w:r w:rsidRPr="00FD6C20">
        <w:rPr>
          <w:rFonts w:cs="Times New Roman"/>
          <w:szCs w:val="24"/>
        </w:rPr>
        <w:t xml:space="preserve"> w ramach pobytu dziennego, pobytu całodobowego oraz świadczenia usługi opieki </w:t>
      </w:r>
      <w:proofErr w:type="spellStart"/>
      <w:r w:rsidRPr="00FD6C20">
        <w:rPr>
          <w:rFonts w:cs="Times New Roman"/>
          <w:szCs w:val="24"/>
        </w:rPr>
        <w:t>wytchnieniowej</w:t>
      </w:r>
      <w:proofErr w:type="spellEnd"/>
      <w:r w:rsidRPr="00FD6C20">
        <w:rPr>
          <w:rFonts w:cs="Times New Roman"/>
          <w:szCs w:val="24"/>
        </w:rPr>
        <w:t xml:space="preserve"> poprzez zapewnienie członkom rodziny lub opiekunom sprawującym bezpośrednią opiekę nad osobami ze znacznym stopni</w:t>
      </w:r>
      <w:r w:rsidR="001E0F91">
        <w:rPr>
          <w:rFonts w:cs="Times New Roman"/>
          <w:szCs w:val="24"/>
        </w:rPr>
        <w:t>em niepełnosprawności/osobami z </w:t>
      </w:r>
      <w:r w:rsidRPr="00FD6C20">
        <w:rPr>
          <w:rFonts w:cs="Times New Roman"/>
          <w:szCs w:val="24"/>
        </w:rPr>
        <w:t>orzeczeniem równoważnym, możliwości skorzystania ze specjalistycznego poradnictwa (psychologicznego lub terapeutycznego) oraz wsparcia w zakresie nauki pielęgnacji/rehabilitacji/dietetyki.</w:t>
      </w:r>
    </w:p>
    <w:p w14:paraId="08DCFC4C" w14:textId="77777777" w:rsidR="00FD6C20" w:rsidRPr="00FD6C20" w:rsidRDefault="00FD6C20" w:rsidP="00FD6C20">
      <w:pPr>
        <w:autoSpaceDE w:val="0"/>
        <w:autoSpaceDN w:val="0"/>
        <w:adjustRightInd w:val="0"/>
        <w:rPr>
          <w:rFonts w:cs="Times New Roman"/>
          <w:szCs w:val="24"/>
        </w:rPr>
      </w:pPr>
    </w:p>
    <w:p w14:paraId="20C79646" w14:textId="77777777" w:rsidR="00FD6C20" w:rsidRDefault="00FD6C20" w:rsidP="00FD6C20">
      <w:pPr>
        <w:autoSpaceDE w:val="0"/>
        <w:autoSpaceDN w:val="0"/>
        <w:adjustRightInd w:val="0"/>
        <w:rPr>
          <w:rFonts w:cs="Times New Roman"/>
          <w:szCs w:val="24"/>
        </w:rPr>
      </w:pPr>
      <w:r w:rsidRPr="00FD6C20">
        <w:rPr>
          <w:rFonts w:cs="Times New Roman"/>
          <w:szCs w:val="24"/>
        </w:rPr>
        <w:t xml:space="preserve">Celem Programu </w:t>
      </w:r>
      <w:r w:rsidRPr="00FD6C20">
        <w:rPr>
          <w:rFonts w:cs="Times New Roman"/>
          <w:b/>
          <w:szCs w:val="24"/>
        </w:rPr>
        <w:t xml:space="preserve">„Opieka </w:t>
      </w:r>
      <w:proofErr w:type="spellStart"/>
      <w:r w:rsidRPr="00FD6C20">
        <w:rPr>
          <w:rFonts w:cs="Times New Roman"/>
          <w:b/>
          <w:szCs w:val="24"/>
        </w:rPr>
        <w:t>wytchnieniowa</w:t>
      </w:r>
      <w:proofErr w:type="spellEnd"/>
      <w:r w:rsidRPr="00FD6C20">
        <w:rPr>
          <w:rFonts w:cs="Times New Roman"/>
          <w:b/>
          <w:szCs w:val="24"/>
        </w:rPr>
        <w:t xml:space="preserve"> dla członków rodzin lub opiekunów osób z niepełnosprawnością” – edycja 2020-2021</w:t>
      </w:r>
      <w:r w:rsidRPr="00FD6C20">
        <w:rPr>
          <w:rFonts w:cs="Times New Roman"/>
          <w:szCs w:val="24"/>
        </w:rPr>
        <w:t xml:space="preserve"> jest m. in. wsparcie członków rodzin lub opiekunów sprawujących bezpośrednią opiekę nad osobami ze znacznym stopniem niepełnosprawności oraz orzeczeniem równoważnym.</w:t>
      </w:r>
    </w:p>
    <w:p w14:paraId="23DCCAC8" w14:textId="77777777" w:rsidR="00FD6C20" w:rsidRPr="00FD6C20" w:rsidRDefault="00FD6C20" w:rsidP="00FD6C20">
      <w:pPr>
        <w:autoSpaceDE w:val="0"/>
        <w:autoSpaceDN w:val="0"/>
        <w:adjustRightInd w:val="0"/>
        <w:rPr>
          <w:rFonts w:cs="Times New Roman"/>
          <w:szCs w:val="24"/>
        </w:rPr>
      </w:pPr>
    </w:p>
    <w:p w14:paraId="685C1BD7" w14:textId="667D6C02" w:rsidR="00FD6C20" w:rsidRPr="00FD6C20" w:rsidRDefault="00FD6C20" w:rsidP="00FD6C20">
      <w:pPr>
        <w:autoSpaceDE w:val="0"/>
        <w:autoSpaceDN w:val="0"/>
        <w:adjustRightInd w:val="0"/>
        <w:rPr>
          <w:rFonts w:cs="Times New Roman"/>
          <w:szCs w:val="24"/>
        </w:rPr>
      </w:pPr>
      <w:r w:rsidRPr="00FD6C20">
        <w:rPr>
          <w:rFonts w:cs="Times New Roman"/>
          <w:szCs w:val="24"/>
        </w:rPr>
        <w:t>O dofinansowanie oferty w ramach konkursu mogą ubiegać</w:t>
      </w:r>
      <w:r w:rsidR="001E0F91">
        <w:rPr>
          <w:rFonts w:cs="Times New Roman"/>
          <w:szCs w:val="24"/>
        </w:rPr>
        <w:t xml:space="preserve"> się organizacje pozarządowe, o </w:t>
      </w:r>
      <w:r w:rsidRPr="00FD6C20">
        <w:rPr>
          <w:rFonts w:cs="Times New Roman"/>
          <w:szCs w:val="24"/>
        </w:rPr>
        <w:t xml:space="preserve">których mowa w art. 3 ust. 2 oraz w art. 3 ust. 3 pkt 1 ustawy z dnia 24 kwietnia 2003 r. o działalności pożytku publicznego i o wolontariacie </w:t>
      </w:r>
      <w:r w:rsidR="001E0F91">
        <w:rPr>
          <w:rFonts w:cs="Times New Roman"/>
          <w:szCs w:val="24"/>
        </w:rPr>
        <w:t>– posiadające statutowy zapis o </w:t>
      </w:r>
      <w:r w:rsidRPr="00FD6C20">
        <w:rPr>
          <w:rFonts w:cs="Times New Roman"/>
          <w:szCs w:val="24"/>
        </w:rPr>
        <w:t>prowadzeniu działań na rzecz osób z niepełnosprawnością</w:t>
      </w:r>
      <w:r w:rsidR="001E0F91">
        <w:rPr>
          <w:rFonts w:cs="Times New Roman"/>
          <w:szCs w:val="24"/>
        </w:rPr>
        <w:t xml:space="preserve"> oraz prowadzące działalność na </w:t>
      </w:r>
      <w:r w:rsidRPr="00FD6C20">
        <w:rPr>
          <w:rFonts w:cs="Times New Roman"/>
          <w:szCs w:val="24"/>
        </w:rPr>
        <w:t xml:space="preserve">rzecz tych osób przez okres co najmniej 3 lat przed dniem złożenia oferty. </w:t>
      </w:r>
    </w:p>
    <w:p w14:paraId="61631C45" w14:textId="77777777" w:rsidR="001E0F91" w:rsidRDefault="001E0F91" w:rsidP="00FD6C20">
      <w:pPr>
        <w:autoSpaceDE w:val="0"/>
        <w:autoSpaceDN w:val="0"/>
        <w:adjustRightInd w:val="0"/>
        <w:rPr>
          <w:rFonts w:cs="Times New Roman"/>
          <w:szCs w:val="24"/>
        </w:rPr>
      </w:pPr>
    </w:p>
    <w:p w14:paraId="30A5085C" w14:textId="151F0081" w:rsidR="00FD6C20" w:rsidRDefault="00FD6C20" w:rsidP="00FD6C20">
      <w:pPr>
        <w:autoSpaceDE w:val="0"/>
        <w:autoSpaceDN w:val="0"/>
        <w:adjustRightInd w:val="0"/>
        <w:rPr>
          <w:rFonts w:cs="Times New Roman"/>
          <w:szCs w:val="24"/>
        </w:rPr>
      </w:pPr>
      <w:r w:rsidRPr="00FD6C20">
        <w:rPr>
          <w:rFonts w:cs="Times New Roman"/>
          <w:szCs w:val="24"/>
        </w:rPr>
        <w:t xml:space="preserve">Program ma także zapewniać wzmocnienie dotychczasowego systemu wsparcia poprzez świadczenie usług opieki </w:t>
      </w:r>
      <w:proofErr w:type="spellStart"/>
      <w:r w:rsidRPr="00FD6C20">
        <w:rPr>
          <w:rFonts w:cs="Times New Roman"/>
          <w:szCs w:val="24"/>
        </w:rPr>
        <w:t>wytchnieniowej</w:t>
      </w:r>
      <w:proofErr w:type="spellEnd"/>
      <w:r w:rsidRPr="00FD6C20">
        <w:rPr>
          <w:rFonts w:cs="Times New Roman"/>
          <w:szCs w:val="24"/>
        </w:rPr>
        <w:t xml:space="preserve"> dla członków rodzin lub opiekunów sprawujących bezpośrednią opiekę nad osobami ze znacznym stopniem niepełnosprawności/osobami </w:t>
      </w:r>
      <w:r w:rsidRPr="00FD6C20">
        <w:rPr>
          <w:rFonts w:cs="Times New Roman"/>
          <w:szCs w:val="24"/>
        </w:rPr>
        <w:br/>
        <w:t xml:space="preserve">z orzeczeniem równoważnym. Podniesienie potencjału organizacji pozarządowych, o których mowa w art. 3 ust. 2 oraz art. 3 ust. 3 pkt 1 ustawy z dnia 24 kwietnia 2003 r. o działalności pożytku publicznego i o wolontariacie. </w:t>
      </w:r>
    </w:p>
    <w:p w14:paraId="463E718F" w14:textId="77777777" w:rsidR="00FD6C20" w:rsidRPr="00FD6C20" w:rsidRDefault="00FD6C20" w:rsidP="00FD6C20">
      <w:pPr>
        <w:autoSpaceDE w:val="0"/>
        <w:autoSpaceDN w:val="0"/>
        <w:adjustRightInd w:val="0"/>
        <w:rPr>
          <w:rFonts w:cs="Times New Roman"/>
          <w:szCs w:val="24"/>
        </w:rPr>
      </w:pPr>
    </w:p>
    <w:p w14:paraId="6497675E" w14:textId="6B68ADB8" w:rsidR="00FD6C20" w:rsidRDefault="00FD6C20" w:rsidP="00FD6C20">
      <w:pPr>
        <w:autoSpaceDE w:val="0"/>
        <w:autoSpaceDN w:val="0"/>
        <w:adjustRightInd w:val="0"/>
        <w:rPr>
          <w:rFonts w:cs="Times New Roman"/>
          <w:szCs w:val="24"/>
        </w:rPr>
      </w:pPr>
      <w:r w:rsidRPr="00FD6C20">
        <w:rPr>
          <w:rFonts w:cs="Times New Roman"/>
          <w:szCs w:val="24"/>
        </w:rPr>
        <w:t xml:space="preserve">Co więcej, ma zapewnić czasowe odciążenie członków rodzin lub opiekunów osób </w:t>
      </w:r>
      <w:r w:rsidRPr="00FD6C20">
        <w:rPr>
          <w:rFonts w:cs="Times New Roman"/>
          <w:szCs w:val="24"/>
        </w:rPr>
        <w:br/>
        <w:t>z niepełnosprawnością od codziennych obowiązków łączących się ze sprawowaniem opieki, zapewnienie czasu na odpoczynek i regenerację. Wzmocnienie ich osobistego potencjału oraz ograniczenie wpływu obciążeń psychofizycznych związanych ze sprawowaniem opieki poprzez wsparcie psychologiczne lub terapeutyczne. Jak również podniesienie poziomu kompetencji dotyczących wsparcia osoby niepełnosprawnej poprzez naukę technik wspomagania, pielęgnacji, prowadzenia działań rehabilitacyjnych w warunkach domowych oraz objęcie specjalistycznym poradnictwem w zakresie psychologicznych i społecznych aspektów wsparcia osób z niepełnosprawnością, zagadnienia profilaktyki zdrowot</w:t>
      </w:r>
      <w:r w:rsidR="001E0F91">
        <w:rPr>
          <w:rFonts w:cs="Times New Roman"/>
          <w:szCs w:val="24"/>
        </w:rPr>
        <w:t>nej i </w:t>
      </w:r>
      <w:r w:rsidRPr="00FD6C20">
        <w:rPr>
          <w:rFonts w:cs="Times New Roman"/>
          <w:szCs w:val="24"/>
        </w:rPr>
        <w:t>zdrowego stylu życia.</w:t>
      </w:r>
    </w:p>
    <w:p w14:paraId="1F657AFC" w14:textId="77777777" w:rsidR="00FD6C20" w:rsidRPr="00FD6C20" w:rsidRDefault="00FD6C20" w:rsidP="00FD6C20">
      <w:pPr>
        <w:autoSpaceDE w:val="0"/>
        <w:autoSpaceDN w:val="0"/>
        <w:adjustRightInd w:val="0"/>
        <w:rPr>
          <w:rFonts w:cs="Times New Roman"/>
          <w:szCs w:val="24"/>
        </w:rPr>
      </w:pPr>
    </w:p>
    <w:p w14:paraId="132BD65D" w14:textId="4FC7EECD" w:rsidR="00FD6C20" w:rsidRDefault="00FD6C20" w:rsidP="00FD6C20">
      <w:pPr>
        <w:autoSpaceDE w:val="0"/>
        <w:autoSpaceDN w:val="0"/>
        <w:adjustRightInd w:val="0"/>
        <w:rPr>
          <w:rFonts w:cs="Times New Roman"/>
          <w:szCs w:val="24"/>
        </w:rPr>
      </w:pPr>
      <w:r w:rsidRPr="00FD6C20">
        <w:rPr>
          <w:rFonts w:cs="Times New Roman"/>
          <w:szCs w:val="24"/>
        </w:rPr>
        <w:t xml:space="preserve">Głównym celem Programu </w:t>
      </w:r>
      <w:r w:rsidRPr="00FD6C20">
        <w:rPr>
          <w:rFonts w:cs="Times New Roman"/>
          <w:b/>
          <w:szCs w:val="24"/>
        </w:rPr>
        <w:t>„Centra opiekuńczo-mieszkalne”</w:t>
      </w:r>
      <w:r w:rsidRPr="00FD6C20">
        <w:rPr>
          <w:rFonts w:cs="Times New Roman"/>
          <w:szCs w:val="24"/>
        </w:rPr>
        <w:t xml:space="preserve"> jest pomoc dorosłym osobom niepełnosprawnym ze znacznym lub umiarkowanym stopniem niepełnosprawności, o których mowa w ustawie z dnia 27 sierpnia 1997 r. o rehabilitacji zawodowej i społecznej oraz zatrudnianiu osób niepełnosprawnych poprzez zapewnienie usług zamieszkiwania w ramach </w:t>
      </w:r>
      <w:r w:rsidRPr="00FD6C20">
        <w:rPr>
          <w:rFonts w:cs="Times New Roman"/>
          <w:szCs w:val="24"/>
        </w:rPr>
        <w:lastRenderedPageBreak/>
        <w:t>pobytu dziennego lub całodobowego. Centra stanowią formę ośrodka wsparcia zgodnie z art. 51 ustawy z dnia 12 marca 2004 r. o pomocy społecznej.</w:t>
      </w:r>
    </w:p>
    <w:p w14:paraId="13CB65D6" w14:textId="77777777" w:rsidR="00FD6C20" w:rsidRPr="00FD6C20" w:rsidRDefault="00FD6C20" w:rsidP="00FD6C20">
      <w:pPr>
        <w:autoSpaceDE w:val="0"/>
        <w:autoSpaceDN w:val="0"/>
        <w:adjustRightInd w:val="0"/>
        <w:rPr>
          <w:rFonts w:cs="Times New Roman"/>
          <w:szCs w:val="24"/>
        </w:rPr>
      </w:pPr>
    </w:p>
    <w:p w14:paraId="7D0E711F" w14:textId="4548BE9C" w:rsidR="00FD6C20" w:rsidRDefault="00FD6C20" w:rsidP="00FD6C20">
      <w:pPr>
        <w:autoSpaceDE w:val="0"/>
        <w:autoSpaceDN w:val="0"/>
        <w:adjustRightInd w:val="0"/>
        <w:rPr>
          <w:rFonts w:cs="Times New Roman"/>
          <w:szCs w:val="24"/>
        </w:rPr>
      </w:pPr>
      <w:r w:rsidRPr="00FD6C20">
        <w:rPr>
          <w:rFonts w:cs="Times New Roman"/>
          <w:szCs w:val="24"/>
        </w:rPr>
        <w:t>Infrastruktura Centrum oraz organizacja i rodzaj świadczonych usług w sposób szczególny odpowiadać ma potrzebom uczestników wynikającym z różnego spektrum niepełnosprawności, zapewnić warunki do nawiązywania i u</w:t>
      </w:r>
      <w:r w:rsidR="001E0F91">
        <w:rPr>
          <w:rFonts w:cs="Times New Roman"/>
          <w:szCs w:val="24"/>
        </w:rPr>
        <w:t>trzymywania relacji z innymi, a </w:t>
      </w:r>
      <w:r w:rsidRPr="00FD6C20">
        <w:rPr>
          <w:rFonts w:cs="Times New Roman"/>
          <w:szCs w:val="24"/>
        </w:rPr>
        <w:t>także nabywania oraz rozwijania umiejętności i kompetencji decydujących o indywidualnej samodzielności i możliwości podejmowania ról społecznych.</w:t>
      </w:r>
    </w:p>
    <w:p w14:paraId="2E169CD0" w14:textId="77777777" w:rsidR="00FD6C20" w:rsidRPr="00FD6C20" w:rsidRDefault="00FD6C20" w:rsidP="00FD6C20">
      <w:pPr>
        <w:autoSpaceDE w:val="0"/>
        <w:autoSpaceDN w:val="0"/>
        <w:adjustRightInd w:val="0"/>
        <w:rPr>
          <w:rFonts w:cs="Times New Roman"/>
          <w:szCs w:val="24"/>
        </w:rPr>
      </w:pPr>
    </w:p>
    <w:p w14:paraId="348A966E" w14:textId="04406099" w:rsidR="00FD6C20" w:rsidRDefault="00FD6C20" w:rsidP="00FD6C20">
      <w:pPr>
        <w:autoSpaceDE w:val="0"/>
        <w:autoSpaceDN w:val="0"/>
        <w:adjustRightInd w:val="0"/>
        <w:rPr>
          <w:rFonts w:cs="Times New Roman"/>
          <w:szCs w:val="24"/>
        </w:rPr>
      </w:pPr>
      <w:r w:rsidRPr="00FD6C20">
        <w:rPr>
          <w:rFonts w:cs="Times New Roman"/>
          <w:szCs w:val="24"/>
        </w:rPr>
        <w:t>Centrum będzie tworzyć otoczenie cechami nawiązującymi do środowiska i miru domowego, w którym kluczowymi wartościami będą podmiotowość i włączenie społeczne uczestników, troska o ich dobrostan, gdzie zachowana zostanie równowaga między zabezpieczeniem potrzeb uczestników związanych z niepełnosprawnością i zdro</w:t>
      </w:r>
      <w:r w:rsidR="001E0F91">
        <w:rPr>
          <w:rFonts w:cs="Times New Roman"/>
          <w:szCs w:val="24"/>
        </w:rPr>
        <w:t>wiem, nabywaniem umiejętności i </w:t>
      </w:r>
      <w:r w:rsidRPr="00FD6C20">
        <w:rPr>
          <w:rFonts w:cs="Times New Roman"/>
          <w:szCs w:val="24"/>
        </w:rPr>
        <w:t>kompetencji oraz rekreacją i spędzaniem wolnego czasu.</w:t>
      </w:r>
    </w:p>
    <w:p w14:paraId="43B9BCA6" w14:textId="77777777" w:rsidR="00FD6C20" w:rsidRPr="00FD6C20" w:rsidRDefault="00FD6C20" w:rsidP="00FD6C20">
      <w:pPr>
        <w:autoSpaceDE w:val="0"/>
        <w:autoSpaceDN w:val="0"/>
        <w:adjustRightInd w:val="0"/>
        <w:rPr>
          <w:rFonts w:cs="Times New Roman"/>
          <w:szCs w:val="24"/>
        </w:rPr>
      </w:pPr>
    </w:p>
    <w:p w14:paraId="4786F91B" w14:textId="733AFFD5" w:rsidR="00FD6C20" w:rsidRPr="00FD6C20" w:rsidRDefault="00FD6C20" w:rsidP="00FD6C20">
      <w:pPr>
        <w:autoSpaceDE w:val="0"/>
        <w:autoSpaceDN w:val="0"/>
        <w:adjustRightInd w:val="0"/>
        <w:rPr>
          <w:rFonts w:cs="Times New Roman"/>
          <w:szCs w:val="24"/>
        </w:rPr>
      </w:pPr>
      <w:r w:rsidRPr="00FD6C20">
        <w:rPr>
          <w:rFonts w:cs="Times New Roman"/>
          <w:szCs w:val="24"/>
        </w:rPr>
        <w:t>Infrastruktura/organizacja/zakres świadczonych usług oraz kwalifikacje personelu Centrum muszą spełniać wymogi określone w rozdziale VI Standard Centrum. Ponadto muszą one być powiązane z  formułą i celami Centrum oraz być w pełni zgodn</w:t>
      </w:r>
      <w:r w:rsidR="001E0F91">
        <w:rPr>
          <w:rFonts w:cs="Times New Roman"/>
          <w:szCs w:val="24"/>
        </w:rPr>
        <w:t>e z przepisami ustawy z dnia 19 </w:t>
      </w:r>
      <w:r w:rsidRPr="00FD6C20">
        <w:rPr>
          <w:rFonts w:cs="Times New Roman"/>
          <w:szCs w:val="24"/>
        </w:rPr>
        <w:t xml:space="preserve">lipca 2019 r. o zapewnianiu dostępności osobom ze szczególnymi potrzebami oraz standardami projektowania budynków dla osób niepełnosprawnych (Dz. U. z 2020 r. poz. 1062). W wymiarze horyzontalnym odnoszą się do art. 19 Konwencji ONZ o prawach osób niepełnosprawnych </w:t>
      </w:r>
      <w:r w:rsidRPr="00FD6C20">
        <w:rPr>
          <w:rFonts w:cs="Times New Roman"/>
          <w:i/>
          <w:szCs w:val="24"/>
        </w:rPr>
        <w:t>Niezależne życie i włączenie w społeczeństwo</w:t>
      </w:r>
      <w:r w:rsidRPr="00FD6C20">
        <w:rPr>
          <w:rFonts w:cs="Times New Roman"/>
          <w:szCs w:val="24"/>
        </w:rPr>
        <w:t>.</w:t>
      </w:r>
    </w:p>
    <w:p w14:paraId="200F619E" w14:textId="77777777" w:rsidR="00FD6C20" w:rsidRPr="00FD6C20" w:rsidRDefault="00FD6C20" w:rsidP="00FD6C20">
      <w:pPr>
        <w:autoSpaceDE w:val="0"/>
        <w:autoSpaceDN w:val="0"/>
        <w:adjustRightInd w:val="0"/>
        <w:rPr>
          <w:rFonts w:cs="Times New Roman"/>
          <w:szCs w:val="24"/>
        </w:rPr>
      </w:pPr>
    </w:p>
    <w:p w14:paraId="0920B7F4" w14:textId="2F23C87E" w:rsidR="00FD6C20" w:rsidRDefault="00FD6C20" w:rsidP="00FD6C20">
      <w:pPr>
        <w:autoSpaceDE w:val="0"/>
        <w:autoSpaceDN w:val="0"/>
        <w:adjustRightInd w:val="0"/>
        <w:rPr>
          <w:rFonts w:cs="Times New Roman"/>
          <w:szCs w:val="24"/>
        </w:rPr>
      </w:pPr>
      <w:r w:rsidRPr="00FD6C20">
        <w:rPr>
          <w:rFonts w:cs="Times New Roman"/>
          <w:szCs w:val="24"/>
        </w:rPr>
        <w:t>Dodatkowo należy zauważyć, że ustawa z dnia 27 sierpnia 1997</w:t>
      </w:r>
      <w:r w:rsidR="001E0F91">
        <w:rPr>
          <w:rFonts w:cs="Times New Roman"/>
          <w:szCs w:val="24"/>
        </w:rPr>
        <w:t xml:space="preserve"> r. o rehabilitacji zawodowej i </w:t>
      </w:r>
      <w:r w:rsidRPr="00FD6C20">
        <w:rPr>
          <w:rFonts w:cs="Times New Roman"/>
          <w:szCs w:val="24"/>
        </w:rPr>
        <w:t xml:space="preserve">społecznej oraz zatrudnianiu osób niepełnosprawnych przewiduje szereg instrumentów służących wsparciu osób niepełnosprawnych, które mogą być dofinansowane ze środków Państwowego Funduszu Rehabilitacji Osób Niepełnosprawnych. Powyższe przepisy dotyczą wszystkich osób, których niepełnosprawność została potwierdzona stosownym orzeczeniem. </w:t>
      </w:r>
    </w:p>
    <w:p w14:paraId="473DBF0B" w14:textId="77777777" w:rsidR="00FD6C20" w:rsidRPr="00FD6C20" w:rsidRDefault="00FD6C20" w:rsidP="00FD6C20">
      <w:pPr>
        <w:autoSpaceDE w:val="0"/>
        <w:autoSpaceDN w:val="0"/>
        <w:adjustRightInd w:val="0"/>
        <w:rPr>
          <w:rFonts w:cs="Times New Roman"/>
          <w:szCs w:val="24"/>
        </w:rPr>
      </w:pPr>
    </w:p>
    <w:p w14:paraId="26D6D3B4" w14:textId="09AE28FA" w:rsidR="00FD6C20" w:rsidRDefault="00FD6C20" w:rsidP="00FD6C20">
      <w:pPr>
        <w:autoSpaceDE w:val="0"/>
        <w:autoSpaceDN w:val="0"/>
        <w:adjustRightInd w:val="0"/>
        <w:rPr>
          <w:rFonts w:cs="Times New Roman"/>
          <w:szCs w:val="24"/>
        </w:rPr>
      </w:pPr>
      <w:r w:rsidRPr="00FD6C20">
        <w:rPr>
          <w:rFonts w:cs="Times New Roman"/>
          <w:szCs w:val="24"/>
        </w:rPr>
        <w:t xml:space="preserve">Zgodnie z ww. ustawą oraz rozporządzeniem Ministra Pracy </w:t>
      </w:r>
      <w:r w:rsidR="001E0F91">
        <w:rPr>
          <w:rFonts w:cs="Times New Roman"/>
          <w:szCs w:val="24"/>
        </w:rPr>
        <w:t>i Polityki Społecznej z dnia 15 </w:t>
      </w:r>
      <w:r w:rsidRPr="00FD6C20">
        <w:rPr>
          <w:rFonts w:cs="Times New Roman"/>
          <w:szCs w:val="24"/>
        </w:rPr>
        <w:t xml:space="preserve">listopada 2007 r. w sprawie turnusów rehabilitacyjnych (Dz. U. poz. 1694, z </w:t>
      </w:r>
      <w:proofErr w:type="spellStart"/>
      <w:r w:rsidRPr="00FD6C20">
        <w:rPr>
          <w:rFonts w:cs="Times New Roman"/>
          <w:szCs w:val="24"/>
        </w:rPr>
        <w:t>późn</w:t>
      </w:r>
      <w:proofErr w:type="spellEnd"/>
      <w:r w:rsidRPr="00FD6C20">
        <w:rPr>
          <w:rFonts w:cs="Times New Roman"/>
          <w:szCs w:val="24"/>
        </w:rPr>
        <w:t xml:space="preserve">. zm.), osoba niepełnosprawna może raz w roku ubiegać się o dofinansowanie – ze środków PFRON - kosztów uczestnictwa w turnusie rehabilitacyjnym. </w:t>
      </w:r>
    </w:p>
    <w:p w14:paraId="1A84578A" w14:textId="77777777" w:rsidR="00FD6C20" w:rsidRPr="00FD6C20" w:rsidRDefault="00FD6C20" w:rsidP="00FD6C20">
      <w:pPr>
        <w:autoSpaceDE w:val="0"/>
        <w:autoSpaceDN w:val="0"/>
        <w:adjustRightInd w:val="0"/>
        <w:rPr>
          <w:rFonts w:cs="Times New Roman"/>
          <w:szCs w:val="24"/>
        </w:rPr>
      </w:pPr>
    </w:p>
    <w:p w14:paraId="621F16FB" w14:textId="3475D85C" w:rsidR="00FD6C20" w:rsidRPr="00FD6C20" w:rsidRDefault="00FD6C20" w:rsidP="00FD6C20">
      <w:pPr>
        <w:autoSpaceDE w:val="0"/>
        <w:autoSpaceDN w:val="0"/>
        <w:adjustRightInd w:val="0"/>
        <w:rPr>
          <w:rFonts w:cs="Times New Roman"/>
          <w:szCs w:val="24"/>
        </w:rPr>
      </w:pPr>
      <w:r w:rsidRPr="00FD6C20">
        <w:rPr>
          <w:rFonts w:cs="Times New Roman"/>
          <w:szCs w:val="24"/>
        </w:rPr>
        <w:t xml:space="preserve">Ponadto, na podstawie wyżej wspomnianej ustawy i rozporządzenia Ministra Pracy i Polityki Społecznej z dnia 25 czerwca 2002 r. w sprawie określenia rodzajów zadań powiatu, które mogą być finansowane ze środków Państwowego Funduszu Rehabilitacji Osób Niepełnosprawnych (Dz. U. z 2015 r. poz. 926, z </w:t>
      </w:r>
      <w:proofErr w:type="spellStart"/>
      <w:r w:rsidRPr="00FD6C20">
        <w:rPr>
          <w:rFonts w:cs="Times New Roman"/>
          <w:szCs w:val="24"/>
        </w:rPr>
        <w:t>późn</w:t>
      </w:r>
      <w:proofErr w:type="spellEnd"/>
      <w:r w:rsidRPr="00FD6C20">
        <w:rPr>
          <w:rFonts w:cs="Times New Roman"/>
          <w:szCs w:val="24"/>
        </w:rPr>
        <w:t>. zm.), osoba niep</w:t>
      </w:r>
      <w:r w:rsidR="001E0F91">
        <w:rPr>
          <w:rFonts w:cs="Times New Roman"/>
          <w:szCs w:val="24"/>
        </w:rPr>
        <w:t>ełnosprawna  może ubiegać się o </w:t>
      </w:r>
      <w:r w:rsidRPr="00FD6C20">
        <w:rPr>
          <w:rFonts w:cs="Times New Roman"/>
          <w:szCs w:val="24"/>
        </w:rPr>
        <w:t>dofinansowanie ze środków PFRON:</w:t>
      </w:r>
    </w:p>
    <w:p w14:paraId="5BF6E15F" w14:textId="77777777" w:rsidR="00AC0C90" w:rsidRDefault="00FD6C20" w:rsidP="00FE70E3">
      <w:pPr>
        <w:pStyle w:val="Akapitzlist"/>
        <w:numPr>
          <w:ilvl w:val="0"/>
          <w:numId w:val="87"/>
        </w:numPr>
        <w:autoSpaceDE w:val="0"/>
        <w:autoSpaceDN w:val="0"/>
        <w:adjustRightInd w:val="0"/>
        <w:rPr>
          <w:rFonts w:cs="Times New Roman"/>
          <w:szCs w:val="24"/>
        </w:rPr>
      </w:pPr>
      <w:r w:rsidRPr="00AC0C90">
        <w:rPr>
          <w:rFonts w:cs="Times New Roman"/>
          <w:szCs w:val="24"/>
        </w:rPr>
        <w:t xml:space="preserve">zaopatrzenia w sprzęt rehabilitacyjny, </w:t>
      </w:r>
    </w:p>
    <w:p w14:paraId="74373137" w14:textId="77777777" w:rsidR="00AC0C90" w:rsidRDefault="00FD6C20" w:rsidP="00FE70E3">
      <w:pPr>
        <w:pStyle w:val="Akapitzlist"/>
        <w:numPr>
          <w:ilvl w:val="0"/>
          <w:numId w:val="87"/>
        </w:numPr>
        <w:autoSpaceDE w:val="0"/>
        <w:autoSpaceDN w:val="0"/>
        <w:adjustRightInd w:val="0"/>
        <w:rPr>
          <w:rFonts w:cs="Times New Roman"/>
          <w:szCs w:val="24"/>
        </w:rPr>
      </w:pPr>
      <w:r w:rsidRPr="00AC0C90">
        <w:rPr>
          <w:rFonts w:cs="Times New Roman"/>
          <w:szCs w:val="24"/>
        </w:rPr>
        <w:t xml:space="preserve">likwidacji barier architektonicznych, w komunikowaniu się i technicznych, </w:t>
      </w:r>
    </w:p>
    <w:p w14:paraId="6AB83DD9" w14:textId="77777777" w:rsidR="00AC0C90" w:rsidRDefault="00FD6C20" w:rsidP="00FE70E3">
      <w:pPr>
        <w:pStyle w:val="Akapitzlist"/>
        <w:numPr>
          <w:ilvl w:val="0"/>
          <w:numId w:val="87"/>
        </w:numPr>
        <w:autoSpaceDE w:val="0"/>
        <w:autoSpaceDN w:val="0"/>
        <w:adjustRightInd w:val="0"/>
        <w:rPr>
          <w:rFonts w:cs="Times New Roman"/>
          <w:szCs w:val="24"/>
        </w:rPr>
      </w:pPr>
      <w:r w:rsidRPr="00AC0C90">
        <w:rPr>
          <w:rFonts w:cs="Times New Roman"/>
          <w:szCs w:val="24"/>
        </w:rPr>
        <w:lastRenderedPageBreak/>
        <w:t>zaopatrzenia w przedmioty ortopedyczne i środki pomocnicze przyznawane osobom niepełnosprawnym na podstawie odrębnych przepisów,</w:t>
      </w:r>
    </w:p>
    <w:p w14:paraId="51EB6FF1" w14:textId="1B3C132C" w:rsidR="00FD6C20" w:rsidRPr="00AC0C90" w:rsidRDefault="00FD6C20" w:rsidP="00FE70E3">
      <w:pPr>
        <w:pStyle w:val="Akapitzlist"/>
        <w:numPr>
          <w:ilvl w:val="0"/>
          <w:numId w:val="87"/>
        </w:numPr>
        <w:autoSpaceDE w:val="0"/>
        <w:autoSpaceDN w:val="0"/>
        <w:adjustRightInd w:val="0"/>
        <w:rPr>
          <w:rFonts w:cs="Times New Roman"/>
          <w:szCs w:val="24"/>
        </w:rPr>
      </w:pPr>
      <w:r w:rsidRPr="00AC0C90">
        <w:rPr>
          <w:rFonts w:cs="Times New Roman"/>
          <w:szCs w:val="24"/>
        </w:rPr>
        <w:t>usług tłumacza języka migowego lub tłumacza-przewodnika.</w:t>
      </w:r>
    </w:p>
    <w:p w14:paraId="5032607E" w14:textId="4C989E4D" w:rsidR="00FD6C20" w:rsidRDefault="00FD6C20" w:rsidP="00FD6C20">
      <w:pPr>
        <w:autoSpaceDE w:val="0"/>
        <w:autoSpaceDN w:val="0"/>
        <w:adjustRightInd w:val="0"/>
        <w:rPr>
          <w:rFonts w:cs="Times New Roman"/>
          <w:szCs w:val="24"/>
        </w:rPr>
      </w:pPr>
      <w:r w:rsidRPr="00FD6C20">
        <w:rPr>
          <w:rFonts w:cs="Times New Roman"/>
          <w:szCs w:val="24"/>
        </w:rPr>
        <w:t xml:space="preserve">Ponadto, zgodnie z art. 10 ustawy </w:t>
      </w:r>
      <w:r w:rsidR="008E1915" w:rsidRPr="00FD6C20">
        <w:rPr>
          <w:rFonts w:cs="Times New Roman"/>
          <w:szCs w:val="24"/>
        </w:rPr>
        <w:t>z dnia 27 sierpnia 1997</w:t>
      </w:r>
      <w:r w:rsidR="001E0F91">
        <w:rPr>
          <w:rFonts w:cs="Times New Roman"/>
          <w:szCs w:val="24"/>
        </w:rPr>
        <w:t xml:space="preserve"> r. o rehabilitacji zawodowej i </w:t>
      </w:r>
      <w:r w:rsidR="008E1915" w:rsidRPr="00FD6C20">
        <w:rPr>
          <w:rFonts w:cs="Times New Roman"/>
          <w:szCs w:val="24"/>
        </w:rPr>
        <w:t>społecznej oraz zatrudnianiu osób niepełnosprawnych</w:t>
      </w:r>
      <w:r w:rsidRPr="00FD6C20">
        <w:rPr>
          <w:rFonts w:cs="Times New Roman"/>
          <w:szCs w:val="24"/>
        </w:rPr>
        <w:t>, do podstawowych form aktywności wspomagającej proces rehabilitacji zawodowej i społecznej osób niepełnosprawnych zalicza się uczestnictwo tych osób w warsztatach terapii zajęciowej.</w:t>
      </w:r>
    </w:p>
    <w:p w14:paraId="37ACA9DA" w14:textId="77777777" w:rsidR="00FD6C20" w:rsidRPr="00FD6C20" w:rsidRDefault="00FD6C20" w:rsidP="00FD6C20">
      <w:pPr>
        <w:autoSpaceDE w:val="0"/>
        <w:autoSpaceDN w:val="0"/>
        <w:adjustRightInd w:val="0"/>
        <w:rPr>
          <w:rFonts w:cs="Times New Roman"/>
          <w:szCs w:val="24"/>
        </w:rPr>
      </w:pPr>
    </w:p>
    <w:p w14:paraId="7EA33B5E" w14:textId="04CE8DCB" w:rsidR="00FD6C20" w:rsidRPr="00FD6C20" w:rsidRDefault="00A5053D" w:rsidP="00FD6C20">
      <w:pPr>
        <w:autoSpaceDE w:val="0"/>
        <w:autoSpaceDN w:val="0"/>
        <w:adjustRightInd w:val="0"/>
        <w:rPr>
          <w:rFonts w:cs="Times New Roman"/>
          <w:szCs w:val="24"/>
        </w:rPr>
      </w:pPr>
      <w:r>
        <w:rPr>
          <w:rFonts w:cs="Times New Roman"/>
          <w:szCs w:val="24"/>
        </w:rPr>
        <w:t>W</w:t>
      </w:r>
      <w:r w:rsidR="00FD6C20" w:rsidRPr="00FD6C20">
        <w:rPr>
          <w:rFonts w:cs="Times New Roman"/>
          <w:szCs w:val="24"/>
        </w:rPr>
        <w:t xml:space="preserve">arsztat terapii zajęciowej jest „wyodrębnioną organizacyjnie i finansowo placówką stwarzającą osobom niepełnosprawnym niezdolnym do podjęcia pracy możliwość rehabilitacji społecznej i zawodowej w zakresie pozyskania lub przywracania umiejętności niezbędnych do podjęcia zatrudnienia” (art. 10a ust. 1 </w:t>
      </w:r>
      <w:r w:rsidR="008E1915">
        <w:rPr>
          <w:rFonts w:cs="Times New Roman"/>
          <w:szCs w:val="24"/>
        </w:rPr>
        <w:t>ww.</w:t>
      </w:r>
      <w:r>
        <w:rPr>
          <w:rFonts w:cs="Times New Roman"/>
          <w:szCs w:val="24"/>
        </w:rPr>
        <w:t xml:space="preserve"> ustawy). </w:t>
      </w:r>
      <w:r w:rsidR="00FD6C20" w:rsidRPr="00FD6C20">
        <w:rPr>
          <w:rFonts w:cs="Times New Roman"/>
          <w:szCs w:val="24"/>
        </w:rPr>
        <w:t>Głównym celem warsztatów terapii zajęciowej, poza rehabilitacją społeczną, jest aktywizacja zawodowa w zakresie pozyskania lub przywracania umiejętności niezbędnych do podjęcia zatrudnienia przez osoby niepełnosprawne.</w:t>
      </w:r>
      <w:r>
        <w:rPr>
          <w:rFonts w:cs="Times New Roman"/>
          <w:szCs w:val="24"/>
        </w:rPr>
        <w:t xml:space="preserve"> D</w:t>
      </w:r>
      <w:r w:rsidR="00FD6C20" w:rsidRPr="00FD6C20">
        <w:rPr>
          <w:rFonts w:cs="Times New Roman"/>
          <w:szCs w:val="24"/>
        </w:rPr>
        <w:t>ostępne dane nie pozwalają na wyodrębnienie grupy osób niepełnosprawnych starszych korzystających ze wsparcia w zakresie rehabilitacji społecznej.</w:t>
      </w:r>
    </w:p>
    <w:p w14:paraId="57297444" w14:textId="77777777" w:rsidR="00FD6C20" w:rsidRDefault="00FD6C20" w:rsidP="00040288">
      <w:pPr>
        <w:autoSpaceDE w:val="0"/>
        <w:autoSpaceDN w:val="0"/>
        <w:adjustRightInd w:val="0"/>
        <w:rPr>
          <w:rFonts w:cs="Times New Roman"/>
          <w:szCs w:val="24"/>
        </w:rPr>
      </w:pPr>
    </w:p>
    <w:p w14:paraId="6C5E3CED" w14:textId="429F0806" w:rsidR="003A56CF" w:rsidRDefault="00AC0C90" w:rsidP="003A56CF">
      <w:pPr>
        <w:pStyle w:val="Nagwek3"/>
      </w:pPr>
      <w:bookmarkStart w:id="89" w:name="_Toc77513924"/>
      <w:bookmarkStart w:id="90" w:name="_Toc80523078"/>
      <w:r>
        <w:t>R</w:t>
      </w:r>
      <w:r w:rsidRPr="003A56CF">
        <w:t>ealizacja pozostałych działań na rzecz osób starszych</w:t>
      </w:r>
      <w:bookmarkEnd w:id="89"/>
      <w:r w:rsidR="00A5053D">
        <w:t xml:space="preserve"> (świadczenia </w:t>
      </w:r>
      <w:proofErr w:type="spellStart"/>
      <w:r w:rsidR="00A5053D">
        <w:t>pienieżne</w:t>
      </w:r>
      <w:proofErr w:type="spellEnd"/>
      <w:r w:rsidR="00A5053D">
        <w:t>)</w:t>
      </w:r>
      <w:bookmarkEnd w:id="90"/>
    </w:p>
    <w:p w14:paraId="3C18708E" w14:textId="77777777" w:rsidR="00AC0C90" w:rsidRPr="00AC0C90" w:rsidRDefault="00AC0C90" w:rsidP="00AC0C90"/>
    <w:p w14:paraId="19A8222C" w14:textId="4EED687E" w:rsidR="003A56CF" w:rsidRDefault="003A56CF" w:rsidP="003A56CF">
      <w:pPr>
        <w:autoSpaceDE w:val="0"/>
        <w:autoSpaceDN w:val="0"/>
        <w:adjustRightInd w:val="0"/>
        <w:rPr>
          <w:rFonts w:cs="Times New Roman"/>
          <w:szCs w:val="24"/>
        </w:rPr>
      </w:pPr>
      <w:r w:rsidRPr="003A56CF">
        <w:rPr>
          <w:rFonts w:cs="Times New Roman"/>
          <w:szCs w:val="24"/>
        </w:rPr>
        <w:t>Obowiązujący w 2020 r. system świadczeń rodzinnych, który funkcjonuje od 1 maja 2004 r., uregulowany ustawą z dnia 28 listopada 2003 r. o świadczeniach rodzinnych, zawiera trzy rodzaje świadczeń opiekuńczych skierowane do osób niepełnosprawnych lub do opiekunów osób niepełnosprawnych, z których mogą korzystać również starsze osoby niepełnosprawne</w:t>
      </w:r>
      <w:r w:rsidR="00AC0C90">
        <w:rPr>
          <w:rFonts w:cs="Times New Roman"/>
          <w:szCs w:val="24"/>
        </w:rPr>
        <w:t xml:space="preserve"> </w:t>
      </w:r>
      <w:r w:rsidRPr="003A56CF">
        <w:rPr>
          <w:rFonts w:cs="Times New Roman"/>
          <w:szCs w:val="24"/>
        </w:rPr>
        <w:t xml:space="preserve">oraz ich opiekunowie. </w:t>
      </w:r>
    </w:p>
    <w:p w14:paraId="04CE99CC" w14:textId="77777777" w:rsidR="00AC0C90" w:rsidRPr="003A56CF" w:rsidRDefault="00AC0C90" w:rsidP="003A56CF">
      <w:pPr>
        <w:autoSpaceDE w:val="0"/>
        <w:autoSpaceDN w:val="0"/>
        <w:adjustRightInd w:val="0"/>
        <w:rPr>
          <w:rFonts w:cs="Times New Roman"/>
          <w:szCs w:val="24"/>
        </w:rPr>
      </w:pPr>
    </w:p>
    <w:p w14:paraId="6233A310" w14:textId="6BC31DD9" w:rsidR="003A56CF" w:rsidRPr="003A56CF" w:rsidRDefault="003A56CF" w:rsidP="003A56CF">
      <w:pPr>
        <w:autoSpaceDE w:val="0"/>
        <w:autoSpaceDN w:val="0"/>
        <w:adjustRightInd w:val="0"/>
        <w:rPr>
          <w:rFonts w:cs="Times New Roman"/>
          <w:szCs w:val="24"/>
        </w:rPr>
      </w:pPr>
      <w:r w:rsidRPr="003A56CF">
        <w:rPr>
          <w:rFonts w:cs="Times New Roman"/>
          <w:szCs w:val="24"/>
        </w:rPr>
        <w:t>Funkcjonującym w ramach systemu świadczeń rodzinnych, świadczeniem opiekuńczym</w:t>
      </w:r>
      <w:r w:rsidR="00AC0C90">
        <w:rPr>
          <w:rFonts w:cs="Times New Roman"/>
          <w:szCs w:val="24"/>
        </w:rPr>
        <w:t xml:space="preserve"> </w:t>
      </w:r>
      <w:r w:rsidRPr="003A56CF">
        <w:rPr>
          <w:rFonts w:cs="Times New Roman"/>
          <w:szCs w:val="24"/>
        </w:rPr>
        <w:t xml:space="preserve">skierowanym do osób niepełnosprawnych, jest </w:t>
      </w:r>
      <w:r w:rsidRPr="00A5053D">
        <w:rPr>
          <w:rFonts w:cs="Times New Roman"/>
          <w:b/>
          <w:szCs w:val="24"/>
        </w:rPr>
        <w:t>zasiłek pielęgnacyjny</w:t>
      </w:r>
      <w:r w:rsidRPr="003A56CF">
        <w:rPr>
          <w:rFonts w:cs="Times New Roman"/>
          <w:szCs w:val="24"/>
        </w:rPr>
        <w:t>, przyznawany na</w:t>
      </w:r>
      <w:r w:rsidR="00AC0C90">
        <w:rPr>
          <w:rFonts w:cs="Times New Roman"/>
          <w:szCs w:val="24"/>
        </w:rPr>
        <w:t xml:space="preserve"> </w:t>
      </w:r>
      <w:r w:rsidRPr="003A56CF">
        <w:rPr>
          <w:rFonts w:cs="Times New Roman"/>
          <w:szCs w:val="24"/>
        </w:rPr>
        <w:t xml:space="preserve">podstawie art. 16 ustawy </w:t>
      </w:r>
      <w:r w:rsidR="009417FF">
        <w:rPr>
          <w:rFonts w:cs="Times New Roman"/>
          <w:szCs w:val="24"/>
        </w:rPr>
        <w:t>z dnia 28 listopada 2003 r.</w:t>
      </w:r>
      <w:r w:rsidRPr="003A56CF">
        <w:rPr>
          <w:rFonts w:cs="Times New Roman"/>
          <w:szCs w:val="24"/>
        </w:rPr>
        <w:t xml:space="preserve"> o świadczeniach rodzinnych</w:t>
      </w:r>
      <w:r w:rsidR="001E0F91">
        <w:rPr>
          <w:rFonts w:cs="Times New Roman"/>
          <w:szCs w:val="24"/>
        </w:rPr>
        <w:t xml:space="preserve"> (Dz. U. z 2020 </w:t>
      </w:r>
      <w:r w:rsidR="009417FF">
        <w:rPr>
          <w:rFonts w:cs="Times New Roman"/>
          <w:szCs w:val="24"/>
        </w:rPr>
        <w:t>r. poz. 111)</w:t>
      </w:r>
      <w:r w:rsidRPr="003A56CF">
        <w:rPr>
          <w:rFonts w:cs="Times New Roman"/>
          <w:szCs w:val="24"/>
        </w:rPr>
        <w:t>.</w:t>
      </w:r>
    </w:p>
    <w:p w14:paraId="3B7F802B" w14:textId="77777777" w:rsidR="00AC0C90" w:rsidRDefault="00AC0C90" w:rsidP="003A56CF">
      <w:pPr>
        <w:autoSpaceDE w:val="0"/>
        <w:autoSpaceDN w:val="0"/>
        <w:adjustRightInd w:val="0"/>
        <w:rPr>
          <w:rFonts w:cs="Times New Roman"/>
          <w:szCs w:val="24"/>
        </w:rPr>
      </w:pPr>
    </w:p>
    <w:p w14:paraId="192BA07E" w14:textId="3C1A6776" w:rsidR="003A56CF" w:rsidRDefault="003A56CF" w:rsidP="003A56CF">
      <w:pPr>
        <w:autoSpaceDE w:val="0"/>
        <w:autoSpaceDN w:val="0"/>
        <w:adjustRightInd w:val="0"/>
        <w:rPr>
          <w:rFonts w:cs="Times New Roman"/>
          <w:szCs w:val="24"/>
        </w:rPr>
      </w:pPr>
      <w:r w:rsidRPr="003A56CF">
        <w:rPr>
          <w:rFonts w:cs="Times New Roman"/>
          <w:szCs w:val="24"/>
        </w:rPr>
        <w:t>Zasiłek pielęgnacyjny jest świadczeniem ściśle związanym z osobą niepełnosprawną,</w:t>
      </w:r>
      <w:r w:rsidR="00AC0C90">
        <w:rPr>
          <w:rFonts w:cs="Times New Roman"/>
          <w:szCs w:val="24"/>
        </w:rPr>
        <w:t xml:space="preserve"> </w:t>
      </w:r>
      <w:r w:rsidRPr="003A56CF">
        <w:rPr>
          <w:rFonts w:cs="Times New Roman"/>
          <w:szCs w:val="24"/>
        </w:rPr>
        <w:t>a jego celem jest częściowe pokrycie wydatków wynikających z ko</w:t>
      </w:r>
      <w:r w:rsidR="001E0F91">
        <w:rPr>
          <w:rFonts w:cs="Times New Roman"/>
          <w:szCs w:val="24"/>
        </w:rPr>
        <w:t>nieczności zapewnienia opieki i </w:t>
      </w:r>
      <w:r w:rsidRPr="003A56CF">
        <w:rPr>
          <w:rFonts w:cs="Times New Roman"/>
          <w:szCs w:val="24"/>
        </w:rPr>
        <w:t>pomocy tej osobie w związku z jej niezdolności</w:t>
      </w:r>
      <w:r w:rsidR="001E0F91">
        <w:rPr>
          <w:rFonts w:cs="Times New Roman"/>
          <w:szCs w:val="24"/>
        </w:rPr>
        <w:t xml:space="preserve">ą do samodzielnej egzystencji. </w:t>
      </w:r>
      <w:r w:rsidRPr="003A56CF">
        <w:rPr>
          <w:rFonts w:cs="Times New Roman"/>
          <w:szCs w:val="24"/>
        </w:rPr>
        <w:t>Zasiłek</w:t>
      </w:r>
      <w:r w:rsidR="00AC0C90">
        <w:rPr>
          <w:rFonts w:cs="Times New Roman"/>
          <w:szCs w:val="24"/>
        </w:rPr>
        <w:t xml:space="preserve"> </w:t>
      </w:r>
      <w:r w:rsidRPr="003A56CF">
        <w:rPr>
          <w:rFonts w:cs="Times New Roman"/>
          <w:szCs w:val="24"/>
        </w:rPr>
        <w:t>pielęgnacyjny przysługuje niepełnosprawnemu dziecku, osobie niepełnosprawnej</w:t>
      </w:r>
      <w:r w:rsidR="00AC0C90">
        <w:rPr>
          <w:rFonts w:cs="Times New Roman"/>
          <w:szCs w:val="24"/>
        </w:rPr>
        <w:t xml:space="preserve"> </w:t>
      </w:r>
      <w:r w:rsidRPr="003A56CF">
        <w:rPr>
          <w:rFonts w:cs="Times New Roman"/>
          <w:szCs w:val="24"/>
        </w:rPr>
        <w:t>w wieku powyżej 16. roku życia, jeżeli legitymuje się orzeczeniem o znacznym stopniu</w:t>
      </w:r>
      <w:r w:rsidR="00AC0C90">
        <w:rPr>
          <w:rFonts w:cs="Times New Roman"/>
          <w:szCs w:val="24"/>
        </w:rPr>
        <w:t xml:space="preserve"> </w:t>
      </w:r>
      <w:r w:rsidRPr="003A56CF">
        <w:rPr>
          <w:rFonts w:cs="Times New Roman"/>
          <w:szCs w:val="24"/>
        </w:rPr>
        <w:t>niepełnosprawności oraz osobie, która ukończyła 75 lat. Zasiłek pielęgnacyjny przysługuje także osobie niepełnosprawnej w wieku powyżej 16. roku życia legitymującej się orzeczeniem o umiarkowanym stopniu niepełnosprawności, jeżeli niepeł</w:t>
      </w:r>
      <w:r w:rsidR="001E0F91">
        <w:rPr>
          <w:rFonts w:cs="Times New Roman"/>
          <w:szCs w:val="24"/>
        </w:rPr>
        <w:t>nosprawność powstała w wieku do </w:t>
      </w:r>
      <w:r w:rsidRPr="003A56CF">
        <w:rPr>
          <w:rFonts w:cs="Times New Roman"/>
          <w:szCs w:val="24"/>
        </w:rPr>
        <w:t xml:space="preserve">ukończenia 21. roku życia. </w:t>
      </w:r>
    </w:p>
    <w:p w14:paraId="5008AB57" w14:textId="77777777" w:rsidR="00AC0C90" w:rsidRPr="003A56CF" w:rsidRDefault="00AC0C90" w:rsidP="003A56CF">
      <w:pPr>
        <w:autoSpaceDE w:val="0"/>
        <w:autoSpaceDN w:val="0"/>
        <w:adjustRightInd w:val="0"/>
        <w:rPr>
          <w:rFonts w:cs="Times New Roman"/>
          <w:szCs w:val="24"/>
        </w:rPr>
      </w:pPr>
    </w:p>
    <w:p w14:paraId="0260D823" w14:textId="58642D45" w:rsidR="003A56CF" w:rsidRPr="003A56CF" w:rsidRDefault="003A56CF" w:rsidP="003A56CF">
      <w:pPr>
        <w:autoSpaceDE w:val="0"/>
        <w:autoSpaceDN w:val="0"/>
        <w:adjustRightInd w:val="0"/>
        <w:rPr>
          <w:rFonts w:cs="Times New Roman"/>
          <w:szCs w:val="24"/>
        </w:rPr>
      </w:pPr>
      <w:r w:rsidRPr="003A56CF">
        <w:rPr>
          <w:rFonts w:cs="Times New Roman"/>
          <w:szCs w:val="24"/>
        </w:rPr>
        <w:lastRenderedPageBreak/>
        <w:t>Zasiłek pielęgnacyjny przysługuje przez okres legitymowania się odpowiednim orzeczeniem o</w:t>
      </w:r>
      <w:r w:rsidR="001E0F91">
        <w:rPr>
          <w:rFonts w:cs="Times New Roman"/>
          <w:szCs w:val="24"/>
        </w:rPr>
        <w:t> </w:t>
      </w:r>
      <w:r w:rsidRPr="003A56CF">
        <w:rPr>
          <w:rFonts w:cs="Times New Roman"/>
          <w:szCs w:val="24"/>
        </w:rPr>
        <w:t>niepełnosprawności lub na stałe osobom w wieku powyżej 75 r</w:t>
      </w:r>
      <w:r w:rsidR="0012091F">
        <w:rPr>
          <w:rFonts w:cs="Times New Roman"/>
          <w:szCs w:val="24"/>
        </w:rPr>
        <w:t>oku</w:t>
      </w:r>
      <w:r w:rsidR="001E0F91">
        <w:rPr>
          <w:rFonts w:cs="Times New Roman"/>
          <w:szCs w:val="24"/>
        </w:rPr>
        <w:t xml:space="preserve"> życia. </w:t>
      </w:r>
      <w:r w:rsidRPr="003A56CF">
        <w:rPr>
          <w:rFonts w:cs="Times New Roman"/>
          <w:szCs w:val="24"/>
        </w:rPr>
        <w:t>Zasiłek pielęgnacyjny przysługuje w wysokości 215,84 zł miesięcznie, niezależnie od osiąganego dochodu. Osobom uprawnionym do dodatku pielęgnacyjnego w ramach świadczenia emerytalno-rentowego zasiłek pielęgnacyjny nie przysługuje.</w:t>
      </w:r>
    </w:p>
    <w:p w14:paraId="7234CCE1" w14:textId="77777777" w:rsidR="00A5053D" w:rsidRDefault="00A5053D" w:rsidP="003A56CF">
      <w:pPr>
        <w:autoSpaceDE w:val="0"/>
        <w:autoSpaceDN w:val="0"/>
        <w:adjustRightInd w:val="0"/>
        <w:rPr>
          <w:rFonts w:cs="Times New Roman"/>
          <w:szCs w:val="24"/>
        </w:rPr>
      </w:pPr>
    </w:p>
    <w:p w14:paraId="69CC64AF" w14:textId="208D925D" w:rsidR="00AC0C90" w:rsidRDefault="003A56CF" w:rsidP="003A56CF">
      <w:pPr>
        <w:autoSpaceDE w:val="0"/>
        <w:autoSpaceDN w:val="0"/>
        <w:adjustRightInd w:val="0"/>
        <w:rPr>
          <w:rFonts w:cs="Times New Roman"/>
          <w:szCs w:val="24"/>
        </w:rPr>
      </w:pPr>
      <w:r w:rsidRPr="003A56CF">
        <w:rPr>
          <w:rFonts w:cs="Times New Roman"/>
          <w:szCs w:val="24"/>
        </w:rPr>
        <w:t>Ponadto, w systemie świadczeń rodzinnych funkcjonują dwa rodzaje świadczeń opiekuńczych adresowane do nieaktywnych zawodowo osób sprawujących opiekę nad niepełnosprawnym</w:t>
      </w:r>
      <w:r w:rsidR="00AC0C90">
        <w:rPr>
          <w:rFonts w:cs="Times New Roman"/>
          <w:szCs w:val="24"/>
        </w:rPr>
        <w:t xml:space="preserve"> </w:t>
      </w:r>
      <w:r w:rsidRPr="003A56CF">
        <w:rPr>
          <w:rFonts w:cs="Times New Roman"/>
          <w:szCs w:val="24"/>
        </w:rPr>
        <w:t xml:space="preserve">członkiem rodziny: </w:t>
      </w:r>
      <w:r w:rsidRPr="00A5053D">
        <w:rPr>
          <w:rFonts w:cs="Times New Roman"/>
          <w:b/>
          <w:szCs w:val="24"/>
        </w:rPr>
        <w:t>świadczenie pielęgnacyjne</w:t>
      </w:r>
      <w:r w:rsidRPr="003A56CF">
        <w:rPr>
          <w:rFonts w:cs="Times New Roman"/>
          <w:szCs w:val="24"/>
        </w:rPr>
        <w:t xml:space="preserve"> oraz </w:t>
      </w:r>
      <w:r w:rsidRPr="00A5053D">
        <w:rPr>
          <w:rFonts w:cs="Times New Roman"/>
          <w:b/>
          <w:szCs w:val="24"/>
        </w:rPr>
        <w:t>specjalny zasiłek opiekuńczy</w:t>
      </w:r>
      <w:r w:rsidRPr="003A56CF">
        <w:rPr>
          <w:rFonts w:cs="Times New Roman"/>
          <w:szCs w:val="24"/>
        </w:rPr>
        <w:t>.</w:t>
      </w:r>
      <w:r w:rsidR="00AC0C90">
        <w:rPr>
          <w:rFonts w:cs="Times New Roman"/>
          <w:szCs w:val="24"/>
        </w:rPr>
        <w:t xml:space="preserve"> </w:t>
      </w:r>
      <w:r w:rsidRPr="003A56CF">
        <w:rPr>
          <w:rFonts w:cs="Times New Roman"/>
          <w:szCs w:val="24"/>
        </w:rPr>
        <w:t>Świadczeniem opiekuńczym, o które mogą ubiegać się osoby sprawujące opiekę nad niepełnosprawnym członkiem rodziny, którego niepełnosprawność powstała w dzieciństwie jest świadczenie pielęgnacyjne, przyznawane na podstawie art.</w:t>
      </w:r>
      <w:r w:rsidR="0012091F">
        <w:rPr>
          <w:rFonts w:cs="Times New Roman"/>
          <w:szCs w:val="24"/>
        </w:rPr>
        <w:t xml:space="preserve"> </w:t>
      </w:r>
      <w:r w:rsidRPr="003A56CF">
        <w:rPr>
          <w:rFonts w:cs="Times New Roman"/>
          <w:szCs w:val="24"/>
        </w:rPr>
        <w:t xml:space="preserve">17 ustawy </w:t>
      </w:r>
      <w:r w:rsidR="0012091F">
        <w:rPr>
          <w:rFonts w:cs="Times New Roman"/>
          <w:szCs w:val="24"/>
        </w:rPr>
        <w:t xml:space="preserve">z dnia 28 listopada 2003 r. </w:t>
      </w:r>
      <w:r w:rsidRPr="003A56CF">
        <w:rPr>
          <w:rFonts w:cs="Times New Roman"/>
          <w:szCs w:val="24"/>
        </w:rPr>
        <w:t>o świadczeniach rodzinnych.</w:t>
      </w:r>
    </w:p>
    <w:p w14:paraId="5E42FC0F" w14:textId="77777777" w:rsidR="00AC0C90" w:rsidRDefault="00AC0C90" w:rsidP="003A56CF">
      <w:pPr>
        <w:autoSpaceDE w:val="0"/>
        <w:autoSpaceDN w:val="0"/>
        <w:adjustRightInd w:val="0"/>
        <w:rPr>
          <w:rFonts w:cs="Times New Roman"/>
          <w:szCs w:val="24"/>
        </w:rPr>
      </w:pPr>
    </w:p>
    <w:p w14:paraId="6506B365" w14:textId="5CAD65EE" w:rsidR="003A56CF" w:rsidRDefault="003A56CF" w:rsidP="003A56CF">
      <w:pPr>
        <w:autoSpaceDE w:val="0"/>
        <w:autoSpaceDN w:val="0"/>
        <w:adjustRightInd w:val="0"/>
        <w:rPr>
          <w:rFonts w:cs="Times New Roman"/>
          <w:szCs w:val="24"/>
        </w:rPr>
      </w:pPr>
      <w:r w:rsidRPr="003A56CF">
        <w:rPr>
          <w:rFonts w:cs="Times New Roman"/>
          <w:szCs w:val="24"/>
        </w:rPr>
        <w:t xml:space="preserve">Świadczenie pielęgnacyjne przysługuje matce albo ojcu, opiekunowi faktycznemu dziecka (opiekunem faktycznym dziecka jest osoba faktycznie opiekującą się dzieckiem, która wystąpiła z wnioskiem do sądu rodzinnego o przysposobienie dziecka), osobie będącej rodziną zastępczą spokrewnioną oraz innym osobom, na których, zgodnie z przepisami </w:t>
      </w:r>
      <w:proofErr w:type="spellStart"/>
      <w:r w:rsidRPr="003A56CF">
        <w:rPr>
          <w:rFonts w:cs="Times New Roman"/>
          <w:szCs w:val="24"/>
        </w:rPr>
        <w:t>krio</w:t>
      </w:r>
      <w:proofErr w:type="spellEnd"/>
      <w:r w:rsidRPr="003A56CF">
        <w:rPr>
          <w:rFonts w:cs="Times New Roman"/>
          <w:szCs w:val="24"/>
        </w:rPr>
        <w:t xml:space="preserve"> ciąży obowiązek alimentacyjny względem osoby niepełnosprawnej, z tytułu rezygnacji lub niepodejmowania zatrudnienia bądź innej pracy zarobkowej, którzy sprawują opiekę nad osobą niepełnosprawną, legitymującą się orzeczeniem o niepełnosprawności lub znacznym stopniem niepełnosprawności. Świadczenie pielęgnacyjne przysługuje, jeżeli niepełnosprawność osoby wymagającej opieki powstała nie później niż do ukończenia </w:t>
      </w:r>
      <w:r w:rsidR="00AC0C90">
        <w:rPr>
          <w:rFonts w:cs="Times New Roman"/>
          <w:szCs w:val="24"/>
        </w:rPr>
        <w:t xml:space="preserve"> </w:t>
      </w:r>
      <w:r w:rsidRPr="003A56CF">
        <w:rPr>
          <w:rFonts w:cs="Times New Roman"/>
          <w:szCs w:val="24"/>
        </w:rPr>
        <w:t>18. roku życia lub w trakcie nauki</w:t>
      </w:r>
      <w:r w:rsidR="00AC0C90">
        <w:rPr>
          <w:rFonts w:cs="Times New Roman"/>
          <w:szCs w:val="24"/>
        </w:rPr>
        <w:t xml:space="preserve"> </w:t>
      </w:r>
      <w:r w:rsidRPr="003A56CF">
        <w:rPr>
          <w:rFonts w:cs="Times New Roman"/>
          <w:szCs w:val="24"/>
        </w:rPr>
        <w:t>w szkole lub w szkole wyższej, jednak nie później niż o ukończenia 25. roku życia. Prawo do tego świadczenia przyznawane jest na okres ważności</w:t>
      </w:r>
      <w:r w:rsidR="00AC0C90">
        <w:rPr>
          <w:rFonts w:cs="Times New Roman"/>
          <w:szCs w:val="24"/>
        </w:rPr>
        <w:t xml:space="preserve"> </w:t>
      </w:r>
      <w:r w:rsidRPr="003A56CF">
        <w:rPr>
          <w:rFonts w:cs="Times New Roman"/>
          <w:szCs w:val="24"/>
        </w:rPr>
        <w:t xml:space="preserve">orzeczenia o niepełnosprawności lub znacznym stopniu niepełnosprawności. </w:t>
      </w:r>
    </w:p>
    <w:p w14:paraId="032C4471" w14:textId="77777777" w:rsidR="00AC0C90" w:rsidRPr="003A56CF" w:rsidRDefault="00AC0C90" w:rsidP="003A56CF">
      <w:pPr>
        <w:autoSpaceDE w:val="0"/>
        <w:autoSpaceDN w:val="0"/>
        <w:adjustRightInd w:val="0"/>
        <w:rPr>
          <w:rFonts w:cs="Times New Roman"/>
          <w:szCs w:val="24"/>
        </w:rPr>
      </w:pPr>
    </w:p>
    <w:p w14:paraId="4D1D094D" w14:textId="3043A000" w:rsidR="003A56CF" w:rsidRPr="003A56CF" w:rsidRDefault="003A56CF" w:rsidP="003A56CF">
      <w:pPr>
        <w:autoSpaceDE w:val="0"/>
        <w:autoSpaceDN w:val="0"/>
        <w:adjustRightInd w:val="0"/>
        <w:rPr>
          <w:rFonts w:cs="Times New Roman"/>
          <w:szCs w:val="24"/>
        </w:rPr>
      </w:pPr>
      <w:r w:rsidRPr="003A56CF">
        <w:rPr>
          <w:rFonts w:cs="Times New Roman"/>
          <w:szCs w:val="24"/>
        </w:rPr>
        <w:t>Świadczenie pielęgnacyjne jest świadczeniem finansowanym z budżetu państwa, niezależnym</w:t>
      </w:r>
      <w:r w:rsidR="00AC0C90">
        <w:rPr>
          <w:rFonts w:cs="Times New Roman"/>
          <w:szCs w:val="24"/>
        </w:rPr>
        <w:t xml:space="preserve"> </w:t>
      </w:r>
      <w:r w:rsidRPr="003A56CF">
        <w:rPr>
          <w:rFonts w:cs="Times New Roman"/>
          <w:szCs w:val="24"/>
        </w:rPr>
        <w:t>od spełnienia kryterium dochodowego, a jego wysokość podlega corocznej waloryzacji w</w:t>
      </w:r>
      <w:r w:rsidR="001E0F91">
        <w:rPr>
          <w:rFonts w:cs="Times New Roman"/>
          <w:szCs w:val="24"/>
        </w:rPr>
        <w:t> </w:t>
      </w:r>
      <w:r w:rsidRPr="003A56CF">
        <w:rPr>
          <w:rFonts w:cs="Times New Roman"/>
          <w:szCs w:val="24"/>
        </w:rPr>
        <w:t>oparciu o procentowy wskaźnik wzrostu minimalnego wynagrodzenia za pracę.</w:t>
      </w:r>
    </w:p>
    <w:p w14:paraId="06579A38" w14:textId="77777777" w:rsidR="00AC0C90" w:rsidRDefault="00AC0C90" w:rsidP="003A56CF">
      <w:pPr>
        <w:autoSpaceDE w:val="0"/>
        <w:autoSpaceDN w:val="0"/>
        <w:adjustRightInd w:val="0"/>
        <w:rPr>
          <w:rFonts w:cs="Times New Roman"/>
          <w:szCs w:val="24"/>
        </w:rPr>
      </w:pPr>
    </w:p>
    <w:p w14:paraId="6DFAA01E" w14:textId="2C2FC46B" w:rsidR="003A56CF" w:rsidRDefault="003A56CF" w:rsidP="003A56CF">
      <w:pPr>
        <w:autoSpaceDE w:val="0"/>
        <w:autoSpaceDN w:val="0"/>
        <w:adjustRightInd w:val="0"/>
        <w:rPr>
          <w:rFonts w:cs="Times New Roman"/>
          <w:szCs w:val="24"/>
        </w:rPr>
      </w:pPr>
      <w:r w:rsidRPr="003A56CF">
        <w:rPr>
          <w:rFonts w:cs="Times New Roman"/>
          <w:szCs w:val="24"/>
        </w:rPr>
        <w:t>Dzięki znacznemu podwyższeniu wysokości minimalnego wynagrodzenia za pracę, kwota świadczenia pielęgnacyjnego od 1 stycznia 2020 roku została</w:t>
      </w:r>
      <w:r w:rsidR="001E0F91">
        <w:rPr>
          <w:rFonts w:cs="Times New Roman"/>
          <w:szCs w:val="24"/>
        </w:rPr>
        <w:t xml:space="preserve"> podwyższona z kwoty 1 583 zł do </w:t>
      </w:r>
      <w:r w:rsidRPr="003A56CF">
        <w:rPr>
          <w:rFonts w:cs="Times New Roman"/>
          <w:szCs w:val="24"/>
        </w:rPr>
        <w:t>kwoty 1</w:t>
      </w:r>
      <w:r w:rsidR="001E0F91">
        <w:rPr>
          <w:rFonts w:cs="Times New Roman"/>
          <w:szCs w:val="24"/>
        </w:rPr>
        <w:t> </w:t>
      </w:r>
      <w:r w:rsidRPr="003A56CF">
        <w:rPr>
          <w:rFonts w:cs="Times New Roman"/>
          <w:szCs w:val="24"/>
        </w:rPr>
        <w:t>830 zł., a od 1 stycznia 2021 r. wysokość świadcze</w:t>
      </w:r>
      <w:r w:rsidR="001E0F91">
        <w:rPr>
          <w:rFonts w:cs="Times New Roman"/>
          <w:szCs w:val="24"/>
        </w:rPr>
        <w:t>nia pielęgnacyjnego wynosi 1 971 </w:t>
      </w:r>
      <w:r w:rsidRPr="003A56CF">
        <w:rPr>
          <w:rFonts w:cs="Times New Roman"/>
          <w:szCs w:val="24"/>
        </w:rPr>
        <w:t>zł miesięcznie.</w:t>
      </w:r>
    </w:p>
    <w:p w14:paraId="208B9108" w14:textId="77777777" w:rsidR="00AC0C90" w:rsidRPr="003A56CF" w:rsidRDefault="00AC0C90" w:rsidP="003A56CF">
      <w:pPr>
        <w:autoSpaceDE w:val="0"/>
        <w:autoSpaceDN w:val="0"/>
        <w:adjustRightInd w:val="0"/>
        <w:rPr>
          <w:rFonts w:cs="Times New Roman"/>
          <w:szCs w:val="24"/>
        </w:rPr>
      </w:pPr>
    </w:p>
    <w:p w14:paraId="42DD943C" w14:textId="77777777" w:rsidR="003A56CF" w:rsidRPr="003A56CF" w:rsidRDefault="003A56CF" w:rsidP="003A56CF">
      <w:pPr>
        <w:autoSpaceDE w:val="0"/>
        <w:autoSpaceDN w:val="0"/>
        <w:adjustRightInd w:val="0"/>
        <w:rPr>
          <w:rFonts w:cs="Times New Roman"/>
          <w:szCs w:val="24"/>
        </w:rPr>
      </w:pPr>
      <w:r w:rsidRPr="003A56CF">
        <w:rPr>
          <w:rFonts w:cs="Times New Roman"/>
          <w:szCs w:val="24"/>
        </w:rPr>
        <w:t xml:space="preserve">Natomiast świadczeniem opiekuńczym skierowanym do opiekunów osób niepełnosprawnych, których niepełnosprawność powstała w wieku dorosłym, jest specjalny zasiłek opiekuńczy, przyznawany na podstawie art. 16a ustawy </w:t>
      </w:r>
      <w:r w:rsidR="0012091F">
        <w:rPr>
          <w:rFonts w:cs="Times New Roman"/>
          <w:szCs w:val="24"/>
        </w:rPr>
        <w:t>z dnia 28 listopada 2003 r.</w:t>
      </w:r>
      <w:r w:rsidRPr="003A56CF">
        <w:rPr>
          <w:rFonts w:cs="Times New Roman"/>
          <w:szCs w:val="24"/>
        </w:rPr>
        <w:t xml:space="preserve"> o świadczeniach rodzinnych. </w:t>
      </w:r>
    </w:p>
    <w:p w14:paraId="49FE7975" w14:textId="77777777" w:rsidR="00AC0C90" w:rsidRDefault="00AC0C90" w:rsidP="003A56CF">
      <w:pPr>
        <w:autoSpaceDE w:val="0"/>
        <w:autoSpaceDN w:val="0"/>
        <w:adjustRightInd w:val="0"/>
        <w:rPr>
          <w:rFonts w:cs="Times New Roman"/>
          <w:szCs w:val="24"/>
        </w:rPr>
      </w:pPr>
    </w:p>
    <w:p w14:paraId="498CAD05" w14:textId="4A646493" w:rsidR="003A56CF" w:rsidRDefault="003A56CF" w:rsidP="003A56CF">
      <w:pPr>
        <w:autoSpaceDE w:val="0"/>
        <w:autoSpaceDN w:val="0"/>
        <w:adjustRightInd w:val="0"/>
        <w:rPr>
          <w:rFonts w:cs="Times New Roman"/>
          <w:szCs w:val="24"/>
        </w:rPr>
      </w:pPr>
      <w:r w:rsidRPr="003A56CF">
        <w:rPr>
          <w:rFonts w:cs="Times New Roman"/>
          <w:szCs w:val="24"/>
        </w:rPr>
        <w:lastRenderedPageBreak/>
        <w:t>Specjalny zasiłek opiekuńczy przysługuje osobom, na których zgodnie z przepisami kodeksu rodzinnego i opiekuńczego ciąży obowiązek alimentacyjny względem osoby niepełnosprawnej oraz małżonkom, niepodejmującym lub rezygnującym z zatrudnienia lub innej pracy zarobkowej w celu sprawowania opieki nad niepeł</w:t>
      </w:r>
      <w:r w:rsidR="001E0F91">
        <w:rPr>
          <w:rFonts w:cs="Times New Roman"/>
          <w:szCs w:val="24"/>
        </w:rPr>
        <w:t>nosprawnym członkiem rodziny. W </w:t>
      </w:r>
      <w:r w:rsidRPr="003A56CF">
        <w:rPr>
          <w:rFonts w:cs="Times New Roman"/>
          <w:szCs w:val="24"/>
        </w:rPr>
        <w:t>praktyce, specjalny zasiłek opiekuńczy przysługuje osobom, które nie spełniają warunków otrzymywania świadczenia pielęgnacyjnego, tj. przede wsz</w:t>
      </w:r>
      <w:r w:rsidR="001E0F91">
        <w:rPr>
          <w:rFonts w:cs="Times New Roman"/>
          <w:szCs w:val="24"/>
        </w:rPr>
        <w:t>ystkim warunku daty powstania w </w:t>
      </w:r>
      <w:r w:rsidRPr="003A56CF">
        <w:rPr>
          <w:rFonts w:cs="Times New Roman"/>
          <w:szCs w:val="24"/>
        </w:rPr>
        <w:t>dzieciństwie niepełnosprawności osoby wymagającej opieki. Specjalny zasiłek opiekuńczy przysługuje po spełnieniu kryterium dochodowego, kt</w:t>
      </w:r>
      <w:r w:rsidR="001E0F91">
        <w:rPr>
          <w:rFonts w:cs="Times New Roman"/>
          <w:szCs w:val="24"/>
        </w:rPr>
        <w:t>óre wynosi 764 zł miesięcznie w </w:t>
      </w:r>
      <w:r w:rsidRPr="003A56CF">
        <w:rPr>
          <w:rFonts w:cs="Times New Roman"/>
          <w:szCs w:val="24"/>
        </w:rPr>
        <w:t>przeliczeniu na osobę w rodzinie osoby sprawującej opiekę i osoby wymagającej opieki. Prawo do tego świadczenia ustala się co do zasady na okres zasiłkowy trwający od 1 listopada do 30 października roku kolejnego. Wysokość specjalnego zasiłku opiekuńczego wynosi obecnie 620 zł miesięcznie.</w:t>
      </w:r>
    </w:p>
    <w:p w14:paraId="376715EB" w14:textId="77777777" w:rsidR="00AC0C90" w:rsidRPr="003A56CF" w:rsidRDefault="00AC0C90" w:rsidP="003A56CF">
      <w:pPr>
        <w:autoSpaceDE w:val="0"/>
        <w:autoSpaceDN w:val="0"/>
        <w:adjustRightInd w:val="0"/>
        <w:rPr>
          <w:rFonts w:cs="Times New Roman"/>
          <w:szCs w:val="24"/>
        </w:rPr>
      </w:pPr>
    </w:p>
    <w:p w14:paraId="34D66FE2" w14:textId="25466886" w:rsidR="003A56CF" w:rsidRDefault="003A56CF" w:rsidP="003A56CF">
      <w:pPr>
        <w:autoSpaceDE w:val="0"/>
        <w:autoSpaceDN w:val="0"/>
        <w:adjustRightInd w:val="0"/>
        <w:rPr>
          <w:rFonts w:cs="Times New Roman"/>
          <w:szCs w:val="24"/>
        </w:rPr>
      </w:pPr>
      <w:r w:rsidRPr="003A56CF">
        <w:rPr>
          <w:rFonts w:cs="Times New Roman"/>
          <w:szCs w:val="24"/>
        </w:rPr>
        <w:t xml:space="preserve">Ponadto na podstawie ustawy z dnia 4 kwietnia 2014 r. o ustaleniu i wypłacie zasiłków dla opiekunów (Dz. U. z 2020 r. poz. 1297), wypłacany jest </w:t>
      </w:r>
      <w:r w:rsidRPr="00A5053D">
        <w:rPr>
          <w:rFonts w:cs="Times New Roman"/>
          <w:b/>
          <w:szCs w:val="24"/>
        </w:rPr>
        <w:t>zasiłek dla opiekuna</w:t>
      </w:r>
      <w:r w:rsidRPr="003A56CF">
        <w:rPr>
          <w:rFonts w:cs="Times New Roman"/>
          <w:szCs w:val="24"/>
        </w:rPr>
        <w:t xml:space="preserve"> w wysokości 620 zł miesięcznie. Zasiłek dla opiekuna to  świadczenie wyp</w:t>
      </w:r>
      <w:r w:rsidR="001E0F91">
        <w:rPr>
          <w:rFonts w:cs="Times New Roman"/>
          <w:szCs w:val="24"/>
        </w:rPr>
        <w:t>łacane przez gminy, w związku z </w:t>
      </w:r>
      <w:r w:rsidRPr="003A56CF">
        <w:rPr>
          <w:rFonts w:cs="Times New Roman"/>
          <w:szCs w:val="24"/>
        </w:rPr>
        <w:t>realizacją wyroku Trybunału Konstytucyjnego z dnia 5 grudnia 2013 r., nieaktywnym zawodowo opiekunom dorosłych osób niepełnosprawnych, których decyzje w sprawach świadczeń pielęgnacyjnych wygasły z mocy prawa z dniem 1 lipca 2013 r. Obecnie o zasiłek dla opiekuna mogą ubiegać się tylko osoby, które miały już ustalone prawo do tego świadczenia i chcą kontynuować jego pobieranie w związku z otrzymaniem przez osobę wymagającą opieki kolejnego orzeczenia o niepełnosprawności.</w:t>
      </w:r>
    </w:p>
    <w:p w14:paraId="6011FADC" w14:textId="77777777" w:rsidR="00AC0C90" w:rsidRPr="003A56CF" w:rsidRDefault="00AC0C90" w:rsidP="003A56CF">
      <w:pPr>
        <w:autoSpaceDE w:val="0"/>
        <w:autoSpaceDN w:val="0"/>
        <w:adjustRightInd w:val="0"/>
        <w:rPr>
          <w:rFonts w:cs="Times New Roman"/>
          <w:szCs w:val="24"/>
        </w:rPr>
      </w:pPr>
    </w:p>
    <w:p w14:paraId="218F0D7E" w14:textId="179E8E4C" w:rsidR="003A56CF" w:rsidRPr="003A56CF" w:rsidRDefault="003A56CF" w:rsidP="003A56CF">
      <w:pPr>
        <w:autoSpaceDE w:val="0"/>
        <w:autoSpaceDN w:val="0"/>
        <w:adjustRightInd w:val="0"/>
        <w:rPr>
          <w:rFonts w:cs="Times New Roman"/>
          <w:szCs w:val="24"/>
        </w:rPr>
      </w:pPr>
      <w:r w:rsidRPr="003A56CF">
        <w:rPr>
          <w:rFonts w:cs="Times New Roman"/>
          <w:szCs w:val="24"/>
        </w:rPr>
        <w:t>Za osoby pobierające ww. świadczenia adresowane do opiek</w:t>
      </w:r>
      <w:r w:rsidR="001E0F91">
        <w:rPr>
          <w:rFonts w:cs="Times New Roman"/>
          <w:szCs w:val="24"/>
        </w:rPr>
        <w:t>unów osób niepełnosprawnych, co </w:t>
      </w:r>
      <w:r w:rsidRPr="003A56CF">
        <w:rPr>
          <w:rFonts w:cs="Times New Roman"/>
          <w:szCs w:val="24"/>
        </w:rPr>
        <w:t xml:space="preserve">do zasady opłacane są co miesiąc, także ze środków budżetu państwa, składki na ubezpieczenia emerytalne i rentowe oraz zdrowotne, co umożliwia opiekunom osiągnięcie stażu ubezpieczeniowego mającego wpływ na prawo do przyszłych świadczeń emerytalnych, a na bieżąco prawo do świadczeń opieki zdrowotnej finansowanych </w:t>
      </w:r>
    </w:p>
    <w:p w14:paraId="08054CD4" w14:textId="77777777" w:rsidR="003A56CF" w:rsidRPr="003A56CF" w:rsidRDefault="003A56CF" w:rsidP="003A56CF">
      <w:pPr>
        <w:autoSpaceDE w:val="0"/>
        <w:autoSpaceDN w:val="0"/>
        <w:adjustRightInd w:val="0"/>
        <w:rPr>
          <w:rFonts w:cs="Times New Roman"/>
          <w:szCs w:val="24"/>
        </w:rPr>
      </w:pPr>
      <w:r w:rsidRPr="003A56CF">
        <w:rPr>
          <w:rFonts w:cs="Times New Roman"/>
          <w:szCs w:val="24"/>
        </w:rPr>
        <w:t>ze środków publicznych.</w:t>
      </w:r>
    </w:p>
    <w:p w14:paraId="4E612161" w14:textId="77777777" w:rsidR="003A56CF" w:rsidRPr="003A56CF" w:rsidRDefault="003A56CF" w:rsidP="003A56CF">
      <w:pPr>
        <w:autoSpaceDE w:val="0"/>
        <w:autoSpaceDN w:val="0"/>
        <w:adjustRightInd w:val="0"/>
        <w:rPr>
          <w:rFonts w:cs="Times New Roman"/>
          <w:szCs w:val="24"/>
        </w:rPr>
      </w:pPr>
    </w:p>
    <w:p w14:paraId="7F4A6133" w14:textId="77777777" w:rsidR="003A56CF" w:rsidRPr="003A56CF" w:rsidRDefault="003A56CF" w:rsidP="003A56CF">
      <w:pPr>
        <w:autoSpaceDE w:val="0"/>
        <w:autoSpaceDN w:val="0"/>
        <w:adjustRightInd w:val="0"/>
        <w:rPr>
          <w:rFonts w:cs="Times New Roman"/>
          <w:szCs w:val="24"/>
        </w:rPr>
      </w:pPr>
      <w:r w:rsidRPr="003A56CF">
        <w:rPr>
          <w:rFonts w:cs="Times New Roman"/>
          <w:szCs w:val="24"/>
        </w:rPr>
        <w:t xml:space="preserve">W związku z wprowadzonym w 2020 r. stanem epidemii, istotne znaczenie dla osób otrzymujących świadczenia związane z niepełnosprawnością, w tym ww. świadczenia opiekuńcze, miało przedłużenie z mocy prawa ważności terminowych orzeczeń </w:t>
      </w:r>
    </w:p>
    <w:p w14:paraId="637FCEFF" w14:textId="2CD1C4BB" w:rsidR="003A56CF" w:rsidRDefault="003A56CF" w:rsidP="003A56CF">
      <w:pPr>
        <w:autoSpaceDE w:val="0"/>
        <w:autoSpaceDN w:val="0"/>
        <w:adjustRightInd w:val="0"/>
        <w:rPr>
          <w:rFonts w:cs="Times New Roman"/>
          <w:szCs w:val="24"/>
        </w:rPr>
      </w:pPr>
      <w:r w:rsidRPr="003A56CF">
        <w:rPr>
          <w:rFonts w:cs="Times New Roman"/>
          <w:szCs w:val="24"/>
        </w:rPr>
        <w:t xml:space="preserve">o niepełnosprawności. </w:t>
      </w:r>
    </w:p>
    <w:p w14:paraId="0675089D" w14:textId="77777777" w:rsidR="00AC0C90" w:rsidRPr="003A56CF" w:rsidRDefault="00AC0C90" w:rsidP="003A56CF">
      <w:pPr>
        <w:autoSpaceDE w:val="0"/>
        <w:autoSpaceDN w:val="0"/>
        <w:adjustRightInd w:val="0"/>
        <w:rPr>
          <w:rFonts w:cs="Times New Roman"/>
          <w:szCs w:val="24"/>
        </w:rPr>
      </w:pPr>
    </w:p>
    <w:p w14:paraId="76A7D351" w14:textId="7B6D3E22" w:rsidR="003A56CF" w:rsidRDefault="003A56CF" w:rsidP="003A56CF">
      <w:pPr>
        <w:autoSpaceDE w:val="0"/>
        <w:autoSpaceDN w:val="0"/>
        <w:adjustRightInd w:val="0"/>
        <w:rPr>
          <w:rFonts w:cs="Times New Roman"/>
          <w:szCs w:val="24"/>
        </w:rPr>
      </w:pPr>
      <w:r w:rsidRPr="003A56CF">
        <w:rPr>
          <w:rFonts w:cs="Times New Roman"/>
          <w:szCs w:val="24"/>
        </w:rPr>
        <w:t xml:space="preserve">Wprowadzone znowelizowaną ustawą z dnia 2 marca 2020 r. o szczególnych rozwiązaniach związanych z zapobieganiem, przeciwdziałaniem i zwalczaniem COVID-19, innych chorób zakaźnych oraz wywołanych nimi sytuacji kryzysowych (Dz. U. z 2020 poz. 374, z </w:t>
      </w:r>
      <w:proofErr w:type="spellStart"/>
      <w:r w:rsidRPr="003A56CF">
        <w:rPr>
          <w:rFonts w:cs="Times New Roman"/>
          <w:szCs w:val="24"/>
        </w:rPr>
        <w:t>późn</w:t>
      </w:r>
      <w:proofErr w:type="spellEnd"/>
      <w:r w:rsidRPr="003A56CF">
        <w:rPr>
          <w:rFonts w:cs="Times New Roman"/>
          <w:szCs w:val="24"/>
        </w:rPr>
        <w:t>. zm.), regulacje przewidują odpowiednie wydłużenie okresu ważności orzeczeń o niepełnosprawności oraz orzeczeń o stopniu niepełnosprawności wydanych na czas określony przez organy orzecznicze, na podstawie ustawy z dnia 27 sierpnia 1997 r.</w:t>
      </w:r>
      <w:r w:rsidR="00AC0C90">
        <w:rPr>
          <w:rFonts w:cs="Times New Roman"/>
          <w:szCs w:val="24"/>
        </w:rPr>
        <w:t xml:space="preserve"> </w:t>
      </w:r>
      <w:r w:rsidR="001E0F91">
        <w:rPr>
          <w:rFonts w:cs="Times New Roman"/>
          <w:szCs w:val="24"/>
        </w:rPr>
        <w:t>o rehabilitacji zawodowej i </w:t>
      </w:r>
      <w:r w:rsidRPr="003A56CF">
        <w:rPr>
          <w:rFonts w:cs="Times New Roman"/>
          <w:szCs w:val="24"/>
        </w:rPr>
        <w:t xml:space="preserve">społecznej oraz zatrudnianiu osób niepełnosprawnych (art. 15h ust. 1 pkt 1 i 2). Ustawa </w:t>
      </w:r>
      <w:r w:rsidRPr="003A56CF">
        <w:rPr>
          <w:rFonts w:cs="Times New Roman"/>
          <w:szCs w:val="24"/>
        </w:rPr>
        <w:lastRenderedPageBreak/>
        <w:t>reguluje również odpowiednie wydłużenie ważności termino</w:t>
      </w:r>
      <w:r w:rsidR="001E0F91">
        <w:rPr>
          <w:rFonts w:cs="Times New Roman"/>
          <w:szCs w:val="24"/>
        </w:rPr>
        <w:t>wych orzeczeń o niezdolności do </w:t>
      </w:r>
      <w:r w:rsidRPr="003A56CF">
        <w:rPr>
          <w:rFonts w:cs="Times New Roman"/>
          <w:szCs w:val="24"/>
        </w:rPr>
        <w:t xml:space="preserve">pracy i niezdolności do samodzielnej egzystencji, które są wydawane przez organy emerytalno-rentowe (art. 15 </w:t>
      </w:r>
      <w:proofErr w:type="spellStart"/>
      <w:r w:rsidRPr="003A56CF">
        <w:rPr>
          <w:rFonts w:cs="Times New Roman"/>
          <w:szCs w:val="24"/>
        </w:rPr>
        <w:t>zc</w:t>
      </w:r>
      <w:proofErr w:type="spellEnd"/>
      <w:r w:rsidRPr="003A56CF">
        <w:rPr>
          <w:rFonts w:cs="Times New Roman"/>
          <w:szCs w:val="24"/>
        </w:rPr>
        <w:t>).</w:t>
      </w:r>
    </w:p>
    <w:p w14:paraId="242DC888" w14:textId="77777777" w:rsidR="00AC0C90" w:rsidRPr="003A56CF" w:rsidRDefault="00AC0C90" w:rsidP="003A56CF">
      <w:pPr>
        <w:autoSpaceDE w:val="0"/>
        <w:autoSpaceDN w:val="0"/>
        <w:adjustRightInd w:val="0"/>
        <w:rPr>
          <w:rFonts w:cs="Times New Roman"/>
          <w:szCs w:val="24"/>
        </w:rPr>
      </w:pPr>
    </w:p>
    <w:p w14:paraId="2B019FE0" w14:textId="26DFA262" w:rsidR="003A56CF" w:rsidRPr="003A56CF" w:rsidRDefault="003A56CF" w:rsidP="003A56CF">
      <w:pPr>
        <w:autoSpaceDE w:val="0"/>
        <w:autoSpaceDN w:val="0"/>
        <w:adjustRightInd w:val="0"/>
        <w:rPr>
          <w:rFonts w:cs="Times New Roman"/>
          <w:szCs w:val="24"/>
        </w:rPr>
      </w:pPr>
      <w:r w:rsidRPr="003A56CF">
        <w:rPr>
          <w:rFonts w:cs="Times New Roman"/>
          <w:szCs w:val="24"/>
        </w:rPr>
        <w:t xml:space="preserve">Przedłużenie z mocy prawa na podstawie ustawy COVID-19 ww. orzeczeń oznacza jednocześnie odpowiednie przedłużenie przez </w:t>
      </w:r>
      <w:r w:rsidR="001E0F91">
        <w:rPr>
          <w:rFonts w:cs="Times New Roman"/>
          <w:szCs w:val="24"/>
        </w:rPr>
        <w:t>gminne organy właściwe prawa do </w:t>
      </w:r>
      <w:r w:rsidRPr="003A56CF">
        <w:rPr>
          <w:rFonts w:cs="Times New Roman"/>
          <w:szCs w:val="24"/>
        </w:rPr>
        <w:t>uzależnionych od niepełnosprawności świadczeń (w tym ww. świadczeń opiekuńczych). Przedłużenie prawa do pobierania tych świadczeń następuje z urzędu poprzez odpowiednią zmianę wydanych wcześniejszych decyzji, czyli bez konieczności składania osobnego wniosku.</w:t>
      </w:r>
    </w:p>
    <w:p w14:paraId="2990B7C7" w14:textId="77777777" w:rsidR="00AC0C90" w:rsidRDefault="00AC0C90" w:rsidP="003A56CF">
      <w:pPr>
        <w:autoSpaceDE w:val="0"/>
        <w:autoSpaceDN w:val="0"/>
        <w:adjustRightInd w:val="0"/>
        <w:rPr>
          <w:rFonts w:cs="Times New Roman"/>
          <w:szCs w:val="24"/>
        </w:rPr>
      </w:pPr>
    </w:p>
    <w:p w14:paraId="6AE31C34" w14:textId="470C99DD" w:rsidR="003A56CF" w:rsidRDefault="003A56CF" w:rsidP="003A56CF">
      <w:pPr>
        <w:autoSpaceDE w:val="0"/>
        <w:autoSpaceDN w:val="0"/>
        <w:adjustRightInd w:val="0"/>
        <w:rPr>
          <w:rFonts w:cs="Times New Roman"/>
          <w:szCs w:val="24"/>
        </w:rPr>
      </w:pPr>
      <w:r w:rsidRPr="003A56CF">
        <w:rPr>
          <w:rFonts w:cs="Times New Roman"/>
          <w:szCs w:val="24"/>
        </w:rPr>
        <w:t xml:space="preserve">Powyższe rozwiązania mają na celu zapewnienie ciągłości wypłat ww. świadczeń, których jednym z warunków przyznania jest legitymowanie </w:t>
      </w:r>
      <w:r w:rsidR="001E0F91">
        <w:rPr>
          <w:rFonts w:cs="Times New Roman"/>
          <w:szCs w:val="24"/>
        </w:rPr>
        <w:t>się ważnym orzeczeniem o </w:t>
      </w:r>
      <w:r w:rsidRPr="003A56CF">
        <w:rPr>
          <w:rFonts w:cs="Times New Roman"/>
          <w:szCs w:val="24"/>
        </w:rPr>
        <w:t xml:space="preserve">niepełnosprawności lub orzeczeniem o odpowiednim stopniu </w:t>
      </w:r>
      <w:proofErr w:type="spellStart"/>
      <w:r w:rsidRPr="003A56CF">
        <w:rPr>
          <w:rFonts w:cs="Times New Roman"/>
          <w:szCs w:val="24"/>
        </w:rPr>
        <w:t>niepełnosprawności,w</w:t>
      </w:r>
      <w:proofErr w:type="spellEnd"/>
      <w:r w:rsidRPr="003A56CF">
        <w:rPr>
          <w:rFonts w:cs="Times New Roman"/>
          <w:szCs w:val="24"/>
        </w:rPr>
        <w:t xml:space="preserve"> sytuacji obowiązywania stanu zagrożenia epidemicznego lub stanu epidemii.</w:t>
      </w:r>
    </w:p>
    <w:p w14:paraId="25BDF9CB" w14:textId="77777777" w:rsidR="003A56CF" w:rsidRDefault="003A56CF" w:rsidP="00040288">
      <w:pPr>
        <w:autoSpaceDE w:val="0"/>
        <w:autoSpaceDN w:val="0"/>
        <w:adjustRightInd w:val="0"/>
        <w:rPr>
          <w:rFonts w:cs="Times New Roman"/>
          <w:szCs w:val="24"/>
        </w:rPr>
      </w:pPr>
    </w:p>
    <w:p w14:paraId="0424A0D0" w14:textId="77777777" w:rsidR="00A77B68" w:rsidRPr="00A77B68" w:rsidRDefault="00A77B68" w:rsidP="00FE70E3">
      <w:pPr>
        <w:pStyle w:val="Nagwek2"/>
        <w:numPr>
          <w:ilvl w:val="1"/>
          <w:numId w:val="23"/>
        </w:numPr>
        <w:spacing w:before="240" w:after="240"/>
        <w:rPr>
          <w:rFonts w:cs="Times New Roman"/>
          <w:sz w:val="40"/>
          <w:szCs w:val="32"/>
          <w:lang w:eastAsia="ar-SA"/>
        </w:rPr>
      </w:pPr>
      <w:bookmarkStart w:id="91" w:name="_Toc80523079"/>
      <w:r w:rsidRPr="00A77B68">
        <w:rPr>
          <w:rFonts w:cs="Times New Roman"/>
          <w:sz w:val="40"/>
          <w:szCs w:val="32"/>
          <w:lang w:eastAsia="ar-SA"/>
        </w:rPr>
        <w:t>Ministerstwo Rolnictwa i Rozwoju Wsi</w:t>
      </w:r>
      <w:bookmarkEnd w:id="91"/>
    </w:p>
    <w:p w14:paraId="0C3A0AA8" w14:textId="6154E7DC" w:rsidR="00A77B68" w:rsidRDefault="00A77B68" w:rsidP="00A77B68">
      <w:pPr>
        <w:rPr>
          <w:rFonts w:cs="Times New Roman"/>
          <w:szCs w:val="24"/>
        </w:rPr>
      </w:pPr>
      <w:r w:rsidRPr="00CC2788">
        <w:rPr>
          <w:rFonts w:cs="Times New Roman"/>
          <w:szCs w:val="24"/>
        </w:rPr>
        <w:t>Z danych Ministerstwa Rolnictwa i Rozwoju Wsi wynika, że na koniec 2020 r</w:t>
      </w:r>
      <w:r w:rsidR="0012091F">
        <w:rPr>
          <w:rFonts w:cs="Times New Roman"/>
          <w:szCs w:val="24"/>
        </w:rPr>
        <w:t>.</w:t>
      </w:r>
      <w:r w:rsidRPr="00CC2788">
        <w:rPr>
          <w:rFonts w:cs="Times New Roman"/>
          <w:szCs w:val="24"/>
        </w:rPr>
        <w:t xml:space="preserve"> 93 142 osoby w wieku 60 lat i więcej były objęte ubezpieczeniem społecznym rolników, natomiast 835 365 osoby pobierały świadczenia emerytalno-rentowe wypłacane przez </w:t>
      </w:r>
      <w:r>
        <w:rPr>
          <w:rFonts w:cs="Times New Roman"/>
          <w:szCs w:val="24"/>
        </w:rPr>
        <w:t>Kasę Rolniczego Ubezpieczenia Społecznego. Szczegółowe dane dotyczące pobierania poszczególnych świadczeń przedstawia poniższa tabela.</w:t>
      </w:r>
    </w:p>
    <w:p w14:paraId="29B78043" w14:textId="77777777" w:rsidR="00A77B68" w:rsidRDefault="00A77B68" w:rsidP="00A77B68">
      <w:pPr>
        <w:rPr>
          <w:rFonts w:cs="Times New Roman"/>
          <w:szCs w:val="24"/>
        </w:rPr>
      </w:pPr>
    </w:p>
    <w:p w14:paraId="7FC04AC6" w14:textId="0145A72E" w:rsidR="00A77B68" w:rsidRPr="00432294" w:rsidRDefault="00A77B68" w:rsidP="00A77B68">
      <w:pPr>
        <w:pStyle w:val="Legenda"/>
        <w:keepNext/>
        <w:rPr>
          <w:rFonts w:cs="Times New Roman"/>
          <w:b/>
          <w:i w:val="0"/>
          <w:color w:val="auto"/>
          <w:sz w:val="24"/>
        </w:rPr>
      </w:pPr>
      <w:r w:rsidRPr="00432294">
        <w:rPr>
          <w:rFonts w:cs="Times New Roman"/>
          <w:b/>
          <w:i w:val="0"/>
          <w:color w:val="auto"/>
          <w:sz w:val="24"/>
        </w:rPr>
        <w:t xml:space="preserve">Tabela </w:t>
      </w:r>
      <w:r w:rsidR="005B094D">
        <w:rPr>
          <w:rFonts w:cs="Times New Roman"/>
          <w:b/>
          <w:i w:val="0"/>
          <w:color w:val="auto"/>
          <w:sz w:val="24"/>
        </w:rPr>
        <w:t>43</w:t>
      </w:r>
      <w:r w:rsidR="00054E88">
        <w:rPr>
          <w:rFonts w:cs="Times New Roman"/>
          <w:b/>
          <w:i w:val="0"/>
          <w:color w:val="auto"/>
          <w:sz w:val="24"/>
        </w:rPr>
        <w:t>.</w:t>
      </w:r>
      <w:r w:rsidRPr="00432294">
        <w:rPr>
          <w:rFonts w:cs="Times New Roman"/>
          <w:b/>
          <w:i w:val="0"/>
          <w:color w:val="auto"/>
          <w:sz w:val="24"/>
        </w:rPr>
        <w:t xml:space="preserve"> </w:t>
      </w:r>
      <w:r w:rsidRPr="00EF6E10">
        <w:rPr>
          <w:rFonts w:cs="Times New Roman"/>
          <w:b/>
          <w:i w:val="0"/>
          <w:color w:val="auto"/>
          <w:sz w:val="24"/>
        </w:rPr>
        <w:t>Średni okres pobierania świadczeń emery</w:t>
      </w:r>
      <w:r>
        <w:rPr>
          <w:rFonts w:cs="Times New Roman"/>
          <w:b/>
          <w:i w:val="0"/>
          <w:color w:val="auto"/>
          <w:sz w:val="24"/>
        </w:rPr>
        <w:t>talno-rentowych w 2020 r. przez </w:t>
      </w:r>
      <w:r w:rsidRPr="00EF6E10">
        <w:rPr>
          <w:rFonts w:cs="Times New Roman"/>
          <w:b/>
          <w:i w:val="0"/>
          <w:color w:val="auto"/>
          <w:sz w:val="24"/>
        </w:rPr>
        <w:t>osoby, które ukończyły 60 lat (w podziale na płeć)</w:t>
      </w:r>
      <w:r>
        <w:rPr>
          <w:rStyle w:val="Odwoanieprzypisudolnego"/>
          <w:rFonts w:cs="Times New Roman"/>
          <w:b/>
          <w:i w:val="0"/>
          <w:color w:val="auto"/>
          <w:sz w:val="24"/>
        </w:rPr>
        <w:footnoteReference w:id="28"/>
      </w:r>
    </w:p>
    <w:tbl>
      <w:tblPr>
        <w:tblStyle w:val="Tabelasiatki4akcent21"/>
        <w:tblW w:w="9072" w:type="dxa"/>
        <w:tblLook w:val="04A0" w:firstRow="1" w:lastRow="0" w:firstColumn="1" w:lastColumn="0" w:noHBand="0" w:noVBand="1"/>
      </w:tblPr>
      <w:tblGrid>
        <w:gridCol w:w="2124"/>
        <w:gridCol w:w="2140"/>
        <w:gridCol w:w="2399"/>
        <w:gridCol w:w="2409"/>
      </w:tblGrid>
      <w:tr w:rsidR="00A77B68" w:rsidRPr="00C64235" w14:paraId="68BDD20D" w14:textId="77777777" w:rsidTr="00430970">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124" w:type="dxa"/>
            <w:vMerge w:val="restart"/>
            <w:hideMark/>
          </w:tcPr>
          <w:p w14:paraId="0F01963A" w14:textId="77777777" w:rsidR="00A77B68" w:rsidRPr="00C64235" w:rsidRDefault="00A77B68" w:rsidP="00430970">
            <w:pPr>
              <w:spacing w:line="240" w:lineRule="auto"/>
              <w:jc w:val="center"/>
              <w:rPr>
                <w:rFonts w:eastAsia="Times New Roman" w:cs="Times New Roman"/>
                <w:color w:val="auto"/>
                <w:sz w:val="20"/>
                <w:szCs w:val="20"/>
                <w:lang w:eastAsia="pl-PL"/>
              </w:rPr>
            </w:pPr>
            <w:r w:rsidRPr="00C64235">
              <w:rPr>
                <w:rFonts w:eastAsia="Times New Roman" w:cs="Times New Roman"/>
                <w:bCs w:val="0"/>
                <w:color w:val="auto"/>
                <w:sz w:val="20"/>
                <w:szCs w:val="20"/>
                <w:lang w:eastAsia="pl-PL"/>
              </w:rPr>
              <w:t>RODZAJ ŚWIADCZENIA</w:t>
            </w:r>
          </w:p>
        </w:tc>
        <w:tc>
          <w:tcPr>
            <w:tcW w:w="2140" w:type="dxa"/>
            <w:vMerge w:val="restart"/>
            <w:hideMark/>
          </w:tcPr>
          <w:p w14:paraId="4AECF221" w14:textId="77777777" w:rsidR="00A77B68" w:rsidRPr="00C64235" w:rsidRDefault="00A77B68" w:rsidP="0043097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C64235">
              <w:rPr>
                <w:rFonts w:eastAsia="Times New Roman" w:cs="Times New Roman"/>
                <w:color w:val="auto"/>
                <w:sz w:val="20"/>
                <w:szCs w:val="20"/>
                <w:lang w:eastAsia="pl-PL"/>
              </w:rPr>
              <w:t xml:space="preserve">ŚREDNI OKRES </w:t>
            </w:r>
            <w:r w:rsidRPr="00C64235">
              <w:rPr>
                <w:rFonts w:eastAsia="Times New Roman" w:cs="Times New Roman"/>
                <w:color w:val="auto"/>
                <w:sz w:val="20"/>
                <w:szCs w:val="20"/>
                <w:lang w:eastAsia="pl-PL"/>
              </w:rPr>
              <w:br/>
              <w:t>OGÓŁEM</w:t>
            </w:r>
            <w:r w:rsidRPr="00C64235">
              <w:rPr>
                <w:rFonts w:eastAsia="Times New Roman" w:cs="Times New Roman"/>
                <w:color w:val="auto"/>
                <w:sz w:val="20"/>
                <w:szCs w:val="20"/>
                <w:lang w:eastAsia="pl-PL"/>
              </w:rPr>
              <w:br/>
              <w:t>(W LATACH)</w:t>
            </w:r>
          </w:p>
        </w:tc>
        <w:tc>
          <w:tcPr>
            <w:tcW w:w="4808" w:type="dxa"/>
            <w:gridSpan w:val="2"/>
            <w:hideMark/>
          </w:tcPr>
          <w:p w14:paraId="7F11CBA1" w14:textId="77777777" w:rsidR="00A77B68" w:rsidRPr="00C64235" w:rsidRDefault="00A77B68" w:rsidP="0043097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C64235">
              <w:rPr>
                <w:rFonts w:eastAsia="Times New Roman" w:cs="Times New Roman"/>
                <w:color w:val="auto"/>
                <w:sz w:val="20"/>
                <w:szCs w:val="20"/>
                <w:lang w:eastAsia="pl-PL"/>
              </w:rPr>
              <w:t>OKRES W PODZIALE NA:</w:t>
            </w:r>
          </w:p>
        </w:tc>
      </w:tr>
      <w:tr w:rsidR="00A77B68" w:rsidRPr="00C64235" w14:paraId="4EA54E6A" w14:textId="77777777" w:rsidTr="00430970">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124" w:type="dxa"/>
            <w:vMerge/>
            <w:hideMark/>
          </w:tcPr>
          <w:p w14:paraId="55303295" w14:textId="77777777" w:rsidR="00A77B68" w:rsidRPr="00C64235" w:rsidRDefault="00A77B68" w:rsidP="00430970">
            <w:pPr>
              <w:spacing w:line="240" w:lineRule="auto"/>
              <w:rPr>
                <w:rFonts w:eastAsia="Times New Roman" w:cs="Times New Roman"/>
                <w:sz w:val="20"/>
                <w:szCs w:val="20"/>
                <w:lang w:eastAsia="pl-PL"/>
              </w:rPr>
            </w:pPr>
          </w:p>
        </w:tc>
        <w:tc>
          <w:tcPr>
            <w:tcW w:w="2140" w:type="dxa"/>
            <w:vMerge/>
            <w:hideMark/>
          </w:tcPr>
          <w:p w14:paraId="3511739E" w14:textId="77777777" w:rsidR="00A77B68" w:rsidRPr="00C64235" w:rsidRDefault="00A77B68" w:rsidP="00430970">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p>
        </w:tc>
        <w:tc>
          <w:tcPr>
            <w:tcW w:w="2399" w:type="dxa"/>
            <w:hideMark/>
          </w:tcPr>
          <w:p w14:paraId="798D470B" w14:textId="77777777" w:rsidR="00A77B68" w:rsidRPr="00C64235" w:rsidRDefault="00A77B68" w:rsidP="0043097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C64235">
              <w:rPr>
                <w:rFonts w:eastAsia="Times New Roman" w:cs="Times New Roman"/>
                <w:b/>
                <w:bCs/>
                <w:sz w:val="20"/>
                <w:szCs w:val="20"/>
                <w:lang w:eastAsia="pl-PL"/>
              </w:rPr>
              <w:t>kobiety</w:t>
            </w:r>
          </w:p>
        </w:tc>
        <w:tc>
          <w:tcPr>
            <w:tcW w:w="2409" w:type="dxa"/>
            <w:hideMark/>
          </w:tcPr>
          <w:p w14:paraId="3BEB583F" w14:textId="77777777" w:rsidR="00A77B68" w:rsidRPr="00C64235" w:rsidRDefault="00A77B68" w:rsidP="0043097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lang w:eastAsia="pl-PL"/>
              </w:rPr>
            </w:pPr>
            <w:r w:rsidRPr="00C64235">
              <w:rPr>
                <w:rFonts w:eastAsia="Times New Roman" w:cs="Times New Roman"/>
                <w:b/>
                <w:bCs/>
                <w:sz w:val="20"/>
                <w:szCs w:val="20"/>
                <w:lang w:eastAsia="pl-PL"/>
              </w:rPr>
              <w:t>mężczyźni</w:t>
            </w:r>
          </w:p>
        </w:tc>
      </w:tr>
      <w:tr w:rsidR="00A77B68" w:rsidRPr="00C64235" w14:paraId="3C18189B" w14:textId="77777777" w:rsidTr="00CB43BC">
        <w:trPr>
          <w:trHeight w:hRule="exact" w:val="454"/>
        </w:trPr>
        <w:tc>
          <w:tcPr>
            <w:cnfStyle w:val="001000000000" w:firstRow="0" w:lastRow="0" w:firstColumn="1" w:lastColumn="0" w:oddVBand="0" w:evenVBand="0" w:oddHBand="0" w:evenHBand="0" w:firstRowFirstColumn="0" w:firstRowLastColumn="0" w:lastRowFirstColumn="0" w:lastRowLastColumn="0"/>
            <w:tcW w:w="2124" w:type="dxa"/>
            <w:hideMark/>
          </w:tcPr>
          <w:p w14:paraId="36BE1711" w14:textId="77777777" w:rsidR="00A77B68" w:rsidRPr="00C64235" w:rsidRDefault="00A77B68" w:rsidP="00430970">
            <w:pPr>
              <w:spacing w:line="240" w:lineRule="auto"/>
              <w:rPr>
                <w:rFonts w:eastAsia="Times New Roman" w:cs="Times New Roman"/>
                <w:sz w:val="20"/>
                <w:szCs w:val="20"/>
                <w:lang w:eastAsia="pl-PL"/>
              </w:rPr>
            </w:pPr>
            <w:r w:rsidRPr="00C64235">
              <w:rPr>
                <w:rFonts w:eastAsia="Times New Roman" w:cs="Times New Roman"/>
                <w:sz w:val="20"/>
                <w:szCs w:val="20"/>
                <w:lang w:eastAsia="pl-PL"/>
              </w:rPr>
              <w:t>Emerytura rolnicza</w:t>
            </w:r>
          </w:p>
        </w:tc>
        <w:tc>
          <w:tcPr>
            <w:tcW w:w="2140" w:type="dxa"/>
            <w:noWrap/>
            <w:hideMark/>
          </w:tcPr>
          <w:p w14:paraId="3587C9DB" w14:textId="77777777" w:rsidR="00A77B68" w:rsidRPr="00C64235" w:rsidRDefault="00A77B68" w:rsidP="0043097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64235">
              <w:rPr>
                <w:rFonts w:eastAsia="Times New Roman" w:cs="Times New Roman"/>
                <w:sz w:val="20"/>
                <w:szCs w:val="20"/>
                <w:lang w:eastAsia="pl-PL"/>
              </w:rPr>
              <w:t>23,0</w:t>
            </w:r>
          </w:p>
        </w:tc>
        <w:tc>
          <w:tcPr>
            <w:tcW w:w="2399" w:type="dxa"/>
            <w:noWrap/>
            <w:hideMark/>
          </w:tcPr>
          <w:p w14:paraId="3557B8DE" w14:textId="77777777" w:rsidR="00A77B68" w:rsidRPr="00C64235" w:rsidRDefault="00A77B68" w:rsidP="0043097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64235">
              <w:rPr>
                <w:rFonts w:eastAsia="Times New Roman" w:cs="Times New Roman"/>
                <w:sz w:val="20"/>
                <w:szCs w:val="20"/>
                <w:lang w:eastAsia="pl-PL"/>
              </w:rPr>
              <w:t>25,9</w:t>
            </w:r>
          </w:p>
        </w:tc>
        <w:tc>
          <w:tcPr>
            <w:tcW w:w="2409" w:type="dxa"/>
            <w:noWrap/>
            <w:hideMark/>
          </w:tcPr>
          <w:p w14:paraId="015BDC1E" w14:textId="77777777" w:rsidR="00A77B68" w:rsidRPr="00C64235" w:rsidRDefault="00A77B68" w:rsidP="0043097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64235">
              <w:rPr>
                <w:rFonts w:eastAsia="Times New Roman" w:cs="Times New Roman"/>
                <w:sz w:val="20"/>
                <w:szCs w:val="20"/>
                <w:lang w:eastAsia="pl-PL"/>
              </w:rPr>
              <w:t>17,8</w:t>
            </w:r>
          </w:p>
        </w:tc>
      </w:tr>
      <w:tr w:rsidR="00A77B68" w:rsidRPr="00C64235" w14:paraId="6D18631B" w14:textId="77777777" w:rsidTr="00CB43BC">
        <w:trPr>
          <w:cnfStyle w:val="000000100000" w:firstRow="0" w:lastRow="0" w:firstColumn="0" w:lastColumn="0" w:oddVBand="0" w:evenVBand="0" w:oddHBand="1" w:evenHBand="0" w:firstRowFirstColumn="0" w:firstRowLastColumn="0" w:lastRowFirstColumn="0" w:lastRowLastColumn="0"/>
          <w:trHeight w:hRule="exact" w:val="419"/>
        </w:trPr>
        <w:tc>
          <w:tcPr>
            <w:cnfStyle w:val="001000000000" w:firstRow="0" w:lastRow="0" w:firstColumn="1" w:lastColumn="0" w:oddVBand="0" w:evenVBand="0" w:oddHBand="0" w:evenHBand="0" w:firstRowFirstColumn="0" w:firstRowLastColumn="0" w:lastRowFirstColumn="0" w:lastRowLastColumn="0"/>
            <w:tcW w:w="2124" w:type="dxa"/>
            <w:hideMark/>
          </w:tcPr>
          <w:p w14:paraId="0374C483" w14:textId="77777777" w:rsidR="00A77B68" w:rsidRPr="00C64235" w:rsidRDefault="00A77B68" w:rsidP="00430970">
            <w:pPr>
              <w:spacing w:line="240" w:lineRule="auto"/>
              <w:rPr>
                <w:rFonts w:eastAsia="Times New Roman" w:cs="Times New Roman"/>
                <w:sz w:val="20"/>
                <w:szCs w:val="20"/>
                <w:lang w:eastAsia="pl-PL"/>
              </w:rPr>
            </w:pPr>
            <w:r w:rsidRPr="00C64235">
              <w:rPr>
                <w:rFonts w:eastAsia="Times New Roman" w:cs="Times New Roman"/>
                <w:sz w:val="20"/>
                <w:szCs w:val="20"/>
                <w:lang w:eastAsia="pl-PL"/>
              </w:rPr>
              <w:t>Renta rolnicza ogółem</w:t>
            </w:r>
          </w:p>
        </w:tc>
        <w:tc>
          <w:tcPr>
            <w:tcW w:w="2140" w:type="dxa"/>
            <w:noWrap/>
            <w:hideMark/>
          </w:tcPr>
          <w:p w14:paraId="31A37822" w14:textId="77777777" w:rsidR="00A77B68" w:rsidRPr="00C64235" w:rsidRDefault="00A77B68" w:rsidP="0043097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64235">
              <w:rPr>
                <w:rFonts w:eastAsia="Times New Roman" w:cs="Times New Roman"/>
                <w:sz w:val="20"/>
                <w:szCs w:val="20"/>
                <w:lang w:eastAsia="pl-PL"/>
              </w:rPr>
              <w:t>15,5</w:t>
            </w:r>
          </w:p>
        </w:tc>
        <w:tc>
          <w:tcPr>
            <w:tcW w:w="2399" w:type="dxa"/>
            <w:noWrap/>
            <w:hideMark/>
          </w:tcPr>
          <w:p w14:paraId="67448013" w14:textId="77777777" w:rsidR="00A77B68" w:rsidRPr="00C64235" w:rsidRDefault="00A77B68" w:rsidP="0043097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64235">
              <w:rPr>
                <w:rFonts w:eastAsia="Times New Roman" w:cs="Times New Roman"/>
                <w:sz w:val="20"/>
                <w:szCs w:val="20"/>
                <w:lang w:eastAsia="pl-PL"/>
              </w:rPr>
              <w:t>19,5</w:t>
            </w:r>
          </w:p>
        </w:tc>
        <w:tc>
          <w:tcPr>
            <w:tcW w:w="2409" w:type="dxa"/>
            <w:noWrap/>
            <w:hideMark/>
          </w:tcPr>
          <w:p w14:paraId="49F23CEE" w14:textId="77777777" w:rsidR="00A77B68" w:rsidRPr="00C64235" w:rsidRDefault="00A77B68" w:rsidP="0043097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64235">
              <w:rPr>
                <w:rFonts w:eastAsia="Times New Roman" w:cs="Times New Roman"/>
                <w:sz w:val="20"/>
                <w:szCs w:val="20"/>
                <w:lang w:eastAsia="pl-PL"/>
              </w:rPr>
              <w:t>14,0</w:t>
            </w:r>
          </w:p>
        </w:tc>
      </w:tr>
      <w:tr w:rsidR="00A77B68" w:rsidRPr="00C64235" w14:paraId="58BCC215" w14:textId="77777777" w:rsidTr="00CB43BC">
        <w:trPr>
          <w:trHeight w:hRule="exact" w:val="425"/>
        </w:trPr>
        <w:tc>
          <w:tcPr>
            <w:cnfStyle w:val="001000000000" w:firstRow="0" w:lastRow="0" w:firstColumn="1" w:lastColumn="0" w:oddVBand="0" w:evenVBand="0" w:oddHBand="0" w:evenHBand="0" w:firstRowFirstColumn="0" w:firstRowLastColumn="0" w:lastRowFirstColumn="0" w:lastRowLastColumn="0"/>
            <w:tcW w:w="2124" w:type="dxa"/>
            <w:hideMark/>
          </w:tcPr>
          <w:p w14:paraId="5B9EEB2F" w14:textId="77777777" w:rsidR="00A77B68" w:rsidRPr="00C64235" w:rsidRDefault="00A77B68" w:rsidP="00430970">
            <w:pPr>
              <w:spacing w:line="240" w:lineRule="auto"/>
              <w:rPr>
                <w:rFonts w:eastAsia="Times New Roman" w:cs="Times New Roman"/>
                <w:sz w:val="20"/>
                <w:szCs w:val="20"/>
                <w:lang w:eastAsia="pl-PL"/>
              </w:rPr>
            </w:pPr>
            <w:r w:rsidRPr="00C64235">
              <w:rPr>
                <w:rFonts w:eastAsia="Times New Roman" w:cs="Times New Roman"/>
                <w:sz w:val="20"/>
                <w:szCs w:val="20"/>
                <w:lang w:eastAsia="pl-PL"/>
              </w:rPr>
              <w:t>Renta rolnicza stała</w:t>
            </w:r>
          </w:p>
        </w:tc>
        <w:tc>
          <w:tcPr>
            <w:tcW w:w="2140" w:type="dxa"/>
            <w:noWrap/>
            <w:hideMark/>
          </w:tcPr>
          <w:p w14:paraId="7AB144F5" w14:textId="77777777" w:rsidR="00A77B68" w:rsidRPr="00C64235" w:rsidRDefault="00A77B68" w:rsidP="0043097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64235">
              <w:rPr>
                <w:rFonts w:eastAsia="Times New Roman" w:cs="Times New Roman"/>
                <w:sz w:val="20"/>
                <w:szCs w:val="20"/>
                <w:lang w:eastAsia="pl-PL"/>
              </w:rPr>
              <w:t>17,2</w:t>
            </w:r>
          </w:p>
        </w:tc>
        <w:tc>
          <w:tcPr>
            <w:tcW w:w="2399" w:type="dxa"/>
            <w:noWrap/>
            <w:hideMark/>
          </w:tcPr>
          <w:p w14:paraId="7DAF77DE" w14:textId="77777777" w:rsidR="00A77B68" w:rsidRPr="00C64235" w:rsidRDefault="00A77B68" w:rsidP="0043097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64235">
              <w:rPr>
                <w:rFonts w:eastAsia="Times New Roman" w:cs="Times New Roman"/>
                <w:sz w:val="20"/>
                <w:szCs w:val="20"/>
                <w:lang w:eastAsia="pl-PL"/>
              </w:rPr>
              <w:t>20,1</w:t>
            </w:r>
          </w:p>
        </w:tc>
        <w:tc>
          <w:tcPr>
            <w:tcW w:w="2409" w:type="dxa"/>
            <w:noWrap/>
            <w:hideMark/>
          </w:tcPr>
          <w:p w14:paraId="4F966C12" w14:textId="77777777" w:rsidR="00A77B68" w:rsidRPr="00C64235" w:rsidRDefault="00A77B68" w:rsidP="0043097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64235">
              <w:rPr>
                <w:rFonts w:eastAsia="Times New Roman" w:cs="Times New Roman"/>
                <w:sz w:val="20"/>
                <w:szCs w:val="20"/>
                <w:lang w:eastAsia="pl-PL"/>
              </w:rPr>
              <w:t>15,9</w:t>
            </w:r>
          </w:p>
        </w:tc>
      </w:tr>
      <w:tr w:rsidR="00A77B68" w:rsidRPr="00C64235" w14:paraId="38A8BEAA" w14:textId="77777777" w:rsidTr="00054E88">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124" w:type="dxa"/>
            <w:vAlign w:val="center"/>
            <w:hideMark/>
          </w:tcPr>
          <w:p w14:paraId="5C6E8DC6" w14:textId="77777777" w:rsidR="00A77B68" w:rsidRPr="00C64235" w:rsidRDefault="00A77B68" w:rsidP="00054E88">
            <w:pPr>
              <w:spacing w:line="240" w:lineRule="auto"/>
              <w:jc w:val="left"/>
              <w:rPr>
                <w:rFonts w:eastAsia="Times New Roman" w:cs="Times New Roman"/>
                <w:sz w:val="20"/>
                <w:szCs w:val="20"/>
                <w:lang w:eastAsia="pl-PL"/>
              </w:rPr>
            </w:pPr>
            <w:r w:rsidRPr="00C64235">
              <w:rPr>
                <w:rFonts w:eastAsia="Times New Roman" w:cs="Times New Roman"/>
                <w:sz w:val="20"/>
                <w:szCs w:val="20"/>
                <w:lang w:eastAsia="pl-PL"/>
              </w:rPr>
              <w:t>Renta rolnicza okresowa</w:t>
            </w:r>
          </w:p>
        </w:tc>
        <w:tc>
          <w:tcPr>
            <w:tcW w:w="2140" w:type="dxa"/>
            <w:noWrap/>
            <w:hideMark/>
          </w:tcPr>
          <w:p w14:paraId="1841BF39" w14:textId="77777777" w:rsidR="00A77B68" w:rsidRPr="00C64235" w:rsidRDefault="00A77B68" w:rsidP="0043097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64235">
              <w:rPr>
                <w:rFonts w:eastAsia="Times New Roman" w:cs="Times New Roman"/>
                <w:sz w:val="20"/>
                <w:szCs w:val="20"/>
                <w:lang w:eastAsia="pl-PL"/>
              </w:rPr>
              <w:t>7,3</w:t>
            </w:r>
          </w:p>
        </w:tc>
        <w:tc>
          <w:tcPr>
            <w:tcW w:w="2399" w:type="dxa"/>
            <w:noWrap/>
            <w:hideMark/>
          </w:tcPr>
          <w:p w14:paraId="2D519C77" w14:textId="77777777" w:rsidR="00A77B68" w:rsidRPr="00C64235" w:rsidRDefault="00A77B68" w:rsidP="0043097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64235">
              <w:rPr>
                <w:rFonts w:eastAsia="Times New Roman" w:cs="Times New Roman"/>
                <w:sz w:val="20"/>
                <w:szCs w:val="20"/>
                <w:lang w:eastAsia="pl-PL"/>
              </w:rPr>
              <w:t>8,7</w:t>
            </w:r>
          </w:p>
        </w:tc>
        <w:tc>
          <w:tcPr>
            <w:tcW w:w="2409" w:type="dxa"/>
            <w:noWrap/>
            <w:hideMark/>
          </w:tcPr>
          <w:p w14:paraId="2EEC41E5" w14:textId="77777777" w:rsidR="00A77B68" w:rsidRPr="00C64235" w:rsidRDefault="00A77B68" w:rsidP="0043097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eastAsia="pl-PL"/>
              </w:rPr>
            </w:pPr>
            <w:r w:rsidRPr="00C64235">
              <w:rPr>
                <w:rFonts w:eastAsia="Times New Roman" w:cs="Times New Roman"/>
                <w:sz w:val="20"/>
                <w:szCs w:val="20"/>
                <w:lang w:eastAsia="pl-PL"/>
              </w:rPr>
              <w:t>7,1</w:t>
            </w:r>
          </w:p>
        </w:tc>
      </w:tr>
      <w:tr w:rsidR="00A77B68" w:rsidRPr="00C64235" w14:paraId="6807390D" w14:textId="77777777" w:rsidTr="00CB43BC">
        <w:trPr>
          <w:trHeight w:hRule="exact" w:val="425"/>
        </w:trPr>
        <w:tc>
          <w:tcPr>
            <w:cnfStyle w:val="001000000000" w:firstRow="0" w:lastRow="0" w:firstColumn="1" w:lastColumn="0" w:oddVBand="0" w:evenVBand="0" w:oddHBand="0" w:evenHBand="0" w:firstRowFirstColumn="0" w:firstRowLastColumn="0" w:lastRowFirstColumn="0" w:lastRowLastColumn="0"/>
            <w:tcW w:w="2124" w:type="dxa"/>
            <w:hideMark/>
          </w:tcPr>
          <w:p w14:paraId="3CA75CBF" w14:textId="77777777" w:rsidR="00A77B68" w:rsidRPr="00C64235" w:rsidRDefault="00A77B68" w:rsidP="00430970">
            <w:pPr>
              <w:spacing w:line="240" w:lineRule="auto"/>
              <w:rPr>
                <w:rFonts w:eastAsia="Times New Roman" w:cs="Times New Roman"/>
                <w:sz w:val="20"/>
                <w:szCs w:val="20"/>
                <w:lang w:eastAsia="pl-PL"/>
              </w:rPr>
            </w:pPr>
            <w:r w:rsidRPr="00C64235">
              <w:rPr>
                <w:rFonts w:eastAsia="Times New Roman" w:cs="Times New Roman"/>
                <w:sz w:val="20"/>
                <w:szCs w:val="20"/>
                <w:lang w:eastAsia="pl-PL"/>
              </w:rPr>
              <w:t>Renta rodzinna</w:t>
            </w:r>
          </w:p>
        </w:tc>
        <w:tc>
          <w:tcPr>
            <w:tcW w:w="2140" w:type="dxa"/>
            <w:noWrap/>
            <w:hideMark/>
          </w:tcPr>
          <w:p w14:paraId="7B9DCED2" w14:textId="77777777" w:rsidR="00A77B68" w:rsidRPr="00C64235" w:rsidRDefault="00A77B68" w:rsidP="0043097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64235">
              <w:rPr>
                <w:rFonts w:eastAsia="Times New Roman" w:cs="Times New Roman"/>
                <w:sz w:val="20"/>
                <w:szCs w:val="20"/>
                <w:lang w:eastAsia="pl-PL"/>
              </w:rPr>
              <w:t>19,6</w:t>
            </w:r>
          </w:p>
        </w:tc>
        <w:tc>
          <w:tcPr>
            <w:tcW w:w="2399" w:type="dxa"/>
            <w:noWrap/>
            <w:hideMark/>
          </w:tcPr>
          <w:p w14:paraId="70143A68" w14:textId="77777777" w:rsidR="00A77B68" w:rsidRPr="00C64235" w:rsidRDefault="00A77B68" w:rsidP="0043097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64235">
              <w:rPr>
                <w:rFonts w:eastAsia="Times New Roman" w:cs="Times New Roman"/>
                <w:sz w:val="20"/>
                <w:szCs w:val="20"/>
                <w:lang w:eastAsia="pl-PL"/>
              </w:rPr>
              <w:t>20,8</w:t>
            </w:r>
          </w:p>
        </w:tc>
        <w:tc>
          <w:tcPr>
            <w:tcW w:w="2409" w:type="dxa"/>
            <w:noWrap/>
            <w:hideMark/>
          </w:tcPr>
          <w:p w14:paraId="5311AC2E" w14:textId="77777777" w:rsidR="00A77B68" w:rsidRPr="00C64235" w:rsidRDefault="00A77B68" w:rsidP="0043097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lang w:eastAsia="pl-PL"/>
              </w:rPr>
            </w:pPr>
            <w:r w:rsidRPr="00C64235">
              <w:rPr>
                <w:rFonts w:eastAsia="Times New Roman" w:cs="Times New Roman"/>
                <w:sz w:val="20"/>
                <w:szCs w:val="20"/>
                <w:lang w:eastAsia="pl-PL"/>
              </w:rPr>
              <w:t>18,0</w:t>
            </w:r>
          </w:p>
        </w:tc>
      </w:tr>
    </w:tbl>
    <w:p w14:paraId="7824877A" w14:textId="77777777" w:rsidR="00A77B68" w:rsidRDefault="00A77B68" w:rsidP="00A77B68">
      <w:pPr>
        <w:tabs>
          <w:tab w:val="left" w:pos="5400"/>
        </w:tabs>
        <w:rPr>
          <w:rFonts w:eastAsia="Times New Roman" w:cs="Times New Roman"/>
          <w:b/>
          <w:szCs w:val="24"/>
          <w:lang w:eastAsia="pl-PL"/>
        </w:rPr>
      </w:pPr>
      <w:r w:rsidRPr="00432294">
        <w:rPr>
          <w:rFonts w:eastAsia="Times New Roman" w:cs="Times New Roman"/>
          <w:b/>
          <w:szCs w:val="24"/>
          <w:lang w:eastAsia="pl-PL"/>
        </w:rPr>
        <w:t>Źródło</w:t>
      </w:r>
      <w:r>
        <w:rPr>
          <w:rFonts w:eastAsia="Times New Roman" w:cs="Times New Roman"/>
          <w:b/>
          <w:szCs w:val="24"/>
          <w:lang w:eastAsia="pl-PL"/>
        </w:rPr>
        <w:t>: Dane Ministerstwa Rolnictwa i Rozwoju Wsi</w:t>
      </w:r>
      <w:r w:rsidRPr="00432294">
        <w:rPr>
          <w:rFonts w:eastAsia="Times New Roman" w:cs="Times New Roman"/>
          <w:b/>
          <w:szCs w:val="24"/>
          <w:lang w:eastAsia="pl-PL"/>
        </w:rPr>
        <w:t xml:space="preserve">. </w:t>
      </w:r>
    </w:p>
    <w:p w14:paraId="2C6E58C5" w14:textId="77777777" w:rsidR="00A77B68" w:rsidRDefault="00A77B68" w:rsidP="00A77B68">
      <w:pPr>
        <w:rPr>
          <w:rFonts w:cs="Times New Roman"/>
          <w:szCs w:val="24"/>
        </w:rPr>
      </w:pPr>
    </w:p>
    <w:p w14:paraId="20504460" w14:textId="77777777" w:rsidR="00A77B68" w:rsidRDefault="00A77B68" w:rsidP="00A77B68">
      <w:pPr>
        <w:rPr>
          <w:rFonts w:cs="Times New Roman"/>
          <w:szCs w:val="24"/>
        </w:rPr>
      </w:pPr>
      <w:r>
        <w:rPr>
          <w:rFonts w:cs="Times New Roman"/>
          <w:szCs w:val="24"/>
        </w:rPr>
        <w:t>Ponadto w 2020 r. 3 726 osób znajdujących się w grupie wiekowej 56 – 65 lat zostało skierowanych na rehabilitacje leczniczą, podczas gdy tylko 48 osób, które uzyskało przedmiotowe skierowanie miało więcej niż 65 lat.</w:t>
      </w:r>
    </w:p>
    <w:p w14:paraId="425BE34D" w14:textId="77777777" w:rsidR="00A77B68" w:rsidRDefault="00A77B68" w:rsidP="00A77B68">
      <w:pPr>
        <w:rPr>
          <w:rFonts w:cs="Times New Roman"/>
          <w:szCs w:val="24"/>
        </w:rPr>
      </w:pPr>
    </w:p>
    <w:p w14:paraId="5A2BE54D" w14:textId="77777777" w:rsidR="00A77B68" w:rsidRDefault="00A77B68" w:rsidP="00A77B68">
      <w:pPr>
        <w:rPr>
          <w:rFonts w:cs="Times New Roman"/>
          <w:szCs w:val="24"/>
        </w:rPr>
      </w:pPr>
      <w:r w:rsidRPr="00CC2788">
        <w:rPr>
          <w:rFonts w:cs="Times New Roman"/>
          <w:szCs w:val="24"/>
        </w:rPr>
        <w:t xml:space="preserve">Starzenie się społeczeństwa na wsi będzie się przejawiać zarówno ogólnym wzrostem liczby osób starszych zamieszkujących obszary wiejskie, jak i zwiększeniu się proporcji seniorów wobec ogółu mieszkańców. Tym samym niezwykle istotne jest zapewnienie osobom starszym zamieszkującym na terenach wiejskich i miejsko-wiejskich odpowiedniej opieki i godziwego poziomu życia. Równie istotne jest także podejmowanie wszelakich działań mających na celu szeroko rozumianą aktywizację społeczną i zawodową osób starszych, których potencjał zwłaszcza w środowisku wiejskim nie jest wykorzystywany w ogóle lub jest wykorzystywany w sposób znikomy. </w:t>
      </w:r>
    </w:p>
    <w:p w14:paraId="61089D21" w14:textId="77777777" w:rsidR="00A77B68" w:rsidRDefault="00A77B68" w:rsidP="00A77B68">
      <w:pPr>
        <w:rPr>
          <w:rFonts w:cs="Times New Roman"/>
          <w:szCs w:val="24"/>
        </w:rPr>
      </w:pPr>
    </w:p>
    <w:p w14:paraId="2280D2E2" w14:textId="77777777" w:rsidR="00A77B68" w:rsidRDefault="00A77B68" w:rsidP="00A77B68">
      <w:pPr>
        <w:rPr>
          <w:rFonts w:cs="Times New Roman"/>
          <w:szCs w:val="24"/>
        </w:rPr>
      </w:pPr>
      <w:r>
        <w:rPr>
          <w:rFonts w:cs="Times New Roman"/>
          <w:szCs w:val="24"/>
        </w:rPr>
        <w:t>Działania adresowane do seniorów realizował Narodowy Instytut Kultury i Dziedzictwa Wsi, który w 2020 r. zrealizował 23 inicjatywy o zróżnicowanym charakterze, wśród których znalazły się m. in.:</w:t>
      </w:r>
    </w:p>
    <w:p w14:paraId="4326DE0D" w14:textId="77777777" w:rsidR="00A77B68" w:rsidRPr="00C64235" w:rsidRDefault="00A77B68" w:rsidP="00FE70E3">
      <w:pPr>
        <w:pStyle w:val="Akapitzlist"/>
        <w:numPr>
          <w:ilvl w:val="0"/>
          <w:numId w:val="41"/>
        </w:numPr>
        <w:rPr>
          <w:rFonts w:cs="Times New Roman"/>
          <w:szCs w:val="24"/>
        </w:rPr>
      </w:pPr>
      <w:r w:rsidRPr="00C64235">
        <w:rPr>
          <w:rFonts w:cs="Times New Roman"/>
          <w:szCs w:val="24"/>
        </w:rPr>
        <w:t>Konkurs fotograficzny na Tradycyjną Ozdobę Bożonarodzeniową, którego celem była dokumentacja i popularyzacja mającego długą tradycję zwyczaju własnoręcznego wytwarzania ozdób świątecznych, w którym wzięło udział 250 osób;</w:t>
      </w:r>
    </w:p>
    <w:p w14:paraId="45216A2B" w14:textId="77777777" w:rsidR="00A77B68" w:rsidRPr="00C64235" w:rsidRDefault="00A77B68" w:rsidP="00FE70E3">
      <w:pPr>
        <w:pStyle w:val="Akapitzlist"/>
        <w:numPr>
          <w:ilvl w:val="0"/>
          <w:numId w:val="41"/>
        </w:numPr>
        <w:rPr>
          <w:rFonts w:cs="Times New Roman"/>
          <w:szCs w:val="24"/>
        </w:rPr>
      </w:pPr>
      <w:r w:rsidRPr="00C64235">
        <w:rPr>
          <w:rFonts w:cs="Times New Roman"/>
          <w:szCs w:val="24"/>
        </w:rPr>
        <w:t>Seminarium "Godzina dla zdrowia" prowadzone przez specjalistkę w dziedzinie dietetyki, w którym uczestniczyło 170 osób;</w:t>
      </w:r>
    </w:p>
    <w:p w14:paraId="2DF2DE78" w14:textId="32D89E33" w:rsidR="00A77B68" w:rsidRPr="00C64235" w:rsidRDefault="00A77B68" w:rsidP="00FE70E3">
      <w:pPr>
        <w:pStyle w:val="Akapitzlist"/>
        <w:numPr>
          <w:ilvl w:val="0"/>
          <w:numId w:val="41"/>
        </w:numPr>
        <w:rPr>
          <w:rFonts w:cs="Times New Roman"/>
          <w:szCs w:val="24"/>
        </w:rPr>
      </w:pPr>
      <w:r w:rsidRPr="00C64235">
        <w:rPr>
          <w:rFonts w:cs="Times New Roman"/>
          <w:szCs w:val="24"/>
        </w:rPr>
        <w:t>Zajęcia z gimnastyki z elementami jogi  dla osób starsz</w:t>
      </w:r>
      <w:r w:rsidR="00CB43BC">
        <w:rPr>
          <w:rFonts w:cs="Times New Roman"/>
          <w:szCs w:val="24"/>
        </w:rPr>
        <w:t>ych, w których wzięło udział 50 </w:t>
      </w:r>
      <w:r w:rsidRPr="00C64235">
        <w:rPr>
          <w:rFonts w:cs="Times New Roman"/>
          <w:szCs w:val="24"/>
        </w:rPr>
        <w:t>osób.</w:t>
      </w:r>
    </w:p>
    <w:p w14:paraId="594D7C2E" w14:textId="77777777" w:rsidR="00A77B68" w:rsidRDefault="00A77B68" w:rsidP="00A77B68">
      <w:pPr>
        <w:rPr>
          <w:rFonts w:cs="Times New Roman"/>
          <w:szCs w:val="24"/>
        </w:rPr>
      </w:pPr>
    </w:p>
    <w:p w14:paraId="0CA1E1B5" w14:textId="77777777" w:rsidR="00A77B68" w:rsidRDefault="00A77B68" w:rsidP="00A77B68">
      <w:pPr>
        <w:rPr>
          <w:rFonts w:cs="Times New Roman"/>
          <w:szCs w:val="24"/>
        </w:rPr>
      </w:pPr>
      <w:r>
        <w:rPr>
          <w:rFonts w:cs="Times New Roman"/>
          <w:szCs w:val="24"/>
        </w:rPr>
        <w:t>Działania skierowane do osób starszych były również prowadzone przez ośrodki doradztwa rolniczego. Każdy z nich zrealizował co najmniej jedną inicjatywę, w której uczestniczyli seniorzy, przy czym najwięcej</w:t>
      </w:r>
      <w:r w:rsidR="0012091F">
        <w:rPr>
          <w:rFonts w:cs="Times New Roman"/>
          <w:szCs w:val="24"/>
        </w:rPr>
        <w:t>,</w:t>
      </w:r>
      <w:r>
        <w:rPr>
          <w:rFonts w:cs="Times New Roman"/>
          <w:szCs w:val="24"/>
        </w:rPr>
        <w:t xml:space="preserve"> bo aż 37 zrealizował Mazowiecki Ośrodek Doradztwa Rolniczego. Należy jednak wspomnieć że znaczą część z nich stanowiły warsztaty i pokazy.</w:t>
      </w:r>
      <w:r w:rsidR="001C2EAC">
        <w:rPr>
          <w:rFonts w:cs="Times New Roman"/>
          <w:szCs w:val="24"/>
        </w:rPr>
        <w:t xml:space="preserve"> Jako przykłady zrealizowanych działań należy wskazać:</w:t>
      </w:r>
    </w:p>
    <w:p w14:paraId="395C8CEF" w14:textId="77777777" w:rsidR="001C2EAC" w:rsidRPr="001C2EAC" w:rsidRDefault="001C2EAC" w:rsidP="00FE70E3">
      <w:pPr>
        <w:pStyle w:val="Akapitzlist"/>
        <w:numPr>
          <w:ilvl w:val="0"/>
          <w:numId w:val="42"/>
        </w:numPr>
        <w:rPr>
          <w:rFonts w:cs="Times New Roman"/>
          <w:szCs w:val="24"/>
        </w:rPr>
      </w:pPr>
      <w:r w:rsidRPr="001C2EAC">
        <w:rPr>
          <w:rFonts w:cs="Times New Roman"/>
          <w:szCs w:val="24"/>
        </w:rPr>
        <w:t>Przygotowany przez Warmińsko-Mazurski Ośrodek Doradztwa Rolniczego pokaz pn. ,,Rękodzieło tradycją regionu", którego celem było upowszechnieni</w:t>
      </w:r>
      <w:r>
        <w:rPr>
          <w:rFonts w:cs="Times New Roman"/>
          <w:szCs w:val="24"/>
        </w:rPr>
        <w:t xml:space="preserve"> w</w:t>
      </w:r>
      <w:r w:rsidRPr="001C2EAC">
        <w:rPr>
          <w:rFonts w:cs="Times New Roman"/>
          <w:szCs w:val="24"/>
        </w:rPr>
        <w:t>i</w:t>
      </w:r>
      <w:r>
        <w:rPr>
          <w:rFonts w:cs="Times New Roman"/>
          <w:szCs w:val="24"/>
        </w:rPr>
        <w:t>e</w:t>
      </w:r>
      <w:r w:rsidRPr="001C2EAC">
        <w:rPr>
          <w:rFonts w:cs="Times New Roman"/>
          <w:szCs w:val="24"/>
        </w:rPr>
        <w:t>dzy nt. lokalnego dziedzictwa kulturowego z wykorzystaniem różnych dyscyplin rękodzielniczych;</w:t>
      </w:r>
    </w:p>
    <w:p w14:paraId="2E977ECC" w14:textId="77777777" w:rsidR="001C2EAC" w:rsidRPr="001C2EAC" w:rsidRDefault="001C2EAC" w:rsidP="00FE70E3">
      <w:pPr>
        <w:pStyle w:val="Akapitzlist"/>
        <w:numPr>
          <w:ilvl w:val="0"/>
          <w:numId w:val="42"/>
        </w:numPr>
        <w:rPr>
          <w:rFonts w:cs="Times New Roman"/>
          <w:szCs w:val="24"/>
        </w:rPr>
      </w:pPr>
      <w:r w:rsidRPr="001C2EAC">
        <w:rPr>
          <w:rFonts w:cs="Times New Roman"/>
          <w:szCs w:val="24"/>
        </w:rPr>
        <w:t xml:space="preserve">Wydaną przez Dolnośląski Ośrodek Doradztwa Rolniczego broszurę ,,Produkty regionalne dolnośląskiej kuchni", </w:t>
      </w:r>
      <w:r>
        <w:rPr>
          <w:rFonts w:cs="Times New Roman"/>
          <w:szCs w:val="24"/>
        </w:rPr>
        <w:t xml:space="preserve">której obie części prezentowały </w:t>
      </w:r>
      <w:r w:rsidRPr="001C2EAC">
        <w:rPr>
          <w:rFonts w:cs="Times New Roman"/>
          <w:szCs w:val="24"/>
        </w:rPr>
        <w:t>różnorodność i bogactwo dziedzictwa kulinarnego i przyrodniczego wsi;</w:t>
      </w:r>
    </w:p>
    <w:p w14:paraId="592D5BD4" w14:textId="77777777" w:rsidR="001C2EAC" w:rsidRPr="001C2EAC" w:rsidRDefault="001C2EAC" w:rsidP="00FE70E3">
      <w:pPr>
        <w:pStyle w:val="Akapitzlist"/>
        <w:numPr>
          <w:ilvl w:val="0"/>
          <w:numId w:val="42"/>
        </w:numPr>
        <w:rPr>
          <w:rFonts w:cs="Times New Roman"/>
          <w:szCs w:val="24"/>
        </w:rPr>
      </w:pPr>
      <w:r w:rsidRPr="001C2EAC">
        <w:rPr>
          <w:rFonts w:cs="Times New Roman"/>
          <w:szCs w:val="24"/>
        </w:rPr>
        <w:t>Zorganizowane przez Centrum Doradztwa Rolniczego szkolenie ,,Zielona opieka - nowe perspektywy dla gospodarstw agroturystycznych", które dotyczyło możliwości wprowadzania usług opiekuńczych do gospodarstw agroturystycznych;</w:t>
      </w:r>
    </w:p>
    <w:p w14:paraId="3C28C7A1" w14:textId="77777777" w:rsidR="001C2EAC" w:rsidRDefault="001C2EAC" w:rsidP="00FE70E3">
      <w:pPr>
        <w:pStyle w:val="Akapitzlist"/>
        <w:numPr>
          <w:ilvl w:val="0"/>
          <w:numId w:val="42"/>
        </w:numPr>
        <w:rPr>
          <w:rFonts w:cs="Times New Roman"/>
          <w:szCs w:val="24"/>
        </w:rPr>
      </w:pPr>
      <w:r w:rsidRPr="001C2EAC">
        <w:rPr>
          <w:rFonts w:cs="Times New Roman"/>
          <w:szCs w:val="24"/>
        </w:rPr>
        <w:t xml:space="preserve">Zrealizowany przez Podkarpacki Ośrodek Doradztwa Rolniczego projekt pn. „Aktywny staruszek – gospodarstwa opiekuńcze jako forma aktywizacji seniorów na wsi. Zapoznanie </w:t>
      </w:r>
      <w:r w:rsidRPr="001C2EAC">
        <w:rPr>
          <w:rFonts w:cs="Times New Roman"/>
          <w:szCs w:val="24"/>
        </w:rPr>
        <w:lastRenderedPageBreak/>
        <w:t>się z dobrymi praktykami zagranicznymi” - w ramach którego grupa 45 osób wzięła udział w wyjeździe studyjnym uczestnicy mieli możliwość zapoznania się na żywo z dobrymi praktykami związanymi z tematyką prowadzenia gospodarstw opiekuńczych na terenie Włoch.</w:t>
      </w:r>
    </w:p>
    <w:p w14:paraId="037F4FBF" w14:textId="77777777" w:rsidR="00D2572F" w:rsidRDefault="00D2572F" w:rsidP="00D2572F">
      <w:pPr>
        <w:rPr>
          <w:rFonts w:cs="Times New Roman"/>
          <w:szCs w:val="24"/>
        </w:rPr>
      </w:pPr>
    </w:p>
    <w:p w14:paraId="46230736" w14:textId="2E4531BC" w:rsidR="00D2572F" w:rsidRDefault="00D2572F" w:rsidP="00D2572F">
      <w:pPr>
        <w:rPr>
          <w:rFonts w:cs="Times New Roman"/>
          <w:szCs w:val="24"/>
        </w:rPr>
      </w:pPr>
      <w:r>
        <w:rPr>
          <w:rFonts w:cs="Times New Roman"/>
          <w:szCs w:val="24"/>
        </w:rPr>
        <w:t xml:space="preserve">Osoby starsze były również beneficjentami działań realizowanych w ramach </w:t>
      </w:r>
      <w:r w:rsidRPr="00D2572F">
        <w:rPr>
          <w:rFonts w:cs="Times New Roman"/>
          <w:szCs w:val="24"/>
        </w:rPr>
        <w:t>Programu Rozwoju Obszarów Wiejskich 2014-​2020</w:t>
      </w:r>
      <w:r>
        <w:rPr>
          <w:rFonts w:cs="Times New Roman"/>
          <w:szCs w:val="24"/>
        </w:rPr>
        <w:t xml:space="preserve">. </w:t>
      </w:r>
    </w:p>
    <w:p w14:paraId="2EEEF5E3" w14:textId="77777777" w:rsidR="00B84865" w:rsidRDefault="00B84865" w:rsidP="00D2572F">
      <w:pPr>
        <w:rPr>
          <w:rFonts w:cs="Times New Roman"/>
          <w:szCs w:val="24"/>
        </w:rPr>
      </w:pPr>
    </w:p>
    <w:p w14:paraId="347EC26D" w14:textId="37831EA5" w:rsidR="006E79EB" w:rsidRDefault="006E79EB" w:rsidP="006E79EB">
      <w:pPr>
        <w:pStyle w:val="Legenda"/>
        <w:keepNext/>
        <w:rPr>
          <w:rFonts w:cs="Times New Roman"/>
          <w:b/>
          <w:i w:val="0"/>
          <w:color w:val="auto"/>
          <w:sz w:val="24"/>
        </w:rPr>
      </w:pPr>
      <w:r w:rsidRPr="00432294">
        <w:rPr>
          <w:rFonts w:cs="Times New Roman"/>
          <w:b/>
          <w:i w:val="0"/>
          <w:color w:val="auto"/>
          <w:sz w:val="24"/>
        </w:rPr>
        <w:t xml:space="preserve">Tabela </w:t>
      </w:r>
      <w:r w:rsidR="005B094D">
        <w:rPr>
          <w:rFonts w:cs="Times New Roman"/>
          <w:b/>
          <w:i w:val="0"/>
          <w:color w:val="auto"/>
          <w:sz w:val="24"/>
        </w:rPr>
        <w:t>44</w:t>
      </w:r>
      <w:r w:rsidR="00054E88">
        <w:rPr>
          <w:rFonts w:cs="Times New Roman"/>
          <w:b/>
          <w:i w:val="0"/>
          <w:color w:val="auto"/>
          <w:sz w:val="24"/>
        </w:rPr>
        <w:t>.</w:t>
      </w:r>
      <w:r w:rsidR="005B094D">
        <w:rPr>
          <w:rFonts w:cs="Times New Roman"/>
          <w:b/>
          <w:i w:val="0"/>
          <w:color w:val="auto"/>
          <w:sz w:val="24"/>
        </w:rPr>
        <w:t xml:space="preserve"> </w:t>
      </w:r>
      <w:r w:rsidRPr="006E79EB">
        <w:rPr>
          <w:rFonts w:cs="Times New Roman"/>
          <w:b/>
          <w:i w:val="0"/>
          <w:color w:val="auto"/>
          <w:sz w:val="24"/>
        </w:rPr>
        <w:t>Informacja nt. kwot zrealizowanych płatności w ramach PROW 2014-2020 oraz płatności obszarowych dla beneficjentó</w:t>
      </w:r>
      <w:r w:rsidR="00C862E3">
        <w:rPr>
          <w:rFonts w:cs="Times New Roman"/>
          <w:b/>
          <w:i w:val="0"/>
          <w:color w:val="auto"/>
          <w:sz w:val="24"/>
        </w:rPr>
        <w:t>w, którzy w 2020 r. mieli 60</w:t>
      </w:r>
      <w:r w:rsidRPr="006E79EB">
        <w:rPr>
          <w:rFonts w:cs="Times New Roman"/>
          <w:b/>
          <w:i w:val="0"/>
          <w:color w:val="auto"/>
          <w:sz w:val="24"/>
        </w:rPr>
        <w:t xml:space="preserve"> i więcej</w:t>
      </w:r>
      <w:r w:rsidR="00C862E3">
        <w:rPr>
          <w:rFonts w:cs="Times New Roman"/>
          <w:b/>
          <w:i w:val="0"/>
          <w:color w:val="auto"/>
          <w:sz w:val="24"/>
        </w:rPr>
        <w:t xml:space="preserve"> lat</w:t>
      </w:r>
    </w:p>
    <w:tbl>
      <w:tblPr>
        <w:tblStyle w:val="Tabelasiatki4akcent21"/>
        <w:tblW w:w="9209" w:type="dxa"/>
        <w:tblLook w:val="04A0" w:firstRow="1" w:lastRow="0" w:firstColumn="1" w:lastColumn="0" w:noHBand="0" w:noVBand="1"/>
      </w:tblPr>
      <w:tblGrid>
        <w:gridCol w:w="6091"/>
        <w:gridCol w:w="1405"/>
        <w:gridCol w:w="1843"/>
      </w:tblGrid>
      <w:tr w:rsidR="00A74780" w:rsidRPr="00A74780" w14:paraId="494B8D7A" w14:textId="77777777" w:rsidTr="00CB43B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1" w:type="dxa"/>
            <w:noWrap/>
            <w:hideMark/>
          </w:tcPr>
          <w:p w14:paraId="7DF5A490" w14:textId="77777777" w:rsidR="00A74780" w:rsidRPr="00A74780" w:rsidRDefault="00A74780" w:rsidP="00A74780">
            <w:pPr>
              <w:spacing w:line="240" w:lineRule="auto"/>
              <w:rPr>
                <w:rFonts w:eastAsia="Times New Roman" w:cs="Times New Roman"/>
                <w:color w:val="000000"/>
                <w:sz w:val="20"/>
                <w:szCs w:val="20"/>
                <w:lang w:eastAsia="pl-PL"/>
              </w:rPr>
            </w:pPr>
            <w:r w:rsidRPr="00A74780">
              <w:rPr>
                <w:rFonts w:eastAsia="Times New Roman" w:cs="Times New Roman"/>
                <w:color w:val="000000"/>
                <w:sz w:val="20"/>
                <w:szCs w:val="20"/>
                <w:lang w:eastAsia="pl-PL"/>
              </w:rPr>
              <w:t>Działanie</w:t>
            </w:r>
          </w:p>
        </w:tc>
        <w:tc>
          <w:tcPr>
            <w:tcW w:w="1275" w:type="dxa"/>
            <w:noWrap/>
            <w:hideMark/>
          </w:tcPr>
          <w:p w14:paraId="53B727C4" w14:textId="77777777" w:rsidR="00A74780" w:rsidRPr="00A74780" w:rsidRDefault="00A74780" w:rsidP="00A7478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Liczba beneficjentów</w:t>
            </w:r>
          </w:p>
        </w:tc>
        <w:tc>
          <w:tcPr>
            <w:tcW w:w="1843" w:type="dxa"/>
            <w:noWrap/>
            <w:hideMark/>
          </w:tcPr>
          <w:p w14:paraId="347D62FF" w14:textId="77777777" w:rsidR="00A74780" w:rsidRPr="00A74780" w:rsidRDefault="00A74780" w:rsidP="00A7478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 xml:space="preserve"> Zrealizowane płatności (zł) </w:t>
            </w:r>
          </w:p>
        </w:tc>
      </w:tr>
      <w:tr w:rsidR="00A74780" w:rsidRPr="00A74780" w14:paraId="5FD1BE3D" w14:textId="77777777" w:rsidTr="00CB43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1" w:type="dxa"/>
            <w:hideMark/>
          </w:tcPr>
          <w:p w14:paraId="727F6E0A" w14:textId="77777777" w:rsidR="00A74780" w:rsidRPr="00A74780" w:rsidRDefault="00A74780" w:rsidP="00A74780">
            <w:pPr>
              <w:spacing w:line="240" w:lineRule="auto"/>
              <w:rPr>
                <w:rFonts w:eastAsia="Times New Roman" w:cs="Times New Roman"/>
                <w:sz w:val="20"/>
                <w:szCs w:val="20"/>
                <w:lang w:eastAsia="pl-PL"/>
              </w:rPr>
            </w:pPr>
            <w:r w:rsidRPr="00A74780">
              <w:rPr>
                <w:rFonts w:eastAsia="Times New Roman" w:cs="Times New Roman"/>
                <w:sz w:val="20"/>
                <w:szCs w:val="20"/>
                <w:lang w:eastAsia="pl-PL"/>
              </w:rPr>
              <w:t>3.1 Wsparcie dla nowych uczestników systemów jakości żywności</w:t>
            </w:r>
          </w:p>
        </w:tc>
        <w:tc>
          <w:tcPr>
            <w:tcW w:w="1275" w:type="dxa"/>
            <w:noWrap/>
            <w:hideMark/>
          </w:tcPr>
          <w:p w14:paraId="1DAD64FB"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237</w:t>
            </w:r>
          </w:p>
        </w:tc>
        <w:tc>
          <w:tcPr>
            <w:tcW w:w="1843" w:type="dxa"/>
            <w:noWrap/>
            <w:vAlign w:val="center"/>
            <w:hideMark/>
          </w:tcPr>
          <w:p w14:paraId="2007A1AA"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686 378,32 zł</w:t>
            </w:r>
          </w:p>
        </w:tc>
      </w:tr>
      <w:tr w:rsidR="00A74780" w:rsidRPr="00A74780" w14:paraId="253F0D35" w14:textId="77777777" w:rsidTr="00CB43BC">
        <w:trPr>
          <w:trHeight w:val="300"/>
        </w:trPr>
        <w:tc>
          <w:tcPr>
            <w:cnfStyle w:val="001000000000" w:firstRow="0" w:lastRow="0" w:firstColumn="1" w:lastColumn="0" w:oddVBand="0" w:evenVBand="0" w:oddHBand="0" w:evenHBand="0" w:firstRowFirstColumn="0" w:firstRowLastColumn="0" w:lastRowFirstColumn="0" w:lastRowLastColumn="0"/>
            <w:tcW w:w="6091" w:type="dxa"/>
            <w:hideMark/>
          </w:tcPr>
          <w:p w14:paraId="0C7C0EF1" w14:textId="77777777" w:rsidR="00A74780" w:rsidRPr="00A74780" w:rsidRDefault="00A74780" w:rsidP="00A74780">
            <w:pPr>
              <w:spacing w:line="240" w:lineRule="auto"/>
              <w:rPr>
                <w:rFonts w:eastAsia="Times New Roman" w:cs="Times New Roman"/>
                <w:sz w:val="20"/>
                <w:szCs w:val="20"/>
                <w:lang w:eastAsia="pl-PL"/>
              </w:rPr>
            </w:pPr>
            <w:r w:rsidRPr="00A74780">
              <w:rPr>
                <w:rFonts w:eastAsia="Times New Roman" w:cs="Times New Roman"/>
                <w:sz w:val="20"/>
                <w:szCs w:val="20"/>
                <w:lang w:eastAsia="pl-PL"/>
              </w:rPr>
              <w:t>4.1.1 Inwestycje w gospodarstwach położonych na obszarach NATURA 2000</w:t>
            </w:r>
          </w:p>
        </w:tc>
        <w:tc>
          <w:tcPr>
            <w:tcW w:w="1275" w:type="dxa"/>
            <w:noWrap/>
            <w:hideMark/>
          </w:tcPr>
          <w:p w14:paraId="0E55F2CB"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30</w:t>
            </w:r>
          </w:p>
        </w:tc>
        <w:tc>
          <w:tcPr>
            <w:tcW w:w="1843" w:type="dxa"/>
            <w:noWrap/>
            <w:vAlign w:val="center"/>
            <w:hideMark/>
          </w:tcPr>
          <w:p w14:paraId="125014EA"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3 331 757,00 zł</w:t>
            </w:r>
          </w:p>
        </w:tc>
      </w:tr>
      <w:tr w:rsidR="00A74780" w:rsidRPr="00A74780" w14:paraId="7449202D" w14:textId="77777777" w:rsidTr="00CB43BC">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6091" w:type="dxa"/>
            <w:hideMark/>
          </w:tcPr>
          <w:p w14:paraId="7EEA6691" w14:textId="77777777" w:rsidR="00A74780" w:rsidRPr="00A74780" w:rsidRDefault="00A74780" w:rsidP="00A74780">
            <w:pPr>
              <w:spacing w:line="240" w:lineRule="auto"/>
              <w:rPr>
                <w:rFonts w:eastAsia="Times New Roman" w:cs="Times New Roman"/>
                <w:sz w:val="20"/>
                <w:szCs w:val="20"/>
                <w:lang w:eastAsia="pl-PL"/>
              </w:rPr>
            </w:pPr>
            <w:r w:rsidRPr="00A74780">
              <w:rPr>
                <w:rFonts w:eastAsia="Times New Roman" w:cs="Times New Roman"/>
                <w:sz w:val="20"/>
                <w:szCs w:val="20"/>
                <w:lang w:eastAsia="pl-PL"/>
              </w:rPr>
              <w:t xml:space="preserve"> 4.1.2 Inwestycje mające na celu ochronę wód przed zanieczyszczeniem azotanami pochodzącymi ze źródeł rolniczych (w tym dane dot. tego typu operacji pod pierwotną nazwą "Inwestycje w gospodarstwach położonych na obszarach OSN")</w:t>
            </w:r>
          </w:p>
        </w:tc>
        <w:tc>
          <w:tcPr>
            <w:tcW w:w="1275" w:type="dxa"/>
            <w:noWrap/>
            <w:hideMark/>
          </w:tcPr>
          <w:p w14:paraId="016DD159"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37</w:t>
            </w:r>
          </w:p>
        </w:tc>
        <w:tc>
          <w:tcPr>
            <w:tcW w:w="1843" w:type="dxa"/>
            <w:noWrap/>
            <w:vAlign w:val="center"/>
            <w:hideMark/>
          </w:tcPr>
          <w:p w14:paraId="6D0502CB"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2 576 355,00 zł</w:t>
            </w:r>
          </w:p>
        </w:tc>
      </w:tr>
      <w:tr w:rsidR="00A74780" w:rsidRPr="00A74780" w14:paraId="69FEF0C9" w14:textId="77777777" w:rsidTr="00CB43BC">
        <w:trPr>
          <w:trHeight w:val="300"/>
        </w:trPr>
        <w:tc>
          <w:tcPr>
            <w:cnfStyle w:val="001000000000" w:firstRow="0" w:lastRow="0" w:firstColumn="1" w:lastColumn="0" w:oddVBand="0" w:evenVBand="0" w:oddHBand="0" w:evenHBand="0" w:firstRowFirstColumn="0" w:firstRowLastColumn="0" w:lastRowFirstColumn="0" w:lastRowLastColumn="0"/>
            <w:tcW w:w="6091" w:type="dxa"/>
            <w:hideMark/>
          </w:tcPr>
          <w:p w14:paraId="34646273" w14:textId="77777777" w:rsidR="00A74780" w:rsidRPr="00A74780" w:rsidRDefault="00A74780" w:rsidP="00A74780">
            <w:pPr>
              <w:spacing w:line="240" w:lineRule="auto"/>
              <w:rPr>
                <w:rFonts w:eastAsia="Times New Roman" w:cs="Times New Roman"/>
                <w:sz w:val="20"/>
                <w:szCs w:val="20"/>
                <w:lang w:eastAsia="pl-PL"/>
              </w:rPr>
            </w:pPr>
            <w:r w:rsidRPr="00A74780">
              <w:rPr>
                <w:rFonts w:eastAsia="Times New Roman" w:cs="Times New Roman"/>
                <w:sz w:val="20"/>
                <w:szCs w:val="20"/>
                <w:lang w:eastAsia="pl-PL"/>
              </w:rPr>
              <w:t>4.1.3 Modernizacja gospodarstw rolnych</w:t>
            </w:r>
          </w:p>
        </w:tc>
        <w:tc>
          <w:tcPr>
            <w:tcW w:w="1275" w:type="dxa"/>
            <w:noWrap/>
            <w:hideMark/>
          </w:tcPr>
          <w:p w14:paraId="0A219240"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349</w:t>
            </w:r>
          </w:p>
        </w:tc>
        <w:tc>
          <w:tcPr>
            <w:tcW w:w="1843" w:type="dxa"/>
            <w:noWrap/>
            <w:vAlign w:val="center"/>
            <w:hideMark/>
          </w:tcPr>
          <w:p w14:paraId="44F444C4"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52 023 717,27 zł</w:t>
            </w:r>
          </w:p>
        </w:tc>
      </w:tr>
      <w:tr w:rsidR="00A74780" w:rsidRPr="00A74780" w14:paraId="35203200" w14:textId="77777777" w:rsidTr="00CB43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1" w:type="dxa"/>
            <w:hideMark/>
          </w:tcPr>
          <w:p w14:paraId="74684A33" w14:textId="77777777" w:rsidR="00A74780" w:rsidRPr="00A74780" w:rsidRDefault="00A74780" w:rsidP="00A74780">
            <w:pPr>
              <w:spacing w:line="240" w:lineRule="auto"/>
              <w:rPr>
                <w:rFonts w:eastAsia="Times New Roman" w:cs="Times New Roman"/>
                <w:sz w:val="20"/>
                <w:szCs w:val="20"/>
                <w:lang w:eastAsia="pl-PL"/>
              </w:rPr>
            </w:pPr>
            <w:r w:rsidRPr="00A74780">
              <w:rPr>
                <w:rFonts w:eastAsia="Times New Roman" w:cs="Times New Roman"/>
                <w:sz w:val="20"/>
                <w:szCs w:val="20"/>
                <w:lang w:eastAsia="pl-PL"/>
              </w:rPr>
              <w:t>4.2 Przetwórstwo i marketing produktów rolnych</w:t>
            </w:r>
          </w:p>
        </w:tc>
        <w:tc>
          <w:tcPr>
            <w:tcW w:w="1275" w:type="dxa"/>
            <w:noWrap/>
            <w:hideMark/>
          </w:tcPr>
          <w:p w14:paraId="5FF3780B"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7</w:t>
            </w:r>
          </w:p>
        </w:tc>
        <w:tc>
          <w:tcPr>
            <w:tcW w:w="1843" w:type="dxa"/>
            <w:noWrap/>
            <w:vAlign w:val="center"/>
            <w:hideMark/>
          </w:tcPr>
          <w:p w14:paraId="1A511F08"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5 478 478,71 zł</w:t>
            </w:r>
          </w:p>
        </w:tc>
      </w:tr>
      <w:tr w:rsidR="00A74780" w:rsidRPr="00A74780" w14:paraId="77BD4523" w14:textId="77777777" w:rsidTr="00CB43BC">
        <w:trPr>
          <w:trHeight w:val="300"/>
        </w:trPr>
        <w:tc>
          <w:tcPr>
            <w:cnfStyle w:val="001000000000" w:firstRow="0" w:lastRow="0" w:firstColumn="1" w:lastColumn="0" w:oddVBand="0" w:evenVBand="0" w:oddHBand="0" w:evenHBand="0" w:firstRowFirstColumn="0" w:firstRowLastColumn="0" w:lastRowFirstColumn="0" w:lastRowLastColumn="0"/>
            <w:tcW w:w="6091" w:type="dxa"/>
            <w:hideMark/>
          </w:tcPr>
          <w:p w14:paraId="2F2AF767" w14:textId="77777777" w:rsidR="00A74780" w:rsidRPr="00A74780" w:rsidRDefault="00A74780" w:rsidP="00A74780">
            <w:pPr>
              <w:spacing w:line="240" w:lineRule="auto"/>
              <w:rPr>
                <w:rFonts w:eastAsia="Times New Roman" w:cs="Times New Roman"/>
                <w:color w:val="000000"/>
                <w:sz w:val="20"/>
                <w:szCs w:val="20"/>
                <w:lang w:eastAsia="pl-PL"/>
              </w:rPr>
            </w:pPr>
            <w:r w:rsidRPr="00A74780">
              <w:rPr>
                <w:rFonts w:eastAsia="Times New Roman" w:cs="Times New Roman"/>
                <w:color w:val="000000"/>
                <w:sz w:val="20"/>
                <w:szCs w:val="20"/>
                <w:lang w:eastAsia="pl-PL"/>
              </w:rPr>
              <w:t>5.1 Inwestycje zapobiegające zniszczeniu potencjału produkcji rolnej</w:t>
            </w:r>
          </w:p>
        </w:tc>
        <w:tc>
          <w:tcPr>
            <w:tcW w:w="1275" w:type="dxa"/>
            <w:noWrap/>
            <w:hideMark/>
          </w:tcPr>
          <w:p w14:paraId="1E61F63F"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99</w:t>
            </w:r>
          </w:p>
        </w:tc>
        <w:tc>
          <w:tcPr>
            <w:tcW w:w="1843" w:type="dxa"/>
            <w:noWrap/>
            <w:vAlign w:val="center"/>
            <w:hideMark/>
          </w:tcPr>
          <w:p w14:paraId="2F30A1D5"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4 816 057,41 zł</w:t>
            </w:r>
          </w:p>
        </w:tc>
      </w:tr>
      <w:tr w:rsidR="00A74780" w:rsidRPr="00A74780" w14:paraId="1B431FB3" w14:textId="77777777" w:rsidTr="00CB43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1" w:type="dxa"/>
            <w:hideMark/>
          </w:tcPr>
          <w:p w14:paraId="33124AF9" w14:textId="77777777" w:rsidR="00A74780" w:rsidRPr="00A74780" w:rsidRDefault="00A74780" w:rsidP="00A74780">
            <w:pPr>
              <w:spacing w:line="240" w:lineRule="auto"/>
              <w:rPr>
                <w:rFonts w:eastAsia="Times New Roman" w:cs="Times New Roman"/>
                <w:color w:val="000000"/>
                <w:sz w:val="20"/>
                <w:szCs w:val="20"/>
                <w:lang w:eastAsia="pl-PL"/>
              </w:rPr>
            </w:pPr>
            <w:r w:rsidRPr="00A74780">
              <w:rPr>
                <w:rFonts w:eastAsia="Times New Roman" w:cs="Times New Roman"/>
                <w:color w:val="000000"/>
                <w:sz w:val="20"/>
                <w:szCs w:val="20"/>
                <w:lang w:eastAsia="pl-PL"/>
              </w:rPr>
              <w:t>5.2 Inwestycje odtwarzające potencjał produkcji rolnej</w:t>
            </w:r>
          </w:p>
        </w:tc>
        <w:tc>
          <w:tcPr>
            <w:tcW w:w="1275" w:type="dxa"/>
            <w:noWrap/>
            <w:hideMark/>
          </w:tcPr>
          <w:p w14:paraId="5FD304A7"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4</w:t>
            </w:r>
          </w:p>
        </w:tc>
        <w:tc>
          <w:tcPr>
            <w:tcW w:w="1843" w:type="dxa"/>
            <w:noWrap/>
            <w:vAlign w:val="center"/>
            <w:hideMark/>
          </w:tcPr>
          <w:p w14:paraId="3D665E79"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136 008,00 zł</w:t>
            </w:r>
          </w:p>
        </w:tc>
      </w:tr>
      <w:tr w:rsidR="00A74780" w:rsidRPr="00A74780" w14:paraId="6AA74BDB" w14:textId="77777777" w:rsidTr="00CB43BC">
        <w:trPr>
          <w:trHeight w:val="300"/>
        </w:trPr>
        <w:tc>
          <w:tcPr>
            <w:cnfStyle w:val="001000000000" w:firstRow="0" w:lastRow="0" w:firstColumn="1" w:lastColumn="0" w:oddVBand="0" w:evenVBand="0" w:oddHBand="0" w:evenHBand="0" w:firstRowFirstColumn="0" w:firstRowLastColumn="0" w:lastRowFirstColumn="0" w:lastRowLastColumn="0"/>
            <w:tcW w:w="6091" w:type="dxa"/>
            <w:hideMark/>
          </w:tcPr>
          <w:p w14:paraId="7923E466" w14:textId="77777777" w:rsidR="00A74780" w:rsidRPr="00A74780" w:rsidRDefault="00A74780" w:rsidP="00A74780">
            <w:pPr>
              <w:spacing w:line="240" w:lineRule="auto"/>
              <w:rPr>
                <w:rFonts w:eastAsia="Times New Roman" w:cs="Times New Roman"/>
                <w:sz w:val="20"/>
                <w:szCs w:val="20"/>
                <w:lang w:eastAsia="pl-PL"/>
              </w:rPr>
            </w:pPr>
            <w:r w:rsidRPr="00A74780">
              <w:rPr>
                <w:rFonts w:eastAsia="Times New Roman" w:cs="Times New Roman"/>
                <w:sz w:val="20"/>
                <w:szCs w:val="20"/>
                <w:lang w:eastAsia="pl-PL"/>
              </w:rPr>
              <w:t xml:space="preserve">6.2 Premie na rozpoczęcie działalności pozarolniczej </w:t>
            </w:r>
          </w:p>
        </w:tc>
        <w:tc>
          <w:tcPr>
            <w:tcW w:w="1275" w:type="dxa"/>
            <w:noWrap/>
            <w:hideMark/>
          </w:tcPr>
          <w:p w14:paraId="70FE1D1B"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51</w:t>
            </w:r>
          </w:p>
        </w:tc>
        <w:tc>
          <w:tcPr>
            <w:tcW w:w="1843" w:type="dxa"/>
            <w:noWrap/>
            <w:vAlign w:val="center"/>
            <w:hideMark/>
          </w:tcPr>
          <w:p w14:paraId="5FAF7EFB"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7 200 000,00 zł</w:t>
            </w:r>
          </w:p>
        </w:tc>
      </w:tr>
      <w:tr w:rsidR="00A74780" w:rsidRPr="00A74780" w14:paraId="50911DCE" w14:textId="77777777" w:rsidTr="00CB43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1" w:type="dxa"/>
            <w:hideMark/>
          </w:tcPr>
          <w:p w14:paraId="2F16073F" w14:textId="77777777" w:rsidR="00A74780" w:rsidRPr="00A74780" w:rsidRDefault="00A74780" w:rsidP="00A74780">
            <w:pPr>
              <w:spacing w:line="240" w:lineRule="auto"/>
              <w:rPr>
                <w:rFonts w:eastAsia="Times New Roman" w:cs="Times New Roman"/>
                <w:sz w:val="20"/>
                <w:szCs w:val="20"/>
                <w:lang w:eastAsia="pl-PL"/>
              </w:rPr>
            </w:pPr>
            <w:r w:rsidRPr="00A74780">
              <w:rPr>
                <w:rFonts w:eastAsia="Times New Roman" w:cs="Times New Roman"/>
                <w:sz w:val="20"/>
                <w:szCs w:val="20"/>
                <w:lang w:eastAsia="pl-PL"/>
              </w:rPr>
              <w:t>6.3 Restrukturyzacja małych gospodarstw</w:t>
            </w:r>
          </w:p>
        </w:tc>
        <w:tc>
          <w:tcPr>
            <w:tcW w:w="1275" w:type="dxa"/>
            <w:noWrap/>
            <w:hideMark/>
          </w:tcPr>
          <w:p w14:paraId="7B20CAEF"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762</w:t>
            </w:r>
          </w:p>
        </w:tc>
        <w:tc>
          <w:tcPr>
            <w:tcW w:w="1843" w:type="dxa"/>
            <w:noWrap/>
            <w:vAlign w:val="center"/>
            <w:hideMark/>
          </w:tcPr>
          <w:p w14:paraId="341624DE"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33 396 000,00 zł</w:t>
            </w:r>
          </w:p>
        </w:tc>
      </w:tr>
      <w:tr w:rsidR="00A74780" w:rsidRPr="00A74780" w14:paraId="72E69FE8" w14:textId="77777777" w:rsidTr="00CB43BC">
        <w:trPr>
          <w:trHeight w:val="300"/>
        </w:trPr>
        <w:tc>
          <w:tcPr>
            <w:cnfStyle w:val="001000000000" w:firstRow="0" w:lastRow="0" w:firstColumn="1" w:lastColumn="0" w:oddVBand="0" w:evenVBand="0" w:oddHBand="0" w:evenHBand="0" w:firstRowFirstColumn="0" w:firstRowLastColumn="0" w:lastRowFirstColumn="0" w:lastRowLastColumn="0"/>
            <w:tcW w:w="6091" w:type="dxa"/>
            <w:hideMark/>
          </w:tcPr>
          <w:p w14:paraId="6A315AC6" w14:textId="77777777" w:rsidR="00A74780" w:rsidRPr="00A74780" w:rsidRDefault="00A74780" w:rsidP="00A74780">
            <w:pPr>
              <w:spacing w:line="240" w:lineRule="auto"/>
              <w:rPr>
                <w:rFonts w:eastAsia="Times New Roman" w:cs="Times New Roman"/>
                <w:sz w:val="20"/>
                <w:szCs w:val="20"/>
                <w:lang w:eastAsia="pl-PL"/>
              </w:rPr>
            </w:pPr>
            <w:r w:rsidRPr="00A74780">
              <w:rPr>
                <w:rFonts w:eastAsia="Times New Roman" w:cs="Times New Roman"/>
                <w:sz w:val="20"/>
                <w:szCs w:val="20"/>
                <w:lang w:eastAsia="pl-PL"/>
              </w:rPr>
              <w:t>6.4 Rozwój przedsiębiorczości - rozwój usług rolniczych</w:t>
            </w:r>
          </w:p>
        </w:tc>
        <w:tc>
          <w:tcPr>
            <w:tcW w:w="1275" w:type="dxa"/>
            <w:noWrap/>
            <w:hideMark/>
          </w:tcPr>
          <w:p w14:paraId="02745033"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28</w:t>
            </w:r>
          </w:p>
        </w:tc>
        <w:tc>
          <w:tcPr>
            <w:tcW w:w="1843" w:type="dxa"/>
            <w:noWrap/>
            <w:vAlign w:val="center"/>
            <w:hideMark/>
          </w:tcPr>
          <w:p w14:paraId="43356814"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7 538 077,00 zł</w:t>
            </w:r>
          </w:p>
        </w:tc>
      </w:tr>
      <w:tr w:rsidR="00A74780" w:rsidRPr="00A74780" w14:paraId="6B0CD4F9" w14:textId="77777777" w:rsidTr="00CB43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1" w:type="dxa"/>
            <w:hideMark/>
          </w:tcPr>
          <w:p w14:paraId="1491738E" w14:textId="77777777" w:rsidR="00A74780" w:rsidRPr="00A74780" w:rsidRDefault="00A74780" w:rsidP="00A74780">
            <w:pPr>
              <w:spacing w:line="240" w:lineRule="auto"/>
              <w:rPr>
                <w:rFonts w:eastAsia="Times New Roman" w:cs="Times New Roman"/>
                <w:sz w:val="20"/>
                <w:szCs w:val="20"/>
                <w:lang w:eastAsia="pl-PL"/>
              </w:rPr>
            </w:pPr>
            <w:r w:rsidRPr="00A74780">
              <w:rPr>
                <w:rFonts w:eastAsia="Times New Roman" w:cs="Times New Roman"/>
                <w:sz w:val="20"/>
                <w:szCs w:val="20"/>
                <w:lang w:eastAsia="pl-PL"/>
              </w:rPr>
              <w:t xml:space="preserve">6.5 Płatności dla rolników przekazujących małe gospodarstwa </w:t>
            </w:r>
          </w:p>
        </w:tc>
        <w:tc>
          <w:tcPr>
            <w:tcW w:w="1275" w:type="dxa"/>
            <w:noWrap/>
            <w:hideMark/>
          </w:tcPr>
          <w:p w14:paraId="2B0AD432"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17</w:t>
            </w:r>
          </w:p>
        </w:tc>
        <w:tc>
          <w:tcPr>
            <w:tcW w:w="1843" w:type="dxa"/>
            <w:noWrap/>
            <w:vAlign w:val="center"/>
            <w:hideMark/>
          </w:tcPr>
          <w:p w14:paraId="597B5230"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108 560,44 zł</w:t>
            </w:r>
          </w:p>
        </w:tc>
      </w:tr>
      <w:tr w:rsidR="00A74780" w:rsidRPr="00A74780" w14:paraId="660774F7" w14:textId="77777777" w:rsidTr="00CB43BC">
        <w:trPr>
          <w:trHeight w:val="300"/>
        </w:trPr>
        <w:tc>
          <w:tcPr>
            <w:cnfStyle w:val="001000000000" w:firstRow="0" w:lastRow="0" w:firstColumn="1" w:lastColumn="0" w:oddVBand="0" w:evenVBand="0" w:oddHBand="0" w:evenHBand="0" w:firstRowFirstColumn="0" w:firstRowLastColumn="0" w:lastRowFirstColumn="0" w:lastRowLastColumn="0"/>
            <w:tcW w:w="6091" w:type="dxa"/>
            <w:hideMark/>
          </w:tcPr>
          <w:p w14:paraId="665356FB" w14:textId="77777777" w:rsidR="00A74780" w:rsidRPr="00A74780" w:rsidRDefault="00A74780" w:rsidP="00A74780">
            <w:pPr>
              <w:spacing w:line="240" w:lineRule="auto"/>
              <w:rPr>
                <w:rFonts w:eastAsia="Times New Roman" w:cs="Times New Roman"/>
                <w:sz w:val="20"/>
                <w:szCs w:val="20"/>
                <w:lang w:eastAsia="pl-PL"/>
              </w:rPr>
            </w:pPr>
            <w:r w:rsidRPr="00A74780">
              <w:rPr>
                <w:rFonts w:eastAsia="Times New Roman" w:cs="Times New Roman"/>
                <w:sz w:val="20"/>
                <w:szCs w:val="20"/>
                <w:lang w:eastAsia="pl-PL"/>
              </w:rPr>
              <w:t>19.2 Wdrażanie lokalnych strategii rozwoju PROW 2014-2020</w:t>
            </w:r>
          </w:p>
        </w:tc>
        <w:tc>
          <w:tcPr>
            <w:tcW w:w="1275" w:type="dxa"/>
            <w:noWrap/>
            <w:hideMark/>
          </w:tcPr>
          <w:p w14:paraId="263CC536"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181</w:t>
            </w:r>
          </w:p>
        </w:tc>
        <w:tc>
          <w:tcPr>
            <w:tcW w:w="1843" w:type="dxa"/>
            <w:noWrap/>
            <w:vAlign w:val="center"/>
            <w:hideMark/>
          </w:tcPr>
          <w:p w14:paraId="04665CEC"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15 191 540,99 zł</w:t>
            </w:r>
          </w:p>
        </w:tc>
      </w:tr>
      <w:tr w:rsidR="00A74780" w:rsidRPr="00A74780" w14:paraId="6875B731" w14:textId="77777777" w:rsidTr="00CB43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1" w:type="dxa"/>
            <w:hideMark/>
          </w:tcPr>
          <w:p w14:paraId="471F2084" w14:textId="77777777" w:rsidR="00A74780" w:rsidRPr="00A74780" w:rsidRDefault="00A74780" w:rsidP="00A74780">
            <w:pPr>
              <w:spacing w:line="240" w:lineRule="auto"/>
              <w:rPr>
                <w:rFonts w:eastAsia="Times New Roman" w:cs="Times New Roman"/>
                <w:sz w:val="20"/>
                <w:szCs w:val="20"/>
                <w:lang w:eastAsia="pl-PL"/>
              </w:rPr>
            </w:pPr>
            <w:r w:rsidRPr="00A74780">
              <w:rPr>
                <w:rFonts w:eastAsia="Times New Roman" w:cs="Times New Roman"/>
                <w:sz w:val="20"/>
                <w:szCs w:val="20"/>
                <w:lang w:eastAsia="pl-PL"/>
              </w:rPr>
              <w:t>21  Pomoc dla rolników szczególnie dotkniętych kryzysem COVID-19</w:t>
            </w:r>
          </w:p>
        </w:tc>
        <w:tc>
          <w:tcPr>
            <w:tcW w:w="1275" w:type="dxa"/>
            <w:noWrap/>
            <w:hideMark/>
          </w:tcPr>
          <w:p w14:paraId="102F3A4D"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27 258</w:t>
            </w:r>
          </w:p>
        </w:tc>
        <w:tc>
          <w:tcPr>
            <w:tcW w:w="1843" w:type="dxa"/>
            <w:noWrap/>
            <w:vAlign w:val="center"/>
            <w:hideMark/>
          </w:tcPr>
          <w:p w14:paraId="7EDC6759"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171 327 735,66 zł</w:t>
            </w:r>
          </w:p>
        </w:tc>
      </w:tr>
      <w:tr w:rsidR="00A74780" w:rsidRPr="00A74780" w14:paraId="078DA5D5" w14:textId="77777777" w:rsidTr="00CB43BC">
        <w:trPr>
          <w:trHeight w:val="300"/>
        </w:trPr>
        <w:tc>
          <w:tcPr>
            <w:cnfStyle w:val="001000000000" w:firstRow="0" w:lastRow="0" w:firstColumn="1" w:lastColumn="0" w:oddVBand="0" w:evenVBand="0" w:oddHBand="0" w:evenHBand="0" w:firstRowFirstColumn="0" w:firstRowLastColumn="0" w:lastRowFirstColumn="0" w:lastRowLastColumn="0"/>
            <w:tcW w:w="6091" w:type="dxa"/>
            <w:hideMark/>
          </w:tcPr>
          <w:p w14:paraId="0701C85E" w14:textId="77777777" w:rsidR="00A74780" w:rsidRPr="00A74780" w:rsidRDefault="00A74780" w:rsidP="00A74780">
            <w:pPr>
              <w:spacing w:line="240" w:lineRule="auto"/>
              <w:rPr>
                <w:rFonts w:eastAsia="Times New Roman" w:cs="Times New Roman"/>
                <w:sz w:val="20"/>
                <w:szCs w:val="20"/>
                <w:lang w:eastAsia="pl-PL"/>
              </w:rPr>
            </w:pPr>
            <w:r w:rsidRPr="00A74780">
              <w:rPr>
                <w:rFonts w:eastAsia="Times New Roman" w:cs="Times New Roman"/>
                <w:sz w:val="20"/>
                <w:szCs w:val="20"/>
                <w:lang w:eastAsia="pl-PL"/>
              </w:rPr>
              <w:t>Renty strukturalne</w:t>
            </w:r>
          </w:p>
        </w:tc>
        <w:tc>
          <w:tcPr>
            <w:tcW w:w="1275" w:type="dxa"/>
            <w:noWrap/>
            <w:hideMark/>
          </w:tcPr>
          <w:p w14:paraId="6A707166"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1 317</w:t>
            </w:r>
          </w:p>
        </w:tc>
        <w:tc>
          <w:tcPr>
            <w:tcW w:w="1843" w:type="dxa"/>
            <w:noWrap/>
            <w:vAlign w:val="center"/>
            <w:hideMark/>
          </w:tcPr>
          <w:p w14:paraId="76BB392F"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6 271 199,20 zł</w:t>
            </w:r>
          </w:p>
        </w:tc>
      </w:tr>
      <w:tr w:rsidR="00A74780" w:rsidRPr="00A74780" w14:paraId="0A9A80D1" w14:textId="77777777" w:rsidTr="00CB43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1" w:type="dxa"/>
            <w:hideMark/>
          </w:tcPr>
          <w:p w14:paraId="601F8344" w14:textId="77777777" w:rsidR="00A74780" w:rsidRPr="00A74780" w:rsidRDefault="00A74780" w:rsidP="00A74780">
            <w:pPr>
              <w:spacing w:line="240" w:lineRule="auto"/>
              <w:rPr>
                <w:rFonts w:eastAsia="Times New Roman" w:cs="Times New Roman"/>
                <w:sz w:val="20"/>
                <w:szCs w:val="20"/>
                <w:lang w:eastAsia="pl-PL"/>
              </w:rPr>
            </w:pPr>
            <w:r w:rsidRPr="00A74780">
              <w:rPr>
                <w:rFonts w:eastAsia="Times New Roman" w:cs="Times New Roman"/>
                <w:sz w:val="20"/>
                <w:szCs w:val="20"/>
                <w:lang w:eastAsia="pl-PL"/>
              </w:rPr>
              <w:t>8 Innowacje w rozwój obszarów leś</w:t>
            </w:r>
            <w:r>
              <w:rPr>
                <w:rFonts w:eastAsia="Times New Roman" w:cs="Times New Roman"/>
                <w:sz w:val="20"/>
                <w:szCs w:val="20"/>
                <w:lang w:eastAsia="pl-PL"/>
              </w:rPr>
              <w:t>nych i poprawę żywotności lasów</w:t>
            </w:r>
            <w:r>
              <w:rPr>
                <w:rStyle w:val="Odwoanieprzypisudolnego"/>
                <w:rFonts w:eastAsia="Times New Roman" w:cs="Times New Roman"/>
                <w:sz w:val="20"/>
                <w:szCs w:val="20"/>
                <w:lang w:eastAsia="pl-PL"/>
              </w:rPr>
              <w:footnoteReference w:id="29"/>
            </w:r>
          </w:p>
        </w:tc>
        <w:tc>
          <w:tcPr>
            <w:tcW w:w="1275" w:type="dxa"/>
            <w:noWrap/>
            <w:hideMark/>
          </w:tcPr>
          <w:p w14:paraId="33FBABF5"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463</w:t>
            </w:r>
          </w:p>
        </w:tc>
        <w:tc>
          <w:tcPr>
            <w:tcW w:w="1843" w:type="dxa"/>
            <w:noWrap/>
            <w:vAlign w:val="center"/>
            <w:hideMark/>
          </w:tcPr>
          <w:p w14:paraId="5900B131"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2 158 152,03 zł</w:t>
            </w:r>
          </w:p>
        </w:tc>
      </w:tr>
      <w:tr w:rsidR="00A74780" w:rsidRPr="00A74780" w14:paraId="3822144A" w14:textId="77777777" w:rsidTr="00CB43BC">
        <w:trPr>
          <w:trHeight w:val="300"/>
        </w:trPr>
        <w:tc>
          <w:tcPr>
            <w:cnfStyle w:val="001000000000" w:firstRow="0" w:lastRow="0" w:firstColumn="1" w:lastColumn="0" w:oddVBand="0" w:evenVBand="0" w:oddHBand="0" w:evenHBand="0" w:firstRowFirstColumn="0" w:firstRowLastColumn="0" w:lastRowFirstColumn="0" w:lastRowLastColumn="0"/>
            <w:tcW w:w="6091" w:type="dxa"/>
            <w:hideMark/>
          </w:tcPr>
          <w:p w14:paraId="644C877F" w14:textId="77777777" w:rsidR="00A74780" w:rsidRPr="00A74780" w:rsidRDefault="00A74780" w:rsidP="00A74780">
            <w:pPr>
              <w:spacing w:line="240" w:lineRule="auto"/>
              <w:rPr>
                <w:rFonts w:eastAsia="Times New Roman" w:cs="Times New Roman"/>
                <w:sz w:val="20"/>
                <w:szCs w:val="20"/>
                <w:lang w:eastAsia="pl-PL"/>
              </w:rPr>
            </w:pPr>
            <w:r w:rsidRPr="00A74780">
              <w:rPr>
                <w:rFonts w:eastAsia="Times New Roman" w:cs="Times New Roman"/>
                <w:sz w:val="20"/>
                <w:szCs w:val="20"/>
                <w:lang w:eastAsia="pl-PL"/>
              </w:rPr>
              <w:t>10</w:t>
            </w:r>
            <w:r>
              <w:rPr>
                <w:rFonts w:eastAsia="Times New Roman" w:cs="Times New Roman"/>
                <w:sz w:val="20"/>
                <w:szCs w:val="20"/>
                <w:lang w:eastAsia="pl-PL"/>
              </w:rPr>
              <w:t xml:space="preserve"> Rolno-środowiskowo-klimatyczne</w:t>
            </w:r>
            <w:r>
              <w:rPr>
                <w:rStyle w:val="Odwoanieprzypisudolnego"/>
                <w:rFonts w:eastAsia="Times New Roman" w:cs="Times New Roman"/>
                <w:sz w:val="20"/>
                <w:szCs w:val="20"/>
                <w:lang w:eastAsia="pl-PL"/>
              </w:rPr>
              <w:footnoteReference w:id="30"/>
            </w:r>
          </w:p>
        </w:tc>
        <w:tc>
          <w:tcPr>
            <w:tcW w:w="1275" w:type="dxa"/>
            <w:noWrap/>
            <w:hideMark/>
          </w:tcPr>
          <w:p w14:paraId="66F70E77"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12 909</w:t>
            </w:r>
          </w:p>
        </w:tc>
        <w:tc>
          <w:tcPr>
            <w:tcW w:w="1843" w:type="dxa"/>
            <w:noWrap/>
            <w:vAlign w:val="center"/>
            <w:hideMark/>
          </w:tcPr>
          <w:p w14:paraId="2EF2EAAF"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137 111 455,05 zł</w:t>
            </w:r>
          </w:p>
        </w:tc>
      </w:tr>
      <w:tr w:rsidR="00A74780" w:rsidRPr="00A74780" w14:paraId="1998D1B4" w14:textId="77777777" w:rsidTr="00CB43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1" w:type="dxa"/>
            <w:hideMark/>
          </w:tcPr>
          <w:p w14:paraId="0E71371F" w14:textId="77777777" w:rsidR="00A74780" w:rsidRPr="00A74780" w:rsidRDefault="00A74780" w:rsidP="00A74780">
            <w:pPr>
              <w:spacing w:line="240" w:lineRule="auto"/>
              <w:rPr>
                <w:rFonts w:eastAsia="Times New Roman" w:cs="Times New Roman"/>
                <w:sz w:val="20"/>
                <w:szCs w:val="20"/>
                <w:lang w:eastAsia="pl-PL"/>
              </w:rPr>
            </w:pPr>
            <w:r>
              <w:rPr>
                <w:rFonts w:eastAsia="Times New Roman" w:cs="Times New Roman"/>
                <w:sz w:val="20"/>
                <w:szCs w:val="20"/>
                <w:lang w:eastAsia="pl-PL"/>
              </w:rPr>
              <w:t>11 Rolnictwo ekologiczne</w:t>
            </w:r>
            <w:r>
              <w:rPr>
                <w:rStyle w:val="Odwoanieprzypisudolnego"/>
                <w:rFonts w:eastAsia="Times New Roman" w:cs="Times New Roman"/>
                <w:sz w:val="20"/>
                <w:szCs w:val="20"/>
                <w:lang w:eastAsia="pl-PL"/>
              </w:rPr>
              <w:footnoteReference w:id="31"/>
            </w:r>
          </w:p>
        </w:tc>
        <w:tc>
          <w:tcPr>
            <w:tcW w:w="1275" w:type="dxa"/>
            <w:noWrap/>
            <w:hideMark/>
          </w:tcPr>
          <w:p w14:paraId="285C6ABE"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2 703</w:t>
            </w:r>
          </w:p>
        </w:tc>
        <w:tc>
          <w:tcPr>
            <w:tcW w:w="1843" w:type="dxa"/>
            <w:noWrap/>
            <w:vAlign w:val="center"/>
            <w:hideMark/>
          </w:tcPr>
          <w:p w14:paraId="7C77C3A0"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45 528 082,79 zł</w:t>
            </w:r>
          </w:p>
        </w:tc>
      </w:tr>
      <w:tr w:rsidR="00A74780" w:rsidRPr="00A74780" w14:paraId="57F4351F" w14:textId="77777777" w:rsidTr="00CB43BC">
        <w:trPr>
          <w:trHeight w:val="510"/>
        </w:trPr>
        <w:tc>
          <w:tcPr>
            <w:cnfStyle w:val="001000000000" w:firstRow="0" w:lastRow="0" w:firstColumn="1" w:lastColumn="0" w:oddVBand="0" w:evenVBand="0" w:oddHBand="0" w:evenHBand="0" w:firstRowFirstColumn="0" w:firstRowLastColumn="0" w:lastRowFirstColumn="0" w:lastRowLastColumn="0"/>
            <w:tcW w:w="6091" w:type="dxa"/>
            <w:hideMark/>
          </w:tcPr>
          <w:p w14:paraId="16B1B48B" w14:textId="77777777" w:rsidR="00A74780" w:rsidRPr="00A74780" w:rsidRDefault="00A74780" w:rsidP="00A74780">
            <w:pPr>
              <w:spacing w:line="240" w:lineRule="auto"/>
              <w:rPr>
                <w:rFonts w:eastAsia="Times New Roman" w:cs="Times New Roman"/>
                <w:sz w:val="20"/>
                <w:szCs w:val="20"/>
                <w:lang w:eastAsia="pl-PL"/>
              </w:rPr>
            </w:pPr>
            <w:r w:rsidRPr="00A74780">
              <w:rPr>
                <w:rFonts w:eastAsia="Times New Roman" w:cs="Times New Roman"/>
                <w:sz w:val="20"/>
                <w:szCs w:val="20"/>
                <w:lang w:eastAsia="pl-PL"/>
              </w:rPr>
              <w:t>13 Płatności dla obszarów z ograniczeniami naturalnymi lub innymi szczególnymi ogranicz</w:t>
            </w:r>
            <w:r>
              <w:rPr>
                <w:rFonts w:eastAsia="Times New Roman" w:cs="Times New Roman"/>
                <w:sz w:val="20"/>
                <w:szCs w:val="20"/>
                <w:lang w:eastAsia="pl-PL"/>
              </w:rPr>
              <w:t>eniami</w:t>
            </w:r>
            <w:r>
              <w:rPr>
                <w:rStyle w:val="Odwoanieprzypisudolnego"/>
                <w:rFonts w:eastAsia="Times New Roman" w:cs="Times New Roman"/>
                <w:sz w:val="20"/>
                <w:szCs w:val="20"/>
                <w:lang w:eastAsia="pl-PL"/>
              </w:rPr>
              <w:footnoteReference w:id="32"/>
            </w:r>
          </w:p>
        </w:tc>
        <w:tc>
          <w:tcPr>
            <w:tcW w:w="1275" w:type="dxa"/>
            <w:noWrap/>
            <w:hideMark/>
          </w:tcPr>
          <w:p w14:paraId="3A67FD48"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223 985</w:t>
            </w:r>
          </w:p>
        </w:tc>
        <w:tc>
          <w:tcPr>
            <w:tcW w:w="1843" w:type="dxa"/>
            <w:noWrap/>
            <w:vAlign w:val="center"/>
            <w:hideMark/>
          </w:tcPr>
          <w:p w14:paraId="426C8341" w14:textId="77777777" w:rsidR="00A74780" w:rsidRPr="00A74780" w:rsidRDefault="00A74780" w:rsidP="00A7478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289 883 287,00 zł</w:t>
            </w:r>
          </w:p>
        </w:tc>
      </w:tr>
      <w:tr w:rsidR="00A74780" w:rsidRPr="00A74780" w14:paraId="63C9C751" w14:textId="77777777" w:rsidTr="00CB43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091" w:type="dxa"/>
            <w:hideMark/>
          </w:tcPr>
          <w:p w14:paraId="4EA6BE4D" w14:textId="77777777" w:rsidR="00A74780" w:rsidRPr="00A74780" w:rsidRDefault="00A74780" w:rsidP="00A74780">
            <w:pPr>
              <w:spacing w:line="240" w:lineRule="auto"/>
              <w:rPr>
                <w:rFonts w:eastAsia="Times New Roman" w:cs="Times New Roman"/>
                <w:sz w:val="20"/>
                <w:szCs w:val="20"/>
                <w:lang w:eastAsia="pl-PL"/>
              </w:rPr>
            </w:pPr>
            <w:r>
              <w:rPr>
                <w:rFonts w:eastAsia="Times New Roman" w:cs="Times New Roman"/>
                <w:sz w:val="20"/>
                <w:szCs w:val="20"/>
                <w:lang w:eastAsia="pl-PL"/>
              </w:rPr>
              <w:t>Płatności bezpośrednie</w:t>
            </w:r>
            <w:r>
              <w:rPr>
                <w:rStyle w:val="Odwoanieprzypisudolnego"/>
                <w:rFonts w:eastAsia="Times New Roman" w:cs="Times New Roman"/>
                <w:sz w:val="20"/>
                <w:szCs w:val="20"/>
                <w:lang w:eastAsia="pl-PL"/>
              </w:rPr>
              <w:footnoteReference w:id="33"/>
            </w:r>
          </w:p>
        </w:tc>
        <w:tc>
          <w:tcPr>
            <w:tcW w:w="1275" w:type="dxa"/>
            <w:noWrap/>
            <w:hideMark/>
          </w:tcPr>
          <w:p w14:paraId="6DDF7A38"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338 653</w:t>
            </w:r>
          </w:p>
        </w:tc>
        <w:tc>
          <w:tcPr>
            <w:tcW w:w="1843" w:type="dxa"/>
            <w:noWrap/>
            <w:vAlign w:val="center"/>
            <w:hideMark/>
          </w:tcPr>
          <w:p w14:paraId="3160A5EA" w14:textId="77777777" w:rsidR="00A74780" w:rsidRPr="00A74780" w:rsidRDefault="00A74780" w:rsidP="00A7478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A74780">
              <w:rPr>
                <w:rFonts w:eastAsia="Times New Roman" w:cs="Times New Roman"/>
                <w:color w:val="000000"/>
                <w:sz w:val="20"/>
                <w:szCs w:val="20"/>
                <w:lang w:eastAsia="pl-PL"/>
              </w:rPr>
              <w:t>2 387 517 603,29 zł</w:t>
            </w:r>
          </w:p>
        </w:tc>
      </w:tr>
    </w:tbl>
    <w:p w14:paraId="4EF048F0" w14:textId="77777777" w:rsidR="006E79EB" w:rsidRDefault="006E79EB" w:rsidP="006E79EB">
      <w:pPr>
        <w:tabs>
          <w:tab w:val="left" w:pos="5400"/>
        </w:tabs>
        <w:rPr>
          <w:rFonts w:eastAsia="Times New Roman" w:cs="Times New Roman"/>
          <w:b/>
          <w:szCs w:val="24"/>
          <w:lang w:eastAsia="pl-PL"/>
        </w:rPr>
      </w:pPr>
      <w:r w:rsidRPr="00432294">
        <w:rPr>
          <w:rFonts w:eastAsia="Times New Roman" w:cs="Times New Roman"/>
          <w:b/>
          <w:szCs w:val="24"/>
          <w:lang w:eastAsia="pl-PL"/>
        </w:rPr>
        <w:t>Źródło</w:t>
      </w:r>
      <w:r>
        <w:rPr>
          <w:rFonts w:eastAsia="Times New Roman" w:cs="Times New Roman"/>
          <w:b/>
          <w:szCs w:val="24"/>
          <w:lang w:eastAsia="pl-PL"/>
        </w:rPr>
        <w:t>: Dane Ministerstwa Rolnictwa i Rozwoju Wsi</w:t>
      </w:r>
      <w:r w:rsidRPr="00432294">
        <w:rPr>
          <w:rFonts w:eastAsia="Times New Roman" w:cs="Times New Roman"/>
          <w:b/>
          <w:szCs w:val="24"/>
          <w:lang w:eastAsia="pl-PL"/>
        </w:rPr>
        <w:t xml:space="preserve">. </w:t>
      </w:r>
    </w:p>
    <w:p w14:paraId="732B0935" w14:textId="77777777" w:rsidR="006E79EB" w:rsidRDefault="006E79EB" w:rsidP="00D2572F">
      <w:pPr>
        <w:rPr>
          <w:rFonts w:cs="Times New Roman"/>
          <w:szCs w:val="24"/>
        </w:rPr>
      </w:pPr>
    </w:p>
    <w:p w14:paraId="550D3748" w14:textId="77777777" w:rsidR="00C862E3" w:rsidRDefault="00C862E3" w:rsidP="00D2572F">
      <w:pPr>
        <w:rPr>
          <w:rFonts w:cs="Times New Roman"/>
          <w:szCs w:val="24"/>
        </w:rPr>
      </w:pPr>
      <w:r>
        <w:rPr>
          <w:rFonts w:cs="Times New Roman"/>
          <w:szCs w:val="24"/>
        </w:rPr>
        <w:t xml:space="preserve">Ponadto 30 679 osób w wieku 60 i więcej lat otrzymało wsparcie w ramach pomocy krajowej na łączną kwotę </w:t>
      </w:r>
      <w:r w:rsidRPr="00C862E3">
        <w:rPr>
          <w:rFonts w:cs="Times New Roman"/>
          <w:szCs w:val="24"/>
        </w:rPr>
        <w:t>106 031 678,78</w:t>
      </w:r>
      <w:r>
        <w:rPr>
          <w:rFonts w:cs="Times New Roman"/>
          <w:szCs w:val="24"/>
        </w:rPr>
        <w:t xml:space="preserve"> zł. Szczegółowe informacje dotyczące przedmiotowego wsparcia zawarto w poniższej tabeli.</w:t>
      </w:r>
    </w:p>
    <w:p w14:paraId="770E96E6" w14:textId="77777777" w:rsidR="00C862E3" w:rsidRDefault="00C862E3" w:rsidP="00D2572F">
      <w:pPr>
        <w:rPr>
          <w:rFonts w:cs="Times New Roman"/>
          <w:szCs w:val="24"/>
        </w:rPr>
      </w:pPr>
    </w:p>
    <w:p w14:paraId="05BFFC48" w14:textId="7D5E6132" w:rsidR="00C862E3" w:rsidRDefault="00C862E3" w:rsidP="00C862E3">
      <w:pPr>
        <w:pStyle w:val="Legenda"/>
        <w:keepNext/>
        <w:rPr>
          <w:rFonts w:cs="Times New Roman"/>
          <w:b/>
          <w:i w:val="0"/>
          <w:color w:val="auto"/>
          <w:sz w:val="24"/>
        </w:rPr>
      </w:pPr>
      <w:r>
        <w:rPr>
          <w:rFonts w:cs="Times New Roman"/>
          <w:b/>
          <w:i w:val="0"/>
          <w:color w:val="auto"/>
          <w:sz w:val="24"/>
        </w:rPr>
        <w:t xml:space="preserve">Tabela </w:t>
      </w:r>
      <w:r w:rsidR="005B094D">
        <w:rPr>
          <w:rFonts w:cs="Times New Roman"/>
          <w:b/>
          <w:i w:val="0"/>
          <w:color w:val="auto"/>
          <w:sz w:val="24"/>
        </w:rPr>
        <w:t>45</w:t>
      </w:r>
      <w:r w:rsidR="00054E88">
        <w:rPr>
          <w:rFonts w:cs="Times New Roman"/>
          <w:b/>
          <w:i w:val="0"/>
          <w:color w:val="auto"/>
          <w:sz w:val="24"/>
        </w:rPr>
        <w:t>.</w:t>
      </w:r>
      <w:r>
        <w:rPr>
          <w:rFonts w:cs="Times New Roman"/>
          <w:b/>
          <w:i w:val="0"/>
          <w:color w:val="auto"/>
          <w:sz w:val="24"/>
        </w:rPr>
        <w:t xml:space="preserve"> </w:t>
      </w:r>
      <w:r w:rsidRPr="00C862E3">
        <w:rPr>
          <w:rFonts w:cs="Times New Roman"/>
          <w:b/>
          <w:i w:val="0"/>
          <w:color w:val="auto"/>
          <w:sz w:val="24"/>
        </w:rPr>
        <w:t>Informacja nt. beneficjentów pomocy krajowej, którzy w 2020 r. mieli 60</w:t>
      </w:r>
      <w:r w:rsidR="00CB43BC">
        <w:rPr>
          <w:rFonts w:cs="Times New Roman"/>
          <w:b/>
          <w:i w:val="0"/>
          <w:color w:val="auto"/>
          <w:sz w:val="24"/>
        </w:rPr>
        <w:t> i </w:t>
      </w:r>
      <w:r>
        <w:rPr>
          <w:rFonts w:cs="Times New Roman"/>
          <w:b/>
          <w:i w:val="0"/>
          <w:color w:val="auto"/>
          <w:sz w:val="24"/>
        </w:rPr>
        <w:t>więcej lat</w:t>
      </w:r>
    </w:p>
    <w:tbl>
      <w:tblPr>
        <w:tblStyle w:val="Tabelasiatki4akcent21"/>
        <w:tblW w:w="9434" w:type="dxa"/>
        <w:tblLook w:val="04A0" w:firstRow="1" w:lastRow="0" w:firstColumn="1" w:lastColumn="0" w:noHBand="0" w:noVBand="1"/>
      </w:tblPr>
      <w:tblGrid>
        <w:gridCol w:w="5949"/>
        <w:gridCol w:w="1417"/>
        <w:gridCol w:w="2068"/>
      </w:tblGrid>
      <w:tr w:rsidR="001A65A2" w:rsidRPr="001A65A2" w14:paraId="1E6ED197" w14:textId="77777777" w:rsidTr="001A65A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49" w:type="dxa"/>
            <w:noWrap/>
            <w:hideMark/>
          </w:tcPr>
          <w:p w14:paraId="313DFA0C" w14:textId="77777777" w:rsidR="001A65A2" w:rsidRPr="001A65A2" w:rsidRDefault="001A65A2" w:rsidP="001A65A2">
            <w:pPr>
              <w:spacing w:line="240" w:lineRule="auto"/>
              <w:rPr>
                <w:rFonts w:eastAsia="Times New Roman" w:cs="Times New Roman"/>
                <w:color w:val="000000"/>
                <w:sz w:val="20"/>
                <w:szCs w:val="20"/>
                <w:lang w:eastAsia="pl-PL"/>
              </w:rPr>
            </w:pPr>
            <w:r w:rsidRPr="001A65A2">
              <w:rPr>
                <w:rFonts w:eastAsia="Times New Roman" w:cs="Times New Roman"/>
                <w:color w:val="000000"/>
                <w:sz w:val="20"/>
                <w:szCs w:val="20"/>
                <w:lang w:eastAsia="pl-PL"/>
              </w:rPr>
              <w:t> </w:t>
            </w:r>
          </w:p>
        </w:tc>
        <w:tc>
          <w:tcPr>
            <w:tcW w:w="1417" w:type="dxa"/>
            <w:noWrap/>
            <w:hideMark/>
          </w:tcPr>
          <w:p w14:paraId="31AE786D" w14:textId="77777777" w:rsidR="001A65A2" w:rsidRPr="001A65A2" w:rsidRDefault="001A65A2" w:rsidP="001A65A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Liczba beneficjentów</w:t>
            </w:r>
          </w:p>
        </w:tc>
        <w:tc>
          <w:tcPr>
            <w:tcW w:w="2068" w:type="dxa"/>
            <w:noWrap/>
            <w:hideMark/>
          </w:tcPr>
          <w:p w14:paraId="0D4EADD1" w14:textId="77777777" w:rsidR="001A65A2" w:rsidRPr="001A65A2" w:rsidRDefault="001A65A2" w:rsidP="001A65A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 xml:space="preserve"> Zrealizowane płatności (zł) </w:t>
            </w:r>
          </w:p>
        </w:tc>
      </w:tr>
      <w:tr w:rsidR="001A65A2" w:rsidRPr="001A65A2" w14:paraId="4F4375B0" w14:textId="77777777" w:rsidTr="00AC0C90">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1C6B5D35" w14:textId="77777777" w:rsidR="001A65A2" w:rsidRPr="001A65A2" w:rsidRDefault="001A65A2" w:rsidP="00F419AB">
            <w:pPr>
              <w:spacing w:line="240" w:lineRule="auto"/>
              <w:rPr>
                <w:rFonts w:eastAsia="Times New Roman" w:cs="Times New Roman"/>
                <w:sz w:val="20"/>
                <w:szCs w:val="20"/>
                <w:lang w:eastAsia="pl-PL"/>
              </w:rPr>
            </w:pPr>
            <w:r w:rsidRPr="001A65A2">
              <w:rPr>
                <w:rFonts w:eastAsia="Times New Roman" w:cs="Times New Roman"/>
                <w:sz w:val="20"/>
                <w:szCs w:val="20"/>
                <w:lang w:eastAsia="pl-PL"/>
              </w:rPr>
              <w:t>Dopłaty do oprocentowania kredytów preferencyjnych</w:t>
            </w:r>
          </w:p>
        </w:tc>
        <w:tc>
          <w:tcPr>
            <w:tcW w:w="1417" w:type="dxa"/>
            <w:noWrap/>
            <w:vAlign w:val="center"/>
            <w:hideMark/>
          </w:tcPr>
          <w:p w14:paraId="5DE37B71" w14:textId="77777777" w:rsidR="001A65A2" w:rsidRPr="001A65A2" w:rsidRDefault="001A65A2" w:rsidP="00F419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572</w:t>
            </w:r>
          </w:p>
        </w:tc>
        <w:tc>
          <w:tcPr>
            <w:tcW w:w="2068" w:type="dxa"/>
            <w:noWrap/>
            <w:vAlign w:val="center"/>
            <w:hideMark/>
          </w:tcPr>
          <w:p w14:paraId="7B0378EF" w14:textId="77777777" w:rsidR="001A65A2" w:rsidRPr="001A65A2" w:rsidRDefault="001A65A2" w:rsidP="00F419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4 796 107,90 zł</w:t>
            </w:r>
          </w:p>
        </w:tc>
      </w:tr>
      <w:tr w:rsidR="001A65A2" w:rsidRPr="001A65A2" w14:paraId="222D0BC6" w14:textId="77777777" w:rsidTr="00F419AB">
        <w:trPr>
          <w:trHeight w:val="851"/>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6A06CD5B" w14:textId="77777777" w:rsidR="001A65A2" w:rsidRPr="001A65A2" w:rsidRDefault="001A65A2" w:rsidP="00F419AB">
            <w:pPr>
              <w:spacing w:line="240" w:lineRule="auto"/>
              <w:rPr>
                <w:rFonts w:eastAsia="Times New Roman" w:cs="Times New Roman"/>
                <w:sz w:val="20"/>
                <w:szCs w:val="20"/>
                <w:lang w:eastAsia="pl-PL"/>
              </w:rPr>
            </w:pPr>
            <w:r w:rsidRPr="001A65A2">
              <w:rPr>
                <w:rFonts w:eastAsia="Times New Roman" w:cs="Times New Roman"/>
                <w:sz w:val="20"/>
                <w:szCs w:val="20"/>
                <w:lang w:eastAsia="pl-PL"/>
              </w:rPr>
              <w:t>Pomoc finansowa w formie nieoprocentowanej pożyczki dla producentów świń, z terenów zagrożonych afrykańskim pomorem świń, na sfinansowanie nieuregulowanych zobowiązań cywilnoprawnych</w:t>
            </w:r>
          </w:p>
        </w:tc>
        <w:tc>
          <w:tcPr>
            <w:tcW w:w="1417" w:type="dxa"/>
            <w:noWrap/>
            <w:vAlign w:val="center"/>
            <w:hideMark/>
          </w:tcPr>
          <w:p w14:paraId="220115E5" w14:textId="77777777" w:rsidR="001A65A2" w:rsidRPr="001A65A2" w:rsidRDefault="001A65A2" w:rsidP="00F419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1</w:t>
            </w:r>
          </w:p>
        </w:tc>
        <w:tc>
          <w:tcPr>
            <w:tcW w:w="2068" w:type="dxa"/>
            <w:noWrap/>
            <w:vAlign w:val="center"/>
            <w:hideMark/>
          </w:tcPr>
          <w:p w14:paraId="1EB1B302" w14:textId="77777777" w:rsidR="001A65A2" w:rsidRPr="001A65A2" w:rsidRDefault="001A65A2" w:rsidP="00F419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239 588,56 zł</w:t>
            </w:r>
          </w:p>
        </w:tc>
      </w:tr>
      <w:tr w:rsidR="001A65A2" w:rsidRPr="001A65A2" w14:paraId="19D06DAA" w14:textId="77777777" w:rsidTr="00F419A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35297FAD" w14:textId="77777777" w:rsidR="001A65A2" w:rsidRPr="001A65A2" w:rsidRDefault="001A65A2" w:rsidP="00F419AB">
            <w:pPr>
              <w:spacing w:line="240" w:lineRule="auto"/>
              <w:rPr>
                <w:rFonts w:eastAsia="Times New Roman" w:cs="Times New Roman"/>
                <w:color w:val="000000"/>
                <w:sz w:val="20"/>
                <w:szCs w:val="20"/>
                <w:lang w:eastAsia="pl-PL"/>
              </w:rPr>
            </w:pPr>
            <w:r w:rsidRPr="001A65A2">
              <w:rPr>
                <w:rFonts w:eastAsia="Times New Roman" w:cs="Times New Roman"/>
                <w:color w:val="000000"/>
                <w:sz w:val="20"/>
                <w:szCs w:val="20"/>
                <w:lang w:eastAsia="pl-PL"/>
              </w:rPr>
              <w:t>Pomoc finansowa dla producenta rolnego, w którego gospodarstwie rolnym szkody w uprawach rolnych spowodowane wystąpieniem w 2019 r. suszy, huraganu, gradu, deszczu nawalnego, przymrozków wiosennych lub powodzi, powstałe na powierzchni uprawy objęły co najmniej 30% danej uprawy</w:t>
            </w:r>
            <w:r w:rsidRPr="001A65A2">
              <w:rPr>
                <w:rFonts w:eastAsia="Times New Roman" w:cs="Times New Roman"/>
                <w:color w:val="000000"/>
                <w:sz w:val="20"/>
                <w:szCs w:val="20"/>
                <w:lang w:eastAsia="pl-PL"/>
              </w:rPr>
              <w:br/>
              <w:t>(na podstawie §13v rozporządzenia Rady Ministrów z dnia 27 stycznia 2015 r. w sprawie szczegółowego zakresu i sposobów realizacji niektórych zadań ARiMR)</w:t>
            </w:r>
          </w:p>
        </w:tc>
        <w:tc>
          <w:tcPr>
            <w:tcW w:w="1417" w:type="dxa"/>
            <w:noWrap/>
            <w:vAlign w:val="center"/>
            <w:hideMark/>
          </w:tcPr>
          <w:p w14:paraId="1413D409" w14:textId="77777777" w:rsidR="001A65A2" w:rsidRPr="001A65A2" w:rsidRDefault="001A65A2" w:rsidP="00F419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9 789</w:t>
            </w:r>
          </w:p>
        </w:tc>
        <w:tc>
          <w:tcPr>
            <w:tcW w:w="2068" w:type="dxa"/>
            <w:noWrap/>
            <w:vAlign w:val="center"/>
            <w:hideMark/>
          </w:tcPr>
          <w:p w14:paraId="57BA1BFC" w14:textId="77777777" w:rsidR="001A65A2" w:rsidRPr="001A65A2" w:rsidRDefault="001A65A2" w:rsidP="00F419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19 122 165,77 zł</w:t>
            </w:r>
          </w:p>
        </w:tc>
      </w:tr>
      <w:tr w:rsidR="001A65A2" w:rsidRPr="001A65A2" w14:paraId="05ACAD8A" w14:textId="77777777" w:rsidTr="00F419AB">
        <w:trPr>
          <w:trHeight w:val="851"/>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6C0BC170" w14:textId="77777777" w:rsidR="001A65A2" w:rsidRPr="001A65A2" w:rsidRDefault="001A65A2" w:rsidP="00F419AB">
            <w:pPr>
              <w:spacing w:line="240" w:lineRule="auto"/>
              <w:rPr>
                <w:rFonts w:eastAsia="Times New Roman" w:cs="Times New Roman"/>
                <w:color w:val="000000"/>
                <w:sz w:val="20"/>
                <w:szCs w:val="20"/>
                <w:lang w:eastAsia="pl-PL"/>
              </w:rPr>
            </w:pPr>
            <w:r w:rsidRPr="001A65A2">
              <w:rPr>
                <w:rFonts w:eastAsia="Times New Roman" w:cs="Times New Roman"/>
                <w:color w:val="000000"/>
                <w:sz w:val="20"/>
                <w:szCs w:val="20"/>
                <w:lang w:eastAsia="pl-PL"/>
              </w:rPr>
              <w:t xml:space="preserve">Pomoc finansowa dla podatnika podatku rolnego, który w 2019 r. prowadził chów lub hodowlę ryb słodkowodnych w stawach rybnych położonych na obszarze gmin, w których wystąpiła w 2019 r. susza lub powódź -  pomoc de </w:t>
            </w:r>
            <w:proofErr w:type="spellStart"/>
            <w:r w:rsidRPr="001A65A2">
              <w:rPr>
                <w:rFonts w:eastAsia="Times New Roman" w:cs="Times New Roman"/>
                <w:color w:val="000000"/>
                <w:sz w:val="20"/>
                <w:szCs w:val="20"/>
                <w:lang w:eastAsia="pl-PL"/>
              </w:rPr>
              <w:t>minimis</w:t>
            </w:r>
            <w:proofErr w:type="spellEnd"/>
            <w:r w:rsidRPr="001A65A2">
              <w:rPr>
                <w:rFonts w:eastAsia="Times New Roman" w:cs="Times New Roman"/>
                <w:color w:val="000000"/>
                <w:sz w:val="20"/>
                <w:szCs w:val="20"/>
                <w:lang w:eastAsia="pl-PL"/>
              </w:rPr>
              <w:t xml:space="preserve"> w rybołówstwie</w:t>
            </w:r>
            <w:r w:rsidRPr="001A65A2">
              <w:rPr>
                <w:rFonts w:eastAsia="Times New Roman" w:cs="Times New Roman"/>
                <w:color w:val="000000"/>
                <w:sz w:val="20"/>
                <w:szCs w:val="20"/>
                <w:lang w:eastAsia="pl-PL"/>
              </w:rPr>
              <w:br/>
              <w:t>(na podstawie §13w rozporządzenia Rady Ministrów z dnia 27 stycznia 2015 r. w sprawie szczegółowego zakresu i sposobów realizacji niektórych zadań ARiMR)</w:t>
            </w:r>
          </w:p>
        </w:tc>
        <w:tc>
          <w:tcPr>
            <w:tcW w:w="1417" w:type="dxa"/>
            <w:noWrap/>
            <w:vAlign w:val="center"/>
            <w:hideMark/>
          </w:tcPr>
          <w:p w14:paraId="1A08C5C0" w14:textId="77777777" w:rsidR="001A65A2" w:rsidRPr="001A65A2" w:rsidRDefault="001A65A2" w:rsidP="00F419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209</w:t>
            </w:r>
          </w:p>
        </w:tc>
        <w:tc>
          <w:tcPr>
            <w:tcW w:w="2068" w:type="dxa"/>
            <w:noWrap/>
            <w:vAlign w:val="center"/>
            <w:hideMark/>
          </w:tcPr>
          <w:p w14:paraId="5D970521" w14:textId="77777777" w:rsidR="001A65A2" w:rsidRPr="001A65A2" w:rsidRDefault="001A65A2" w:rsidP="00F419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2 884 972,98 zł</w:t>
            </w:r>
          </w:p>
        </w:tc>
      </w:tr>
      <w:tr w:rsidR="001A65A2" w:rsidRPr="001A65A2" w14:paraId="5FF53F23" w14:textId="77777777" w:rsidTr="00F419A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4C8A45D9" w14:textId="77777777" w:rsidR="001A65A2" w:rsidRPr="001A65A2" w:rsidRDefault="001A65A2" w:rsidP="00F419AB">
            <w:pPr>
              <w:spacing w:line="240" w:lineRule="auto"/>
              <w:rPr>
                <w:rFonts w:eastAsia="Times New Roman" w:cs="Times New Roman"/>
                <w:color w:val="000000"/>
                <w:sz w:val="20"/>
                <w:szCs w:val="20"/>
                <w:lang w:eastAsia="pl-PL"/>
              </w:rPr>
            </w:pPr>
            <w:r w:rsidRPr="001A65A2">
              <w:rPr>
                <w:rFonts w:eastAsia="Times New Roman" w:cs="Times New Roman"/>
                <w:color w:val="000000"/>
                <w:sz w:val="20"/>
                <w:szCs w:val="20"/>
                <w:lang w:eastAsia="pl-PL"/>
              </w:rPr>
              <w:t xml:space="preserve">Pomoc dla producenta rolnego, któremu zagraża utrata płynności finansowej w związku z ograniczeniami na rynku rolnym w związku z epidemią COVID – 19 - pomoc publiczna </w:t>
            </w:r>
            <w:r w:rsidRPr="001A65A2">
              <w:rPr>
                <w:rFonts w:eastAsia="Times New Roman" w:cs="Times New Roman"/>
                <w:color w:val="000000"/>
                <w:sz w:val="20"/>
                <w:szCs w:val="20"/>
                <w:lang w:eastAsia="pl-PL"/>
              </w:rPr>
              <w:br/>
              <w:t>(na podstawie §13z rozporządzenia Rady Ministrów z dnia 27 stycznia 2015 r. w sprawie szczegółowego zakresu i sposobów realizacji niektórych zadań ARiMR)</w:t>
            </w:r>
          </w:p>
        </w:tc>
        <w:tc>
          <w:tcPr>
            <w:tcW w:w="1417" w:type="dxa"/>
            <w:noWrap/>
            <w:vAlign w:val="center"/>
            <w:hideMark/>
          </w:tcPr>
          <w:p w14:paraId="6FA670F1" w14:textId="77777777" w:rsidR="001A65A2" w:rsidRPr="001A65A2" w:rsidRDefault="001A65A2" w:rsidP="00F419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8 161</w:t>
            </w:r>
          </w:p>
        </w:tc>
        <w:tc>
          <w:tcPr>
            <w:tcW w:w="2068" w:type="dxa"/>
            <w:noWrap/>
            <w:vAlign w:val="center"/>
            <w:hideMark/>
          </w:tcPr>
          <w:p w14:paraId="5F47C8F5" w14:textId="77777777" w:rsidR="001A65A2" w:rsidRPr="001A65A2" w:rsidRDefault="001A65A2" w:rsidP="00F419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54 240 815,62 zł</w:t>
            </w:r>
          </w:p>
        </w:tc>
      </w:tr>
      <w:tr w:rsidR="001A65A2" w:rsidRPr="001A65A2" w14:paraId="152D4A0A" w14:textId="77777777" w:rsidTr="00F419AB">
        <w:trPr>
          <w:trHeight w:val="851"/>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5E83FD47" w14:textId="77777777" w:rsidR="001A65A2" w:rsidRPr="001A65A2" w:rsidRDefault="001A65A2" w:rsidP="00F419AB">
            <w:pPr>
              <w:spacing w:line="240" w:lineRule="auto"/>
              <w:rPr>
                <w:rFonts w:eastAsia="Times New Roman" w:cs="Times New Roman"/>
                <w:color w:val="000000"/>
                <w:sz w:val="20"/>
                <w:szCs w:val="20"/>
                <w:lang w:eastAsia="pl-PL"/>
              </w:rPr>
            </w:pPr>
            <w:r w:rsidRPr="001A65A2">
              <w:rPr>
                <w:rFonts w:eastAsia="Times New Roman" w:cs="Times New Roman"/>
                <w:color w:val="000000"/>
                <w:sz w:val="20"/>
                <w:szCs w:val="20"/>
                <w:lang w:eastAsia="pl-PL"/>
              </w:rPr>
              <w:t>Pomoc dla posiadacza chryzantem w pełnej fazie dojrzałości przeznaczonych do sprzedaży będącemu mikroprzedsiębiorstwem, małym albo średnim przedsiębiorstwem, któremu zagraża utrata płynności finansowej w związku z ograniczeniami na rynku spowodowanymi epidemią COVID-19</w:t>
            </w:r>
            <w:r w:rsidRPr="001A65A2">
              <w:rPr>
                <w:rFonts w:eastAsia="Times New Roman" w:cs="Times New Roman"/>
                <w:color w:val="000000"/>
                <w:sz w:val="20"/>
                <w:szCs w:val="20"/>
                <w:lang w:eastAsia="pl-PL"/>
              </w:rPr>
              <w:br/>
              <w:t>(na podstawie §13za rozporządzenia Rady Ministrów z dnia 27 stycznia 2015 r. w sprawie szczegółowego zakresu i sposobów realizacji niektórych zadań ARiMR)</w:t>
            </w:r>
          </w:p>
        </w:tc>
        <w:tc>
          <w:tcPr>
            <w:tcW w:w="1417" w:type="dxa"/>
            <w:noWrap/>
            <w:vAlign w:val="center"/>
            <w:hideMark/>
          </w:tcPr>
          <w:p w14:paraId="08986549" w14:textId="77777777" w:rsidR="001A65A2" w:rsidRPr="001A65A2" w:rsidRDefault="001A65A2" w:rsidP="00F419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1 178</w:t>
            </w:r>
          </w:p>
        </w:tc>
        <w:tc>
          <w:tcPr>
            <w:tcW w:w="2068" w:type="dxa"/>
            <w:noWrap/>
            <w:vAlign w:val="center"/>
            <w:hideMark/>
          </w:tcPr>
          <w:p w14:paraId="597268DA" w14:textId="77777777" w:rsidR="001A65A2" w:rsidRPr="001A65A2" w:rsidRDefault="001A65A2" w:rsidP="00F419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14 237 580,00 zł</w:t>
            </w:r>
          </w:p>
        </w:tc>
      </w:tr>
      <w:tr w:rsidR="001A65A2" w:rsidRPr="001A65A2" w14:paraId="18CD2B4A" w14:textId="77777777" w:rsidTr="00F419AB">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057E291E" w14:textId="77777777" w:rsidR="001A65A2" w:rsidRPr="001A65A2" w:rsidRDefault="001A65A2" w:rsidP="00F419AB">
            <w:pPr>
              <w:spacing w:line="240" w:lineRule="auto"/>
              <w:rPr>
                <w:rFonts w:eastAsia="Times New Roman" w:cs="Times New Roman"/>
                <w:color w:val="000000"/>
                <w:sz w:val="20"/>
                <w:szCs w:val="20"/>
                <w:lang w:eastAsia="pl-PL"/>
              </w:rPr>
            </w:pPr>
            <w:r w:rsidRPr="001A65A2">
              <w:rPr>
                <w:rFonts w:eastAsia="Times New Roman" w:cs="Times New Roman"/>
                <w:color w:val="000000"/>
                <w:sz w:val="20"/>
                <w:szCs w:val="20"/>
                <w:lang w:eastAsia="pl-PL"/>
              </w:rPr>
              <w:t>Dopłaty krajowe do materiału siewnego (na podstawie art. 40d ustawy o organizacji niektórych rynków rolnych)</w:t>
            </w:r>
          </w:p>
        </w:tc>
        <w:tc>
          <w:tcPr>
            <w:tcW w:w="1417" w:type="dxa"/>
            <w:noWrap/>
            <w:vAlign w:val="center"/>
            <w:hideMark/>
          </w:tcPr>
          <w:p w14:paraId="53FC2250" w14:textId="77777777" w:rsidR="001A65A2" w:rsidRPr="001A65A2" w:rsidRDefault="001A65A2" w:rsidP="00F419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10 584</w:t>
            </w:r>
          </w:p>
        </w:tc>
        <w:tc>
          <w:tcPr>
            <w:tcW w:w="2068" w:type="dxa"/>
            <w:noWrap/>
            <w:vAlign w:val="center"/>
            <w:hideMark/>
          </w:tcPr>
          <w:p w14:paraId="0ABD3CAB" w14:textId="77777777" w:rsidR="001A65A2" w:rsidRPr="001A65A2" w:rsidRDefault="001A65A2" w:rsidP="00F419A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10 151 026,43 zł</w:t>
            </w:r>
          </w:p>
        </w:tc>
      </w:tr>
      <w:tr w:rsidR="001A65A2" w:rsidRPr="001A65A2" w14:paraId="0924E72D" w14:textId="77777777" w:rsidTr="00F419AB">
        <w:trPr>
          <w:trHeight w:val="851"/>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12026E15" w14:textId="77777777" w:rsidR="001A65A2" w:rsidRPr="001A65A2" w:rsidRDefault="001A65A2" w:rsidP="00F419AB">
            <w:pPr>
              <w:spacing w:line="240" w:lineRule="auto"/>
              <w:rPr>
                <w:rFonts w:eastAsia="Times New Roman" w:cs="Times New Roman"/>
                <w:color w:val="000000"/>
                <w:sz w:val="20"/>
                <w:szCs w:val="20"/>
                <w:lang w:eastAsia="pl-PL"/>
              </w:rPr>
            </w:pPr>
            <w:r w:rsidRPr="001A65A2">
              <w:rPr>
                <w:rFonts w:eastAsia="Times New Roman" w:cs="Times New Roman"/>
                <w:color w:val="000000"/>
                <w:sz w:val="20"/>
                <w:szCs w:val="20"/>
                <w:lang w:eastAsia="pl-PL"/>
              </w:rPr>
              <w:t>Pomoc finansowa dla producenta świń, który w związku z obowiązującym zakazem utrzymywania w gospodarstwie świń lub ich wprowadzenia do gospodarstwa, wydanym w związku z wystąpieniem afrykańskiego pomoru świń, zaprzestał produkcji świń</w:t>
            </w:r>
          </w:p>
        </w:tc>
        <w:tc>
          <w:tcPr>
            <w:tcW w:w="1417" w:type="dxa"/>
            <w:noWrap/>
            <w:vAlign w:val="center"/>
            <w:hideMark/>
          </w:tcPr>
          <w:p w14:paraId="0245D7F3" w14:textId="77777777" w:rsidR="001A65A2" w:rsidRPr="001A65A2" w:rsidRDefault="001A65A2" w:rsidP="00F419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185</w:t>
            </w:r>
          </w:p>
        </w:tc>
        <w:tc>
          <w:tcPr>
            <w:tcW w:w="2068" w:type="dxa"/>
            <w:noWrap/>
            <w:vAlign w:val="center"/>
            <w:hideMark/>
          </w:tcPr>
          <w:p w14:paraId="4C7A4138" w14:textId="77777777" w:rsidR="001A65A2" w:rsidRPr="001A65A2" w:rsidRDefault="001A65A2" w:rsidP="00F419A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1A65A2">
              <w:rPr>
                <w:rFonts w:eastAsia="Times New Roman" w:cs="Times New Roman"/>
                <w:color w:val="000000"/>
                <w:sz w:val="20"/>
                <w:szCs w:val="20"/>
                <w:lang w:eastAsia="pl-PL"/>
              </w:rPr>
              <w:t>359 421,52 zł</w:t>
            </w:r>
          </w:p>
        </w:tc>
      </w:tr>
    </w:tbl>
    <w:p w14:paraId="67C56E0E" w14:textId="77777777" w:rsidR="00C862E3" w:rsidRPr="00AC0C90" w:rsidRDefault="00C862E3" w:rsidP="00C862E3">
      <w:pPr>
        <w:tabs>
          <w:tab w:val="left" w:pos="5400"/>
        </w:tabs>
        <w:rPr>
          <w:rFonts w:eastAsia="Times New Roman" w:cs="Times New Roman"/>
          <w:b/>
          <w:sz w:val="22"/>
          <w:lang w:eastAsia="pl-PL"/>
        </w:rPr>
      </w:pPr>
      <w:r w:rsidRPr="00AC0C90">
        <w:rPr>
          <w:rFonts w:eastAsia="Times New Roman" w:cs="Times New Roman"/>
          <w:b/>
          <w:sz w:val="22"/>
          <w:lang w:eastAsia="pl-PL"/>
        </w:rPr>
        <w:t xml:space="preserve">Źródło: Dane Ministerstwa Rolnictwa i Rozwoju Wsi. </w:t>
      </w:r>
    </w:p>
    <w:p w14:paraId="1C1BFE95" w14:textId="77777777" w:rsidR="00C862E3" w:rsidRDefault="00C862E3" w:rsidP="00D2572F">
      <w:pPr>
        <w:rPr>
          <w:rFonts w:cs="Times New Roman"/>
          <w:szCs w:val="24"/>
        </w:rPr>
      </w:pPr>
    </w:p>
    <w:p w14:paraId="79025864" w14:textId="2BD33CDB" w:rsidR="00D61581" w:rsidRDefault="00D61581" w:rsidP="00FE70E3">
      <w:pPr>
        <w:pStyle w:val="Nagwek2"/>
        <w:numPr>
          <w:ilvl w:val="1"/>
          <w:numId w:val="23"/>
        </w:numPr>
        <w:spacing w:before="240" w:after="240"/>
        <w:ind w:left="0" w:hanging="142"/>
        <w:jc w:val="left"/>
        <w:rPr>
          <w:rFonts w:cs="Times New Roman"/>
          <w:sz w:val="40"/>
          <w:lang w:eastAsia="ar-SA"/>
        </w:rPr>
      </w:pPr>
      <w:bookmarkStart w:id="92" w:name="_Toc80523080"/>
      <w:r w:rsidRPr="00454337">
        <w:rPr>
          <w:rFonts w:cs="Times New Roman"/>
          <w:sz w:val="40"/>
          <w:lang w:eastAsia="ar-SA"/>
        </w:rPr>
        <w:t xml:space="preserve">Ministerstwo </w:t>
      </w:r>
      <w:r>
        <w:rPr>
          <w:rFonts w:cs="Times New Roman"/>
          <w:sz w:val="40"/>
          <w:lang w:eastAsia="ar-SA"/>
        </w:rPr>
        <w:t xml:space="preserve">Spraw </w:t>
      </w:r>
      <w:r w:rsidR="00333257">
        <w:rPr>
          <w:rFonts w:cs="Times New Roman"/>
          <w:sz w:val="40"/>
          <w:lang w:eastAsia="ar-SA"/>
        </w:rPr>
        <w:t xml:space="preserve">Wewnętrznych </w:t>
      </w:r>
      <w:r w:rsidR="00AC0C90">
        <w:rPr>
          <w:rFonts w:cs="Times New Roman"/>
          <w:sz w:val="40"/>
          <w:lang w:eastAsia="ar-SA"/>
        </w:rPr>
        <w:t xml:space="preserve">                                </w:t>
      </w:r>
      <w:r w:rsidR="00333257">
        <w:rPr>
          <w:rFonts w:cs="Times New Roman"/>
          <w:sz w:val="40"/>
          <w:lang w:eastAsia="ar-SA"/>
        </w:rPr>
        <w:t>i</w:t>
      </w:r>
      <w:r w:rsidR="00AC0C90">
        <w:rPr>
          <w:rFonts w:cs="Times New Roman"/>
          <w:sz w:val="40"/>
          <w:lang w:eastAsia="ar-SA"/>
        </w:rPr>
        <w:t xml:space="preserve"> </w:t>
      </w:r>
      <w:r w:rsidR="00333257">
        <w:rPr>
          <w:rFonts w:cs="Times New Roman"/>
          <w:sz w:val="40"/>
          <w:lang w:eastAsia="ar-SA"/>
        </w:rPr>
        <w:t xml:space="preserve"> Administracji</w:t>
      </w:r>
      <w:bookmarkEnd w:id="92"/>
    </w:p>
    <w:p w14:paraId="6A05F25B" w14:textId="73266F47" w:rsidR="00333257" w:rsidRDefault="00D61581" w:rsidP="00333257">
      <w:pPr>
        <w:rPr>
          <w:rFonts w:cs="Times New Roman"/>
          <w:szCs w:val="24"/>
        </w:rPr>
      </w:pPr>
      <w:r w:rsidRPr="00454337">
        <w:rPr>
          <w:rFonts w:cs="Times New Roman"/>
          <w:szCs w:val="24"/>
        </w:rPr>
        <w:t xml:space="preserve">Ministerstwo </w:t>
      </w:r>
      <w:r w:rsidR="00333257" w:rsidRPr="00333257">
        <w:rPr>
          <w:rFonts w:cs="Times New Roman"/>
          <w:szCs w:val="24"/>
        </w:rPr>
        <w:t xml:space="preserve">Spraw Wewnętrznych i Administracji </w:t>
      </w:r>
      <w:r w:rsidR="00A5053D">
        <w:rPr>
          <w:rFonts w:cs="Times New Roman"/>
          <w:szCs w:val="24"/>
        </w:rPr>
        <w:t xml:space="preserve">w 2020 r. </w:t>
      </w:r>
      <w:r w:rsidR="00333257" w:rsidRPr="00333257">
        <w:rPr>
          <w:rFonts w:cs="Times New Roman"/>
          <w:szCs w:val="24"/>
        </w:rPr>
        <w:t>uczestniczyło w realizacji zadania pn. „Organizacja pomocy w dotarciu do punktów szczepień przeciwko wirusowi SARS-CoV-2 osobom niemogącym dotrzeć do nich samodzie</w:t>
      </w:r>
      <w:r w:rsidR="00CB43BC">
        <w:rPr>
          <w:rFonts w:cs="Times New Roman"/>
          <w:szCs w:val="24"/>
        </w:rPr>
        <w:t>lnie”. Opracowało m.in. „Tryb i </w:t>
      </w:r>
      <w:r w:rsidR="00333257" w:rsidRPr="00333257">
        <w:rPr>
          <w:rFonts w:cs="Times New Roman"/>
          <w:szCs w:val="24"/>
        </w:rPr>
        <w:t xml:space="preserve">zasady udzielania dofinansowania ze środków Funduszu Przeciwdziałania COVID-19 dla jednostek ochotniczych </w:t>
      </w:r>
      <w:r w:rsidR="00333257">
        <w:rPr>
          <w:rFonts w:cs="Times New Roman"/>
          <w:szCs w:val="24"/>
        </w:rPr>
        <w:t xml:space="preserve">straży pożarnych zaangażowanych </w:t>
      </w:r>
      <w:r w:rsidR="00333257" w:rsidRPr="00333257">
        <w:rPr>
          <w:rFonts w:cs="Times New Roman"/>
          <w:szCs w:val="24"/>
        </w:rPr>
        <w:t>w udzielanie pomocy w transporcie osób mających trudności w samodzielnym dotarciu do punktów szczepień przeciwko wirusowi SARS-CoV-2”. Jednostki ochrony przeciwpożaro</w:t>
      </w:r>
      <w:r w:rsidR="00333257">
        <w:rPr>
          <w:rFonts w:cs="Times New Roman"/>
          <w:szCs w:val="24"/>
        </w:rPr>
        <w:t xml:space="preserve">wej (Państwowej Straży Pożarnej </w:t>
      </w:r>
      <w:r w:rsidR="00CB43BC">
        <w:rPr>
          <w:rFonts w:cs="Times New Roman"/>
          <w:szCs w:val="24"/>
        </w:rPr>
        <w:t>i </w:t>
      </w:r>
      <w:r w:rsidR="00333257" w:rsidRPr="00333257">
        <w:rPr>
          <w:rFonts w:cs="Times New Roman"/>
          <w:szCs w:val="24"/>
        </w:rPr>
        <w:t>Ochotniczej Straży Pożarnej)  udzielały wsparcia seniorom w dotarciu do miejsca kwarantanny. Jednostki zaangażowane były także w dostarczanie osobom w podeszłym wieku żywności i innych niezbędnych rzeczy, takich jak środki ochrony indywidualnej, np. maseczki.</w:t>
      </w:r>
      <w:r w:rsidR="00333257">
        <w:rPr>
          <w:rFonts w:cs="Times New Roman"/>
          <w:szCs w:val="24"/>
        </w:rPr>
        <w:t xml:space="preserve"> Ponadto w 2020 r. jednostki organizacyjne Państwowej Straży Pożarnej zrealizowały 150 </w:t>
      </w:r>
      <w:r w:rsidR="00333257" w:rsidRPr="00333257">
        <w:rPr>
          <w:rFonts w:cs="Times New Roman"/>
          <w:szCs w:val="24"/>
        </w:rPr>
        <w:t>przedsięwzięć w zakresie prewencji społecznej skierowanych do seniorów</w:t>
      </w:r>
      <w:r w:rsidR="00333257">
        <w:rPr>
          <w:rFonts w:cs="Times New Roman"/>
          <w:szCs w:val="24"/>
        </w:rPr>
        <w:t>, w których uczestniczyło 3347 osób.</w:t>
      </w:r>
    </w:p>
    <w:p w14:paraId="61F378F5" w14:textId="77777777" w:rsidR="00AC0C90" w:rsidRDefault="00AC0C90" w:rsidP="00333257">
      <w:pPr>
        <w:rPr>
          <w:rFonts w:cs="Times New Roman"/>
          <w:szCs w:val="24"/>
        </w:rPr>
      </w:pPr>
    </w:p>
    <w:p w14:paraId="012F7AFC" w14:textId="6F334DDE" w:rsidR="00333257" w:rsidRDefault="00333257" w:rsidP="00333257">
      <w:pPr>
        <w:rPr>
          <w:rFonts w:cs="Times New Roman"/>
          <w:szCs w:val="24"/>
        </w:rPr>
      </w:pPr>
      <w:r w:rsidRPr="00333257">
        <w:rPr>
          <w:rFonts w:cs="Times New Roman"/>
          <w:szCs w:val="24"/>
        </w:rPr>
        <w:t>Komenda Główna Policji w ramach działań na rzecz osób starszych, które stanowią szczególną grupę osób, prowadzi działania profilaktyczne oraz monitoruje obszar</w:t>
      </w:r>
      <w:r w:rsidR="00CB43BC">
        <w:rPr>
          <w:rFonts w:cs="Times New Roman"/>
          <w:szCs w:val="24"/>
        </w:rPr>
        <w:t>y związane z </w:t>
      </w:r>
      <w:r w:rsidRPr="00333257">
        <w:rPr>
          <w:rFonts w:cs="Times New Roman"/>
          <w:szCs w:val="24"/>
        </w:rPr>
        <w:t>działalnością domów pomocy społecznej oraz placówek zapewniających całodobową opiekę osobom niepełnosprawnym, przewlekle chorym lub osobom w podeszłym wieku, działających w oparciu o zezwolenie wojewody, jak i bez takiego zezwolenia.</w:t>
      </w:r>
    </w:p>
    <w:p w14:paraId="0B2F6B87" w14:textId="77777777" w:rsidR="00AC0C90" w:rsidRDefault="00AC0C90" w:rsidP="00333257">
      <w:pPr>
        <w:rPr>
          <w:rFonts w:cs="Times New Roman"/>
          <w:szCs w:val="24"/>
        </w:rPr>
      </w:pPr>
    </w:p>
    <w:p w14:paraId="158DB492" w14:textId="2D7CC419" w:rsidR="00333257" w:rsidRPr="00333257" w:rsidRDefault="00333257" w:rsidP="00333257">
      <w:pPr>
        <w:rPr>
          <w:rFonts w:cs="Times New Roman"/>
          <w:szCs w:val="24"/>
        </w:rPr>
      </w:pPr>
      <w:r w:rsidRPr="00333257">
        <w:rPr>
          <w:rFonts w:cs="Times New Roman"/>
          <w:szCs w:val="24"/>
        </w:rPr>
        <w:t xml:space="preserve">Zgodnie z art. 1 ust. 2 pkt 3 ustawy z dnia 6 kwietnia 1990 r. o Policji </w:t>
      </w:r>
      <w:r w:rsidR="00A600D3">
        <w:rPr>
          <w:rFonts w:cs="Times New Roman"/>
          <w:szCs w:val="24"/>
        </w:rPr>
        <w:t xml:space="preserve">(Dz. U. z 2020 r. poz. 360, z </w:t>
      </w:r>
      <w:proofErr w:type="spellStart"/>
      <w:r w:rsidR="00A600D3">
        <w:rPr>
          <w:rFonts w:cs="Times New Roman"/>
          <w:szCs w:val="24"/>
        </w:rPr>
        <w:t>późn</w:t>
      </w:r>
      <w:proofErr w:type="spellEnd"/>
      <w:r w:rsidR="00A600D3">
        <w:rPr>
          <w:rFonts w:cs="Times New Roman"/>
          <w:szCs w:val="24"/>
        </w:rPr>
        <w:t>. zm.)</w:t>
      </w:r>
      <w:r w:rsidRPr="00333257">
        <w:rPr>
          <w:rFonts w:cs="Times New Roman"/>
          <w:szCs w:val="24"/>
        </w:rPr>
        <w:t xml:space="preserve"> do zadań Policji należy inicjowanie i organizowanie działań mających na celu zapobieganie popełnianiu przestępstw i wykroczeń oraz zjawiskom kryminoge</w:t>
      </w:r>
      <w:r w:rsidR="00CB43BC">
        <w:rPr>
          <w:rFonts w:cs="Times New Roman"/>
          <w:szCs w:val="24"/>
        </w:rPr>
        <w:t>nnym i </w:t>
      </w:r>
      <w:r w:rsidRPr="00333257">
        <w:rPr>
          <w:rFonts w:cs="Times New Roman"/>
          <w:szCs w:val="24"/>
        </w:rPr>
        <w:t>współdziałanie w tym zakresie z orga</w:t>
      </w:r>
      <w:r>
        <w:rPr>
          <w:rFonts w:cs="Times New Roman"/>
          <w:szCs w:val="24"/>
        </w:rPr>
        <w:t xml:space="preserve">nami państwowymi, samorządowymi </w:t>
      </w:r>
      <w:r w:rsidRPr="00333257">
        <w:rPr>
          <w:rFonts w:cs="Times New Roman"/>
          <w:szCs w:val="24"/>
        </w:rPr>
        <w:t xml:space="preserve">i organizacjami społecznymi. Główne kierunki policyjnych działań, w tym zapewnienie bezpieczeństwa seniorów, znalazły odzwierciedlenie w Priorytetach Komendanta Głównego Policji na lata 2016-2018 (przedłużonych na lata  2019-2020), w szczególności w Priorytecie nr 1 „Zwiększenie efektywności działań Policji na </w:t>
      </w:r>
      <w:r w:rsidR="00CB43BC">
        <w:rPr>
          <w:rFonts w:cs="Times New Roman"/>
          <w:szCs w:val="24"/>
        </w:rPr>
        <w:t>rzecz wzmocnienia współpracy ze </w:t>
      </w:r>
      <w:r w:rsidRPr="00333257">
        <w:rPr>
          <w:rFonts w:cs="Times New Roman"/>
          <w:szCs w:val="24"/>
        </w:rPr>
        <w:t xml:space="preserve">społeczeństwem”. Bezpieczeństwo seniorów znalazło również wyraz w Priorytetach Komendanta Głównego Policji na lata 2021-2023, tj. w Priorytecie nr 3 „Podniesienie efektywności działań Policji w celu realizacji oczekiwań społecznych”.  Realizacja ww. zadań ustawowych wiąże się z opracowaniem i wdrażaniem przez jednostki organizacyjne Policji programów lub działań profilaktycznych (akcje, kampanie i spotkania informacyjne, konkursy wiedzy, audycje radiowe i telewizyjne, komunikaty na stronach internetowych, itd.). Działania profilaktyczne Policji odpowiadają na realne potrzeby społeczne oraz formułowane przez mieszkańców konkretne oczekiwania co do rodzaju i form aktywności Policji w obszarze </w:t>
      </w:r>
      <w:r w:rsidRPr="00333257">
        <w:rPr>
          <w:rFonts w:cs="Times New Roman"/>
          <w:szCs w:val="24"/>
        </w:rPr>
        <w:lastRenderedPageBreak/>
        <w:t xml:space="preserve">zapobiegania zagrożeniom bezpieczeństwa. Podstawę realizacji programów profilaktycznych stanowi również współpraca z instytucjami </w:t>
      </w:r>
      <w:proofErr w:type="spellStart"/>
      <w:r w:rsidRPr="00333257">
        <w:rPr>
          <w:rFonts w:cs="Times New Roman"/>
          <w:szCs w:val="24"/>
        </w:rPr>
        <w:t>pozapolicyjnymi</w:t>
      </w:r>
      <w:proofErr w:type="spellEnd"/>
      <w:r w:rsidRPr="00333257">
        <w:rPr>
          <w:rFonts w:cs="Times New Roman"/>
          <w:szCs w:val="24"/>
        </w:rPr>
        <w:t xml:space="preserve"> m.in. takimi jak: władze samorządowe, organizacje kościelne, urzędy pocztowe, instytucje finansowe, placówki służby zdrowia, uczelnie wyższe czy stowarzyszenia działające na rzecz bezpieczeństwa.  </w:t>
      </w:r>
    </w:p>
    <w:p w14:paraId="783ADDC5" w14:textId="77777777" w:rsidR="00AC0C90" w:rsidRDefault="00AC0C90" w:rsidP="00333257">
      <w:pPr>
        <w:rPr>
          <w:rFonts w:cs="Times New Roman"/>
          <w:szCs w:val="24"/>
        </w:rPr>
      </w:pPr>
    </w:p>
    <w:p w14:paraId="07848FB3" w14:textId="06F3030C" w:rsidR="00AC0C90" w:rsidRDefault="00333257" w:rsidP="00333257">
      <w:pPr>
        <w:rPr>
          <w:rFonts w:cs="Times New Roman"/>
          <w:szCs w:val="24"/>
        </w:rPr>
      </w:pPr>
      <w:r w:rsidRPr="00333257">
        <w:rPr>
          <w:rFonts w:cs="Times New Roman"/>
          <w:szCs w:val="24"/>
        </w:rPr>
        <w:t>W 2020 r. Policja zrealizowała 317 różnego rodzaju inicjatyw profilaktycznych w obszarze dotyczącym bezpieczeństwa seniorów oraz 7 kompleksow</w:t>
      </w:r>
      <w:r w:rsidR="00CB43BC">
        <w:rPr>
          <w:rFonts w:cs="Times New Roman"/>
          <w:szCs w:val="24"/>
        </w:rPr>
        <w:t>ych, długofalowych programów, z </w:t>
      </w:r>
      <w:r w:rsidRPr="00333257">
        <w:rPr>
          <w:rFonts w:cs="Times New Roman"/>
          <w:szCs w:val="24"/>
        </w:rPr>
        <w:t>czego  5 adresowanych było stricte do seniorów. Z racji sytuacji epidemicznej, zaplanowane debaty społeczne pod tytułem „Porozmawiajmy o bezpieczeństwie – możesz mieć na nie wpływ” były najczęściej odwoływane oraz nie planowano nowych. Wynikało to z faktu, że zgodnie ze standardem, taka forma komunikacji wymaga ko</w:t>
      </w:r>
      <w:r w:rsidR="00CB43BC">
        <w:rPr>
          <w:rFonts w:cs="Times New Roman"/>
          <w:szCs w:val="24"/>
        </w:rPr>
        <w:t>ntaktu bezpośredniego nadawcy z </w:t>
      </w:r>
      <w:r w:rsidRPr="00333257">
        <w:rPr>
          <w:rFonts w:cs="Times New Roman"/>
          <w:szCs w:val="24"/>
        </w:rPr>
        <w:t xml:space="preserve">odbiorcą. Podkreślić należy, że czas pandemii i wprowadzone w związku z nim liczne ograniczenia, nakazy i zakazy, wymusiły wprowadzenie tymczasowych zmian w sposobie realizacji działań profilaktycznych Policji. Zaniechano spotkań bezpośrednich z mieszkańcami, a zintensyfikowano działania realizowane w Internecie. </w:t>
      </w:r>
    </w:p>
    <w:p w14:paraId="4C323998" w14:textId="77777777" w:rsidR="00AC0C90" w:rsidRDefault="00AC0C90" w:rsidP="00333257">
      <w:pPr>
        <w:rPr>
          <w:rFonts w:cs="Times New Roman"/>
          <w:szCs w:val="24"/>
        </w:rPr>
      </w:pPr>
    </w:p>
    <w:p w14:paraId="78550028" w14:textId="03897AA2" w:rsidR="00333257" w:rsidRDefault="00333257" w:rsidP="00333257">
      <w:pPr>
        <w:rPr>
          <w:rFonts w:cs="Times New Roman"/>
          <w:szCs w:val="24"/>
        </w:rPr>
      </w:pPr>
      <w:r w:rsidRPr="00333257">
        <w:rPr>
          <w:rFonts w:cs="Times New Roman"/>
          <w:szCs w:val="24"/>
        </w:rPr>
        <w:t>Przyk</w:t>
      </w:r>
      <w:r>
        <w:rPr>
          <w:rFonts w:cs="Times New Roman"/>
          <w:szCs w:val="24"/>
        </w:rPr>
        <w:t>ładami takich działań mogą być:</w:t>
      </w:r>
    </w:p>
    <w:p w14:paraId="6FF3EFEF" w14:textId="114C23FE" w:rsidR="00333257" w:rsidRDefault="00333257" w:rsidP="00FE70E3">
      <w:pPr>
        <w:pStyle w:val="Akapitzlist"/>
        <w:numPr>
          <w:ilvl w:val="0"/>
          <w:numId w:val="29"/>
        </w:numPr>
        <w:rPr>
          <w:rFonts w:cs="Times New Roman"/>
          <w:szCs w:val="24"/>
        </w:rPr>
      </w:pPr>
      <w:r w:rsidRPr="00333257">
        <w:rPr>
          <w:rFonts w:cs="Times New Roman"/>
          <w:szCs w:val="24"/>
        </w:rPr>
        <w:t>zamieszczenie i udostępnienie na stronie www.policja.pl</w:t>
      </w:r>
      <w:r w:rsidR="00CB43BC">
        <w:rPr>
          <w:rFonts w:cs="Times New Roman"/>
          <w:szCs w:val="24"/>
        </w:rPr>
        <w:t xml:space="preserve"> artykułu wraz z infografiką, w </w:t>
      </w:r>
      <w:r w:rsidRPr="00333257">
        <w:rPr>
          <w:rFonts w:cs="Times New Roman"/>
          <w:szCs w:val="24"/>
        </w:rPr>
        <w:t xml:space="preserve">którym zawarto ostrzeżenia dotyczące możliwości dokonywania przestępstw pod legendą związaną z </w:t>
      </w:r>
      <w:proofErr w:type="spellStart"/>
      <w:r w:rsidRPr="00333257">
        <w:rPr>
          <w:rFonts w:cs="Times New Roman"/>
          <w:szCs w:val="24"/>
        </w:rPr>
        <w:t>koronawirusem</w:t>
      </w:r>
      <w:proofErr w:type="spellEnd"/>
      <w:r w:rsidRPr="00333257">
        <w:rPr>
          <w:rFonts w:cs="Times New Roman"/>
          <w:szCs w:val="24"/>
        </w:rPr>
        <w:t>. Materiały te poruszały za</w:t>
      </w:r>
      <w:r w:rsidR="00CB43BC">
        <w:rPr>
          <w:rFonts w:cs="Times New Roman"/>
          <w:szCs w:val="24"/>
        </w:rPr>
        <w:t>gadnienia związane z </w:t>
      </w:r>
      <w:r w:rsidRPr="00333257">
        <w:rPr>
          <w:rFonts w:cs="Times New Roman"/>
          <w:szCs w:val="24"/>
        </w:rPr>
        <w:t>oszustwami przy sprzedaży leków</w:t>
      </w:r>
      <w:r>
        <w:rPr>
          <w:rFonts w:cs="Times New Roman"/>
          <w:szCs w:val="24"/>
        </w:rPr>
        <w:t xml:space="preserve"> </w:t>
      </w:r>
      <w:r w:rsidRPr="00333257">
        <w:rPr>
          <w:rFonts w:cs="Times New Roman"/>
          <w:szCs w:val="24"/>
        </w:rPr>
        <w:t xml:space="preserve">i testów na </w:t>
      </w:r>
      <w:proofErr w:type="spellStart"/>
      <w:r w:rsidRPr="00333257">
        <w:rPr>
          <w:rFonts w:cs="Times New Roman"/>
          <w:szCs w:val="24"/>
        </w:rPr>
        <w:t>koronawirusa</w:t>
      </w:r>
      <w:proofErr w:type="spellEnd"/>
      <w:r w:rsidRPr="00333257">
        <w:rPr>
          <w:rFonts w:cs="Times New Roman"/>
          <w:szCs w:val="24"/>
        </w:rPr>
        <w:t>, bezpieczeństwem zakupów w sieci, zapożyczaniem się, wyłudzaniem pieniędzy na leczenie, itp. Jednocześnie jednostki organizacyjne Policji nawiązywały współpracę ze wspólnotami mieszkańców oraz spółdzielniami mieszkaniowymi, w celu zamieszczenia powyższej infografiki na klatkach schodowych domów i bloków;</w:t>
      </w:r>
    </w:p>
    <w:p w14:paraId="7C488D8B" w14:textId="77777777" w:rsidR="00333257" w:rsidRDefault="00333257" w:rsidP="00FE70E3">
      <w:pPr>
        <w:pStyle w:val="Akapitzlist"/>
        <w:numPr>
          <w:ilvl w:val="0"/>
          <w:numId w:val="29"/>
        </w:numPr>
        <w:rPr>
          <w:rFonts w:cs="Times New Roman"/>
          <w:szCs w:val="24"/>
        </w:rPr>
      </w:pPr>
      <w:r w:rsidRPr="00333257">
        <w:rPr>
          <w:rFonts w:cs="Times New Roman"/>
          <w:szCs w:val="24"/>
        </w:rPr>
        <w:t>Komenda Główna Policji wspólnie z Państwowym Instytutem Badawczym NASK oraz Europolem opracowała „Przewodnik Bezpieczeństwa w świecie z COVID – 19” mówiący o zasadach, którymi należy się kierować, np. podczas korzystania z narzędzi on-line, w tym robienia zakupów, korzystania z bankowości internetowej;</w:t>
      </w:r>
    </w:p>
    <w:p w14:paraId="066B1917" w14:textId="6D83BE68" w:rsidR="00333257" w:rsidRDefault="00333257" w:rsidP="00FE70E3">
      <w:pPr>
        <w:pStyle w:val="Akapitzlist"/>
        <w:numPr>
          <w:ilvl w:val="0"/>
          <w:numId w:val="29"/>
        </w:numPr>
        <w:rPr>
          <w:rFonts w:cs="Times New Roman"/>
          <w:szCs w:val="24"/>
        </w:rPr>
      </w:pPr>
      <w:r w:rsidRPr="00333257">
        <w:rPr>
          <w:rFonts w:cs="Times New Roman"/>
          <w:szCs w:val="24"/>
        </w:rPr>
        <w:t>przygotowanie i umieszczenie na kanale YouTube przez różne jednostki organizacyjne Policji filmów adresowanych do seniorów, kt</w:t>
      </w:r>
      <w:r w:rsidR="00CB43BC">
        <w:rPr>
          <w:rFonts w:cs="Times New Roman"/>
          <w:szCs w:val="24"/>
        </w:rPr>
        <w:t>órych celem jest zobrazowanie i </w:t>
      </w:r>
      <w:r w:rsidRPr="00333257">
        <w:rPr>
          <w:rFonts w:cs="Times New Roman"/>
          <w:szCs w:val="24"/>
        </w:rPr>
        <w:t>uwrażliwienie na metody działania sprawców oszustw</w:t>
      </w:r>
      <w:r w:rsidR="00CB43BC">
        <w:rPr>
          <w:rFonts w:cs="Times New Roman"/>
          <w:szCs w:val="24"/>
        </w:rPr>
        <w:t>. Podkreślić należy, że część z </w:t>
      </w:r>
      <w:r w:rsidRPr="00333257">
        <w:rPr>
          <w:rFonts w:cs="Times New Roman"/>
          <w:szCs w:val="24"/>
        </w:rPr>
        <w:t>przygotowanych filmów, w ramach współpracy Policji z lokalnymi stacjami telewizyjnymi, była emitowana na antenie. Jako przykład można wskazać Komendę Wojewódzką Policji w Krakowie, która przygotowała cykl filmów skierowanych do seniorów pt. „Seniorze, nie daj się oszukać”, dotyczących elementarnych zasad bezpieczeństwa;</w:t>
      </w:r>
    </w:p>
    <w:p w14:paraId="55AE4A1E" w14:textId="3623D877" w:rsidR="00333257" w:rsidRDefault="00333257" w:rsidP="00FE70E3">
      <w:pPr>
        <w:pStyle w:val="Akapitzlist"/>
        <w:numPr>
          <w:ilvl w:val="0"/>
          <w:numId w:val="29"/>
        </w:numPr>
        <w:rPr>
          <w:rFonts w:cs="Times New Roman"/>
          <w:szCs w:val="24"/>
        </w:rPr>
      </w:pPr>
      <w:r w:rsidRPr="00333257">
        <w:rPr>
          <w:rFonts w:cs="Times New Roman"/>
          <w:szCs w:val="24"/>
        </w:rPr>
        <w:t>projekt pn. „Bezpieczny senior podczas pan</w:t>
      </w:r>
      <w:r w:rsidR="00CB43BC">
        <w:rPr>
          <w:rFonts w:cs="Times New Roman"/>
          <w:szCs w:val="24"/>
        </w:rPr>
        <w:t>demii” – prezentacje, rozmowy z </w:t>
      </w:r>
      <w:r w:rsidRPr="00333257">
        <w:rPr>
          <w:rFonts w:cs="Times New Roman"/>
          <w:szCs w:val="24"/>
        </w:rPr>
        <w:t>dziennikarzami, wykład uniwersyteck</w:t>
      </w:r>
      <w:r w:rsidR="00CB43BC">
        <w:rPr>
          <w:rFonts w:cs="Times New Roman"/>
          <w:szCs w:val="24"/>
        </w:rPr>
        <w:t>i (Komenda Wojewódzka Policji w </w:t>
      </w:r>
      <w:r w:rsidRPr="00333257">
        <w:rPr>
          <w:rFonts w:cs="Times New Roman"/>
          <w:szCs w:val="24"/>
        </w:rPr>
        <w:t>Katowicach);</w:t>
      </w:r>
    </w:p>
    <w:p w14:paraId="1A5E34AC" w14:textId="77777777" w:rsidR="00333257" w:rsidRDefault="00333257" w:rsidP="00FE70E3">
      <w:pPr>
        <w:pStyle w:val="Akapitzlist"/>
        <w:numPr>
          <w:ilvl w:val="0"/>
          <w:numId w:val="29"/>
        </w:numPr>
        <w:rPr>
          <w:rFonts w:cs="Times New Roman"/>
          <w:szCs w:val="24"/>
        </w:rPr>
      </w:pPr>
      <w:r w:rsidRPr="00333257">
        <w:rPr>
          <w:rFonts w:cs="Times New Roman"/>
          <w:szCs w:val="24"/>
        </w:rPr>
        <w:lastRenderedPageBreak/>
        <w:t>„Gra Bingo – porady dla seniorów” (Komenda Wojewódzka Policji w Białymstoku) – gra planszowa umieszczana na stronach informacyjnych i portalach społecznościowych;</w:t>
      </w:r>
    </w:p>
    <w:p w14:paraId="2B1760CF" w14:textId="77777777" w:rsidR="00333257" w:rsidRDefault="00333257" w:rsidP="00FE70E3">
      <w:pPr>
        <w:pStyle w:val="Akapitzlist"/>
        <w:numPr>
          <w:ilvl w:val="0"/>
          <w:numId w:val="29"/>
        </w:numPr>
        <w:rPr>
          <w:rFonts w:cs="Times New Roman"/>
          <w:szCs w:val="24"/>
        </w:rPr>
      </w:pPr>
      <w:r w:rsidRPr="00333257">
        <w:rPr>
          <w:rFonts w:cs="Times New Roman"/>
          <w:szCs w:val="24"/>
        </w:rPr>
        <w:t>punkt informacyjny „Telefon dla seniora” z okazji Europejskiego Dnia Seniora (Komenda Wojewódzka Policji w  Białymstoku) – rozpowszechnianie za pomocą lokalnych mediów informacji o telefonie dla osób starszych, pod którym można było skontaktować się z policjantem;</w:t>
      </w:r>
    </w:p>
    <w:p w14:paraId="3AE9B320" w14:textId="4EED2932" w:rsidR="00333257" w:rsidRDefault="00333257" w:rsidP="00FE70E3">
      <w:pPr>
        <w:pStyle w:val="Akapitzlist"/>
        <w:numPr>
          <w:ilvl w:val="0"/>
          <w:numId w:val="29"/>
        </w:numPr>
        <w:rPr>
          <w:rFonts w:cs="Times New Roman"/>
          <w:szCs w:val="24"/>
        </w:rPr>
      </w:pPr>
      <w:r w:rsidRPr="00333257">
        <w:rPr>
          <w:rFonts w:cs="Times New Roman"/>
          <w:szCs w:val="24"/>
        </w:rPr>
        <w:t>prezentacja plakatu dotyczącego przestęps</w:t>
      </w:r>
      <w:r w:rsidR="00CB43BC">
        <w:rPr>
          <w:rFonts w:cs="Times New Roman"/>
          <w:szCs w:val="24"/>
        </w:rPr>
        <w:t>tw „na wnuczka” na monitorach w </w:t>
      </w:r>
      <w:r w:rsidRPr="00333257">
        <w:rPr>
          <w:rFonts w:cs="Times New Roman"/>
          <w:szCs w:val="24"/>
        </w:rPr>
        <w:t>autobusach MZK</w:t>
      </w:r>
      <w:r>
        <w:rPr>
          <w:rFonts w:cs="Times New Roman"/>
          <w:szCs w:val="24"/>
        </w:rPr>
        <w:t xml:space="preserve"> </w:t>
      </w:r>
      <w:r w:rsidRPr="00333257">
        <w:rPr>
          <w:rFonts w:cs="Times New Roman"/>
          <w:szCs w:val="24"/>
        </w:rPr>
        <w:t>w Bydgoszczy;</w:t>
      </w:r>
    </w:p>
    <w:p w14:paraId="3289A8DE" w14:textId="77777777" w:rsidR="00333257" w:rsidRDefault="00333257" w:rsidP="00FE70E3">
      <w:pPr>
        <w:pStyle w:val="Akapitzlist"/>
        <w:numPr>
          <w:ilvl w:val="0"/>
          <w:numId w:val="29"/>
        </w:numPr>
        <w:rPr>
          <w:rFonts w:cs="Times New Roman"/>
          <w:szCs w:val="24"/>
        </w:rPr>
      </w:pPr>
      <w:r w:rsidRPr="00333257">
        <w:rPr>
          <w:rFonts w:cs="Times New Roman"/>
          <w:szCs w:val="24"/>
        </w:rPr>
        <w:t>spotkania z seniorami – rozpropagowanie filmu pt. „Dekalog bezpiecznego seniora” – (Komenda Wojewódzka Policji w Gorzowie Wielkopolskim);</w:t>
      </w:r>
    </w:p>
    <w:p w14:paraId="6620291C" w14:textId="77777777" w:rsidR="00333257" w:rsidRDefault="00333257" w:rsidP="00FE70E3">
      <w:pPr>
        <w:pStyle w:val="Akapitzlist"/>
        <w:numPr>
          <w:ilvl w:val="0"/>
          <w:numId w:val="29"/>
        </w:numPr>
        <w:rPr>
          <w:rFonts w:cs="Times New Roman"/>
          <w:szCs w:val="24"/>
        </w:rPr>
      </w:pPr>
      <w:r w:rsidRPr="00333257">
        <w:rPr>
          <w:rFonts w:cs="Times New Roman"/>
          <w:szCs w:val="24"/>
        </w:rPr>
        <w:t>kampania pn. „Bezpieczna tożsamość. Nieskradzione życie” – ulotki wręczane seniorom podczas odwiedzin posesyjnych (Komenda Wojewódzka Policji w Kielcach);</w:t>
      </w:r>
    </w:p>
    <w:p w14:paraId="7AD5F68D" w14:textId="77777777" w:rsidR="00333257" w:rsidRDefault="00333257" w:rsidP="00FE70E3">
      <w:pPr>
        <w:pStyle w:val="Akapitzlist"/>
        <w:numPr>
          <w:ilvl w:val="0"/>
          <w:numId w:val="29"/>
        </w:numPr>
        <w:rPr>
          <w:rFonts w:cs="Times New Roman"/>
          <w:szCs w:val="24"/>
        </w:rPr>
      </w:pPr>
      <w:r w:rsidRPr="00333257">
        <w:rPr>
          <w:rFonts w:cs="Times New Roman"/>
          <w:szCs w:val="24"/>
        </w:rPr>
        <w:t>spotkania z seniorami i przedstawicielami banków, mające uświadomić starszym osobom mechanizm oszustw „na wnuczka” oraz istotę współpracy z pracownikami banku, aby uniknąć tego typu zdarzeń (Komenda Wojewódzka Policji w Łodzi);</w:t>
      </w:r>
    </w:p>
    <w:p w14:paraId="7D608830" w14:textId="77777777" w:rsidR="00333257" w:rsidRDefault="00333257" w:rsidP="00FE70E3">
      <w:pPr>
        <w:pStyle w:val="Akapitzlist"/>
        <w:numPr>
          <w:ilvl w:val="0"/>
          <w:numId w:val="29"/>
        </w:numPr>
        <w:rPr>
          <w:rFonts w:cs="Times New Roman"/>
          <w:szCs w:val="24"/>
        </w:rPr>
      </w:pPr>
      <w:r w:rsidRPr="00333257">
        <w:rPr>
          <w:rFonts w:cs="Times New Roman"/>
          <w:szCs w:val="24"/>
        </w:rPr>
        <w:t xml:space="preserve">akcja pn. „Nie zgub się w lesie” (Komenda Wojewódzka Policji  w Olsztynie) – naklejki informacyjne umieszczane w miejscach postojowych usytuowanych w lasach. </w:t>
      </w:r>
    </w:p>
    <w:p w14:paraId="3195162A" w14:textId="77777777" w:rsidR="00AC0C90" w:rsidRDefault="00AC0C90" w:rsidP="00957D96">
      <w:pPr>
        <w:rPr>
          <w:rFonts w:cs="Times New Roman"/>
          <w:szCs w:val="24"/>
        </w:rPr>
      </w:pPr>
    </w:p>
    <w:p w14:paraId="7B559B23" w14:textId="22C2657D" w:rsidR="00D61581" w:rsidRDefault="00333257" w:rsidP="00957D96">
      <w:pPr>
        <w:rPr>
          <w:rFonts w:cs="Times New Roman"/>
          <w:szCs w:val="24"/>
        </w:rPr>
      </w:pPr>
      <w:r>
        <w:rPr>
          <w:rFonts w:cs="Times New Roman"/>
          <w:szCs w:val="24"/>
        </w:rPr>
        <w:t>Ponadto w 2020 r</w:t>
      </w:r>
      <w:r w:rsidR="00A600D3">
        <w:rPr>
          <w:rFonts w:cs="Times New Roman"/>
          <w:szCs w:val="24"/>
        </w:rPr>
        <w:t>.</w:t>
      </w:r>
      <w:r>
        <w:rPr>
          <w:rFonts w:cs="Times New Roman"/>
          <w:szCs w:val="24"/>
        </w:rPr>
        <w:t xml:space="preserve"> zrealizowano działania z zakresu monitorowania obszaru związanego </w:t>
      </w:r>
      <w:r w:rsidR="00CB43BC">
        <w:rPr>
          <w:rFonts w:cs="Times New Roman"/>
          <w:szCs w:val="24"/>
        </w:rPr>
        <w:t>z </w:t>
      </w:r>
      <w:r w:rsidRPr="00333257">
        <w:rPr>
          <w:rFonts w:cs="Times New Roman"/>
          <w:szCs w:val="24"/>
        </w:rPr>
        <w:t>działalnością domów pomocy społecznej oraz placówek zapewniających całodobową opiekę osobom niepełnosprawny</w:t>
      </w:r>
      <w:r>
        <w:rPr>
          <w:rFonts w:cs="Times New Roman"/>
          <w:szCs w:val="24"/>
        </w:rPr>
        <w:t xml:space="preserve">m, przewlekle chorym lub osobom </w:t>
      </w:r>
      <w:r w:rsidRPr="00333257">
        <w:rPr>
          <w:rFonts w:cs="Times New Roman"/>
          <w:szCs w:val="24"/>
        </w:rPr>
        <w:t>w podeszłym wieku działających w oparciu o zezwolenie wojewody, jak i bez takiego zezwolenia</w:t>
      </w:r>
      <w:r>
        <w:rPr>
          <w:rFonts w:cs="Times New Roman"/>
          <w:szCs w:val="24"/>
        </w:rPr>
        <w:t xml:space="preserve">. </w:t>
      </w:r>
      <w:r w:rsidRPr="00333257">
        <w:rPr>
          <w:rFonts w:cs="Times New Roman"/>
          <w:szCs w:val="24"/>
        </w:rPr>
        <w:t>Do przeprowadzania kontroli działalności domów pomocy społecznej oraz placówek zapewniających całodobową opiekę osobom niepełnosprawnym, przewlekle chorym lub osobom w podeszłym wieku ustawodawca uprawnił wyłącznie wojewodów. Wojewoda, zgodnie z a</w:t>
      </w:r>
      <w:r>
        <w:rPr>
          <w:rFonts w:cs="Times New Roman"/>
          <w:szCs w:val="24"/>
        </w:rPr>
        <w:t xml:space="preserve">rt. 127a ustawy z dnia 12 marca </w:t>
      </w:r>
      <w:r w:rsidRPr="00333257">
        <w:rPr>
          <w:rFonts w:cs="Times New Roman"/>
          <w:szCs w:val="24"/>
        </w:rPr>
        <w:t>2004 r. o pomocy społecznej, może wystąpić z wnioskiem do właściwe</w:t>
      </w:r>
      <w:r>
        <w:rPr>
          <w:rFonts w:cs="Times New Roman"/>
          <w:szCs w:val="24"/>
        </w:rPr>
        <w:t xml:space="preserve">go miejscowo komendanta Policji </w:t>
      </w:r>
      <w:r w:rsidRPr="00333257">
        <w:rPr>
          <w:rFonts w:cs="Times New Roman"/>
          <w:szCs w:val="24"/>
        </w:rPr>
        <w:t xml:space="preserve">o pomoc, jeżeli jest to niezbędne do przeprowadzenia czynności kontrolnych. Działania podjęte przez jednostki organizacyjne Policji podległe komendom wojewódzkim (Komendzie Stołecznej) Policji, polegające na zidentyfikowaniu domów/placówek mogących funkcjonować na ich terenie bez zezwolenia wojewody, nadal miały charakter wspierający urzędy wojewódzkie. Polegały one m.in. na określeniu lokalizacji </w:t>
      </w:r>
      <w:r w:rsidR="00CB43BC">
        <w:rPr>
          <w:rFonts w:cs="Times New Roman"/>
          <w:szCs w:val="24"/>
        </w:rPr>
        <w:t>ich funkcjonowania, w oparciu o </w:t>
      </w:r>
      <w:r w:rsidRPr="00333257">
        <w:rPr>
          <w:rFonts w:cs="Times New Roman"/>
          <w:szCs w:val="24"/>
        </w:rPr>
        <w:t xml:space="preserve">posiadaną wiedzę dzielnicowych, wynikającą z rozpoznania </w:t>
      </w:r>
      <w:proofErr w:type="spellStart"/>
      <w:r w:rsidRPr="00333257">
        <w:rPr>
          <w:rFonts w:cs="Times New Roman"/>
          <w:szCs w:val="24"/>
        </w:rPr>
        <w:t>terenowo-osobowego</w:t>
      </w:r>
      <w:proofErr w:type="spellEnd"/>
      <w:r w:rsidRPr="00333257">
        <w:rPr>
          <w:rFonts w:cs="Times New Roman"/>
          <w:szCs w:val="24"/>
        </w:rPr>
        <w:t>, pogłębionego m.in. o rozmowy z mieszkańcami sąsiadujących posesji lub pracownikami domów/placówek. Pozyskane w ten sposób informacje porównywane były z rejestrami prowadzonymi przez właściwych miejscowo wojewodów. Następnie funkcjonariusze przekazywali pozyskane w ten sposób informacje właściwym do spraw pomocy społecznej wydziałom urz</w:t>
      </w:r>
      <w:r>
        <w:rPr>
          <w:rFonts w:cs="Times New Roman"/>
          <w:szCs w:val="24"/>
        </w:rPr>
        <w:t xml:space="preserve">ędów wojewódzkich, uprawnionym, </w:t>
      </w:r>
      <w:r w:rsidRPr="00333257">
        <w:rPr>
          <w:rFonts w:cs="Times New Roman"/>
          <w:szCs w:val="24"/>
        </w:rPr>
        <w:t>w imieniu wojewody, do sprawowania nadzoru i kontroli nad domami/placówkami, celem zweryfi</w:t>
      </w:r>
      <w:r w:rsidR="00CB43BC">
        <w:rPr>
          <w:rFonts w:cs="Times New Roman"/>
          <w:szCs w:val="24"/>
        </w:rPr>
        <w:t>kowania otrzymanych danych, a w </w:t>
      </w:r>
      <w:r w:rsidRPr="00333257">
        <w:rPr>
          <w:rFonts w:cs="Times New Roman"/>
          <w:szCs w:val="24"/>
        </w:rPr>
        <w:t xml:space="preserve">przypadku stwierdzenia nieprawidłowości, wdrożenia postępowania administracyjnego zmierzającego do wyegzekwowania, zgodnej z obowiązującym stanem prawnym, formy </w:t>
      </w:r>
      <w:r w:rsidRPr="00333257">
        <w:rPr>
          <w:rFonts w:cs="Times New Roman"/>
          <w:szCs w:val="24"/>
        </w:rPr>
        <w:lastRenderedPageBreak/>
        <w:t xml:space="preserve">podjętej przez dom/placówkę działalności. Ponadto należy dodać, że podejmowane przez funkcjonariuszy Policji czynności służbowe, polegające na weryfikowaniu postępowań sprawdzających/przygotowawczych, w szczególności wyczerpujących znamiona przestępstw przeciwko życiu i zdrowiu, rodzinie i opiece oraz wolności, zmierzały do identyfikowania ewentualnych zagrożeń życia lub zdrowia, a także </w:t>
      </w:r>
      <w:r w:rsidR="00CB43BC">
        <w:rPr>
          <w:rFonts w:cs="Times New Roman"/>
          <w:szCs w:val="24"/>
        </w:rPr>
        <w:t>wolności osób przebywających w </w:t>
      </w:r>
      <w:r w:rsidRPr="00333257">
        <w:rPr>
          <w:rFonts w:cs="Times New Roman"/>
          <w:szCs w:val="24"/>
        </w:rPr>
        <w:t>domach/placówkach, zarówno działających w oparciu o stosowne zezwolenie, jak też działających bez takiego zezwolenia, a następnie informowania o powyższym wydziały polityki społecznej urzędów wojewódzkich, w celu zainicjowani</w:t>
      </w:r>
      <w:r w:rsidR="00CB43BC">
        <w:rPr>
          <w:rFonts w:cs="Times New Roman"/>
          <w:szCs w:val="24"/>
        </w:rPr>
        <w:t>a kontroli doraźnych z </w:t>
      </w:r>
      <w:r w:rsidRPr="00333257">
        <w:rPr>
          <w:rFonts w:cs="Times New Roman"/>
          <w:szCs w:val="24"/>
        </w:rPr>
        <w:t xml:space="preserve">udziałem lub bez udziału Policji. </w:t>
      </w:r>
      <w:r>
        <w:rPr>
          <w:rFonts w:cs="Times New Roman"/>
          <w:szCs w:val="24"/>
        </w:rPr>
        <w:t>W okresie od</w:t>
      </w:r>
      <w:r w:rsidRPr="00333257">
        <w:rPr>
          <w:rFonts w:cs="Times New Roman"/>
          <w:szCs w:val="24"/>
        </w:rPr>
        <w:t xml:space="preserve"> 1 stycznia do 31</w:t>
      </w:r>
      <w:r>
        <w:rPr>
          <w:rFonts w:cs="Times New Roman"/>
          <w:szCs w:val="24"/>
        </w:rPr>
        <w:t xml:space="preserve"> grudnia 2020 r. </w:t>
      </w:r>
      <w:r w:rsidRPr="00333257">
        <w:rPr>
          <w:rFonts w:cs="Times New Roman"/>
          <w:szCs w:val="24"/>
        </w:rPr>
        <w:t>skontrolowano łącznie 315 domów/placówek, z czego 76 z udziałem Po</w:t>
      </w:r>
      <w:r>
        <w:rPr>
          <w:rFonts w:cs="Times New Roman"/>
          <w:szCs w:val="24"/>
        </w:rPr>
        <w:t>licji, 239  bez udziału Policji oraz przeprowadzono 149 postępowań karnych. Z</w:t>
      </w:r>
      <w:r w:rsidRPr="00333257">
        <w:rPr>
          <w:rFonts w:cs="Times New Roman"/>
          <w:szCs w:val="24"/>
        </w:rPr>
        <w:t>awiadomienia o podejrzeniu popełnienia przestępstwa, inicjujące wszczęcie postępowania przygotowawczego, składane były zazwyczaj przez personel – 68, członk</w:t>
      </w:r>
      <w:r w:rsidR="00CB43BC">
        <w:rPr>
          <w:rFonts w:cs="Times New Roman"/>
          <w:szCs w:val="24"/>
        </w:rPr>
        <w:t>ów rodzin osób przebywających w </w:t>
      </w:r>
      <w:r w:rsidRPr="00333257">
        <w:rPr>
          <w:rFonts w:cs="Times New Roman"/>
          <w:szCs w:val="24"/>
        </w:rPr>
        <w:t>domach/placówkach – 28, podopiecznych – 21, innych zawiada</w:t>
      </w:r>
      <w:r w:rsidR="00957D96">
        <w:rPr>
          <w:rFonts w:cs="Times New Roman"/>
          <w:szCs w:val="24"/>
        </w:rPr>
        <w:t>miających – 16 oraz instytucje – 14. W</w:t>
      </w:r>
      <w:r w:rsidRPr="00333257">
        <w:rPr>
          <w:rFonts w:cs="Times New Roman"/>
          <w:szCs w:val="24"/>
        </w:rPr>
        <w:t xml:space="preserve"> efekcie prowadzonych postępowań przygotowawczych do sądu skierowano 13 aktów oskarżenia (ujawnieni sprawcy: podopieczni – 10, personel – 2, osoba najbliższa – 1; ujawnieni pokrzywdzeni: podopieczni – 4, personel – 7, instytucja – 1), 74 po</w:t>
      </w:r>
      <w:r w:rsidR="00957D96">
        <w:rPr>
          <w:rFonts w:cs="Times New Roman"/>
          <w:szCs w:val="24"/>
        </w:rPr>
        <w:t xml:space="preserve">stępowania umorzono, a kolejne </w:t>
      </w:r>
      <w:r w:rsidRPr="00333257">
        <w:rPr>
          <w:rFonts w:cs="Times New Roman"/>
          <w:szCs w:val="24"/>
        </w:rPr>
        <w:t>62 postępowania</w:t>
      </w:r>
      <w:r w:rsidR="00957D96">
        <w:rPr>
          <w:rFonts w:cs="Times New Roman"/>
          <w:szCs w:val="24"/>
        </w:rPr>
        <w:t xml:space="preserve"> pod koniec ubiegłego roku znajdowało się w toku.</w:t>
      </w:r>
    </w:p>
    <w:p w14:paraId="2D881907" w14:textId="77777777" w:rsidR="00AC0C90" w:rsidRDefault="00AC0C90" w:rsidP="00D61581">
      <w:pPr>
        <w:rPr>
          <w:rFonts w:cs="Times New Roman"/>
          <w:szCs w:val="24"/>
        </w:rPr>
      </w:pPr>
    </w:p>
    <w:p w14:paraId="1E2D77BE" w14:textId="3F80068D" w:rsidR="00D61581" w:rsidRDefault="00D61581" w:rsidP="00D61581">
      <w:pPr>
        <w:rPr>
          <w:rFonts w:cs="Times New Roman"/>
          <w:szCs w:val="24"/>
        </w:rPr>
      </w:pPr>
      <w:r w:rsidRPr="00D61581">
        <w:rPr>
          <w:rFonts w:cs="Times New Roman"/>
          <w:szCs w:val="24"/>
        </w:rPr>
        <w:t xml:space="preserve">W okresie od 1 stycznia do 31 grudnia 2020 r., działania </w:t>
      </w:r>
      <w:proofErr w:type="spellStart"/>
      <w:r>
        <w:rPr>
          <w:rFonts w:cs="Times New Roman"/>
          <w:szCs w:val="24"/>
        </w:rPr>
        <w:t>an</w:t>
      </w:r>
      <w:proofErr w:type="spellEnd"/>
      <w:r>
        <w:rPr>
          <w:rFonts w:cs="Times New Roman"/>
          <w:szCs w:val="24"/>
        </w:rPr>
        <w:t xml:space="preserve"> rzecz seniorów podejmowały również </w:t>
      </w:r>
      <w:r w:rsidRPr="00D61581">
        <w:rPr>
          <w:rFonts w:cs="Times New Roman"/>
          <w:szCs w:val="24"/>
        </w:rPr>
        <w:t>Samodzielne Publiczne Zakłady Opieki Zdrowotnej MSWiA</w:t>
      </w:r>
      <w:r>
        <w:rPr>
          <w:rFonts w:cs="Times New Roman"/>
          <w:szCs w:val="24"/>
        </w:rPr>
        <w:t>:</w:t>
      </w:r>
    </w:p>
    <w:p w14:paraId="51576866" w14:textId="77777777" w:rsidR="00D61581" w:rsidRDefault="00D61581" w:rsidP="00FE70E3">
      <w:pPr>
        <w:pStyle w:val="Akapitzlist"/>
        <w:numPr>
          <w:ilvl w:val="0"/>
          <w:numId w:val="28"/>
        </w:numPr>
        <w:rPr>
          <w:rFonts w:cs="Times New Roman"/>
          <w:szCs w:val="24"/>
        </w:rPr>
      </w:pPr>
      <w:r w:rsidRPr="00D61581">
        <w:rPr>
          <w:rFonts w:cs="Times New Roman"/>
          <w:szCs w:val="24"/>
        </w:rPr>
        <w:t>W strukturach 3 SP ZOZ MSWiA (w Białymstoku, Bydgoszczy i Krakowie) funkcjonowały oddziały o profilu geriatrycznym, które dysponowały łącznie 46 łóżkami. W 2020 r. we wspomnianych oddziałach leczono 784 osoby.</w:t>
      </w:r>
    </w:p>
    <w:p w14:paraId="214CE99F" w14:textId="77777777" w:rsidR="00D61581" w:rsidRDefault="00D61581" w:rsidP="00FE70E3">
      <w:pPr>
        <w:pStyle w:val="Akapitzlist"/>
        <w:numPr>
          <w:ilvl w:val="0"/>
          <w:numId w:val="28"/>
        </w:numPr>
        <w:rPr>
          <w:rFonts w:cs="Times New Roman"/>
          <w:szCs w:val="24"/>
        </w:rPr>
      </w:pPr>
      <w:r w:rsidRPr="00D61581">
        <w:rPr>
          <w:rFonts w:cs="Times New Roman"/>
          <w:szCs w:val="24"/>
        </w:rPr>
        <w:t>W strukturach 3 SP ZOZ MSWiA (w Bydgoszczy, Górznie i Łodzi) funkcjonowały Zakłady Opiekuńczo – Lecznicze, które w 2020 r. dysponowały 77 łóżkami. W 2020 r. w zakładach tych przebywało 129 pacjentów, głównie osób po 60 roku życia.</w:t>
      </w:r>
    </w:p>
    <w:p w14:paraId="1EAB4710" w14:textId="243B726B" w:rsidR="00D61581" w:rsidRDefault="00D61581" w:rsidP="00FE70E3">
      <w:pPr>
        <w:pStyle w:val="Akapitzlist"/>
        <w:numPr>
          <w:ilvl w:val="0"/>
          <w:numId w:val="28"/>
        </w:numPr>
        <w:rPr>
          <w:rFonts w:cs="Times New Roman"/>
          <w:szCs w:val="24"/>
        </w:rPr>
      </w:pPr>
      <w:r w:rsidRPr="00D61581">
        <w:rPr>
          <w:rFonts w:cs="Times New Roman"/>
          <w:szCs w:val="24"/>
        </w:rPr>
        <w:t xml:space="preserve">W strukturach 2 SP ZOZ MSWiA (w Koszalinie i Łodzi) funkcjonowały Zakłady </w:t>
      </w:r>
      <w:proofErr w:type="spellStart"/>
      <w:r w:rsidRPr="00D61581">
        <w:rPr>
          <w:rFonts w:cs="Times New Roman"/>
          <w:szCs w:val="24"/>
        </w:rPr>
        <w:t>Pielęgnacyjno</w:t>
      </w:r>
      <w:proofErr w:type="spellEnd"/>
      <w:r w:rsidRPr="00D61581">
        <w:rPr>
          <w:rFonts w:cs="Times New Roman"/>
          <w:szCs w:val="24"/>
        </w:rPr>
        <w:t xml:space="preserve"> – Opiekuńcze, które dysponowały łą</w:t>
      </w:r>
      <w:r w:rsidR="00CB43BC">
        <w:rPr>
          <w:rFonts w:cs="Times New Roman"/>
          <w:szCs w:val="24"/>
        </w:rPr>
        <w:t>cznie 63 miejscami. W 2020 r. w </w:t>
      </w:r>
      <w:r w:rsidRPr="00D61581">
        <w:rPr>
          <w:rFonts w:cs="Times New Roman"/>
          <w:szCs w:val="24"/>
        </w:rPr>
        <w:t>Zakładach tych przebywało 109 pacjentów.</w:t>
      </w:r>
    </w:p>
    <w:p w14:paraId="2BD20389" w14:textId="77777777" w:rsidR="00D61581" w:rsidRDefault="00D61581" w:rsidP="00FE70E3">
      <w:pPr>
        <w:pStyle w:val="Akapitzlist"/>
        <w:numPr>
          <w:ilvl w:val="0"/>
          <w:numId w:val="28"/>
        </w:numPr>
        <w:rPr>
          <w:rFonts w:cs="Times New Roman"/>
          <w:szCs w:val="24"/>
        </w:rPr>
      </w:pPr>
      <w:r w:rsidRPr="00D61581">
        <w:rPr>
          <w:rFonts w:cs="Times New Roman"/>
          <w:szCs w:val="24"/>
        </w:rPr>
        <w:t>W 3 SP ZOZ MSWiA z siedzibą w Białymstoku, Bydgoszczy i Krakowie funkcjonowały poradnie geriatryczne, które w 2020 r. udzieliły 3 201 porad.</w:t>
      </w:r>
    </w:p>
    <w:p w14:paraId="32DE66A0" w14:textId="77777777" w:rsidR="00D61581" w:rsidRDefault="00D61581" w:rsidP="00FE70E3">
      <w:pPr>
        <w:pStyle w:val="Akapitzlist"/>
        <w:numPr>
          <w:ilvl w:val="0"/>
          <w:numId w:val="28"/>
        </w:numPr>
        <w:rPr>
          <w:rFonts w:cs="Times New Roman"/>
          <w:szCs w:val="24"/>
        </w:rPr>
      </w:pPr>
      <w:r w:rsidRPr="00D61581">
        <w:rPr>
          <w:rFonts w:cs="Times New Roman"/>
          <w:szCs w:val="24"/>
        </w:rPr>
        <w:t>W 3 SP ZOZ MSWiA (w Krakowie, Bydgoszczy i Białymstoku) realizowane są szkolenia specjalizacyjne lekarzy z dziedziny geriatrii. Zakłady te w 2020 r. dysponowały łącznie 40 miejscami szkoleniowymi. W 2020 r. szkolenie specjalizacyjne z dziedziny geriatrii realizowało 10 lekarzy, którzy po uzyskaniu tytułu specjalisty z dziedziny geriatrii wzmocnią zasoby kadrowe podmiotów leczniczych, realizujących świadczenia zdrowotne na rzecz osób starszych.</w:t>
      </w:r>
    </w:p>
    <w:p w14:paraId="3664995E" w14:textId="77777777" w:rsidR="00340F91" w:rsidRDefault="00340F91" w:rsidP="00957D96">
      <w:pPr>
        <w:rPr>
          <w:rFonts w:cs="Times New Roman"/>
          <w:szCs w:val="24"/>
        </w:rPr>
      </w:pPr>
    </w:p>
    <w:p w14:paraId="1913E962" w14:textId="4ADA5E68" w:rsidR="00957D96" w:rsidRDefault="00957D96" w:rsidP="00957D96">
      <w:pPr>
        <w:rPr>
          <w:rFonts w:cs="Times New Roman"/>
          <w:szCs w:val="24"/>
        </w:rPr>
      </w:pPr>
      <w:r w:rsidRPr="00957D96">
        <w:rPr>
          <w:rFonts w:cs="Times New Roman"/>
          <w:szCs w:val="24"/>
        </w:rPr>
        <w:lastRenderedPageBreak/>
        <w:t>Zakład Emerytalno-Rentowy MSWiA w ramach pozostałych działań</w:t>
      </w:r>
      <w:r>
        <w:rPr>
          <w:rFonts w:cs="Times New Roman"/>
          <w:szCs w:val="24"/>
        </w:rPr>
        <w:t xml:space="preserve"> na rzecz osób starszych, w tym </w:t>
      </w:r>
      <w:r w:rsidRPr="00957D96">
        <w:rPr>
          <w:rFonts w:cs="Times New Roman"/>
          <w:szCs w:val="24"/>
        </w:rPr>
        <w:t>w szczególności inicjatyw związanych z ochroną seniorów przed negatywnymi skutkami pandemii COVID-19</w:t>
      </w:r>
      <w:r>
        <w:rPr>
          <w:rFonts w:cs="Times New Roman"/>
          <w:szCs w:val="24"/>
        </w:rPr>
        <w:t>, podjął następujące działania:</w:t>
      </w:r>
    </w:p>
    <w:p w14:paraId="2BED259A" w14:textId="6987B338" w:rsidR="00957D96" w:rsidRDefault="00957D96" w:rsidP="00FE70E3">
      <w:pPr>
        <w:pStyle w:val="Akapitzlist"/>
        <w:numPr>
          <w:ilvl w:val="0"/>
          <w:numId w:val="30"/>
        </w:numPr>
        <w:rPr>
          <w:rFonts w:cs="Times New Roman"/>
          <w:szCs w:val="24"/>
        </w:rPr>
      </w:pPr>
      <w:r w:rsidRPr="00957D96">
        <w:rPr>
          <w:rFonts w:cs="Times New Roman"/>
          <w:szCs w:val="24"/>
        </w:rPr>
        <w:t>w celu usprawnienia, doskonalenia i przyspieszenia procesu obsługi klientów uruchomiono czynną całą dobę automatyczną Infolinię oraz umożliwiono kontakt z konsultantem, który udziela informacji na Infolinii od poniedziałku do piątku w godz. 8:30-15:30; udostępniono adres poczty elektronicznej: klient@zer.mswia.gov.pl., pod którym świadczeniobiorcy Zakładu mogą zgłaszać pytania, wątpliwości lub w</w:t>
      </w:r>
      <w:r>
        <w:rPr>
          <w:rFonts w:cs="Times New Roman"/>
          <w:szCs w:val="24"/>
        </w:rPr>
        <w:t xml:space="preserve">nioski o udzielenie informacji oraz </w:t>
      </w:r>
      <w:r w:rsidRPr="00957D96">
        <w:rPr>
          <w:rFonts w:cs="Times New Roman"/>
          <w:szCs w:val="24"/>
        </w:rPr>
        <w:t>skierowano do zainteresowanych świadcze</w:t>
      </w:r>
      <w:r w:rsidR="00CB43BC">
        <w:rPr>
          <w:rFonts w:cs="Times New Roman"/>
          <w:szCs w:val="24"/>
        </w:rPr>
        <w:t>niobiorców pisemną informację o </w:t>
      </w:r>
      <w:r w:rsidRPr="00957D96">
        <w:rPr>
          <w:rFonts w:cs="Times New Roman"/>
          <w:szCs w:val="24"/>
        </w:rPr>
        <w:t>przysługującym świadczeniu uzupełniającym dla osób niezdolnych do samodzielnej egzystencji, w którym zawarto wyjaśnienia w z</w:t>
      </w:r>
      <w:r w:rsidR="00CB43BC">
        <w:rPr>
          <w:rFonts w:cs="Times New Roman"/>
          <w:szCs w:val="24"/>
        </w:rPr>
        <w:t>akresie warunków niezbędnych do </w:t>
      </w:r>
      <w:r w:rsidRPr="00957D96">
        <w:rPr>
          <w:rFonts w:cs="Times New Roman"/>
          <w:szCs w:val="24"/>
        </w:rPr>
        <w:t>przyznania świadczenia uzupełniającego oraz dokum</w:t>
      </w:r>
      <w:r w:rsidR="00CB43BC">
        <w:rPr>
          <w:rFonts w:cs="Times New Roman"/>
          <w:szCs w:val="24"/>
        </w:rPr>
        <w:t>entów, jakie należy załączyć do </w:t>
      </w:r>
      <w:r w:rsidRPr="00957D96">
        <w:rPr>
          <w:rFonts w:cs="Times New Roman"/>
          <w:szCs w:val="24"/>
        </w:rPr>
        <w:t>wniosku. Wraz z przesłanym pismem świadczeniobiorcy otrzymali formularz Wniosku o przyznanie świadczenia uzupełniającego dla osoby niezdolnej do samodzielnej egzystencji;</w:t>
      </w:r>
    </w:p>
    <w:p w14:paraId="43C845FC" w14:textId="77777777" w:rsidR="00957D96" w:rsidRPr="00957D96" w:rsidRDefault="00957D96" w:rsidP="00FE70E3">
      <w:pPr>
        <w:pStyle w:val="Akapitzlist"/>
        <w:numPr>
          <w:ilvl w:val="0"/>
          <w:numId w:val="30"/>
        </w:numPr>
        <w:rPr>
          <w:rFonts w:cs="Times New Roman"/>
          <w:szCs w:val="24"/>
        </w:rPr>
      </w:pPr>
      <w:r w:rsidRPr="00957D96">
        <w:rPr>
          <w:rFonts w:cs="Times New Roman"/>
          <w:szCs w:val="24"/>
        </w:rPr>
        <w:t>uzyskano od Agencji Rezerw Materiałowych automatyczne stojaki do dezynfekcji rąk, które przekazano do Centralnych Komisji Lekarskich oraz R</w:t>
      </w:r>
      <w:r>
        <w:rPr>
          <w:rFonts w:cs="Times New Roman"/>
          <w:szCs w:val="24"/>
        </w:rPr>
        <w:t xml:space="preserve">ejonowych Komisji Lekarskich.  </w:t>
      </w:r>
    </w:p>
    <w:p w14:paraId="7531A17F" w14:textId="77777777" w:rsidR="00454337" w:rsidRPr="00454337" w:rsidRDefault="00454337" w:rsidP="00FE70E3">
      <w:pPr>
        <w:pStyle w:val="Nagwek2"/>
        <w:numPr>
          <w:ilvl w:val="1"/>
          <w:numId w:val="23"/>
        </w:numPr>
        <w:spacing w:before="240" w:after="240"/>
        <w:ind w:left="0" w:hanging="142"/>
        <w:rPr>
          <w:rFonts w:cs="Times New Roman"/>
          <w:sz w:val="40"/>
          <w:lang w:eastAsia="ar-SA"/>
        </w:rPr>
      </w:pPr>
      <w:bookmarkStart w:id="93" w:name="_Toc80523081"/>
      <w:r w:rsidRPr="00454337">
        <w:rPr>
          <w:rFonts w:cs="Times New Roman"/>
          <w:sz w:val="40"/>
          <w:lang w:eastAsia="ar-SA"/>
        </w:rPr>
        <w:t xml:space="preserve">Ministerstwo </w:t>
      </w:r>
      <w:r>
        <w:rPr>
          <w:rFonts w:cs="Times New Roman"/>
          <w:sz w:val="40"/>
          <w:lang w:eastAsia="ar-SA"/>
        </w:rPr>
        <w:t>Spraw Zagranicznych</w:t>
      </w:r>
      <w:bookmarkEnd w:id="93"/>
    </w:p>
    <w:p w14:paraId="1ACAFD2B" w14:textId="77777777" w:rsidR="00F0608C" w:rsidRDefault="00454337" w:rsidP="00454337">
      <w:pPr>
        <w:autoSpaceDE w:val="0"/>
        <w:autoSpaceDN w:val="0"/>
        <w:adjustRightInd w:val="0"/>
        <w:rPr>
          <w:rFonts w:cs="Times New Roman"/>
          <w:szCs w:val="24"/>
        </w:rPr>
      </w:pPr>
      <w:r w:rsidRPr="00454337">
        <w:rPr>
          <w:rFonts w:cs="Times New Roman"/>
          <w:szCs w:val="24"/>
        </w:rPr>
        <w:t xml:space="preserve">Ministerstwo Spraw Zagranicznych realizuje działania na rzecz osób starszych w sposób szczególny w aspekcie dedykowanego prawom osób starszych segmentu Międzynarodowego Systemu Ochrony Praw Człowieka. </w:t>
      </w:r>
    </w:p>
    <w:p w14:paraId="2B506372" w14:textId="77777777" w:rsidR="00F0608C" w:rsidRDefault="00F0608C" w:rsidP="00454337">
      <w:pPr>
        <w:autoSpaceDE w:val="0"/>
        <w:autoSpaceDN w:val="0"/>
        <w:adjustRightInd w:val="0"/>
        <w:rPr>
          <w:rFonts w:cs="Times New Roman"/>
          <w:szCs w:val="24"/>
        </w:rPr>
      </w:pPr>
    </w:p>
    <w:p w14:paraId="4C3E012F" w14:textId="2FE7698E" w:rsidR="00F0608C" w:rsidRDefault="00454337" w:rsidP="00454337">
      <w:pPr>
        <w:autoSpaceDE w:val="0"/>
        <w:autoSpaceDN w:val="0"/>
        <w:adjustRightInd w:val="0"/>
        <w:rPr>
          <w:rFonts w:cs="Times New Roman"/>
          <w:szCs w:val="24"/>
        </w:rPr>
      </w:pPr>
      <w:r w:rsidRPr="00454337">
        <w:rPr>
          <w:rFonts w:cs="Times New Roman"/>
          <w:szCs w:val="24"/>
        </w:rPr>
        <w:t xml:space="preserve">Przykładami działań podejmowanych przez Polskę w tym kontekście w 2020 </w:t>
      </w:r>
      <w:r w:rsidR="00A600D3">
        <w:rPr>
          <w:rFonts w:cs="Times New Roman"/>
          <w:szCs w:val="24"/>
        </w:rPr>
        <w:t>r.</w:t>
      </w:r>
      <w:r w:rsidRPr="00454337">
        <w:rPr>
          <w:rFonts w:cs="Times New Roman"/>
          <w:szCs w:val="24"/>
        </w:rPr>
        <w:t xml:space="preserve"> jest udział przedstawicieli Polski w pracach Otwartej Grupy Rob</w:t>
      </w:r>
      <w:r w:rsidR="00CB43BC">
        <w:rPr>
          <w:rFonts w:cs="Times New Roman"/>
          <w:szCs w:val="24"/>
        </w:rPr>
        <w:t>oczej Narodów Zjednoczonych ds. </w:t>
      </w:r>
      <w:r w:rsidRPr="00454337">
        <w:rPr>
          <w:rFonts w:cs="Times New Roman"/>
          <w:szCs w:val="24"/>
        </w:rPr>
        <w:t xml:space="preserve">starzenia się społeczeństwa w celu wzmocnienia ochrony </w:t>
      </w:r>
      <w:r w:rsidR="00CB43BC">
        <w:rPr>
          <w:rFonts w:cs="Times New Roman"/>
          <w:szCs w:val="24"/>
        </w:rPr>
        <w:t>praw człowieka w odniesieniu do </w:t>
      </w:r>
      <w:r w:rsidRPr="00454337">
        <w:rPr>
          <w:rFonts w:cs="Times New Roman"/>
          <w:szCs w:val="24"/>
        </w:rPr>
        <w:t>osób starszych (Open-</w:t>
      </w:r>
      <w:proofErr w:type="spellStart"/>
      <w:r w:rsidRPr="00454337">
        <w:rPr>
          <w:rFonts w:cs="Times New Roman"/>
          <w:szCs w:val="24"/>
        </w:rPr>
        <w:t>ended</w:t>
      </w:r>
      <w:proofErr w:type="spellEnd"/>
      <w:r w:rsidRPr="00454337">
        <w:rPr>
          <w:rFonts w:cs="Times New Roman"/>
          <w:szCs w:val="24"/>
        </w:rPr>
        <w:t xml:space="preserve"> </w:t>
      </w:r>
      <w:proofErr w:type="spellStart"/>
      <w:r w:rsidRPr="00454337">
        <w:rPr>
          <w:rFonts w:cs="Times New Roman"/>
          <w:szCs w:val="24"/>
        </w:rPr>
        <w:t>Working</w:t>
      </w:r>
      <w:proofErr w:type="spellEnd"/>
      <w:r w:rsidRPr="00454337">
        <w:rPr>
          <w:rFonts w:cs="Times New Roman"/>
          <w:szCs w:val="24"/>
        </w:rPr>
        <w:t xml:space="preserve"> </w:t>
      </w:r>
      <w:proofErr w:type="spellStart"/>
      <w:r w:rsidRPr="00454337">
        <w:rPr>
          <w:rFonts w:cs="Times New Roman"/>
          <w:szCs w:val="24"/>
        </w:rPr>
        <w:t>group</w:t>
      </w:r>
      <w:proofErr w:type="spellEnd"/>
      <w:r w:rsidRPr="00454337">
        <w:rPr>
          <w:rFonts w:cs="Times New Roman"/>
          <w:szCs w:val="24"/>
        </w:rPr>
        <w:t xml:space="preserve"> on </w:t>
      </w:r>
      <w:proofErr w:type="spellStart"/>
      <w:r w:rsidRPr="00454337">
        <w:rPr>
          <w:rFonts w:cs="Times New Roman"/>
          <w:szCs w:val="24"/>
        </w:rPr>
        <w:t>Ageing</w:t>
      </w:r>
      <w:proofErr w:type="spellEnd"/>
      <w:r w:rsidRPr="00454337">
        <w:rPr>
          <w:rFonts w:cs="Times New Roman"/>
          <w:szCs w:val="24"/>
        </w:rPr>
        <w:t xml:space="preserve"> for the </w:t>
      </w:r>
      <w:proofErr w:type="spellStart"/>
      <w:r w:rsidRPr="00454337">
        <w:rPr>
          <w:rFonts w:cs="Times New Roman"/>
          <w:szCs w:val="24"/>
        </w:rPr>
        <w:t>purpose</w:t>
      </w:r>
      <w:proofErr w:type="spellEnd"/>
      <w:r w:rsidRPr="00454337">
        <w:rPr>
          <w:rFonts w:cs="Times New Roman"/>
          <w:szCs w:val="24"/>
        </w:rPr>
        <w:t xml:space="preserve"> of </w:t>
      </w:r>
      <w:proofErr w:type="spellStart"/>
      <w:r w:rsidRPr="00454337">
        <w:rPr>
          <w:rFonts w:cs="Times New Roman"/>
          <w:szCs w:val="24"/>
        </w:rPr>
        <w:t>strengthening</w:t>
      </w:r>
      <w:proofErr w:type="spellEnd"/>
      <w:r w:rsidRPr="00454337">
        <w:rPr>
          <w:rFonts w:cs="Times New Roman"/>
          <w:szCs w:val="24"/>
        </w:rPr>
        <w:t xml:space="preserve"> the </w:t>
      </w:r>
      <w:proofErr w:type="spellStart"/>
      <w:r w:rsidRPr="00454337">
        <w:rPr>
          <w:rFonts w:cs="Times New Roman"/>
          <w:szCs w:val="24"/>
        </w:rPr>
        <w:t>protection</w:t>
      </w:r>
      <w:proofErr w:type="spellEnd"/>
      <w:r w:rsidRPr="00454337">
        <w:rPr>
          <w:rFonts w:cs="Times New Roman"/>
          <w:szCs w:val="24"/>
        </w:rPr>
        <w:t xml:space="preserve"> of the </w:t>
      </w:r>
      <w:proofErr w:type="spellStart"/>
      <w:r w:rsidRPr="00454337">
        <w:rPr>
          <w:rFonts w:cs="Times New Roman"/>
          <w:szCs w:val="24"/>
        </w:rPr>
        <w:t>human</w:t>
      </w:r>
      <w:proofErr w:type="spellEnd"/>
      <w:r w:rsidRPr="00454337">
        <w:rPr>
          <w:rFonts w:cs="Times New Roman"/>
          <w:szCs w:val="24"/>
        </w:rPr>
        <w:t xml:space="preserve"> </w:t>
      </w:r>
      <w:proofErr w:type="spellStart"/>
      <w:r w:rsidRPr="00454337">
        <w:rPr>
          <w:rFonts w:cs="Times New Roman"/>
          <w:szCs w:val="24"/>
        </w:rPr>
        <w:t>rights</w:t>
      </w:r>
      <w:proofErr w:type="spellEnd"/>
      <w:r w:rsidRPr="00454337">
        <w:rPr>
          <w:rFonts w:cs="Times New Roman"/>
          <w:szCs w:val="24"/>
        </w:rPr>
        <w:t xml:space="preserve"> of </w:t>
      </w:r>
      <w:proofErr w:type="spellStart"/>
      <w:r w:rsidRPr="00454337">
        <w:rPr>
          <w:rFonts w:cs="Times New Roman"/>
          <w:szCs w:val="24"/>
        </w:rPr>
        <w:t>older</w:t>
      </w:r>
      <w:proofErr w:type="spellEnd"/>
      <w:r w:rsidRPr="00454337">
        <w:rPr>
          <w:rFonts w:cs="Times New Roman"/>
          <w:szCs w:val="24"/>
        </w:rPr>
        <w:t xml:space="preserve"> </w:t>
      </w:r>
      <w:proofErr w:type="spellStart"/>
      <w:r w:rsidRPr="00454337">
        <w:rPr>
          <w:rFonts w:cs="Times New Roman"/>
          <w:szCs w:val="24"/>
        </w:rPr>
        <w:t>persons</w:t>
      </w:r>
      <w:proofErr w:type="spellEnd"/>
      <w:r w:rsidRPr="00454337">
        <w:rPr>
          <w:rFonts w:cs="Times New Roman"/>
          <w:szCs w:val="24"/>
        </w:rPr>
        <w:t xml:space="preserve">), współpraca z Biurem Wysokiego Komisarza NZ ds. Praw Człowieka (OHCHR) w sprawie opracowania analitycznego, które zostanie przedstawione na 47. sesji Rady Praw Człowieka w 2021 r. dot. promowania i ochrony praw osób starszych w kontekście zmian klimatycznych (w nawiązaniu do rezolucji 44/7 Human </w:t>
      </w:r>
      <w:proofErr w:type="spellStart"/>
      <w:r w:rsidRPr="00454337">
        <w:rPr>
          <w:rFonts w:cs="Times New Roman"/>
          <w:szCs w:val="24"/>
        </w:rPr>
        <w:t>Rights</w:t>
      </w:r>
      <w:proofErr w:type="spellEnd"/>
      <w:r w:rsidRPr="00454337">
        <w:rPr>
          <w:rFonts w:cs="Times New Roman"/>
          <w:szCs w:val="24"/>
        </w:rPr>
        <w:t xml:space="preserve"> and </w:t>
      </w:r>
      <w:proofErr w:type="spellStart"/>
      <w:r w:rsidRPr="00454337">
        <w:rPr>
          <w:rFonts w:cs="Times New Roman"/>
          <w:szCs w:val="24"/>
        </w:rPr>
        <w:t>Climate</w:t>
      </w:r>
      <w:proofErr w:type="spellEnd"/>
      <w:r w:rsidRPr="00454337">
        <w:rPr>
          <w:rFonts w:cs="Times New Roman"/>
          <w:szCs w:val="24"/>
        </w:rPr>
        <w:t xml:space="preserve"> </w:t>
      </w:r>
      <w:proofErr w:type="spellStart"/>
      <w:r w:rsidRPr="00454337">
        <w:rPr>
          <w:rFonts w:cs="Times New Roman"/>
          <w:szCs w:val="24"/>
        </w:rPr>
        <w:t>Change</w:t>
      </w:r>
      <w:proofErr w:type="spellEnd"/>
      <w:r w:rsidRPr="00454337">
        <w:rPr>
          <w:rFonts w:cs="Times New Roman"/>
          <w:szCs w:val="24"/>
        </w:rPr>
        <w:t xml:space="preserve">), udział Polski w pracach Rady Praw Człowieka na rzecz przyjęcia Rezolucji „Human </w:t>
      </w:r>
      <w:proofErr w:type="spellStart"/>
      <w:r w:rsidRPr="00454337">
        <w:rPr>
          <w:rFonts w:cs="Times New Roman"/>
          <w:szCs w:val="24"/>
        </w:rPr>
        <w:t>Rights</w:t>
      </w:r>
      <w:proofErr w:type="spellEnd"/>
      <w:r w:rsidRPr="00454337">
        <w:rPr>
          <w:rFonts w:cs="Times New Roman"/>
          <w:szCs w:val="24"/>
        </w:rPr>
        <w:t xml:space="preserve"> of </w:t>
      </w:r>
      <w:proofErr w:type="spellStart"/>
      <w:r w:rsidRPr="00454337">
        <w:rPr>
          <w:rFonts w:cs="Times New Roman"/>
          <w:szCs w:val="24"/>
        </w:rPr>
        <w:t>older</w:t>
      </w:r>
      <w:proofErr w:type="spellEnd"/>
      <w:r w:rsidRPr="00454337">
        <w:rPr>
          <w:rFonts w:cs="Times New Roman"/>
          <w:szCs w:val="24"/>
        </w:rPr>
        <w:t xml:space="preserve"> </w:t>
      </w:r>
      <w:proofErr w:type="spellStart"/>
      <w:r w:rsidRPr="00454337">
        <w:rPr>
          <w:rFonts w:cs="Times New Roman"/>
          <w:szCs w:val="24"/>
        </w:rPr>
        <w:t>persons</w:t>
      </w:r>
      <w:proofErr w:type="spellEnd"/>
      <w:r w:rsidRPr="00454337">
        <w:rPr>
          <w:rFonts w:cs="Times New Roman"/>
          <w:szCs w:val="24"/>
        </w:rPr>
        <w:t>” (Res 33/5), wygłoszenie przez delegata wystąpienia w imieniu Polski podczas Dialogu Interaktywnego z Niezależnym Ekspertem NZ ds. praw osób starszych podczas 45. Sesji Rady Praw Człowieka NZ oraz udzi</w:t>
      </w:r>
      <w:r w:rsidR="00CB43BC">
        <w:rPr>
          <w:rFonts w:cs="Times New Roman"/>
          <w:szCs w:val="24"/>
        </w:rPr>
        <w:t>ał w ciągle trwającej debacie o </w:t>
      </w:r>
      <w:r w:rsidRPr="00454337">
        <w:rPr>
          <w:rFonts w:cs="Times New Roman"/>
          <w:szCs w:val="24"/>
        </w:rPr>
        <w:t xml:space="preserve">potrzebie przyjęcia nowej Konwencji ONZ o prawach osób starszych. </w:t>
      </w:r>
    </w:p>
    <w:p w14:paraId="3F54327A" w14:textId="77777777" w:rsidR="00F0608C" w:rsidRDefault="00F0608C" w:rsidP="00454337">
      <w:pPr>
        <w:autoSpaceDE w:val="0"/>
        <w:autoSpaceDN w:val="0"/>
        <w:adjustRightInd w:val="0"/>
        <w:rPr>
          <w:rFonts w:cs="Times New Roman"/>
          <w:szCs w:val="24"/>
        </w:rPr>
      </w:pPr>
    </w:p>
    <w:p w14:paraId="0C0D73E2" w14:textId="3FC9E49D" w:rsidR="00454337" w:rsidRDefault="00454337" w:rsidP="00454337">
      <w:pPr>
        <w:autoSpaceDE w:val="0"/>
        <w:autoSpaceDN w:val="0"/>
        <w:adjustRightInd w:val="0"/>
        <w:rPr>
          <w:rFonts w:cs="Times New Roman"/>
          <w:szCs w:val="24"/>
        </w:rPr>
      </w:pPr>
      <w:r w:rsidRPr="00454337">
        <w:rPr>
          <w:rFonts w:cs="Times New Roman"/>
          <w:szCs w:val="24"/>
        </w:rPr>
        <w:t xml:space="preserve">Należy odnotować także, że Polska kontrybuuje w ramach mechanizmu sprawozdawczości Zgromadzenia Ogólnego ONZ w formie przedkładania informacji do opracowania raportów </w:t>
      </w:r>
      <w:r w:rsidRPr="00454337">
        <w:rPr>
          <w:rFonts w:cs="Times New Roman"/>
          <w:szCs w:val="24"/>
        </w:rPr>
        <w:lastRenderedPageBreak/>
        <w:t>Sekretarza Generalnego ONZ. Na wiosnę br. Polska przedstawiła informację za 2020 r., m. in. z realizacji dedykowanego seniorom programu pn. Dostępność Plus (2018-2025) oraz programu pn. Polityka społeczna wobec osób starszych 2030. Bezpieczeństwo – Uczestnictwo – Solidarność. Kolejnym ważnym aspektem pracy Ministerstwa Spraw Zagranicznych na rzecz praw osób starszych jest również koordynacja wystąpień przedstawicieli Polski na różnego typu wydarzeniach i konferencjach im poświęconych.</w:t>
      </w:r>
    </w:p>
    <w:p w14:paraId="7B236A8F" w14:textId="77777777" w:rsidR="008A62B1" w:rsidRPr="00454337" w:rsidRDefault="008A62B1" w:rsidP="00FE70E3">
      <w:pPr>
        <w:pStyle w:val="Nagwek2"/>
        <w:numPr>
          <w:ilvl w:val="1"/>
          <w:numId w:val="23"/>
        </w:numPr>
        <w:spacing w:before="240" w:after="240"/>
        <w:ind w:left="0" w:hanging="142"/>
        <w:rPr>
          <w:rFonts w:cs="Times New Roman"/>
          <w:sz w:val="40"/>
          <w:lang w:eastAsia="ar-SA"/>
        </w:rPr>
      </w:pPr>
      <w:bookmarkStart w:id="94" w:name="_Toc80523082"/>
      <w:r w:rsidRPr="00454337">
        <w:rPr>
          <w:rFonts w:cs="Times New Roman"/>
          <w:sz w:val="40"/>
          <w:lang w:eastAsia="ar-SA"/>
        </w:rPr>
        <w:t xml:space="preserve">Ministerstwo </w:t>
      </w:r>
      <w:r>
        <w:rPr>
          <w:rFonts w:cs="Times New Roman"/>
          <w:sz w:val="40"/>
          <w:lang w:eastAsia="ar-SA"/>
        </w:rPr>
        <w:t>Sprawiedliwości</w:t>
      </w:r>
      <w:bookmarkEnd w:id="94"/>
    </w:p>
    <w:p w14:paraId="64D5B14E" w14:textId="77777777" w:rsidR="009F3331" w:rsidRDefault="008A62B1" w:rsidP="008A62B1">
      <w:pPr>
        <w:autoSpaceDE w:val="0"/>
        <w:autoSpaceDN w:val="0"/>
        <w:adjustRightInd w:val="0"/>
        <w:rPr>
          <w:rFonts w:cs="Times New Roman"/>
          <w:szCs w:val="24"/>
        </w:rPr>
      </w:pPr>
      <w:r>
        <w:rPr>
          <w:rFonts w:cs="Times New Roman"/>
          <w:szCs w:val="24"/>
        </w:rPr>
        <w:t xml:space="preserve">W II kwartale 2020 roku Ministerstwo Sprawiedliwości </w:t>
      </w:r>
      <w:r w:rsidRPr="008A62B1">
        <w:rPr>
          <w:rFonts w:cs="Times New Roman"/>
          <w:szCs w:val="24"/>
        </w:rPr>
        <w:t>wystąpiło do sądów apelacyjnych z prośbą o udzielenie informacji o liczbie zarejestrowanych w latach 2017-2020 spraw cywilnych związanych ze sporami powstałymi na tle umów o przekazanie nieruchomości funduszom hipotecznym w zamian za dożywotnie świadczenie pieniężne, ich przedmiocie oraz przedstawienie ewentualnych propozycji legislacyjnych mogących skutkować usunięciem dostrzeżonych przez orzeczników nieprawidłowości, skutkujących niedostateczną ochroną</w:t>
      </w:r>
      <w:r>
        <w:rPr>
          <w:rFonts w:cs="Times New Roman"/>
          <w:szCs w:val="24"/>
        </w:rPr>
        <w:t xml:space="preserve">. </w:t>
      </w:r>
    </w:p>
    <w:p w14:paraId="087E2F7E" w14:textId="77777777" w:rsidR="009F3331" w:rsidRDefault="009F3331" w:rsidP="008A62B1">
      <w:pPr>
        <w:autoSpaceDE w:val="0"/>
        <w:autoSpaceDN w:val="0"/>
        <w:adjustRightInd w:val="0"/>
        <w:rPr>
          <w:rFonts w:cs="Times New Roman"/>
          <w:szCs w:val="24"/>
        </w:rPr>
      </w:pPr>
    </w:p>
    <w:p w14:paraId="111E4353" w14:textId="77777777" w:rsidR="009F3331" w:rsidRDefault="008A62B1" w:rsidP="008A62B1">
      <w:pPr>
        <w:autoSpaceDE w:val="0"/>
        <w:autoSpaceDN w:val="0"/>
        <w:adjustRightInd w:val="0"/>
      </w:pPr>
      <w:r>
        <w:rPr>
          <w:rFonts w:cs="Times New Roman"/>
          <w:szCs w:val="24"/>
        </w:rPr>
        <w:t>Przedmiotową sprawę podjęto również w kontaktach z Prokuratura Krajową, Ministerstwem Rozwoju, Ministerstwem Finansów, Urzędem Ochrony Konkurencji i Konsumentów, Komisja Nadzoru Finansowego oraz Polską Izbą Ubezpieczeń.</w:t>
      </w:r>
      <w:r w:rsidRPr="008A62B1">
        <w:t xml:space="preserve"> </w:t>
      </w:r>
    </w:p>
    <w:p w14:paraId="6A9AFF27" w14:textId="77777777" w:rsidR="009F3331" w:rsidRDefault="009F3331" w:rsidP="008A62B1">
      <w:pPr>
        <w:autoSpaceDE w:val="0"/>
        <w:autoSpaceDN w:val="0"/>
        <w:adjustRightInd w:val="0"/>
      </w:pPr>
    </w:p>
    <w:p w14:paraId="18BBD867" w14:textId="0FC3EE55" w:rsidR="008A62B1" w:rsidRDefault="008A62B1" w:rsidP="008A62B1">
      <w:pPr>
        <w:autoSpaceDE w:val="0"/>
        <w:autoSpaceDN w:val="0"/>
        <w:adjustRightInd w:val="0"/>
        <w:rPr>
          <w:rFonts w:cs="Times New Roman"/>
          <w:szCs w:val="24"/>
        </w:rPr>
      </w:pPr>
      <w:r>
        <w:rPr>
          <w:rFonts w:cs="Times New Roman"/>
          <w:szCs w:val="24"/>
        </w:rPr>
        <w:t>Następnie w</w:t>
      </w:r>
      <w:r w:rsidRPr="008A62B1">
        <w:rPr>
          <w:rFonts w:cs="Times New Roman"/>
          <w:szCs w:val="24"/>
        </w:rPr>
        <w:t xml:space="preserve"> dniu 8 czerwca 2020</w:t>
      </w:r>
      <w:r w:rsidR="00A600D3">
        <w:rPr>
          <w:rFonts w:cs="Times New Roman"/>
          <w:szCs w:val="24"/>
        </w:rPr>
        <w:t xml:space="preserve"> </w:t>
      </w:r>
      <w:r w:rsidRPr="008A62B1">
        <w:rPr>
          <w:rFonts w:cs="Times New Roman"/>
          <w:szCs w:val="24"/>
        </w:rPr>
        <w:t>r. Minister Sprawiedliwości wystąpił o zgodę na wszczęcie prac legislacyjnych w ramach umowy dożywocia, przedstawiając wstępny projekt ustawy o zmianie ustawy - Kodeks cywilny oraz niektórych innych ustaw. Projekt uwzględniający zmiany w zakresie umowy dożywocia przewidywany jest do wpisu do wykazu prac legislacyjnych Rady Ministrów w III kwartale 2021</w:t>
      </w:r>
      <w:r>
        <w:rPr>
          <w:rFonts w:cs="Times New Roman"/>
          <w:szCs w:val="24"/>
        </w:rPr>
        <w:t xml:space="preserve"> </w:t>
      </w:r>
      <w:r w:rsidRPr="008A62B1">
        <w:rPr>
          <w:rFonts w:cs="Times New Roman"/>
          <w:szCs w:val="24"/>
        </w:rPr>
        <w:t>r.</w:t>
      </w:r>
    </w:p>
    <w:p w14:paraId="7969A2FC" w14:textId="77777777" w:rsidR="00403838" w:rsidRDefault="00403838" w:rsidP="008A62B1">
      <w:pPr>
        <w:autoSpaceDE w:val="0"/>
        <w:autoSpaceDN w:val="0"/>
        <w:adjustRightInd w:val="0"/>
        <w:rPr>
          <w:rFonts w:cs="Times New Roman"/>
          <w:szCs w:val="24"/>
        </w:rPr>
      </w:pPr>
    </w:p>
    <w:p w14:paraId="1FD828AF" w14:textId="77777777" w:rsidR="009F3331" w:rsidRDefault="00403838" w:rsidP="008A62B1">
      <w:pPr>
        <w:autoSpaceDE w:val="0"/>
        <w:autoSpaceDN w:val="0"/>
        <w:adjustRightInd w:val="0"/>
        <w:rPr>
          <w:rFonts w:cs="Times New Roman"/>
          <w:szCs w:val="24"/>
        </w:rPr>
      </w:pPr>
      <w:r w:rsidRPr="00403838">
        <w:rPr>
          <w:rFonts w:cs="Times New Roman"/>
          <w:szCs w:val="24"/>
        </w:rPr>
        <w:t xml:space="preserve">W </w:t>
      </w:r>
      <w:r w:rsidR="00A5053D">
        <w:rPr>
          <w:rFonts w:cs="Times New Roman"/>
          <w:szCs w:val="24"/>
        </w:rPr>
        <w:t>2020 r.</w:t>
      </w:r>
      <w:r w:rsidRPr="00403838">
        <w:rPr>
          <w:rFonts w:cs="Times New Roman"/>
          <w:szCs w:val="24"/>
        </w:rPr>
        <w:t xml:space="preserve"> środki pochodzące z Funduszu Sprawiedliwości zapewniły pomoc osobom pokrzywdzonym przestępstwem, świadkom i osobom im najbliższym, która udzielana była przez podmioty niezaliczane do sektora finansów publicznych, w tym fundacje, stowarzyszenia i organizacje, działające w ramach ogólnopolskiej Sieci Pomocy Pokrzywdzonym. </w:t>
      </w:r>
    </w:p>
    <w:p w14:paraId="72024FEC" w14:textId="77777777" w:rsidR="009F3331" w:rsidRDefault="009F3331" w:rsidP="008A62B1">
      <w:pPr>
        <w:autoSpaceDE w:val="0"/>
        <w:autoSpaceDN w:val="0"/>
        <w:adjustRightInd w:val="0"/>
        <w:rPr>
          <w:rFonts w:cs="Times New Roman"/>
          <w:szCs w:val="24"/>
        </w:rPr>
      </w:pPr>
    </w:p>
    <w:p w14:paraId="093F32FB" w14:textId="77777777" w:rsidR="009F3331" w:rsidRDefault="00403838" w:rsidP="008A62B1">
      <w:pPr>
        <w:autoSpaceDE w:val="0"/>
        <w:autoSpaceDN w:val="0"/>
        <w:adjustRightInd w:val="0"/>
        <w:rPr>
          <w:rFonts w:cs="Times New Roman"/>
          <w:szCs w:val="24"/>
        </w:rPr>
      </w:pPr>
      <w:r w:rsidRPr="00403838">
        <w:rPr>
          <w:rFonts w:cs="Times New Roman"/>
          <w:szCs w:val="24"/>
        </w:rPr>
        <w:t>W 2020 r</w:t>
      </w:r>
      <w:r w:rsidR="00A600D3">
        <w:rPr>
          <w:rFonts w:cs="Times New Roman"/>
          <w:szCs w:val="24"/>
        </w:rPr>
        <w:t>.</w:t>
      </w:r>
      <w:r w:rsidRPr="00403838">
        <w:rPr>
          <w:rFonts w:cs="Times New Roman"/>
          <w:szCs w:val="24"/>
        </w:rPr>
        <w:t xml:space="preserve"> pomoc osobom pokrzywdzonym przestępstwem była świadczona w 365 miejscach świadczenia pomocy, prowadzonych przez organizacje wyłonione w ramach otwartych konkursów ofert na powierzenie realizacji zadań ze środków Funduszu Sprawiedliwości. Ze sprawozdań przedstawionych za 2020</w:t>
      </w:r>
      <w:r w:rsidR="00A600D3">
        <w:rPr>
          <w:rFonts w:cs="Times New Roman"/>
          <w:szCs w:val="24"/>
        </w:rPr>
        <w:t xml:space="preserve"> r.</w:t>
      </w:r>
      <w:r w:rsidRPr="00403838">
        <w:rPr>
          <w:rFonts w:cs="Times New Roman"/>
          <w:szCs w:val="24"/>
        </w:rPr>
        <w:t xml:space="preserve">, wynika, że wśród osób, które skorzystały z pomocy świadczonej w ramach Funduszu Sprawiedliwości, znalazły się również osoby starsze. </w:t>
      </w:r>
    </w:p>
    <w:p w14:paraId="6B3551B7" w14:textId="77777777" w:rsidR="009F3331" w:rsidRDefault="009F3331" w:rsidP="008A62B1">
      <w:pPr>
        <w:autoSpaceDE w:val="0"/>
        <w:autoSpaceDN w:val="0"/>
        <w:adjustRightInd w:val="0"/>
        <w:rPr>
          <w:rFonts w:cs="Times New Roman"/>
          <w:szCs w:val="24"/>
        </w:rPr>
      </w:pPr>
    </w:p>
    <w:p w14:paraId="649E86E5" w14:textId="3557250E" w:rsidR="00403838" w:rsidRDefault="00403838" w:rsidP="008A62B1">
      <w:pPr>
        <w:autoSpaceDE w:val="0"/>
        <w:autoSpaceDN w:val="0"/>
        <w:adjustRightInd w:val="0"/>
      </w:pPr>
      <w:r w:rsidRPr="00403838">
        <w:rPr>
          <w:rFonts w:cs="Times New Roman"/>
          <w:szCs w:val="24"/>
        </w:rPr>
        <w:t>Ponadto w 2020 r</w:t>
      </w:r>
      <w:r w:rsidR="00A600D3">
        <w:rPr>
          <w:rFonts w:cs="Times New Roman"/>
          <w:szCs w:val="24"/>
        </w:rPr>
        <w:t>.</w:t>
      </w:r>
      <w:r w:rsidRPr="00403838">
        <w:rPr>
          <w:rFonts w:cs="Times New Roman"/>
          <w:szCs w:val="24"/>
        </w:rPr>
        <w:t xml:space="preserve"> przeprowadzono również działania informacyjno-edukacyjne, których celem było rozpowszechnianie wiedzy o istnieniu i zadaniach Funduszu Sprawiedliwości wśród potencjalnych beneficjentów, zwiększenie jego rozpoznawalności oraz informowanie o sposobach ochrony przed przestępstwami i ich skutkami. Zrealizowane działania miały zasięg </w:t>
      </w:r>
      <w:r w:rsidRPr="00403838">
        <w:rPr>
          <w:rFonts w:cs="Times New Roman"/>
          <w:szCs w:val="24"/>
        </w:rPr>
        <w:lastRenderedPageBreak/>
        <w:t>ogólnopolski i regionalny, a dobór mediów miał na celu dotarcie do jak największej liczby potencjalnych beneficjentów, w każdym przedziale wiekowym.</w:t>
      </w:r>
      <w:r w:rsidRPr="00403838">
        <w:t xml:space="preserve"> </w:t>
      </w:r>
    </w:p>
    <w:p w14:paraId="602115D5" w14:textId="77777777" w:rsidR="00AC0C90" w:rsidRDefault="00AC0C90" w:rsidP="008A62B1">
      <w:pPr>
        <w:autoSpaceDE w:val="0"/>
        <w:autoSpaceDN w:val="0"/>
        <w:adjustRightInd w:val="0"/>
      </w:pPr>
    </w:p>
    <w:p w14:paraId="30A9E804" w14:textId="77777777" w:rsidR="00403838" w:rsidRDefault="00403838" w:rsidP="00403838">
      <w:pPr>
        <w:autoSpaceDE w:val="0"/>
        <w:autoSpaceDN w:val="0"/>
        <w:adjustRightInd w:val="0"/>
      </w:pPr>
      <w:r w:rsidRPr="00403838">
        <w:rPr>
          <w:rFonts w:cs="Times New Roman"/>
          <w:szCs w:val="24"/>
        </w:rPr>
        <w:t xml:space="preserve">Zgodnie z danymi </w:t>
      </w:r>
      <w:r>
        <w:rPr>
          <w:rFonts w:cs="Times New Roman"/>
          <w:szCs w:val="24"/>
        </w:rPr>
        <w:t xml:space="preserve">Centralnego Zarządu Służby Więziennej, </w:t>
      </w:r>
      <w:r w:rsidRPr="00403838">
        <w:rPr>
          <w:rFonts w:cs="Times New Roman"/>
          <w:szCs w:val="24"/>
        </w:rPr>
        <w:t>zawartymi w rocznych informacjach statystycznych sporządzonych za lata 2015-2020</w:t>
      </w:r>
      <w:r>
        <w:rPr>
          <w:rFonts w:cs="Times New Roman"/>
          <w:szCs w:val="24"/>
        </w:rPr>
        <w:t>,</w:t>
      </w:r>
      <w:r w:rsidRPr="00403838">
        <w:rPr>
          <w:rFonts w:cs="Times New Roman"/>
          <w:szCs w:val="24"/>
        </w:rPr>
        <w:t xml:space="preserve"> Służba Więzienna obserwuje stały wzrost populacji seniorów w izolacji penitencjarnej. Biorąc pod uwagę stan ewidencyjny osadzonych, który w dniu 31 grudnia 2020 r. wynosił 67 894 osoby, jak również liczbę osób pozbawionych wolności powyżej 61 roku życia, która występowała na poziomie 3 167 osób, udział procentowy populacji seniorów w korelacji z ogólną populacją osadzonych wynosi 4,7%. Ww. dane statystyczne wskazują, że w okresie od dnia 31 grudnia 2015 r. do dnia 31 grudnia 2020 r. populacja osób starszych zwiększyła się z 3,1% w 2015 r. do 4,7% w 2020 r.</w:t>
      </w:r>
      <w:r w:rsidRPr="00403838">
        <w:t xml:space="preserve"> </w:t>
      </w:r>
    </w:p>
    <w:p w14:paraId="0136BFB8" w14:textId="77777777" w:rsidR="00403838" w:rsidRDefault="00403838" w:rsidP="00403838">
      <w:pPr>
        <w:autoSpaceDE w:val="0"/>
        <w:autoSpaceDN w:val="0"/>
        <w:adjustRightInd w:val="0"/>
      </w:pPr>
    </w:p>
    <w:p w14:paraId="7176499F" w14:textId="63488EAD" w:rsidR="00AC0C90" w:rsidRDefault="00403838" w:rsidP="00403838">
      <w:pPr>
        <w:autoSpaceDE w:val="0"/>
        <w:autoSpaceDN w:val="0"/>
        <w:adjustRightInd w:val="0"/>
        <w:rPr>
          <w:rFonts w:cs="Times New Roman"/>
          <w:szCs w:val="24"/>
        </w:rPr>
      </w:pPr>
      <w:r w:rsidRPr="00403838">
        <w:rPr>
          <w:rFonts w:cs="Times New Roman"/>
          <w:szCs w:val="24"/>
        </w:rPr>
        <w:t>Działania na rzecz emerytów i rencistów Służby Więziennej podejmowane w 2020 r</w:t>
      </w:r>
      <w:r w:rsidR="00A600D3">
        <w:rPr>
          <w:rFonts w:cs="Times New Roman"/>
          <w:szCs w:val="24"/>
        </w:rPr>
        <w:t>.</w:t>
      </w:r>
      <w:r w:rsidRPr="00403838">
        <w:rPr>
          <w:rFonts w:cs="Times New Roman"/>
          <w:szCs w:val="24"/>
        </w:rPr>
        <w:t>, z uwagi na trwającą pandemię, opierały się głównie na działalności socjalnej, w tym przede wszystkim na udzielaniu wsparcia finansowego emerytom i rencistom Służby Więziennej.</w:t>
      </w:r>
      <w:r w:rsidR="00AC0C90">
        <w:rPr>
          <w:rFonts w:cs="Times New Roman"/>
          <w:szCs w:val="24"/>
        </w:rPr>
        <w:t xml:space="preserve"> </w:t>
      </w:r>
    </w:p>
    <w:p w14:paraId="4F864F07" w14:textId="77777777" w:rsidR="00AC0C90" w:rsidRDefault="00AC0C90" w:rsidP="00403838">
      <w:pPr>
        <w:autoSpaceDE w:val="0"/>
        <w:autoSpaceDN w:val="0"/>
        <w:adjustRightInd w:val="0"/>
        <w:rPr>
          <w:rFonts w:cs="Times New Roman"/>
          <w:szCs w:val="24"/>
        </w:rPr>
      </w:pPr>
    </w:p>
    <w:p w14:paraId="3273D396" w14:textId="77777777" w:rsidR="009F3331" w:rsidRDefault="00403838" w:rsidP="00403838">
      <w:pPr>
        <w:autoSpaceDE w:val="0"/>
        <w:autoSpaceDN w:val="0"/>
        <w:adjustRightInd w:val="0"/>
        <w:rPr>
          <w:rFonts w:cs="Times New Roman"/>
          <w:szCs w:val="24"/>
        </w:rPr>
      </w:pPr>
      <w:r w:rsidRPr="00403838">
        <w:rPr>
          <w:rFonts w:cs="Times New Roman"/>
          <w:szCs w:val="24"/>
        </w:rPr>
        <w:t xml:space="preserve">Służba Więzienna, jako jedna z niewielu służb mundurowych prowadzi szeroko zakrojoną działalność socjalną świadczoną dla emerytów i rencistów. Jednym z głównych narzędzi tej działalności jest fundusz socjalny emerytów i rencistów Służby Więziennej, który został ustanowiony mocą rozporządzenia Ministra Sprawiedliwości z dnia 2 marca 1995 roku. </w:t>
      </w:r>
    </w:p>
    <w:p w14:paraId="6B9496FD" w14:textId="77777777" w:rsidR="009F3331" w:rsidRDefault="009F3331" w:rsidP="00403838">
      <w:pPr>
        <w:autoSpaceDE w:val="0"/>
        <w:autoSpaceDN w:val="0"/>
        <w:adjustRightInd w:val="0"/>
        <w:rPr>
          <w:rFonts w:cs="Times New Roman"/>
          <w:szCs w:val="24"/>
        </w:rPr>
      </w:pPr>
    </w:p>
    <w:p w14:paraId="5043614F" w14:textId="5B6FD03D" w:rsidR="00403838" w:rsidRPr="00403838" w:rsidRDefault="00403838" w:rsidP="00403838">
      <w:pPr>
        <w:autoSpaceDE w:val="0"/>
        <w:autoSpaceDN w:val="0"/>
        <w:adjustRightInd w:val="0"/>
        <w:rPr>
          <w:rFonts w:cs="Times New Roman"/>
          <w:szCs w:val="24"/>
        </w:rPr>
      </w:pPr>
      <w:r w:rsidRPr="00403838">
        <w:rPr>
          <w:rFonts w:cs="Times New Roman"/>
          <w:szCs w:val="24"/>
        </w:rPr>
        <w:t>Ostatnia nowelizacja przepis</w:t>
      </w:r>
      <w:r w:rsidR="00A600D3">
        <w:rPr>
          <w:rFonts w:cs="Times New Roman"/>
          <w:szCs w:val="24"/>
        </w:rPr>
        <w:t>ów</w:t>
      </w:r>
      <w:r w:rsidRPr="00403838">
        <w:rPr>
          <w:rFonts w:cs="Times New Roman"/>
          <w:szCs w:val="24"/>
        </w:rPr>
        <w:t xml:space="preserve"> została wprowadzona rozporządzeniem Ministra Sprawiedliwo</w:t>
      </w:r>
      <w:r>
        <w:rPr>
          <w:rFonts w:cs="Times New Roman"/>
          <w:szCs w:val="24"/>
        </w:rPr>
        <w:t xml:space="preserve">ści z dnia 23 listopada 2018 r. </w:t>
      </w:r>
      <w:r w:rsidRPr="00403838">
        <w:rPr>
          <w:rFonts w:cs="Times New Roman"/>
          <w:szCs w:val="24"/>
        </w:rPr>
        <w:t xml:space="preserve">Ideą utworzenia funduszu socjalnego emerytów i rencistów Służby Więziennej była przede wszystkim chęć niesienia pomocy osobom potrzebującym oraz stworzenie warunków pozwalających na aktywizację oraz integrację środowiska emeryckiego. </w:t>
      </w:r>
      <w:r w:rsidR="00A600D3">
        <w:rPr>
          <w:rFonts w:cs="Times New Roman"/>
          <w:szCs w:val="24"/>
        </w:rPr>
        <w:t>Prze</w:t>
      </w:r>
      <w:r w:rsidRPr="00403838">
        <w:rPr>
          <w:rFonts w:cs="Times New Roman"/>
          <w:szCs w:val="24"/>
        </w:rPr>
        <w:t>pisy rozporządzenia szczegółowo określiły zasady korzystania ze środków finansowych, które zostały przeznaczone na udzielanie pomocy finansowej lub rzeczowej, dopłaty do: kosztów leczenia oraz zwrot części kosztów opieki paliatywno-hospicyjnej, kosztów zakwaterowania, wyżywienia i leczenia w sanatoriach lub uzdrowiskach, za pobyt w zakładach rehabilitacyjnych, kosztów wypoczynku indywidualnego i zbiorowego, kosztów zorganizowanego wypoczynku dzieci i młodzieży w formie obozów i kolonii oraz innych form działalności socjalnej, ponadto do korzystania z różnych form działalności rekreacyjnej i kulturalno-oświatowej. Środki finansowe tworzące fundusz, umożliwiły na znaczące uaktywnienie środowiska emerytów i rencistów, a proces integracji i upowszechnienia działań na rzecz zaangażowania seniorów Służby Więziennej, pozytywnie wpłynął na środowisko osób starszych.</w:t>
      </w:r>
    </w:p>
    <w:p w14:paraId="43F90388" w14:textId="77777777" w:rsidR="00403838" w:rsidRDefault="00403838" w:rsidP="00403838">
      <w:pPr>
        <w:autoSpaceDE w:val="0"/>
        <w:autoSpaceDN w:val="0"/>
        <w:adjustRightInd w:val="0"/>
        <w:rPr>
          <w:rFonts w:cs="Times New Roman"/>
          <w:szCs w:val="24"/>
        </w:rPr>
      </w:pPr>
    </w:p>
    <w:p w14:paraId="430942E3" w14:textId="77777777" w:rsidR="00454337" w:rsidRDefault="00403838" w:rsidP="00403838">
      <w:pPr>
        <w:autoSpaceDE w:val="0"/>
        <w:autoSpaceDN w:val="0"/>
        <w:adjustRightInd w:val="0"/>
        <w:rPr>
          <w:rFonts w:cs="Times New Roman"/>
          <w:szCs w:val="24"/>
        </w:rPr>
      </w:pPr>
      <w:r w:rsidRPr="00403838">
        <w:rPr>
          <w:rFonts w:cs="Times New Roman"/>
          <w:szCs w:val="24"/>
        </w:rPr>
        <w:t xml:space="preserve">Ponadto emeryci i renciści Służby Więziennej mogli ubiegać się o przyznanie pomocy finansowej z Funduszu Pomocowego Służby Więziennej. Beneficjentami Funduszu były osoby, które znalazły się w trudnej sytuacji życiowej, rodzinnej i materialnej, w związku: z leczeniem i rehabilitacją, z zakupem leków, specjalistycznych protez, sprzętu rehabilitacyjnego, ze szczególnie uzasadnionym przypadkiem, wynikającym z indywidualnych </w:t>
      </w:r>
      <w:r w:rsidRPr="00403838">
        <w:rPr>
          <w:rFonts w:cs="Times New Roman"/>
          <w:szCs w:val="24"/>
        </w:rPr>
        <w:lastRenderedPageBreak/>
        <w:t>zdarzeń losowych, a także z finansowaniem wypoczynku dla dzieci z rodzin posiadających niskie dochody.</w:t>
      </w:r>
    </w:p>
    <w:p w14:paraId="5557C712" w14:textId="77777777" w:rsidR="00E725A8" w:rsidRPr="00454337" w:rsidRDefault="00E725A8" w:rsidP="00FE70E3">
      <w:pPr>
        <w:pStyle w:val="Nagwek2"/>
        <w:numPr>
          <w:ilvl w:val="1"/>
          <w:numId w:val="23"/>
        </w:numPr>
        <w:spacing w:before="240" w:after="240"/>
        <w:ind w:left="0" w:hanging="142"/>
        <w:rPr>
          <w:rFonts w:cs="Times New Roman"/>
          <w:sz w:val="40"/>
          <w:lang w:eastAsia="ar-SA"/>
        </w:rPr>
      </w:pPr>
      <w:bookmarkStart w:id="95" w:name="_Toc80523083"/>
      <w:r>
        <w:rPr>
          <w:rFonts w:cs="Times New Roman"/>
          <w:sz w:val="40"/>
          <w:lang w:eastAsia="ar-SA"/>
        </w:rPr>
        <w:t>Ministerstwo Zdrowia</w:t>
      </w:r>
      <w:bookmarkEnd w:id="95"/>
    </w:p>
    <w:p w14:paraId="237CD7C1" w14:textId="77777777" w:rsidR="00E725A8" w:rsidRDefault="00E725A8" w:rsidP="00E725A8">
      <w:pPr>
        <w:autoSpaceDE w:val="0"/>
        <w:autoSpaceDN w:val="0"/>
        <w:adjustRightInd w:val="0"/>
        <w:rPr>
          <w:rFonts w:cs="Times New Roman"/>
          <w:szCs w:val="24"/>
        </w:rPr>
      </w:pPr>
      <w:r w:rsidRPr="00E725A8">
        <w:rPr>
          <w:rFonts w:cs="Times New Roman"/>
          <w:szCs w:val="24"/>
        </w:rPr>
        <w:t>Świadomość zachodzących zmian demograficznych i rosnącego udziału populacji osób 60+ w polskim społeczeństwie, a w związku z tym także ryzyka rosnącego obciążenia dla systemów opieki zdrowotnej i pomocy społecznej w kolejnych latach, sprawia, że szczególny nacisk kładziony jest na działania z zakresu profilaktyki oraz promocji zdrowia, wdrażane na wcześniejszych etapach życia. Zachodzące procesy demograficzne powodują konieczność zarówno:</w:t>
      </w:r>
    </w:p>
    <w:p w14:paraId="076DD544" w14:textId="77777777" w:rsidR="00E725A8" w:rsidRDefault="00E725A8" w:rsidP="00FE70E3">
      <w:pPr>
        <w:pStyle w:val="Akapitzlist"/>
        <w:numPr>
          <w:ilvl w:val="0"/>
          <w:numId w:val="32"/>
        </w:numPr>
        <w:autoSpaceDE w:val="0"/>
        <w:autoSpaceDN w:val="0"/>
        <w:adjustRightInd w:val="0"/>
        <w:rPr>
          <w:rFonts w:cs="Times New Roman"/>
          <w:szCs w:val="24"/>
        </w:rPr>
      </w:pPr>
      <w:r w:rsidRPr="00E725A8">
        <w:rPr>
          <w:rFonts w:cs="Times New Roman"/>
          <w:szCs w:val="24"/>
        </w:rPr>
        <w:t>odpowiedniego projektowania rozwiązań ukierunkowanych na potrzeby osób starszych,</w:t>
      </w:r>
    </w:p>
    <w:p w14:paraId="1B9B567D" w14:textId="77777777" w:rsidR="00E725A8" w:rsidRDefault="00E725A8" w:rsidP="00FE70E3">
      <w:pPr>
        <w:pStyle w:val="Akapitzlist"/>
        <w:numPr>
          <w:ilvl w:val="0"/>
          <w:numId w:val="32"/>
        </w:numPr>
        <w:autoSpaceDE w:val="0"/>
        <w:autoSpaceDN w:val="0"/>
        <w:adjustRightInd w:val="0"/>
        <w:rPr>
          <w:rFonts w:cs="Times New Roman"/>
          <w:szCs w:val="24"/>
        </w:rPr>
      </w:pPr>
      <w:r w:rsidRPr="00E725A8">
        <w:rPr>
          <w:rFonts w:cs="Times New Roman"/>
          <w:szCs w:val="24"/>
        </w:rPr>
        <w:t>wdrożenia odpowiednich działań profilaktycznych i działań z zakresu promocji zdrowia, aby kolejne roczniki wchodziły w wiek senioralny coraz zdrowsze oraz coraz bardziej świadome czynników determinujących ich stan zdrowia w przyszłości.</w:t>
      </w:r>
    </w:p>
    <w:p w14:paraId="3151C982" w14:textId="77777777" w:rsidR="00E725A8" w:rsidRPr="00E725A8" w:rsidRDefault="00E725A8" w:rsidP="00E725A8">
      <w:pPr>
        <w:autoSpaceDE w:val="0"/>
        <w:autoSpaceDN w:val="0"/>
        <w:adjustRightInd w:val="0"/>
        <w:rPr>
          <w:rFonts w:cs="Times New Roman"/>
          <w:szCs w:val="24"/>
        </w:rPr>
      </w:pPr>
    </w:p>
    <w:p w14:paraId="29AC60BC" w14:textId="2C895707" w:rsidR="00E725A8" w:rsidRDefault="00AC0C90" w:rsidP="00E725A8">
      <w:pPr>
        <w:pStyle w:val="Nagwek3"/>
        <w:ind w:left="709" w:hanging="709"/>
      </w:pPr>
      <w:bookmarkStart w:id="96" w:name="_Toc77513930"/>
      <w:bookmarkStart w:id="97" w:name="_Toc80523084"/>
      <w:r>
        <w:t>I</w:t>
      </w:r>
      <w:r w:rsidRPr="00E725A8">
        <w:t>nicjatywy podejm</w:t>
      </w:r>
      <w:r>
        <w:t>owane na rzecz osób starszych  w </w:t>
      </w:r>
      <w:r w:rsidRPr="00E725A8">
        <w:t xml:space="preserve">związku z </w:t>
      </w:r>
      <w:r>
        <w:t xml:space="preserve">pandemią                 </w:t>
      </w:r>
      <w:r w:rsidRPr="00E725A8">
        <w:t xml:space="preserve"> </w:t>
      </w:r>
      <w:r w:rsidR="00E725A8" w:rsidRPr="00E725A8">
        <w:t>COVID-19</w:t>
      </w:r>
      <w:bookmarkEnd w:id="96"/>
      <w:bookmarkEnd w:id="97"/>
    </w:p>
    <w:p w14:paraId="2BDC5FD1" w14:textId="77777777" w:rsidR="00AC0C90" w:rsidRPr="00AC0C90" w:rsidRDefault="00AC0C90" w:rsidP="00AC0C90"/>
    <w:p w14:paraId="5507E456" w14:textId="640D7D2F" w:rsidR="00E725A8" w:rsidRDefault="00E725A8" w:rsidP="00E725A8">
      <w:pPr>
        <w:autoSpaceDE w:val="0"/>
        <w:autoSpaceDN w:val="0"/>
        <w:adjustRightInd w:val="0"/>
        <w:rPr>
          <w:rFonts w:cs="Times New Roman"/>
          <w:szCs w:val="24"/>
        </w:rPr>
      </w:pPr>
      <w:r w:rsidRPr="00E725A8">
        <w:rPr>
          <w:rFonts w:cs="Times New Roman"/>
          <w:szCs w:val="24"/>
        </w:rPr>
        <w:t>Ze względu na to, że osoby starsze i przewlekle chore należą do grupy najwyższego ryzyka zakażenia i zachorowania, skutkujących w skrajnych przypadkach śmiercią pacjenta, zapewnienie odpowiedniego wsparcia placówkom opiekuńczym w okresie epidemii COVID-19 stanowi jeden z priorytetów Ministerstwo Zdrowia.</w:t>
      </w:r>
    </w:p>
    <w:p w14:paraId="7488509C" w14:textId="77777777" w:rsidR="00AC0C90" w:rsidRPr="00E725A8" w:rsidRDefault="00AC0C90" w:rsidP="00E725A8">
      <w:pPr>
        <w:autoSpaceDE w:val="0"/>
        <w:autoSpaceDN w:val="0"/>
        <w:adjustRightInd w:val="0"/>
        <w:rPr>
          <w:rFonts w:cs="Times New Roman"/>
          <w:szCs w:val="24"/>
        </w:rPr>
      </w:pPr>
    </w:p>
    <w:p w14:paraId="2ACFA17E" w14:textId="77777777" w:rsidR="00E725A8" w:rsidRPr="00E725A8" w:rsidRDefault="00E725A8" w:rsidP="00E725A8">
      <w:pPr>
        <w:autoSpaceDE w:val="0"/>
        <w:autoSpaceDN w:val="0"/>
        <w:adjustRightInd w:val="0"/>
        <w:rPr>
          <w:rFonts w:cs="Times New Roman"/>
          <w:b/>
          <w:szCs w:val="24"/>
        </w:rPr>
      </w:pPr>
      <w:r>
        <w:rPr>
          <w:rFonts w:cs="Times New Roman"/>
          <w:b/>
          <w:szCs w:val="24"/>
        </w:rPr>
        <w:t>Testowanie</w:t>
      </w:r>
    </w:p>
    <w:p w14:paraId="7A7327FA"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Mając na uwadze zapewnienie bezpieczeństwa i odpowiedniej ochrony osobom, u których - ze względu na wiek, obniżoną odporność oraz częste współwystępowanie innych chorób - ryzyko zakażenia wirusem SARS-CoV-2 i skutkami choroby COVID-19 jest największe, od 16 września 2020 r. wprowadzono obowiązek  przeprowadzania testów diagnostycznych w kierunku SARS-CoV-2 pacjentom przyjmowanym do zakładu opiekuńczo-leczniczego (ZOL), pielęgnacyjno- opiekuńczego (ZPO), hospicjum oraz domu pomocy społecznej (DPS).</w:t>
      </w:r>
    </w:p>
    <w:p w14:paraId="2ED18D6B" w14:textId="40549836" w:rsidR="00E725A8" w:rsidRDefault="00E725A8" w:rsidP="00E725A8">
      <w:pPr>
        <w:autoSpaceDE w:val="0"/>
        <w:autoSpaceDN w:val="0"/>
        <w:adjustRightInd w:val="0"/>
        <w:rPr>
          <w:rFonts w:cs="Times New Roman"/>
          <w:szCs w:val="24"/>
        </w:rPr>
      </w:pPr>
      <w:r w:rsidRPr="00E725A8">
        <w:rPr>
          <w:rFonts w:cs="Times New Roman"/>
          <w:szCs w:val="24"/>
        </w:rPr>
        <w:t xml:space="preserve">Jednocześnie, w dniach 2-3 września 2020 r. z Centralnej Bazy Rezerw Sanitarno- Przeciwepidemicznych do poszczególnych Wojewódzkich Stacji Sanitarno-Epidemiologicznych zostało przekazanych ponad 39 tys. sztuk testów kasetkowych w kierunku obecności przeciwciał </w:t>
      </w:r>
      <w:proofErr w:type="spellStart"/>
      <w:r w:rsidRPr="00E725A8">
        <w:rPr>
          <w:rFonts w:cs="Times New Roman"/>
          <w:szCs w:val="24"/>
        </w:rPr>
        <w:t>IgM</w:t>
      </w:r>
      <w:proofErr w:type="spellEnd"/>
      <w:r w:rsidRPr="00E725A8">
        <w:rPr>
          <w:rFonts w:cs="Times New Roman"/>
          <w:szCs w:val="24"/>
        </w:rPr>
        <w:t xml:space="preserve"> i </w:t>
      </w:r>
      <w:proofErr w:type="spellStart"/>
      <w:r w:rsidRPr="00E725A8">
        <w:rPr>
          <w:rFonts w:cs="Times New Roman"/>
          <w:szCs w:val="24"/>
        </w:rPr>
        <w:t>IgG</w:t>
      </w:r>
      <w:proofErr w:type="spellEnd"/>
      <w:r w:rsidRPr="00E725A8">
        <w:rPr>
          <w:rFonts w:cs="Times New Roman"/>
          <w:szCs w:val="24"/>
        </w:rPr>
        <w:t xml:space="preserve"> SARS-CoV-2 z przeznaczeniem dla mieszkańców oraz pracowników DPS.</w:t>
      </w:r>
    </w:p>
    <w:p w14:paraId="08602DCE" w14:textId="77777777" w:rsidR="00AC0C90" w:rsidRPr="00E725A8" w:rsidRDefault="00AC0C90" w:rsidP="00E725A8">
      <w:pPr>
        <w:autoSpaceDE w:val="0"/>
        <w:autoSpaceDN w:val="0"/>
        <w:adjustRightInd w:val="0"/>
        <w:rPr>
          <w:rFonts w:cs="Times New Roman"/>
          <w:szCs w:val="24"/>
        </w:rPr>
      </w:pPr>
    </w:p>
    <w:p w14:paraId="382B156B" w14:textId="77777777" w:rsidR="00E725A8" w:rsidRPr="00E725A8" w:rsidRDefault="00E725A8" w:rsidP="00E725A8">
      <w:pPr>
        <w:autoSpaceDE w:val="0"/>
        <w:autoSpaceDN w:val="0"/>
        <w:adjustRightInd w:val="0"/>
        <w:rPr>
          <w:rFonts w:cs="Times New Roman"/>
          <w:b/>
          <w:szCs w:val="24"/>
        </w:rPr>
      </w:pPr>
      <w:r w:rsidRPr="00E725A8">
        <w:rPr>
          <w:rFonts w:cs="Times New Roman"/>
          <w:b/>
          <w:szCs w:val="24"/>
        </w:rPr>
        <w:t>Szczepienia</w:t>
      </w:r>
    </w:p>
    <w:p w14:paraId="67E171A6" w14:textId="6CC9F7AC" w:rsidR="00E725A8" w:rsidRDefault="00E725A8" w:rsidP="00E725A8">
      <w:pPr>
        <w:autoSpaceDE w:val="0"/>
        <w:autoSpaceDN w:val="0"/>
        <w:adjustRightInd w:val="0"/>
        <w:rPr>
          <w:rFonts w:cs="Times New Roman"/>
          <w:szCs w:val="24"/>
        </w:rPr>
      </w:pPr>
      <w:r w:rsidRPr="00E725A8">
        <w:rPr>
          <w:rFonts w:cs="Times New Roman"/>
          <w:szCs w:val="24"/>
        </w:rPr>
        <w:t>Grupa osób powyżej 60. roku życia oraz mieszkańcy DPS i pacjenci ZOL/ZPO i innych miejsc stacjonarnego pobytu, a także personel pracujący w tychże placówkach, zostali priorytetowo potraktowani w Narodowym Programie Szczepień (Etap I).</w:t>
      </w:r>
    </w:p>
    <w:p w14:paraId="1B2F7866" w14:textId="77777777" w:rsidR="00AC0C90" w:rsidRPr="00E725A8" w:rsidRDefault="00AC0C90" w:rsidP="00E725A8">
      <w:pPr>
        <w:autoSpaceDE w:val="0"/>
        <w:autoSpaceDN w:val="0"/>
        <w:adjustRightInd w:val="0"/>
        <w:rPr>
          <w:rFonts w:cs="Times New Roman"/>
          <w:szCs w:val="24"/>
        </w:rPr>
      </w:pPr>
    </w:p>
    <w:p w14:paraId="794B3434" w14:textId="77777777" w:rsidR="00340F91" w:rsidRDefault="00340F91" w:rsidP="00E725A8">
      <w:pPr>
        <w:autoSpaceDE w:val="0"/>
        <w:autoSpaceDN w:val="0"/>
        <w:adjustRightInd w:val="0"/>
        <w:rPr>
          <w:rFonts w:cs="Times New Roman"/>
          <w:b/>
          <w:szCs w:val="24"/>
        </w:rPr>
      </w:pPr>
    </w:p>
    <w:p w14:paraId="7C63BA59" w14:textId="77777777" w:rsidR="00340F91" w:rsidRDefault="00340F91" w:rsidP="00E725A8">
      <w:pPr>
        <w:autoSpaceDE w:val="0"/>
        <w:autoSpaceDN w:val="0"/>
        <w:adjustRightInd w:val="0"/>
        <w:rPr>
          <w:rFonts w:cs="Times New Roman"/>
          <w:b/>
          <w:szCs w:val="24"/>
        </w:rPr>
      </w:pPr>
    </w:p>
    <w:p w14:paraId="4ED1EDF5" w14:textId="3D518B8F" w:rsidR="00E725A8" w:rsidRPr="00E725A8" w:rsidRDefault="00E725A8" w:rsidP="00E725A8">
      <w:pPr>
        <w:autoSpaceDE w:val="0"/>
        <w:autoSpaceDN w:val="0"/>
        <w:adjustRightInd w:val="0"/>
        <w:rPr>
          <w:rFonts w:cs="Times New Roman"/>
          <w:b/>
          <w:szCs w:val="24"/>
        </w:rPr>
      </w:pPr>
      <w:r w:rsidRPr="00E725A8">
        <w:rPr>
          <w:rFonts w:cs="Times New Roman"/>
          <w:b/>
          <w:szCs w:val="24"/>
        </w:rPr>
        <w:t>Zalecenia</w:t>
      </w:r>
    </w:p>
    <w:p w14:paraId="66A2A51F"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Z myślą o zapewnieniu bezpieczeństwa zdrowotnego osobom objętym świadczeniami opiekuńczymi oraz pracownikom zaangażowanym w udzielanie tej opieki, MZ - we współpracy z GIS, a także konsultantami krajowymi i środowiskiem eksperckim - wydało szereg zaleceń i rekomendacji, w tym skierowanych m.in. do kierowników i personelu placówek opiekuńczych na terenie kraju.</w:t>
      </w:r>
    </w:p>
    <w:p w14:paraId="08A57D4B"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 xml:space="preserve">W tym celu MZ na bieżąco śledzi rekomendacje funkcjonujące w innych krajach dotkniętych epidemią oraz wytyczne Światowej Organizacji Zdrowia (WHO) w zakresie zapobiegania transmisji zakażeń </w:t>
      </w:r>
      <w:proofErr w:type="spellStart"/>
      <w:r w:rsidRPr="00E725A8">
        <w:rPr>
          <w:rFonts w:cs="Times New Roman"/>
          <w:szCs w:val="24"/>
        </w:rPr>
        <w:t>koronawirusa</w:t>
      </w:r>
      <w:proofErr w:type="spellEnd"/>
      <w:r w:rsidRPr="00E725A8">
        <w:rPr>
          <w:rFonts w:cs="Times New Roman"/>
          <w:szCs w:val="24"/>
        </w:rPr>
        <w:t xml:space="preserve"> i </w:t>
      </w:r>
      <w:proofErr w:type="spellStart"/>
      <w:r w:rsidRPr="00E725A8">
        <w:rPr>
          <w:rFonts w:cs="Times New Roman"/>
          <w:szCs w:val="24"/>
        </w:rPr>
        <w:t>zachorowań</w:t>
      </w:r>
      <w:proofErr w:type="spellEnd"/>
      <w:r w:rsidRPr="00E725A8">
        <w:rPr>
          <w:rFonts w:cs="Times New Roman"/>
          <w:szCs w:val="24"/>
        </w:rPr>
        <w:t xml:space="preserve"> na COVID-19.</w:t>
      </w:r>
    </w:p>
    <w:p w14:paraId="4FC4505B"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Prace nad zaleceniami są prowadzone we współpracy z ekspertami m.in. GIS, NIZP-PZH, konsultantami krajowymi oraz przedstawicielami towarzystw naukowych i zawodów medycznych. Opracowane materiały są przekazywane podmiotom leczniczym oraz zamieszczane online . Na podstronie Ministerstwa Zdrowia na stronie gov.pl opublikowano zalecenia organizacyjne, wytyczne stosowania środków ochrony indywidualnej, a także wskazówki postępowania dla wybranych zakresów i rodzajów świadczeń opieki zdrowotnej.</w:t>
      </w:r>
    </w:p>
    <w:p w14:paraId="394B900C" w14:textId="072A9EB9" w:rsidR="00E725A8" w:rsidRDefault="00E725A8" w:rsidP="00E725A8">
      <w:pPr>
        <w:autoSpaceDE w:val="0"/>
        <w:autoSpaceDN w:val="0"/>
        <w:adjustRightInd w:val="0"/>
        <w:rPr>
          <w:rFonts w:cs="Times New Roman"/>
          <w:szCs w:val="24"/>
        </w:rPr>
      </w:pPr>
      <w:r w:rsidRPr="00E725A8">
        <w:rPr>
          <w:rFonts w:cs="Times New Roman"/>
          <w:szCs w:val="24"/>
        </w:rPr>
        <w:t xml:space="preserve">W celu zapewnienia zdrowia i bezpieczeństwa wszystkim osobom objętym opieką długoterminową, zarówno po stronie opieki zdrowotnej, jak i pomocy społecznej, już w dniu 12 marca 2020 r. MZ przekazało </w:t>
      </w:r>
      <w:proofErr w:type="spellStart"/>
      <w:r w:rsidRPr="00E725A8">
        <w:rPr>
          <w:rFonts w:cs="Times New Roman"/>
          <w:szCs w:val="24"/>
        </w:rPr>
        <w:t>MRPiPS</w:t>
      </w:r>
      <w:proofErr w:type="spellEnd"/>
      <w:r>
        <w:rPr>
          <w:rFonts w:cs="Times New Roman"/>
          <w:szCs w:val="24"/>
        </w:rPr>
        <w:t xml:space="preserve"> </w:t>
      </w:r>
      <w:r w:rsidRPr="00E725A8">
        <w:rPr>
          <w:rFonts w:cs="Times New Roman"/>
          <w:szCs w:val="24"/>
        </w:rPr>
        <w:t xml:space="preserve">zalecenia dotyczące procedur dla jednostek organizacyjnych pomocy społecznej (w tym DPS) w sytuacji rozprzestrzeniania się w Polsce </w:t>
      </w:r>
      <w:proofErr w:type="spellStart"/>
      <w:r w:rsidRPr="00E725A8">
        <w:rPr>
          <w:rFonts w:cs="Times New Roman"/>
          <w:szCs w:val="24"/>
        </w:rPr>
        <w:t>koronawirusa</w:t>
      </w:r>
      <w:proofErr w:type="spellEnd"/>
      <w:r w:rsidRPr="00E725A8">
        <w:rPr>
          <w:rFonts w:cs="Times New Roman"/>
          <w:szCs w:val="24"/>
        </w:rPr>
        <w:t xml:space="preserve"> SARS-CoV-2, opracowane we współpracy z GIS.</w:t>
      </w:r>
    </w:p>
    <w:p w14:paraId="0917E57E" w14:textId="77777777" w:rsidR="00AC0C90" w:rsidRPr="00E725A8" w:rsidRDefault="00AC0C90" w:rsidP="00E725A8">
      <w:pPr>
        <w:autoSpaceDE w:val="0"/>
        <w:autoSpaceDN w:val="0"/>
        <w:adjustRightInd w:val="0"/>
        <w:rPr>
          <w:rFonts w:cs="Times New Roman"/>
          <w:szCs w:val="24"/>
        </w:rPr>
      </w:pPr>
    </w:p>
    <w:p w14:paraId="22E1DFCC" w14:textId="77777777" w:rsidR="00E725A8" w:rsidRDefault="00E725A8" w:rsidP="00E725A8">
      <w:pPr>
        <w:autoSpaceDE w:val="0"/>
        <w:autoSpaceDN w:val="0"/>
        <w:adjustRightInd w:val="0"/>
        <w:rPr>
          <w:rFonts w:cs="Times New Roman"/>
          <w:szCs w:val="24"/>
        </w:rPr>
      </w:pPr>
      <w:r w:rsidRPr="00E725A8">
        <w:rPr>
          <w:rFonts w:cs="Times New Roman"/>
          <w:szCs w:val="24"/>
        </w:rPr>
        <w:t>Z myślą o zapewnieniu właściwego bezpieczeństwa zdrowotnego pacjentom pozostających pod opieką ZOL/ZPO oraz hospicjum domowego i poradni medycyny paliatywnej, ale również bezpieczeństwie personelu medycznego udzielającego świadczeń w tych zakresach, MZ opublikowało na stronie gov.pl:</w:t>
      </w:r>
    </w:p>
    <w:p w14:paraId="4E535ADE" w14:textId="77777777" w:rsidR="00E725A8" w:rsidRDefault="00E725A8" w:rsidP="00FE70E3">
      <w:pPr>
        <w:pStyle w:val="Akapitzlist"/>
        <w:numPr>
          <w:ilvl w:val="0"/>
          <w:numId w:val="33"/>
        </w:numPr>
        <w:autoSpaceDE w:val="0"/>
        <w:autoSpaceDN w:val="0"/>
        <w:adjustRightInd w:val="0"/>
        <w:rPr>
          <w:rFonts w:cs="Times New Roman"/>
          <w:szCs w:val="24"/>
        </w:rPr>
      </w:pPr>
      <w:r w:rsidRPr="00E725A8">
        <w:rPr>
          <w:rFonts w:cs="Times New Roman"/>
          <w:szCs w:val="24"/>
        </w:rPr>
        <w:t xml:space="preserve">zalecenia dotyczące organizacji procesu udzielania świadczeń pielęgnacyjnych i opiekuńczych w ramach opieki długoterminowej w związku ze stanem epidemii i ryzykiem zakażeń wirusem SARS-CoV-2 i </w:t>
      </w:r>
      <w:proofErr w:type="spellStart"/>
      <w:r w:rsidRPr="00E725A8">
        <w:rPr>
          <w:rFonts w:cs="Times New Roman"/>
          <w:szCs w:val="24"/>
        </w:rPr>
        <w:t>zachorowań</w:t>
      </w:r>
      <w:proofErr w:type="spellEnd"/>
      <w:r w:rsidRPr="00E725A8">
        <w:rPr>
          <w:rFonts w:cs="Times New Roman"/>
          <w:szCs w:val="24"/>
        </w:rPr>
        <w:t xml:space="preserve"> na COVID-19  - zamieszczone w dniu 2 kwietnia 2020 r., aktualizowane w dniu 6 maja 2020 r.;</w:t>
      </w:r>
    </w:p>
    <w:p w14:paraId="6ED1D49B" w14:textId="74CBD4C8" w:rsidR="00E725A8" w:rsidRDefault="00E725A8" w:rsidP="00FE70E3">
      <w:pPr>
        <w:pStyle w:val="Akapitzlist"/>
        <w:numPr>
          <w:ilvl w:val="0"/>
          <w:numId w:val="33"/>
        </w:numPr>
        <w:autoSpaceDE w:val="0"/>
        <w:autoSpaceDN w:val="0"/>
        <w:adjustRightInd w:val="0"/>
        <w:rPr>
          <w:rFonts w:cs="Times New Roman"/>
          <w:szCs w:val="24"/>
        </w:rPr>
      </w:pPr>
      <w:r w:rsidRPr="00E725A8">
        <w:rPr>
          <w:rFonts w:cs="Times New Roman"/>
          <w:szCs w:val="24"/>
        </w:rPr>
        <w:t>zalecenia dla Zespołu domowej opieki paliatywnej / Hospicjum Domowego w stanie epidemii wirusa SARS-CoV-2 wywołującego chorobę COVID-19  - zamieszczone w dniu 3 kwietnia 2020 r.</w:t>
      </w:r>
    </w:p>
    <w:p w14:paraId="4AAEFDD5" w14:textId="77777777" w:rsidR="00AC0C90" w:rsidRPr="00AC0C90" w:rsidRDefault="00AC0C90" w:rsidP="00AC0C90">
      <w:pPr>
        <w:autoSpaceDE w:val="0"/>
        <w:autoSpaceDN w:val="0"/>
        <w:adjustRightInd w:val="0"/>
        <w:rPr>
          <w:rFonts w:cs="Times New Roman"/>
          <w:szCs w:val="24"/>
        </w:rPr>
      </w:pPr>
    </w:p>
    <w:p w14:paraId="02D635F9" w14:textId="12B63BBE" w:rsidR="00E725A8" w:rsidRDefault="00E725A8" w:rsidP="00E725A8">
      <w:pPr>
        <w:autoSpaceDE w:val="0"/>
        <w:autoSpaceDN w:val="0"/>
        <w:adjustRightInd w:val="0"/>
        <w:rPr>
          <w:rFonts w:cs="Times New Roman"/>
          <w:szCs w:val="24"/>
        </w:rPr>
      </w:pPr>
      <w:r w:rsidRPr="00E725A8">
        <w:rPr>
          <w:rFonts w:cs="Times New Roman"/>
          <w:szCs w:val="24"/>
        </w:rPr>
        <w:t>Wszelkie zalecenia wydawane przez MZ, GIS czy NFZ oraz przez pozostałe instytucje publiczne są aktualizowane, zgodnie ze zmieniającą się sytuacją epidemiologiczną w kraju oraz potrzebami zdrowotnymi w tym zakresie.</w:t>
      </w:r>
    </w:p>
    <w:p w14:paraId="741EA2EA" w14:textId="3D2E4788" w:rsidR="00AC0C90" w:rsidRDefault="00AC0C90" w:rsidP="00E725A8">
      <w:pPr>
        <w:autoSpaceDE w:val="0"/>
        <w:autoSpaceDN w:val="0"/>
        <w:adjustRightInd w:val="0"/>
        <w:rPr>
          <w:rFonts w:cs="Times New Roman"/>
          <w:szCs w:val="24"/>
        </w:rPr>
      </w:pPr>
    </w:p>
    <w:p w14:paraId="337B00B4" w14:textId="77777777" w:rsidR="00CB43BC" w:rsidRDefault="00CB43BC" w:rsidP="00E725A8">
      <w:pPr>
        <w:autoSpaceDE w:val="0"/>
        <w:autoSpaceDN w:val="0"/>
        <w:adjustRightInd w:val="0"/>
        <w:rPr>
          <w:rFonts w:cs="Times New Roman"/>
          <w:szCs w:val="24"/>
        </w:rPr>
      </w:pPr>
    </w:p>
    <w:p w14:paraId="6EE14814" w14:textId="77777777" w:rsidR="00E725A8" w:rsidRPr="00E725A8" w:rsidRDefault="00E725A8" w:rsidP="00E725A8">
      <w:pPr>
        <w:autoSpaceDE w:val="0"/>
        <w:autoSpaceDN w:val="0"/>
        <w:adjustRightInd w:val="0"/>
        <w:rPr>
          <w:rFonts w:cs="Times New Roman"/>
          <w:b/>
          <w:szCs w:val="24"/>
        </w:rPr>
      </w:pPr>
      <w:r w:rsidRPr="00E725A8">
        <w:rPr>
          <w:rFonts w:cs="Times New Roman"/>
          <w:b/>
          <w:szCs w:val="24"/>
        </w:rPr>
        <w:lastRenderedPageBreak/>
        <w:t>Organizacja pracy personelu medycznego w czasie epidemii COVID-19</w:t>
      </w:r>
    </w:p>
    <w:p w14:paraId="53971111" w14:textId="565CE25E" w:rsidR="00E725A8" w:rsidRDefault="00E725A8" w:rsidP="00E725A8">
      <w:pPr>
        <w:autoSpaceDE w:val="0"/>
        <w:autoSpaceDN w:val="0"/>
        <w:adjustRightInd w:val="0"/>
        <w:rPr>
          <w:rFonts w:cs="Times New Roman"/>
          <w:szCs w:val="24"/>
        </w:rPr>
      </w:pPr>
      <w:r w:rsidRPr="00E725A8">
        <w:rPr>
          <w:rFonts w:cs="Times New Roman"/>
          <w:szCs w:val="24"/>
        </w:rPr>
        <w:t>Na podstawie analizy statystyk międzynarodowych prowadzonych na potrzeby zwalczania epidemii, stwierdzono, że głównym źródłem zakażenia w placówkach opiekuńczych (funkcjonujących zarówno w systemie ochrony zdrowia, jak i systemie pomocy społecznej) byli pracownicy takich placówek, w szczególności personel medyczny, niejednokrotnie mający kontakt z osobami zakażonymi w innych miejscach świadczonej przez siebie pracy (w tym m.in. w szpitalach).</w:t>
      </w:r>
    </w:p>
    <w:p w14:paraId="446517A0" w14:textId="77777777" w:rsidR="00AC0C90" w:rsidRPr="00E725A8" w:rsidRDefault="00AC0C90" w:rsidP="00E725A8">
      <w:pPr>
        <w:autoSpaceDE w:val="0"/>
        <w:autoSpaceDN w:val="0"/>
        <w:adjustRightInd w:val="0"/>
        <w:rPr>
          <w:rFonts w:cs="Times New Roman"/>
          <w:szCs w:val="24"/>
        </w:rPr>
      </w:pPr>
    </w:p>
    <w:p w14:paraId="65769603" w14:textId="2861151C" w:rsidR="00E725A8" w:rsidRDefault="00E725A8" w:rsidP="00E725A8">
      <w:pPr>
        <w:autoSpaceDE w:val="0"/>
        <w:autoSpaceDN w:val="0"/>
        <w:adjustRightInd w:val="0"/>
        <w:rPr>
          <w:rFonts w:cs="Times New Roman"/>
          <w:szCs w:val="24"/>
        </w:rPr>
      </w:pPr>
      <w:r w:rsidRPr="00E725A8">
        <w:rPr>
          <w:rFonts w:cs="Times New Roman"/>
          <w:szCs w:val="24"/>
        </w:rPr>
        <w:t>Dlatego też na mocy</w:t>
      </w:r>
      <w:r>
        <w:rPr>
          <w:rFonts w:cs="Times New Roman"/>
          <w:szCs w:val="24"/>
        </w:rPr>
        <w:t xml:space="preserve"> </w:t>
      </w:r>
      <w:r w:rsidRPr="00E725A8">
        <w:rPr>
          <w:rFonts w:cs="Times New Roman"/>
          <w:szCs w:val="24"/>
        </w:rPr>
        <w:t xml:space="preserve">rozporządzenia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pracownikom medycznym zatrudnionym na stanowiskach pracy w podmiotach leczniczych wykonujących działalność leczniczą w rodzaju świadczenia szpitalne wyłącznie w związku z przeciwdziałaniem COVID-19 lub w którego wyodrębnionej komórce organizacyjnej są udzielane świadczenia opieki zdrowotnej wyłącznie w związku z przeciwdziałaniem COVID-19, mającym bezpośredni kontakt z pacjentami z podejrzeniem lub zakażeniem </w:t>
      </w:r>
      <w:proofErr w:type="spellStart"/>
      <w:r w:rsidRPr="00E725A8">
        <w:rPr>
          <w:rFonts w:cs="Times New Roman"/>
          <w:szCs w:val="24"/>
        </w:rPr>
        <w:t>koronawirusem</w:t>
      </w:r>
      <w:proofErr w:type="spellEnd"/>
      <w:r w:rsidRPr="00E725A8">
        <w:rPr>
          <w:rFonts w:cs="Times New Roman"/>
          <w:szCs w:val="24"/>
        </w:rPr>
        <w:t xml:space="preserve">, uniemożliwiono uczestniczenie w udzielaniu świadczeń opieki zdrowotnej pacjentom innym niż z podejrzeniem lub zakażeniem </w:t>
      </w:r>
      <w:proofErr w:type="spellStart"/>
      <w:r w:rsidRPr="00E725A8">
        <w:rPr>
          <w:rFonts w:cs="Times New Roman"/>
          <w:szCs w:val="24"/>
        </w:rPr>
        <w:t>koronawirusem</w:t>
      </w:r>
      <w:proofErr w:type="spellEnd"/>
      <w:r w:rsidRPr="00E725A8">
        <w:rPr>
          <w:rFonts w:cs="Times New Roman"/>
          <w:szCs w:val="24"/>
        </w:rPr>
        <w:t>.</w:t>
      </w:r>
    </w:p>
    <w:p w14:paraId="6C5B759E" w14:textId="77777777" w:rsidR="00AC0C90" w:rsidRPr="00E725A8" w:rsidRDefault="00AC0C90" w:rsidP="00E725A8">
      <w:pPr>
        <w:autoSpaceDE w:val="0"/>
        <w:autoSpaceDN w:val="0"/>
        <w:adjustRightInd w:val="0"/>
        <w:rPr>
          <w:rFonts w:cs="Times New Roman"/>
          <w:szCs w:val="24"/>
        </w:rPr>
      </w:pPr>
    </w:p>
    <w:p w14:paraId="1165CCF5" w14:textId="0BBC1A86" w:rsidR="00E725A8" w:rsidRDefault="00E725A8" w:rsidP="00E725A8">
      <w:pPr>
        <w:autoSpaceDE w:val="0"/>
        <w:autoSpaceDN w:val="0"/>
        <w:adjustRightInd w:val="0"/>
        <w:rPr>
          <w:rFonts w:cs="Times New Roman"/>
          <w:szCs w:val="24"/>
        </w:rPr>
      </w:pPr>
      <w:r w:rsidRPr="00E725A8">
        <w:rPr>
          <w:rFonts w:cs="Times New Roman"/>
          <w:szCs w:val="24"/>
        </w:rPr>
        <w:t xml:space="preserve">Powyższe obostrzenie dotyczyło również pracowników medycznych bezpośrednio zaangażowanych w udzielanie świadczeń opieki zdrowotnej pacjentom z podejrzeniem lub zakażeniem </w:t>
      </w:r>
      <w:proofErr w:type="spellStart"/>
      <w:r w:rsidRPr="00E725A8">
        <w:rPr>
          <w:rFonts w:cs="Times New Roman"/>
          <w:szCs w:val="24"/>
        </w:rPr>
        <w:t>koronawirusem</w:t>
      </w:r>
      <w:proofErr w:type="spellEnd"/>
      <w:r w:rsidRPr="00E725A8">
        <w:rPr>
          <w:rFonts w:cs="Times New Roman"/>
          <w:szCs w:val="24"/>
        </w:rPr>
        <w:t xml:space="preserve"> i jednocześnie udzielających świadczeń w placówkach opiekuńczych, takich jak ZOL/ZPO i hospicja.</w:t>
      </w:r>
    </w:p>
    <w:p w14:paraId="4A523E5A" w14:textId="77777777" w:rsidR="00AC0C90" w:rsidRPr="00E725A8" w:rsidRDefault="00AC0C90" w:rsidP="00E725A8">
      <w:pPr>
        <w:autoSpaceDE w:val="0"/>
        <w:autoSpaceDN w:val="0"/>
        <w:adjustRightInd w:val="0"/>
        <w:rPr>
          <w:rFonts w:cs="Times New Roman"/>
          <w:szCs w:val="24"/>
        </w:rPr>
      </w:pPr>
    </w:p>
    <w:p w14:paraId="09747AA5" w14:textId="502EDAF6" w:rsidR="00E725A8" w:rsidRDefault="00E725A8" w:rsidP="00E725A8">
      <w:pPr>
        <w:autoSpaceDE w:val="0"/>
        <w:autoSpaceDN w:val="0"/>
        <w:adjustRightInd w:val="0"/>
        <w:rPr>
          <w:rFonts w:cs="Times New Roman"/>
          <w:szCs w:val="24"/>
        </w:rPr>
      </w:pPr>
      <w:r w:rsidRPr="00E725A8">
        <w:rPr>
          <w:rFonts w:cs="Times New Roman"/>
          <w:szCs w:val="24"/>
        </w:rPr>
        <w:t>W celu wsparcia przedstawicielom personelu ZOL/ZPO, DPS i hospicjów, bezpośrednio zaangażowanego w opiekę nad pacjentami, którzy zobowiązali się do ograniczenia swojej aktywności zawodowej wyłącznie do jednego podmiotu, realizowany jest projekt Narodowego Funduszu Zdrowia pt. „Zapewnienie bezpieczeństwa i opieki pacjentom oraz bezpieczeństwa personelowi zakładów opiekuńczo-leczniczych, domów pomocy społecznej, zakładów pielęgnacyjno- opiekuńczych i hospicjów na czas COVID-19” (w ramach Programu Operacyjnego Wiedza Edukacja Rozwój 2014-2020 (PO WER), dofinansowanego ze środków Europejskiego Funduszu Społecznego). Na ten cel przeznaczono kwotę blisko 250 mln zł.</w:t>
      </w:r>
    </w:p>
    <w:p w14:paraId="3092E829" w14:textId="77777777" w:rsidR="00AC0C90" w:rsidRDefault="00AC0C90" w:rsidP="00E725A8">
      <w:pPr>
        <w:autoSpaceDE w:val="0"/>
        <w:autoSpaceDN w:val="0"/>
        <w:adjustRightInd w:val="0"/>
        <w:rPr>
          <w:rFonts w:cs="Times New Roman"/>
          <w:szCs w:val="24"/>
        </w:rPr>
      </w:pPr>
    </w:p>
    <w:p w14:paraId="5491C2CA" w14:textId="77777777" w:rsidR="00E725A8" w:rsidRPr="00E725A8" w:rsidRDefault="00E725A8" w:rsidP="00E725A8">
      <w:pPr>
        <w:autoSpaceDE w:val="0"/>
        <w:autoSpaceDN w:val="0"/>
        <w:adjustRightInd w:val="0"/>
        <w:rPr>
          <w:rFonts w:cs="Times New Roman"/>
          <w:b/>
          <w:szCs w:val="24"/>
        </w:rPr>
      </w:pPr>
      <w:r w:rsidRPr="00E725A8">
        <w:rPr>
          <w:rFonts w:cs="Times New Roman"/>
          <w:b/>
          <w:szCs w:val="24"/>
        </w:rPr>
        <w:t>Zmiany prawne w zakresie realizacji świadczeń gwarantowanych</w:t>
      </w:r>
    </w:p>
    <w:p w14:paraId="76EA97B8" w14:textId="0EE129BD" w:rsidR="00E725A8" w:rsidRDefault="00E725A8" w:rsidP="00E725A8">
      <w:pPr>
        <w:autoSpaceDE w:val="0"/>
        <w:autoSpaceDN w:val="0"/>
        <w:adjustRightInd w:val="0"/>
        <w:rPr>
          <w:rFonts w:cs="Times New Roman"/>
          <w:szCs w:val="24"/>
        </w:rPr>
      </w:pPr>
      <w:r w:rsidRPr="00E725A8">
        <w:rPr>
          <w:rFonts w:cs="Times New Roman"/>
          <w:szCs w:val="24"/>
        </w:rPr>
        <w:t>Na mocy rozporządzeń Ministra Zdrowia opublikowanych w dniu 16 marca 2020 r. zmieniających rozporządzenia w sprawie świadczeń gwarantowanych z zakresu świadczeń pielęgnacyjnych i opiekuńczych w ramach opieki długoterminowej   oraz w sprawie świadczeń gwarantowanych z zakresu opieki paliatywnej i hospicyjnej  dopuszczono realizację porad i wizyt z wykorzystaniem systemów teleinformatycznych lub innych systemów łączności , o ile ten sposób postępowania nie zagraża pogorszeniem stanu zdrowia pacjenta.</w:t>
      </w:r>
    </w:p>
    <w:p w14:paraId="6F0AFE04" w14:textId="77777777" w:rsidR="00AC0C90" w:rsidRPr="00E725A8" w:rsidRDefault="00AC0C90" w:rsidP="00E725A8">
      <w:pPr>
        <w:autoSpaceDE w:val="0"/>
        <w:autoSpaceDN w:val="0"/>
        <w:adjustRightInd w:val="0"/>
        <w:rPr>
          <w:rFonts w:cs="Times New Roman"/>
          <w:szCs w:val="24"/>
        </w:rPr>
      </w:pPr>
    </w:p>
    <w:p w14:paraId="20CB73F8" w14:textId="77777777" w:rsidR="00E725A8" w:rsidRPr="00E725A8" w:rsidRDefault="00E725A8" w:rsidP="00E725A8">
      <w:pPr>
        <w:autoSpaceDE w:val="0"/>
        <w:autoSpaceDN w:val="0"/>
        <w:adjustRightInd w:val="0"/>
        <w:rPr>
          <w:rFonts w:cs="Times New Roman"/>
          <w:szCs w:val="24"/>
        </w:rPr>
      </w:pPr>
      <w:r w:rsidRPr="00E725A8">
        <w:rPr>
          <w:rFonts w:cs="Times New Roman"/>
          <w:szCs w:val="24"/>
        </w:rPr>
        <w:lastRenderedPageBreak/>
        <w:t>Ponadto, w dniu 14 marca 2020 r., na stronie Centrali NFZ, został opublikowany komunikat informujący o zmianie rozporządzenia Ministra Zdrowia w sprawie ogólnych warunków umów o udzielanie świadczeń opieki zdrowotnej.</w:t>
      </w:r>
    </w:p>
    <w:p w14:paraId="382CA9F7"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Niniejsza zmiana umożliwiała wprowadzenie rozwiązań pozwalających na:</w:t>
      </w:r>
    </w:p>
    <w:p w14:paraId="24813D67"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poprawę płynności finansowej oraz zachowanie poziomu przychodów świadczeniodawców dzięki utrzymaniu w okresie przejściowym porównywalnych miesięcznych płatności z tytułu realizacji umów zawartych z NFZ;</w:t>
      </w:r>
    </w:p>
    <w:p w14:paraId="0D1D55A3" w14:textId="13BFCECD" w:rsid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przyśpieszenie przepływów finansowych do podmiotów leczniczych, które w celu minimalizacji ryzyka transmisji COViD-19, ograniczają zakres działalności i czasowo zmniejszają liczbę udzielanych planowych świadczeń.</w:t>
      </w:r>
    </w:p>
    <w:p w14:paraId="406D3EF4" w14:textId="77777777" w:rsidR="00AC0C90" w:rsidRPr="00E725A8" w:rsidRDefault="00AC0C90" w:rsidP="00E725A8">
      <w:pPr>
        <w:autoSpaceDE w:val="0"/>
        <w:autoSpaceDN w:val="0"/>
        <w:adjustRightInd w:val="0"/>
        <w:rPr>
          <w:rFonts w:cs="Times New Roman"/>
          <w:szCs w:val="24"/>
        </w:rPr>
      </w:pPr>
    </w:p>
    <w:p w14:paraId="396B110D" w14:textId="3A14DE1F" w:rsidR="00E725A8" w:rsidRDefault="00E725A8" w:rsidP="00E725A8">
      <w:pPr>
        <w:autoSpaceDE w:val="0"/>
        <w:autoSpaceDN w:val="0"/>
        <w:adjustRightInd w:val="0"/>
        <w:rPr>
          <w:rFonts w:cs="Times New Roman"/>
          <w:szCs w:val="24"/>
        </w:rPr>
      </w:pPr>
      <w:r w:rsidRPr="00E725A8">
        <w:rPr>
          <w:rFonts w:cs="Times New Roman"/>
          <w:szCs w:val="24"/>
        </w:rPr>
        <w:t>Dodatkowo, zgodnie z komunikatem NFZ z dnia 17 marca 2020 r. - w celu minimalizacji ryzyka transmisji infekcji COVID-19 poprzez ograniczanie kontaktów z pacjentami przebywającymi w swoich domach - umożliwiono wykonywanie i rozliczanie porad lekarza i psychologa oraz wizyt pielęgniarki, realizowanych w ramach umów o udzielanie świadczeń opieki zdrowotnej w ramach opieki długoterminowej oraz opieki paliatywnej i hospicyjnej z wykorzystaniem systemów teleinformatycznych lub innych systemów łączności.</w:t>
      </w:r>
    </w:p>
    <w:p w14:paraId="4D9A300A" w14:textId="77777777" w:rsidR="00AC0C90" w:rsidRPr="00E725A8" w:rsidRDefault="00AC0C90" w:rsidP="00E725A8">
      <w:pPr>
        <w:autoSpaceDE w:val="0"/>
        <w:autoSpaceDN w:val="0"/>
        <w:adjustRightInd w:val="0"/>
        <w:rPr>
          <w:rFonts w:cs="Times New Roman"/>
          <w:szCs w:val="24"/>
        </w:rPr>
      </w:pPr>
    </w:p>
    <w:p w14:paraId="5B79FA76" w14:textId="77777777" w:rsidR="00E725A8" w:rsidRPr="00E725A8" w:rsidRDefault="00E725A8" w:rsidP="00E725A8">
      <w:pPr>
        <w:autoSpaceDE w:val="0"/>
        <w:autoSpaceDN w:val="0"/>
        <w:adjustRightInd w:val="0"/>
        <w:rPr>
          <w:rFonts w:cs="Times New Roman"/>
          <w:b/>
          <w:szCs w:val="24"/>
        </w:rPr>
      </w:pPr>
      <w:r w:rsidRPr="00E725A8">
        <w:rPr>
          <w:rFonts w:cs="Times New Roman"/>
          <w:b/>
          <w:szCs w:val="24"/>
        </w:rPr>
        <w:t xml:space="preserve">Działania z zakresu </w:t>
      </w:r>
      <w:proofErr w:type="spellStart"/>
      <w:r w:rsidRPr="00E725A8">
        <w:rPr>
          <w:rFonts w:cs="Times New Roman"/>
          <w:b/>
          <w:szCs w:val="24"/>
        </w:rPr>
        <w:t>telemedycyny</w:t>
      </w:r>
      <w:proofErr w:type="spellEnd"/>
    </w:p>
    <w:p w14:paraId="718A596E" w14:textId="6D9E4295" w:rsidR="00E725A8" w:rsidRDefault="00E725A8" w:rsidP="00E725A8">
      <w:pPr>
        <w:autoSpaceDE w:val="0"/>
        <w:autoSpaceDN w:val="0"/>
        <w:adjustRightInd w:val="0"/>
        <w:rPr>
          <w:rFonts w:cs="Times New Roman"/>
          <w:szCs w:val="24"/>
        </w:rPr>
      </w:pPr>
      <w:r w:rsidRPr="00E725A8">
        <w:rPr>
          <w:rFonts w:cs="Times New Roman"/>
          <w:szCs w:val="24"/>
        </w:rPr>
        <w:t>W 2020 r. podjęto szereg działań z zakresu rozwiąza</w:t>
      </w:r>
      <w:r w:rsidR="00CB43BC">
        <w:rPr>
          <w:rFonts w:cs="Times New Roman"/>
          <w:szCs w:val="24"/>
        </w:rPr>
        <w:t xml:space="preserve">ń </w:t>
      </w:r>
      <w:proofErr w:type="spellStart"/>
      <w:r w:rsidR="00CB43BC">
        <w:rPr>
          <w:rFonts w:cs="Times New Roman"/>
          <w:szCs w:val="24"/>
        </w:rPr>
        <w:t>telemedycznych</w:t>
      </w:r>
      <w:proofErr w:type="spellEnd"/>
      <w:r w:rsidR="00CB43BC">
        <w:rPr>
          <w:rFonts w:cs="Times New Roman"/>
          <w:szCs w:val="24"/>
        </w:rPr>
        <w:t>, związanych ze </w:t>
      </w:r>
      <w:r w:rsidRPr="00E725A8">
        <w:rPr>
          <w:rFonts w:cs="Times New Roman"/>
          <w:szCs w:val="24"/>
        </w:rPr>
        <w:t xml:space="preserve">zwalczaniem zakażeń oraz zapobieganiem rozprzestrzenianiu się choroby zakaźnej COVID-19, które dedykowane były również osobom starszym. Do działań tych zaliczyć można m.in. udostępnienie systemu do </w:t>
      </w:r>
      <w:proofErr w:type="spellStart"/>
      <w:r w:rsidRPr="00E725A8">
        <w:rPr>
          <w:rFonts w:cs="Times New Roman"/>
          <w:szCs w:val="24"/>
        </w:rPr>
        <w:t>Telekonsultacji</w:t>
      </w:r>
      <w:proofErr w:type="spellEnd"/>
      <w:r w:rsidRPr="00E725A8">
        <w:rPr>
          <w:rFonts w:cs="Times New Roman"/>
          <w:szCs w:val="24"/>
        </w:rPr>
        <w:t>, umożliwiaj</w:t>
      </w:r>
      <w:r w:rsidR="00CB43BC">
        <w:rPr>
          <w:rFonts w:cs="Times New Roman"/>
          <w:szCs w:val="24"/>
        </w:rPr>
        <w:t xml:space="preserve">ącego świadczenie </w:t>
      </w:r>
      <w:proofErr w:type="spellStart"/>
      <w:r w:rsidR="00CB43BC">
        <w:rPr>
          <w:rFonts w:cs="Times New Roman"/>
          <w:szCs w:val="24"/>
        </w:rPr>
        <w:t>teleporad</w:t>
      </w:r>
      <w:proofErr w:type="spellEnd"/>
      <w:r w:rsidR="00CB43BC">
        <w:rPr>
          <w:rFonts w:cs="Times New Roman"/>
          <w:szCs w:val="24"/>
        </w:rPr>
        <w:t xml:space="preserve"> dla </w:t>
      </w:r>
      <w:r w:rsidRPr="00E725A8">
        <w:rPr>
          <w:rFonts w:cs="Times New Roman"/>
          <w:szCs w:val="24"/>
        </w:rPr>
        <w:t xml:space="preserve">pacjentów, którzy np. z powodu </w:t>
      </w:r>
      <w:proofErr w:type="spellStart"/>
      <w:r w:rsidRPr="00E725A8">
        <w:rPr>
          <w:rFonts w:cs="Times New Roman"/>
          <w:szCs w:val="24"/>
        </w:rPr>
        <w:t>koronawirusa</w:t>
      </w:r>
      <w:proofErr w:type="spellEnd"/>
      <w:r w:rsidRPr="00E725A8">
        <w:rPr>
          <w:rFonts w:cs="Times New Roman"/>
          <w:szCs w:val="24"/>
        </w:rPr>
        <w:t xml:space="preserve"> mieli ogra</w:t>
      </w:r>
      <w:r w:rsidR="00CB43BC">
        <w:rPr>
          <w:rFonts w:cs="Times New Roman"/>
          <w:szCs w:val="24"/>
        </w:rPr>
        <w:t>niczony dostęp do świadczeń lub </w:t>
      </w:r>
      <w:r w:rsidRPr="00E725A8">
        <w:rPr>
          <w:rFonts w:cs="Times New Roman"/>
          <w:szCs w:val="24"/>
        </w:rPr>
        <w:t xml:space="preserve">podlegali kwarantannie (wideo połączenie, wysyłanie powiadomień poprzez </w:t>
      </w:r>
      <w:proofErr w:type="spellStart"/>
      <w:r w:rsidRPr="00E725A8">
        <w:rPr>
          <w:rFonts w:cs="Times New Roman"/>
          <w:szCs w:val="24"/>
        </w:rPr>
        <w:t>sms-y</w:t>
      </w:r>
      <w:proofErr w:type="spellEnd"/>
      <w:r w:rsidRPr="00E725A8">
        <w:rPr>
          <w:rFonts w:cs="Times New Roman"/>
          <w:szCs w:val="24"/>
        </w:rPr>
        <w:t xml:space="preserve"> i e-mail, utrzymanie systemu).</w:t>
      </w:r>
    </w:p>
    <w:p w14:paraId="25CE4454" w14:textId="77777777" w:rsidR="00AC0C90" w:rsidRPr="00E725A8" w:rsidRDefault="00AC0C90" w:rsidP="00E725A8">
      <w:pPr>
        <w:autoSpaceDE w:val="0"/>
        <w:autoSpaceDN w:val="0"/>
        <w:adjustRightInd w:val="0"/>
        <w:rPr>
          <w:rFonts w:cs="Times New Roman"/>
          <w:szCs w:val="24"/>
        </w:rPr>
      </w:pPr>
    </w:p>
    <w:p w14:paraId="6395C59F" w14:textId="140990B6" w:rsidR="00E725A8" w:rsidRPr="00E725A8" w:rsidRDefault="00E725A8" w:rsidP="00E725A8">
      <w:pPr>
        <w:autoSpaceDE w:val="0"/>
        <w:autoSpaceDN w:val="0"/>
        <w:adjustRightInd w:val="0"/>
        <w:rPr>
          <w:rFonts w:cs="Times New Roman"/>
          <w:szCs w:val="24"/>
        </w:rPr>
      </w:pPr>
      <w:r w:rsidRPr="00E725A8">
        <w:rPr>
          <w:rFonts w:cs="Times New Roman"/>
          <w:szCs w:val="24"/>
        </w:rPr>
        <w:t xml:space="preserve">Jednocześnie, w związku z sytuacją epidemiologiczną kraju, zakres funkcjonalny Projektu </w:t>
      </w:r>
      <w:r w:rsidR="00CB43BC">
        <w:rPr>
          <w:rFonts w:cs="Times New Roman"/>
          <w:szCs w:val="24"/>
        </w:rPr>
        <w:t xml:space="preserve">                 </w:t>
      </w:r>
      <w:r w:rsidRPr="00E725A8">
        <w:rPr>
          <w:rFonts w:cs="Times New Roman"/>
          <w:szCs w:val="24"/>
        </w:rPr>
        <w:t xml:space="preserve">e-zdrowie (P1) został w 2020 r. rozszerzony o nowe funkcjonalności tj. e-rejestracja i </w:t>
      </w:r>
      <w:proofErr w:type="spellStart"/>
      <w:r w:rsidRPr="00E725A8">
        <w:rPr>
          <w:rFonts w:cs="Times New Roman"/>
          <w:szCs w:val="24"/>
        </w:rPr>
        <w:t>teleporada</w:t>
      </w:r>
      <w:proofErr w:type="spellEnd"/>
      <w:r w:rsidRPr="00E725A8">
        <w:rPr>
          <w:rFonts w:cs="Times New Roman"/>
          <w:szCs w:val="24"/>
        </w:rPr>
        <w:t xml:space="preserve"> (które umożliwią załatwienie kluczowych dla pacjenta spraw on-line, bez konieczności kontaktu osobistego z personelem administracyjnym i medycznym). Wdrożenie tych usług jest przewidziane w IV kw. 2021 r. Funkcjonalności te są szczególne istotne dla subpopulacji osób starszych, z </w:t>
      </w:r>
      <w:proofErr w:type="spellStart"/>
      <w:r w:rsidRPr="00E725A8">
        <w:rPr>
          <w:rFonts w:cs="Times New Roman"/>
          <w:szCs w:val="24"/>
        </w:rPr>
        <w:t>wielochorobowością</w:t>
      </w:r>
      <w:proofErr w:type="spellEnd"/>
      <w:r w:rsidRPr="00E725A8">
        <w:rPr>
          <w:rFonts w:cs="Times New Roman"/>
          <w:szCs w:val="24"/>
        </w:rPr>
        <w:t>, z problemami układu kostnego, dla których możliwość skorzystania ze zdalnej porady online może wpłynąć na zwiększenie dostępności do świadczeń.</w:t>
      </w:r>
    </w:p>
    <w:p w14:paraId="03CB5DED" w14:textId="382C4E64" w:rsidR="00E725A8" w:rsidRPr="00E725A8" w:rsidRDefault="00E725A8" w:rsidP="00E725A8">
      <w:pPr>
        <w:autoSpaceDE w:val="0"/>
        <w:autoSpaceDN w:val="0"/>
        <w:adjustRightInd w:val="0"/>
        <w:rPr>
          <w:rFonts w:cs="Times New Roman"/>
          <w:szCs w:val="24"/>
        </w:rPr>
      </w:pPr>
      <w:r w:rsidRPr="00E725A8">
        <w:rPr>
          <w:rFonts w:cs="Times New Roman"/>
          <w:szCs w:val="24"/>
        </w:rPr>
        <w:t>Dodatkowo, w czerwcu 2020 r. aplikacja gabinet.gov.pl została poszerzona w z</w:t>
      </w:r>
      <w:r w:rsidR="00CB43BC">
        <w:rPr>
          <w:rFonts w:cs="Times New Roman"/>
          <w:szCs w:val="24"/>
        </w:rPr>
        <w:t>wiązku z </w:t>
      </w:r>
      <w:r w:rsidRPr="00E725A8">
        <w:rPr>
          <w:rFonts w:cs="Times New Roman"/>
          <w:szCs w:val="24"/>
        </w:rPr>
        <w:t>pandemią COVID-19 o następujące funkcjonalności:</w:t>
      </w:r>
    </w:p>
    <w:p w14:paraId="2BDEF58F"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 xml:space="preserve">zlecanie testów na obecność </w:t>
      </w:r>
      <w:proofErr w:type="spellStart"/>
      <w:r w:rsidRPr="00E725A8">
        <w:rPr>
          <w:rFonts w:cs="Times New Roman"/>
          <w:szCs w:val="24"/>
        </w:rPr>
        <w:t>koronawirusa</w:t>
      </w:r>
      <w:proofErr w:type="spellEnd"/>
      <w:r w:rsidRPr="00E725A8">
        <w:rPr>
          <w:rFonts w:cs="Times New Roman"/>
          <w:szCs w:val="24"/>
        </w:rPr>
        <w:t>,</w:t>
      </w:r>
    </w:p>
    <w:p w14:paraId="237F4C16"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wprowadzanie wyników testu antygenowego,</w:t>
      </w:r>
    </w:p>
    <w:p w14:paraId="6596B95D"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wystawienia ZLK-1 (zgłoszenie chorób zakaźnych),</w:t>
      </w:r>
    </w:p>
    <w:p w14:paraId="625208AA" w14:textId="4DB95D82" w:rsid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dodawanie i zmiana izolacji oraz kwarantanny.</w:t>
      </w:r>
    </w:p>
    <w:p w14:paraId="5B452DF3" w14:textId="77777777" w:rsidR="00A72EA6" w:rsidRPr="00E725A8" w:rsidRDefault="00A72EA6" w:rsidP="00E725A8">
      <w:pPr>
        <w:autoSpaceDE w:val="0"/>
        <w:autoSpaceDN w:val="0"/>
        <w:adjustRightInd w:val="0"/>
        <w:rPr>
          <w:rFonts w:cs="Times New Roman"/>
          <w:szCs w:val="24"/>
        </w:rPr>
      </w:pPr>
    </w:p>
    <w:p w14:paraId="00234079" w14:textId="0800A86F" w:rsidR="00E725A8" w:rsidRDefault="00E725A8" w:rsidP="00E725A8">
      <w:pPr>
        <w:autoSpaceDE w:val="0"/>
        <w:autoSpaceDN w:val="0"/>
        <w:adjustRightInd w:val="0"/>
        <w:rPr>
          <w:rFonts w:cs="Times New Roman"/>
          <w:szCs w:val="24"/>
        </w:rPr>
      </w:pPr>
      <w:r w:rsidRPr="00E725A8">
        <w:rPr>
          <w:rFonts w:cs="Times New Roman"/>
          <w:szCs w:val="24"/>
        </w:rPr>
        <w:lastRenderedPageBreak/>
        <w:t xml:space="preserve">Także Internetowe Konto Pacjenta (IKP) zostało poszerzone o kolejne funkcjonalności, np. możliwość sprawdzenia informacji o wyniku badania na </w:t>
      </w:r>
      <w:proofErr w:type="spellStart"/>
      <w:r w:rsidRPr="00E725A8">
        <w:rPr>
          <w:rFonts w:cs="Times New Roman"/>
          <w:szCs w:val="24"/>
        </w:rPr>
        <w:t>koronawirusa</w:t>
      </w:r>
      <w:proofErr w:type="spellEnd"/>
      <w:r w:rsidRPr="00E725A8">
        <w:rPr>
          <w:rFonts w:cs="Times New Roman"/>
          <w:szCs w:val="24"/>
        </w:rPr>
        <w:t>, informacji o nałożeniu kwarantanny lub izolacji domowej. Pod koniec 2020 r. Centrum e-Zdrowia rozpoczęło realizację zadań wspierających proces szczepień w kierunku SARS-CoV-2. Te funkcjonalności w pośredni sposób również wpływają na bezpieczeństwo zdrowotne osób starszych.</w:t>
      </w:r>
    </w:p>
    <w:p w14:paraId="1C4A660B" w14:textId="77777777" w:rsidR="00A72EA6" w:rsidRPr="00E725A8" w:rsidRDefault="00A72EA6" w:rsidP="00E725A8">
      <w:pPr>
        <w:autoSpaceDE w:val="0"/>
        <w:autoSpaceDN w:val="0"/>
        <w:adjustRightInd w:val="0"/>
        <w:rPr>
          <w:rFonts w:cs="Times New Roman"/>
          <w:szCs w:val="24"/>
        </w:rPr>
      </w:pPr>
    </w:p>
    <w:p w14:paraId="636D05D9" w14:textId="6D3984EB" w:rsidR="00E725A8" w:rsidRDefault="00E725A8" w:rsidP="00E725A8">
      <w:pPr>
        <w:autoSpaceDE w:val="0"/>
        <w:autoSpaceDN w:val="0"/>
        <w:adjustRightInd w:val="0"/>
        <w:rPr>
          <w:rFonts w:cs="Times New Roman"/>
          <w:szCs w:val="24"/>
        </w:rPr>
      </w:pPr>
      <w:r w:rsidRPr="00E725A8">
        <w:rPr>
          <w:rFonts w:cs="Times New Roman"/>
          <w:szCs w:val="24"/>
        </w:rPr>
        <w:t xml:space="preserve">Jednocześnie, wdrożono program Domowej Opieki Medycznej (DOM), czyli systemu zdalnego monitoringu pacjentów z COVID-19. Program wykorzystuje </w:t>
      </w:r>
      <w:proofErr w:type="spellStart"/>
      <w:r w:rsidRPr="00E725A8">
        <w:rPr>
          <w:rFonts w:cs="Times New Roman"/>
          <w:szCs w:val="24"/>
        </w:rPr>
        <w:t>pulsoksymetr</w:t>
      </w:r>
      <w:proofErr w:type="spellEnd"/>
      <w:r w:rsidRPr="00E725A8">
        <w:rPr>
          <w:rFonts w:cs="Times New Roman"/>
          <w:szCs w:val="24"/>
        </w:rPr>
        <w:t xml:space="preserve"> jako narzędzie diagnostyczne oraz aplikację </w:t>
      </w:r>
      <w:proofErr w:type="spellStart"/>
      <w:r w:rsidRPr="00E725A8">
        <w:rPr>
          <w:rFonts w:cs="Times New Roman"/>
          <w:szCs w:val="24"/>
        </w:rPr>
        <w:t>PulsoCare</w:t>
      </w:r>
      <w:proofErr w:type="spellEnd"/>
      <w:r w:rsidRPr="00E725A8">
        <w:rPr>
          <w:rFonts w:cs="Times New Roman"/>
          <w:szCs w:val="24"/>
        </w:rPr>
        <w:t xml:space="preserve"> do przekazywania i monitoringu danych pacjentów. Ministerstwo Zdrowia uruchomiło program DOM jesienią 2020 r., mając na względzie znaczną liczbę pacjentów, w tym seniorów, z potwierdzonym zakażaniem wirusem SARS-CoV-2 przebywających w izolacji domowej.</w:t>
      </w:r>
    </w:p>
    <w:p w14:paraId="52AD0BCE" w14:textId="77777777" w:rsidR="00A72EA6" w:rsidRPr="00E725A8" w:rsidRDefault="00A72EA6" w:rsidP="00E725A8">
      <w:pPr>
        <w:autoSpaceDE w:val="0"/>
        <w:autoSpaceDN w:val="0"/>
        <w:adjustRightInd w:val="0"/>
        <w:rPr>
          <w:rFonts w:cs="Times New Roman"/>
          <w:szCs w:val="24"/>
        </w:rPr>
      </w:pPr>
    </w:p>
    <w:p w14:paraId="68862FE5" w14:textId="12160CD8" w:rsidR="00E725A8" w:rsidRDefault="00E725A8" w:rsidP="00E725A8">
      <w:pPr>
        <w:autoSpaceDE w:val="0"/>
        <w:autoSpaceDN w:val="0"/>
        <w:adjustRightInd w:val="0"/>
        <w:rPr>
          <w:rFonts w:cs="Times New Roman"/>
          <w:szCs w:val="24"/>
        </w:rPr>
      </w:pPr>
      <w:r w:rsidRPr="00E725A8">
        <w:rPr>
          <w:rFonts w:cs="Times New Roman"/>
          <w:szCs w:val="24"/>
        </w:rPr>
        <w:t>Program jest skierowany do wszystkich osób zakażonych</w:t>
      </w:r>
      <w:r w:rsidR="00CB43BC">
        <w:rPr>
          <w:rFonts w:cs="Times New Roman"/>
          <w:szCs w:val="24"/>
        </w:rPr>
        <w:t xml:space="preserve"> </w:t>
      </w:r>
      <w:proofErr w:type="spellStart"/>
      <w:r w:rsidR="00CB43BC">
        <w:rPr>
          <w:rFonts w:cs="Times New Roman"/>
          <w:szCs w:val="24"/>
        </w:rPr>
        <w:t>koronawirusem</w:t>
      </w:r>
      <w:proofErr w:type="spellEnd"/>
      <w:r w:rsidR="00CB43BC">
        <w:rPr>
          <w:rFonts w:cs="Times New Roman"/>
          <w:szCs w:val="24"/>
        </w:rPr>
        <w:t xml:space="preserve"> przebywających w </w:t>
      </w:r>
      <w:r w:rsidRPr="00E725A8">
        <w:rPr>
          <w:rFonts w:cs="Times New Roman"/>
          <w:szCs w:val="24"/>
        </w:rPr>
        <w:t>izolacji domowej. Pacjenci z potwierdzonym zakażeniem SARS-CoV-2, którzy ukończyli 55 lat, zostają automatycznie włączani do programu DOM. Pozostali pacjenci są kwalifikowani przez lekarzy POZ biorących udział w programie lub mogą zgłaszać się samodzielnie poprzez formularz na stronie internetowej. Urządzenia przekazywane są do wszystkich pacjentów, którzy posiadają telefon komórkowy lub stacjonarny.</w:t>
      </w:r>
    </w:p>
    <w:p w14:paraId="5607C885" w14:textId="77777777" w:rsidR="00A72EA6" w:rsidRPr="00E725A8" w:rsidRDefault="00A72EA6" w:rsidP="00E725A8">
      <w:pPr>
        <w:autoSpaceDE w:val="0"/>
        <w:autoSpaceDN w:val="0"/>
        <w:adjustRightInd w:val="0"/>
        <w:rPr>
          <w:rFonts w:cs="Times New Roman"/>
          <w:szCs w:val="24"/>
        </w:rPr>
      </w:pPr>
    </w:p>
    <w:p w14:paraId="7EE85927" w14:textId="4973A534" w:rsidR="00E725A8" w:rsidRDefault="00E725A8" w:rsidP="00E725A8">
      <w:pPr>
        <w:autoSpaceDE w:val="0"/>
        <w:autoSpaceDN w:val="0"/>
        <w:adjustRightInd w:val="0"/>
        <w:rPr>
          <w:rFonts w:cs="Times New Roman"/>
          <w:szCs w:val="24"/>
        </w:rPr>
      </w:pPr>
      <w:r w:rsidRPr="00E725A8">
        <w:rPr>
          <w:rFonts w:cs="Times New Roman"/>
          <w:szCs w:val="24"/>
        </w:rPr>
        <w:t xml:space="preserve">Pacjenci włączeni do programu DOM mogą przesyłać wyniki za pośrednictwem strony internetowej, infolinii oraz aplikacji mobilnej </w:t>
      </w:r>
      <w:proofErr w:type="spellStart"/>
      <w:r w:rsidRPr="00E725A8">
        <w:rPr>
          <w:rFonts w:cs="Times New Roman"/>
          <w:szCs w:val="24"/>
        </w:rPr>
        <w:t>PulsoCare</w:t>
      </w:r>
      <w:proofErr w:type="spellEnd"/>
      <w:r w:rsidRPr="00E725A8">
        <w:rPr>
          <w:rFonts w:cs="Times New Roman"/>
          <w:szCs w:val="24"/>
        </w:rPr>
        <w:t>. Po zakwalifikowaniu pacjent uzupełnia wywiad chorobowy oraz wykonuje pomiary monitorowanych parametrów (saturacja, tętno, temperatura, liczba oddechów, kwestionariusz ob</w:t>
      </w:r>
      <w:r w:rsidR="00CB43BC">
        <w:rPr>
          <w:rFonts w:cs="Times New Roman"/>
          <w:szCs w:val="24"/>
        </w:rPr>
        <w:t>jawów dodatkowych). Aplikacja w </w:t>
      </w:r>
      <w:r w:rsidRPr="00E725A8">
        <w:rPr>
          <w:rFonts w:cs="Times New Roman"/>
          <w:szCs w:val="24"/>
        </w:rPr>
        <w:t>prosty i intuicyjny sposób prowadzi go przez cały proces badania, regularnie przypominając o konieczności wykonywania pomiarów kontrolnych. Wszystkie wyniki badań są przesyłane do centralnej bazy danych.</w:t>
      </w:r>
    </w:p>
    <w:p w14:paraId="5904A275" w14:textId="77777777" w:rsidR="00A72EA6" w:rsidRPr="00E725A8" w:rsidRDefault="00A72EA6" w:rsidP="00E725A8">
      <w:pPr>
        <w:autoSpaceDE w:val="0"/>
        <w:autoSpaceDN w:val="0"/>
        <w:adjustRightInd w:val="0"/>
        <w:rPr>
          <w:rFonts w:cs="Times New Roman"/>
          <w:szCs w:val="24"/>
        </w:rPr>
      </w:pPr>
    </w:p>
    <w:p w14:paraId="32B11BC3" w14:textId="5F001550" w:rsidR="00E725A8" w:rsidRDefault="00E725A8" w:rsidP="00E725A8">
      <w:pPr>
        <w:autoSpaceDE w:val="0"/>
        <w:autoSpaceDN w:val="0"/>
        <w:adjustRightInd w:val="0"/>
        <w:rPr>
          <w:rFonts w:cs="Times New Roman"/>
          <w:szCs w:val="24"/>
        </w:rPr>
      </w:pPr>
      <w:r w:rsidRPr="00E725A8">
        <w:rPr>
          <w:rFonts w:cs="Times New Roman"/>
          <w:szCs w:val="24"/>
        </w:rPr>
        <w:t xml:space="preserve">Pacjenci, którzy nie mają telefonu komórkowego lub dostępu do Internetu, mogą zgłaszać wyniki swoich pomiarów z </w:t>
      </w:r>
      <w:proofErr w:type="spellStart"/>
      <w:r w:rsidRPr="00E725A8">
        <w:rPr>
          <w:rFonts w:cs="Times New Roman"/>
          <w:szCs w:val="24"/>
        </w:rPr>
        <w:t>pulsoksymetru</w:t>
      </w:r>
      <w:proofErr w:type="spellEnd"/>
      <w:r w:rsidRPr="00E725A8">
        <w:rPr>
          <w:rFonts w:cs="Times New Roman"/>
          <w:szCs w:val="24"/>
        </w:rPr>
        <w:t xml:space="preserve"> przez tel</w:t>
      </w:r>
      <w:r w:rsidR="00CB43BC">
        <w:rPr>
          <w:rFonts w:cs="Times New Roman"/>
          <w:szCs w:val="24"/>
        </w:rPr>
        <w:t>efon stacjonarny, korzystając z </w:t>
      </w:r>
      <w:r w:rsidRPr="00E725A8">
        <w:rPr>
          <w:rFonts w:cs="Times New Roman"/>
          <w:szCs w:val="24"/>
        </w:rPr>
        <w:t>automatycznej, całodobowej infolinii dostępnej pod numerem: 22 256 53 23</w:t>
      </w:r>
      <w:r w:rsidR="00CB43BC">
        <w:rPr>
          <w:rFonts w:cs="Times New Roman"/>
          <w:szCs w:val="24"/>
        </w:rPr>
        <w:t>. Konsultanci i </w:t>
      </w:r>
      <w:r w:rsidRPr="00E725A8">
        <w:rPr>
          <w:rFonts w:cs="Times New Roman"/>
          <w:szCs w:val="24"/>
        </w:rPr>
        <w:t xml:space="preserve">lekarze w specjalnie powołanym Centrum na bieżąco monitorują wyniki pomiarów pacjentów i w razie wychwycenia dekompensacji kierują na zdalną konsultację lekarską w formie </w:t>
      </w:r>
      <w:proofErr w:type="spellStart"/>
      <w:r w:rsidRPr="00E725A8">
        <w:rPr>
          <w:rFonts w:cs="Times New Roman"/>
          <w:szCs w:val="24"/>
        </w:rPr>
        <w:t>teleporady</w:t>
      </w:r>
      <w:proofErr w:type="spellEnd"/>
      <w:r w:rsidRPr="00E725A8">
        <w:rPr>
          <w:rFonts w:cs="Times New Roman"/>
          <w:szCs w:val="24"/>
        </w:rPr>
        <w:t>, a w przypadku potwierdzenia pogorszenia stanu zd</w:t>
      </w:r>
      <w:r w:rsidR="00CB43BC">
        <w:rPr>
          <w:rFonts w:cs="Times New Roman"/>
          <w:szCs w:val="24"/>
        </w:rPr>
        <w:t>rowia pacjent kierowany jest do </w:t>
      </w:r>
      <w:r w:rsidRPr="00E725A8">
        <w:rPr>
          <w:rFonts w:cs="Times New Roman"/>
          <w:szCs w:val="24"/>
        </w:rPr>
        <w:t>hospitalizacji. Dzięki DOM pacjent jest nadzorowany pr</w:t>
      </w:r>
      <w:r w:rsidR="00CB43BC">
        <w:rPr>
          <w:rFonts w:cs="Times New Roman"/>
          <w:szCs w:val="24"/>
        </w:rPr>
        <w:t>zez 24 godziny na dobę, 7 dni w </w:t>
      </w:r>
      <w:r w:rsidRPr="00E725A8">
        <w:rPr>
          <w:rFonts w:cs="Times New Roman"/>
          <w:szCs w:val="24"/>
        </w:rPr>
        <w:t>tygodniu.</w:t>
      </w:r>
    </w:p>
    <w:p w14:paraId="278ABB05" w14:textId="77777777" w:rsidR="00A72EA6" w:rsidRPr="00E725A8" w:rsidRDefault="00A72EA6" w:rsidP="00E725A8">
      <w:pPr>
        <w:autoSpaceDE w:val="0"/>
        <w:autoSpaceDN w:val="0"/>
        <w:adjustRightInd w:val="0"/>
        <w:rPr>
          <w:rFonts w:cs="Times New Roman"/>
          <w:szCs w:val="24"/>
        </w:rPr>
      </w:pPr>
    </w:p>
    <w:p w14:paraId="4F82E593" w14:textId="19BA6CB1" w:rsidR="00E725A8" w:rsidRDefault="00E725A8" w:rsidP="00E725A8">
      <w:pPr>
        <w:autoSpaceDE w:val="0"/>
        <w:autoSpaceDN w:val="0"/>
        <w:adjustRightInd w:val="0"/>
        <w:rPr>
          <w:rFonts w:cs="Times New Roman"/>
          <w:szCs w:val="24"/>
        </w:rPr>
      </w:pPr>
      <w:r w:rsidRPr="00E725A8">
        <w:rPr>
          <w:rFonts w:cs="Times New Roman"/>
          <w:szCs w:val="24"/>
        </w:rPr>
        <w:t>Program DOM ma na celu odciążyć system ochrony zdrowia, zmniejszyć śmiertelność spowodowaną pandemią</w:t>
      </w:r>
      <w:r w:rsidR="00CB43BC">
        <w:rPr>
          <w:rFonts w:cs="Times New Roman"/>
          <w:szCs w:val="24"/>
        </w:rPr>
        <w:t xml:space="preserve"> </w:t>
      </w:r>
      <w:proofErr w:type="spellStart"/>
      <w:r w:rsidR="00CB43BC">
        <w:rPr>
          <w:rFonts w:cs="Times New Roman"/>
          <w:szCs w:val="24"/>
        </w:rPr>
        <w:t>koronawirusa</w:t>
      </w:r>
      <w:proofErr w:type="spellEnd"/>
      <w:r w:rsidRPr="00E725A8">
        <w:rPr>
          <w:rFonts w:cs="Times New Roman"/>
          <w:szCs w:val="24"/>
        </w:rPr>
        <w:t xml:space="preserve">, jak i przyczynić się do poprawy bezpieczeństwa pacjentów leczonych domowo. Należy podkreślić, że projekt DOM bardzo szybko został wdrożony w skali całego kraju, a obecnie każdy z pacjentów z potwierdzonym zakażeniem COVID-19 może zostać objęty opieką w ramach programu. Dotychczas z programu skorzystało </w:t>
      </w:r>
      <w:r w:rsidRPr="00E725A8">
        <w:rPr>
          <w:rFonts w:cs="Times New Roman"/>
          <w:szCs w:val="24"/>
        </w:rPr>
        <w:lastRenderedPageBreak/>
        <w:t>ponad 560 tys. pacjentów w wieku 55+. Program jest bezpłatny i finansowany ze środków Ministerstwa Zdrowia.</w:t>
      </w:r>
    </w:p>
    <w:p w14:paraId="6E054684" w14:textId="77777777" w:rsidR="00A72EA6" w:rsidRPr="00E725A8" w:rsidRDefault="00A72EA6" w:rsidP="00E725A8">
      <w:pPr>
        <w:autoSpaceDE w:val="0"/>
        <w:autoSpaceDN w:val="0"/>
        <w:adjustRightInd w:val="0"/>
        <w:rPr>
          <w:rFonts w:cs="Times New Roman"/>
          <w:szCs w:val="24"/>
        </w:rPr>
      </w:pPr>
    </w:p>
    <w:p w14:paraId="6BAE1B28" w14:textId="44F79D36" w:rsidR="00E725A8" w:rsidRDefault="00A72EA6" w:rsidP="00A72EA6">
      <w:pPr>
        <w:pStyle w:val="Nagwek3"/>
      </w:pPr>
      <w:bookmarkStart w:id="98" w:name="_Toc80523085"/>
      <w:r>
        <w:t>Ś</w:t>
      </w:r>
      <w:r w:rsidRPr="00E725A8">
        <w:t>rodki ochrony indywidualnej dla placówek opieki zdrowotnej</w:t>
      </w:r>
      <w:bookmarkEnd w:id="98"/>
    </w:p>
    <w:p w14:paraId="6A56FD3A" w14:textId="77777777" w:rsidR="000759BF" w:rsidRPr="000759BF" w:rsidRDefault="000759BF" w:rsidP="000759BF"/>
    <w:p w14:paraId="1154B6CF" w14:textId="7EB213EB" w:rsidR="00E725A8" w:rsidRDefault="00E725A8" w:rsidP="00E725A8">
      <w:pPr>
        <w:autoSpaceDE w:val="0"/>
        <w:autoSpaceDN w:val="0"/>
        <w:adjustRightInd w:val="0"/>
        <w:rPr>
          <w:rFonts w:cs="Times New Roman"/>
          <w:szCs w:val="24"/>
        </w:rPr>
      </w:pPr>
      <w:r w:rsidRPr="00E725A8">
        <w:rPr>
          <w:rFonts w:cs="Times New Roman"/>
          <w:szCs w:val="24"/>
        </w:rPr>
        <w:t>W ramach wsparcia rządowego rozpoczęto udostępnia</w:t>
      </w:r>
      <w:r w:rsidR="00CB43BC">
        <w:rPr>
          <w:rFonts w:cs="Times New Roman"/>
          <w:szCs w:val="24"/>
        </w:rPr>
        <w:t>nie asortymentu zgromadzonego w </w:t>
      </w:r>
      <w:r w:rsidRPr="00E725A8">
        <w:rPr>
          <w:rFonts w:cs="Times New Roman"/>
          <w:szCs w:val="24"/>
        </w:rPr>
        <w:t>rezerwach strategicznych przez Agencję Rezerw Materiałowych, podlegającą ministrowi właściwemu do spraw energii, oraz dystrybucję środków zakupionych przez Ministerstwo Zdrowia i Kancelarię Prezesa Rady Ministrów.</w:t>
      </w:r>
    </w:p>
    <w:p w14:paraId="2D6A0E22" w14:textId="77777777" w:rsidR="00A72EA6" w:rsidRPr="00E725A8" w:rsidRDefault="00A72EA6" w:rsidP="00E725A8">
      <w:pPr>
        <w:autoSpaceDE w:val="0"/>
        <w:autoSpaceDN w:val="0"/>
        <w:adjustRightInd w:val="0"/>
        <w:rPr>
          <w:rFonts w:cs="Times New Roman"/>
          <w:szCs w:val="24"/>
        </w:rPr>
      </w:pPr>
    </w:p>
    <w:p w14:paraId="79F5DE9D"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Mając na celu zabezpieczenie najważniejszych i najpilniejszych potrzeb podmiotów, placówek, instytucji na terenie poszczególnych województw, od początku epidemii na polecenie Ministra Zdrowia przekazywano na rzecz Wojewodów:</w:t>
      </w:r>
    </w:p>
    <w:p w14:paraId="686A2ECF"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kombinezony i fartuchy ochronne,</w:t>
      </w:r>
    </w:p>
    <w:p w14:paraId="4C92AC1E"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maski włókninowe jednorazowe,</w:t>
      </w:r>
    </w:p>
    <w:p w14:paraId="31E1CA79"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półmaski filtrujące,</w:t>
      </w:r>
    </w:p>
    <w:p w14:paraId="3E215A0D"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gogle ochronne,</w:t>
      </w:r>
    </w:p>
    <w:p w14:paraId="20887340"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przyłbice ochronne,</w:t>
      </w:r>
    </w:p>
    <w:p w14:paraId="2DBA1F84"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osłony i ochraniacze na obuwie,</w:t>
      </w:r>
    </w:p>
    <w:p w14:paraId="5857C672"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płyn do dezynfekcji rąk, powierzchni czy sprzętu.</w:t>
      </w:r>
    </w:p>
    <w:p w14:paraId="7E966EB2" w14:textId="77777777" w:rsidR="00A72EA6" w:rsidRDefault="00A72EA6" w:rsidP="00E725A8">
      <w:pPr>
        <w:autoSpaceDE w:val="0"/>
        <w:autoSpaceDN w:val="0"/>
        <w:adjustRightInd w:val="0"/>
        <w:rPr>
          <w:rFonts w:cs="Times New Roman"/>
          <w:szCs w:val="24"/>
        </w:rPr>
      </w:pPr>
    </w:p>
    <w:p w14:paraId="3A64E5CC" w14:textId="6C21AD0E" w:rsidR="00E725A8" w:rsidRDefault="00E725A8" w:rsidP="00E725A8">
      <w:pPr>
        <w:autoSpaceDE w:val="0"/>
        <w:autoSpaceDN w:val="0"/>
        <w:adjustRightInd w:val="0"/>
        <w:rPr>
          <w:rFonts w:cs="Times New Roman"/>
          <w:szCs w:val="24"/>
        </w:rPr>
      </w:pPr>
      <w:r w:rsidRPr="00E725A8">
        <w:rPr>
          <w:rFonts w:cs="Times New Roman"/>
          <w:szCs w:val="24"/>
        </w:rPr>
        <w:t>Część z ww. zasobów - zgodnie z potrzebami zidentyfikowanymi przez urzędy wojewódzkie - została przekazana do ZOL/ZPO, hospicjów, ośrodków i szpitali psychiatrycznych, a także domów pomocy społecznej, schronisk, noclegowni oraz innych podobnych placówek.</w:t>
      </w:r>
    </w:p>
    <w:p w14:paraId="62F8DECE" w14:textId="77777777" w:rsidR="00A72EA6" w:rsidRPr="00E725A8" w:rsidRDefault="00A72EA6" w:rsidP="00E725A8">
      <w:pPr>
        <w:autoSpaceDE w:val="0"/>
        <w:autoSpaceDN w:val="0"/>
        <w:adjustRightInd w:val="0"/>
        <w:rPr>
          <w:rFonts w:cs="Times New Roman"/>
          <w:szCs w:val="24"/>
        </w:rPr>
      </w:pPr>
    </w:p>
    <w:p w14:paraId="4BD0898B" w14:textId="77777777" w:rsidR="00E725A8" w:rsidRPr="00E725A8" w:rsidRDefault="00E725A8" w:rsidP="00E725A8">
      <w:pPr>
        <w:autoSpaceDE w:val="0"/>
        <w:autoSpaceDN w:val="0"/>
        <w:adjustRightInd w:val="0"/>
        <w:rPr>
          <w:rFonts w:cs="Times New Roman"/>
          <w:b/>
          <w:szCs w:val="24"/>
        </w:rPr>
      </w:pPr>
      <w:r w:rsidRPr="00E725A8">
        <w:rPr>
          <w:rFonts w:cs="Times New Roman"/>
          <w:b/>
          <w:szCs w:val="24"/>
        </w:rPr>
        <w:t>Działania z zakresu profilaktyki</w:t>
      </w:r>
    </w:p>
    <w:p w14:paraId="1A396972" w14:textId="00887442" w:rsidR="00E725A8" w:rsidRDefault="00E725A8" w:rsidP="00E725A8">
      <w:pPr>
        <w:autoSpaceDE w:val="0"/>
        <w:autoSpaceDN w:val="0"/>
        <w:adjustRightInd w:val="0"/>
        <w:rPr>
          <w:rFonts w:cs="Times New Roman"/>
          <w:szCs w:val="24"/>
        </w:rPr>
      </w:pPr>
      <w:r w:rsidRPr="00E725A8">
        <w:rPr>
          <w:rFonts w:cs="Times New Roman"/>
          <w:szCs w:val="24"/>
        </w:rPr>
        <w:t>Ministerstwo Zdrowia wspólnie z Krajową Izbą Fizjoterapeutów w 2020 r. zrealizowało program profilaktyczny „Aktywny senior w domu”. W ramach projektu powstała seria kilkunastu bezpiecznych ćwiczeń, które seniorzy mogli wykonać w domu. Ćwiczenia zostały przygotowane przez fizjoterapeutów, na co dzień pracujących z pacjentami geriatrycznymi, neurologicznymi i kardiologicznymi i były dostosowane do możliwości osób w starszym wieku.</w:t>
      </w:r>
    </w:p>
    <w:p w14:paraId="0DE0BF47" w14:textId="77777777" w:rsidR="00A72EA6" w:rsidRPr="00E725A8" w:rsidRDefault="00A72EA6" w:rsidP="00E725A8">
      <w:pPr>
        <w:autoSpaceDE w:val="0"/>
        <w:autoSpaceDN w:val="0"/>
        <w:adjustRightInd w:val="0"/>
        <w:rPr>
          <w:rFonts w:cs="Times New Roman"/>
          <w:szCs w:val="24"/>
        </w:rPr>
      </w:pPr>
    </w:p>
    <w:p w14:paraId="35F1FFD5" w14:textId="74FB23FD" w:rsidR="00E725A8" w:rsidRDefault="00E725A8" w:rsidP="00E725A8">
      <w:pPr>
        <w:autoSpaceDE w:val="0"/>
        <w:autoSpaceDN w:val="0"/>
        <w:adjustRightInd w:val="0"/>
        <w:rPr>
          <w:rFonts w:cs="Times New Roman"/>
          <w:szCs w:val="24"/>
        </w:rPr>
      </w:pPr>
      <w:r w:rsidRPr="00E725A8">
        <w:rPr>
          <w:rFonts w:cs="Times New Roman"/>
          <w:szCs w:val="24"/>
        </w:rPr>
        <w:t>Ćwiczenia zostały zaprezentowane w formie krótkich, kilkuminutowych filmów i opublikowane (od 23 marca do 6 kwietnia 2020 r.) na specjalnej stronie https://</w:t>
      </w:r>
      <w:r w:rsidR="00CB43BC">
        <w:rPr>
          <w:rFonts w:cs="Times New Roman"/>
          <w:szCs w:val="24"/>
        </w:rPr>
        <w:t>fizjoterapiaporusza.pl/aktywny-</w:t>
      </w:r>
      <w:r w:rsidRPr="00E725A8">
        <w:rPr>
          <w:rFonts w:cs="Times New Roman"/>
          <w:szCs w:val="24"/>
        </w:rPr>
        <w:t>senior, na YouTube</w:t>
      </w:r>
      <w:r w:rsidR="00CB43BC">
        <w:rPr>
          <w:rStyle w:val="Odwoanieprzypisudolnego"/>
          <w:rFonts w:cs="Times New Roman"/>
          <w:szCs w:val="24"/>
        </w:rPr>
        <w:footnoteReference w:id="34"/>
      </w:r>
      <w:r w:rsidRPr="00E725A8">
        <w:rPr>
          <w:rFonts w:cs="Times New Roman"/>
          <w:szCs w:val="24"/>
        </w:rPr>
        <w:t xml:space="preserve"> oraz na fanpage Ministerstwa Zdrowia na Facebooku.</w:t>
      </w:r>
      <w:r w:rsidR="00A72EA6">
        <w:rPr>
          <w:rFonts w:cs="Times New Roman"/>
          <w:szCs w:val="24"/>
        </w:rPr>
        <w:t xml:space="preserve"> </w:t>
      </w:r>
      <w:r w:rsidRPr="00E725A8">
        <w:rPr>
          <w:rFonts w:cs="Times New Roman"/>
          <w:szCs w:val="24"/>
        </w:rPr>
        <w:t>Każdy z filmów prezentował inny zestaw ćwiczeń, zawierał również komentarz eksperta oraz wskazówki dotyczące liczby powtórzeń czy tempa. Cała seria kilkunastu filmów jest dostępna bezpłatnie w formie online.</w:t>
      </w:r>
    </w:p>
    <w:p w14:paraId="14E36273" w14:textId="77777777" w:rsidR="00A72EA6" w:rsidRPr="00E725A8" w:rsidRDefault="00A72EA6" w:rsidP="00E725A8">
      <w:pPr>
        <w:autoSpaceDE w:val="0"/>
        <w:autoSpaceDN w:val="0"/>
        <w:adjustRightInd w:val="0"/>
        <w:rPr>
          <w:rFonts w:cs="Times New Roman"/>
          <w:szCs w:val="24"/>
        </w:rPr>
      </w:pPr>
    </w:p>
    <w:p w14:paraId="1FF05184" w14:textId="77777777" w:rsidR="00E725A8" w:rsidRPr="00E725A8" w:rsidRDefault="00E725A8" w:rsidP="00E725A8">
      <w:pPr>
        <w:autoSpaceDE w:val="0"/>
        <w:autoSpaceDN w:val="0"/>
        <w:adjustRightInd w:val="0"/>
        <w:rPr>
          <w:rFonts w:cs="Times New Roman"/>
          <w:szCs w:val="24"/>
        </w:rPr>
      </w:pPr>
      <w:r w:rsidRPr="00E725A8">
        <w:rPr>
          <w:rFonts w:cs="Times New Roman"/>
          <w:szCs w:val="24"/>
        </w:rPr>
        <w:lastRenderedPageBreak/>
        <w:t xml:space="preserve">Ponadto, MZ w 2020 r. prowadziło akcję informacyjną na temat bezpieczeństwa seniorów podczas epidemii </w:t>
      </w:r>
      <w:proofErr w:type="spellStart"/>
      <w:r w:rsidRPr="00E725A8">
        <w:rPr>
          <w:rFonts w:cs="Times New Roman"/>
          <w:szCs w:val="24"/>
        </w:rPr>
        <w:t>koronawirusa</w:t>
      </w:r>
      <w:proofErr w:type="spellEnd"/>
      <w:r w:rsidRPr="00E725A8">
        <w:rPr>
          <w:rFonts w:cs="Times New Roman"/>
          <w:szCs w:val="24"/>
        </w:rPr>
        <w:t>.</w:t>
      </w:r>
    </w:p>
    <w:p w14:paraId="61740533" w14:textId="530E9F97" w:rsidR="00E725A8" w:rsidRPr="00E725A8" w:rsidRDefault="00E725A8" w:rsidP="00E725A8">
      <w:pPr>
        <w:autoSpaceDE w:val="0"/>
        <w:autoSpaceDN w:val="0"/>
        <w:adjustRightInd w:val="0"/>
        <w:rPr>
          <w:rFonts w:cs="Times New Roman"/>
          <w:szCs w:val="24"/>
        </w:rPr>
      </w:pPr>
      <w:r w:rsidRPr="00E725A8">
        <w:rPr>
          <w:rFonts w:cs="Times New Roman"/>
          <w:szCs w:val="24"/>
        </w:rPr>
        <w:t>Dzięki przygotowanym plakatom, ulotkom i grafikom oso</w:t>
      </w:r>
      <w:r w:rsidR="00CB43BC">
        <w:rPr>
          <w:rFonts w:cs="Times New Roman"/>
          <w:szCs w:val="24"/>
        </w:rPr>
        <w:t>by starsze mogły zapoznać się z </w:t>
      </w:r>
      <w:r w:rsidRPr="00E725A8">
        <w:rPr>
          <w:rFonts w:cs="Times New Roman"/>
          <w:szCs w:val="24"/>
        </w:rPr>
        <w:t>informacjami na temat COVID-19, w tym m.in.:</w:t>
      </w:r>
    </w:p>
    <w:p w14:paraId="3AF863F9"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sposobami zapobiegania zakażeniu,</w:t>
      </w:r>
    </w:p>
    <w:p w14:paraId="66201741"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rozpoznawania objawów zakażenia,</w:t>
      </w:r>
    </w:p>
    <w:p w14:paraId="7829039C"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czasu trwania choroby,</w:t>
      </w:r>
    </w:p>
    <w:p w14:paraId="587C6032"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kwarantanny,</w:t>
      </w:r>
    </w:p>
    <w:p w14:paraId="368346FD" w14:textId="7244A2F3" w:rsid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miejsc, gdzie mogą uzyskać pomoc.</w:t>
      </w:r>
    </w:p>
    <w:p w14:paraId="4E2C47ED" w14:textId="77777777" w:rsidR="00A72EA6" w:rsidRPr="00E725A8" w:rsidRDefault="00A72EA6" w:rsidP="00E725A8">
      <w:pPr>
        <w:autoSpaceDE w:val="0"/>
        <w:autoSpaceDN w:val="0"/>
        <w:adjustRightInd w:val="0"/>
        <w:rPr>
          <w:rFonts w:cs="Times New Roman"/>
          <w:szCs w:val="24"/>
        </w:rPr>
      </w:pPr>
    </w:p>
    <w:p w14:paraId="6547362B" w14:textId="3EC8E24E" w:rsidR="00E725A8" w:rsidRDefault="00E725A8" w:rsidP="00E725A8">
      <w:pPr>
        <w:autoSpaceDE w:val="0"/>
        <w:autoSpaceDN w:val="0"/>
        <w:adjustRightInd w:val="0"/>
        <w:rPr>
          <w:rFonts w:cs="Times New Roman"/>
          <w:szCs w:val="24"/>
        </w:rPr>
      </w:pPr>
      <w:r w:rsidRPr="00E725A8">
        <w:rPr>
          <w:rFonts w:cs="Times New Roman"/>
          <w:szCs w:val="24"/>
        </w:rPr>
        <w:t>Materiały publikowane były w mediach społecznośc</w:t>
      </w:r>
      <w:r w:rsidR="00CB43BC">
        <w:rPr>
          <w:rFonts w:cs="Times New Roman"/>
          <w:szCs w:val="24"/>
        </w:rPr>
        <w:t>iowych Ministerstwa Zdrowia, na </w:t>
      </w:r>
      <w:r w:rsidRPr="00E725A8">
        <w:rPr>
          <w:rFonts w:cs="Times New Roman"/>
          <w:szCs w:val="24"/>
        </w:rPr>
        <w:t>dedykowanej stronie www.gov.pl/koronawirus, oraz przekazane do rozdystrybuowania przez placówki ochrony zdrowia w całej Polsce. Akcja skierowana była nie tylko bezpośrednio do seniorów, ale także do ich bliskich - osoby młodsze, np. dzieci, czy też wnuki, mogły przekazać ww. materiały swoim rodzicom/dziadkom w starszym wieku.</w:t>
      </w:r>
    </w:p>
    <w:p w14:paraId="3494074A" w14:textId="77777777" w:rsidR="00A72EA6" w:rsidRPr="00E725A8" w:rsidRDefault="00A72EA6" w:rsidP="00E725A8">
      <w:pPr>
        <w:autoSpaceDE w:val="0"/>
        <w:autoSpaceDN w:val="0"/>
        <w:adjustRightInd w:val="0"/>
        <w:rPr>
          <w:rFonts w:cs="Times New Roman"/>
          <w:szCs w:val="24"/>
        </w:rPr>
      </w:pPr>
    </w:p>
    <w:p w14:paraId="77F5FCCA" w14:textId="77777777" w:rsidR="00E725A8" w:rsidRPr="00E725A8" w:rsidRDefault="00E725A8" w:rsidP="00E725A8">
      <w:pPr>
        <w:autoSpaceDE w:val="0"/>
        <w:autoSpaceDN w:val="0"/>
        <w:adjustRightInd w:val="0"/>
        <w:rPr>
          <w:rFonts w:cs="Times New Roman"/>
          <w:b/>
          <w:szCs w:val="24"/>
        </w:rPr>
      </w:pPr>
      <w:r w:rsidRPr="00E725A8">
        <w:rPr>
          <w:rFonts w:cs="Times New Roman"/>
          <w:b/>
          <w:szCs w:val="24"/>
        </w:rPr>
        <w:t>Inicjatywy Narodowego Instytutu Geriatrii, Reumatologii i Rehabilitacji podejmowane na rzecz osób starszych w związku z epidemią COVID-19</w:t>
      </w:r>
    </w:p>
    <w:p w14:paraId="3345B051" w14:textId="4B18B74B" w:rsidR="00E725A8" w:rsidRPr="00E725A8" w:rsidRDefault="00E725A8" w:rsidP="00E725A8">
      <w:pPr>
        <w:autoSpaceDE w:val="0"/>
        <w:autoSpaceDN w:val="0"/>
        <w:adjustRightInd w:val="0"/>
        <w:rPr>
          <w:rFonts w:cs="Times New Roman"/>
          <w:szCs w:val="24"/>
        </w:rPr>
      </w:pPr>
      <w:r w:rsidRPr="00E725A8">
        <w:rPr>
          <w:rFonts w:cs="Times New Roman"/>
          <w:szCs w:val="24"/>
        </w:rPr>
        <w:t>W Klinice Geriatrii - przekształconej w oddział do walki z pandemią COVID - udzielano stacjonarnych świadczeń pacjentom zakażonych SARS-CoV-2.</w:t>
      </w:r>
      <w:r w:rsidR="00A72EA6">
        <w:rPr>
          <w:rFonts w:cs="Times New Roman"/>
          <w:szCs w:val="24"/>
        </w:rPr>
        <w:t xml:space="preserve"> </w:t>
      </w:r>
      <w:r w:rsidRPr="00E725A8">
        <w:rPr>
          <w:rFonts w:cs="Times New Roman"/>
          <w:szCs w:val="24"/>
        </w:rPr>
        <w:t>W czasie epidemii COVID-19 NIGRIR prowadził także działania mające na celu upowszechnienie publikowanych przez Ministerstwo Zdrowia:</w:t>
      </w:r>
    </w:p>
    <w:p w14:paraId="1389CF39" w14:textId="77777777" w:rsidR="00E725A8" w:rsidRDefault="00E725A8" w:rsidP="00FE70E3">
      <w:pPr>
        <w:pStyle w:val="Akapitzlist"/>
        <w:numPr>
          <w:ilvl w:val="0"/>
          <w:numId w:val="34"/>
        </w:numPr>
        <w:autoSpaceDE w:val="0"/>
        <w:autoSpaceDN w:val="0"/>
        <w:adjustRightInd w:val="0"/>
        <w:rPr>
          <w:rFonts w:cs="Times New Roman"/>
          <w:szCs w:val="24"/>
        </w:rPr>
      </w:pPr>
      <w:r w:rsidRPr="00E725A8">
        <w:rPr>
          <w:rFonts w:cs="Times New Roman"/>
          <w:szCs w:val="24"/>
        </w:rPr>
        <w:t>zaleceń w zakresie postępowania prewencyjnego w obliczu epidemii SARS-CoV-2 (linki dot. szkoleń krajowych, zagranicznych, zakładania i zdejmowania odzieży ochronnej) oraz</w:t>
      </w:r>
    </w:p>
    <w:p w14:paraId="28DF6F3D" w14:textId="77777777" w:rsidR="00E725A8" w:rsidRPr="00E725A8" w:rsidRDefault="00E725A8" w:rsidP="00FE70E3">
      <w:pPr>
        <w:pStyle w:val="Akapitzlist"/>
        <w:numPr>
          <w:ilvl w:val="0"/>
          <w:numId w:val="34"/>
        </w:numPr>
        <w:autoSpaceDE w:val="0"/>
        <w:autoSpaceDN w:val="0"/>
        <w:adjustRightInd w:val="0"/>
        <w:rPr>
          <w:rFonts w:cs="Times New Roman"/>
          <w:szCs w:val="24"/>
        </w:rPr>
      </w:pPr>
      <w:r w:rsidRPr="00E725A8">
        <w:rPr>
          <w:rFonts w:cs="Times New Roman"/>
          <w:szCs w:val="24"/>
        </w:rPr>
        <w:t>rekomendacji poszczególnych konsultantów krajowych.</w:t>
      </w:r>
    </w:p>
    <w:p w14:paraId="0DBE5C9F" w14:textId="7CED0848" w:rsidR="00E725A8" w:rsidRPr="00E725A8" w:rsidRDefault="00E725A8" w:rsidP="00E725A8">
      <w:pPr>
        <w:autoSpaceDE w:val="0"/>
        <w:autoSpaceDN w:val="0"/>
        <w:adjustRightInd w:val="0"/>
        <w:rPr>
          <w:rFonts w:cs="Times New Roman"/>
          <w:szCs w:val="24"/>
        </w:rPr>
      </w:pPr>
      <w:proofErr w:type="spellStart"/>
      <w:r w:rsidRPr="00E725A8">
        <w:rPr>
          <w:rFonts w:cs="Times New Roman"/>
          <w:szCs w:val="24"/>
        </w:rPr>
        <w:t>NIGRiR</w:t>
      </w:r>
      <w:proofErr w:type="spellEnd"/>
      <w:r w:rsidRPr="00E725A8">
        <w:rPr>
          <w:rFonts w:cs="Times New Roman"/>
          <w:szCs w:val="24"/>
        </w:rPr>
        <w:t xml:space="preserve"> przekazywał również środowisku medycznemu informacje pozyskiwane od MZ, GIS, NIZP- PZH oraz opinie eksperckie.</w:t>
      </w:r>
      <w:r w:rsidR="00A72EA6">
        <w:rPr>
          <w:rFonts w:cs="Times New Roman"/>
          <w:szCs w:val="24"/>
        </w:rPr>
        <w:t xml:space="preserve"> </w:t>
      </w:r>
      <w:r w:rsidRPr="00E725A8">
        <w:rPr>
          <w:rFonts w:cs="Times New Roman"/>
          <w:szCs w:val="24"/>
        </w:rPr>
        <w:t>Przekazano konsultantom w</w:t>
      </w:r>
      <w:r w:rsidR="00CB43BC">
        <w:rPr>
          <w:rFonts w:cs="Times New Roman"/>
          <w:szCs w:val="24"/>
        </w:rPr>
        <w:t>ojewódzkim i </w:t>
      </w:r>
      <w:r w:rsidRPr="00E725A8">
        <w:rPr>
          <w:rFonts w:cs="Times New Roman"/>
          <w:szCs w:val="24"/>
        </w:rPr>
        <w:t>współpracującym podmiotom leczniczym zbiory informacji zgromadzone w formie elektronicznej.</w:t>
      </w:r>
    </w:p>
    <w:p w14:paraId="5AF4043F" w14:textId="77777777" w:rsidR="00E725A8" w:rsidRPr="00E725A8" w:rsidRDefault="00E725A8" w:rsidP="00E725A8">
      <w:pPr>
        <w:autoSpaceDE w:val="0"/>
        <w:autoSpaceDN w:val="0"/>
        <w:adjustRightInd w:val="0"/>
        <w:rPr>
          <w:rFonts w:cs="Times New Roman"/>
          <w:szCs w:val="24"/>
        </w:rPr>
      </w:pPr>
    </w:p>
    <w:p w14:paraId="5E53BF79" w14:textId="20715A13" w:rsidR="00E725A8" w:rsidRDefault="000759BF" w:rsidP="00E725A8">
      <w:pPr>
        <w:pStyle w:val="Nagwek3"/>
        <w:ind w:left="709" w:hanging="709"/>
      </w:pPr>
      <w:bookmarkStart w:id="99" w:name="_Toc77513931"/>
      <w:bookmarkStart w:id="100" w:name="_Toc80523086"/>
      <w:r>
        <w:t>D</w:t>
      </w:r>
      <w:r w:rsidRPr="00E725A8">
        <w:t>ziałania z zakresu profilaktyki i promocji zdrowia</w:t>
      </w:r>
      <w:r>
        <w:t xml:space="preserve"> </w:t>
      </w:r>
      <w:r w:rsidRPr="00E725A8">
        <w:t>realizowane</w:t>
      </w:r>
      <w:r>
        <w:t xml:space="preserve"> </w:t>
      </w:r>
      <w:r w:rsidRPr="00E725A8">
        <w:t>przez ministerstwo zdrowia</w:t>
      </w:r>
      <w:bookmarkEnd w:id="99"/>
      <w:bookmarkEnd w:id="100"/>
    </w:p>
    <w:p w14:paraId="37994054" w14:textId="77777777" w:rsidR="00BD4BDA" w:rsidRPr="00BD4BDA" w:rsidRDefault="00BD4BDA" w:rsidP="00BD4BDA"/>
    <w:p w14:paraId="4DE575F3" w14:textId="77777777" w:rsidR="00E725A8" w:rsidRPr="00E725A8" w:rsidRDefault="00E725A8" w:rsidP="00E725A8">
      <w:pPr>
        <w:autoSpaceDE w:val="0"/>
        <w:autoSpaceDN w:val="0"/>
        <w:adjustRightInd w:val="0"/>
        <w:rPr>
          <w:rFonts w:cs="Times New Roman"/>
          <w:b/>
          <w:szCs w:val="24"/>
        </w:rPr>
      </w:pPr>
      <w:r w:rsidRPr="00E725A8">
        <w:rPr>
          <w:rFonts w:cs="Times New Roman"/>
          <w:b/>
          <w:szCs w:val="24"/>
        </w:rPr>
        <w:t>Realizacja Narodowego Programu Zdrowia na lata 2016-2020</w:t>
      </w:r>
    </w:p>
    <w:p w14:paraId="76EAC1D1" w14:textId="77047CFC" w:rsidR="00E725A8" w:rsidRDefault="00E725A8" w:rsidP="00E725A8">
      <w:pPr>
        <w:autoSpaceDE w:val="0"/>
        <w:autoSpaceDN w:val="0"/>
        <w:adjustRightInd w:val="0"/>
        <w:rPr>
          <w:rFonts w:cs="Times New Roman"/>
          <w:szCs w:val="24"/>
        </w:rPr>
      </w:pPr>
      <w:r w:rsidRPr="00E725A8">
        <w:rPr>
          <w:rFonts w:cs="Times New Roman"/>
          <w:szCs w:val="24"/>
        </w:rPr>
        <w:t>Ministerstwo Zdrowia, dostrzegając wzrastające potrzeby zdrowotne osób w starszym wieku, koncentruje się nie tylko na zapewnieniu właściwej dostępności i jakości udzielanych świadczeń medycznych, ale również podejmuje zadania ukierunkowane na profilaktykę i</w:t>
      </w:r>
      <w:r w:rsidR="00CB43BC">
        <w:rPr>
          <w:rFonts w:cs="Times New Roman"/>
          <w:szCs w:val="24"/>
        </w:rPr>
        <w:t> </w:t>
      </w:r>
      <w:r w:rsidRPr="00E725A8">
        <w:rPr>
          <w:rFonts w:cs="Times New Roman"/>
          <w:szCs w:val="24"/>
        </w:rPr>
        <w:t xml:space="preserve">promocję zdrowia </w:t>
      </w:r>
      <w:proofErr w:type="spellStart"/>
      <w:r w:rsidRPr="00E725A8">
        <w:rPr>
          <w:rFonts w:cs="Times New Roman"/>
          <w:szCs w:val="24"/>
        </w:rPr>
        <w:t>wspołeczeństwie</w:t>
      </w:r>
      <w:proofErr w:type="spellEnd"/>
      <w:r w:rsidRPr="00E725A8">
        <w:rPr>
          <w:rFonts w:cs="Times New Roman"/>
          <w:szCs w:val="24"/>
        </w:rPr>
        <w:t>. Jednym z priorytetów Ministerstwa jest poprawa zdrowia Polaków i zapobieganie chorobom m.in. poprzez edukację zdrowotną i promowanie zdrowego stylu życia.</w:t>
      </w:r>
    </w:p>
    <w:p w14:paraId="0BC7E845" w14:textId="77777777" w:rsidR="005A50FB" w:rsidRPr="00E725A8" w:rsidRDefault="005A50FB" w:rsidP="00E725A8">
      <w:pPr>
        <w:autoSpaceDE w:val="0"/>
        <w:autoSpaceDN w:val="0"/>
        <w:adjustRightInd w:val="0"/>
        <w:rPr>
          <w:rFonts w:cs="Times New Roman"/>
          <w:szCs w:val="24"/>
        </w:rPr>
      </w:pPr>
    </w:p>
    <w:p w14:paraId="271A6743" w14:textId="7DD99676" w:rsidR="00E725A8" w:rsidRDefault="00E725A8" w:rsidP="00E725A8">
      <w:pPr>
        <w:autoSpaceDE w:val="0"/>
        <w:autoSpaceDN w:val="0"/>
        <w:adjustRightInd w:val="0"/>
        <w:rPr>
          <w:rFonts w:cs="Times New Roman"/>
          <w:szCs w:val="24"/>
        </w:rPr>
      </w:pPr>
      <w:r w:rsidRPr="00E725A8">
        <w:rPr>
          <w:rFonts w:cs="Times New Roman"/>
          <w:szCs w:val="24"/>
        </w:rPr>
        <w:lastRenderedPageBreak/>
        <w:t>Zadania na rzecz promocji zdrowia oraz profilaktyki zdrowotnej osób starszych realizowane są na mocy ustawy z dnia 11 września 2015 r. o zdrowiu publicznym (Dz. U. z 2</w:t>
      </w:r>
      <w:r w:rsidR="000E04AE">
        <w:rPr>
          <w:rFonts w:cs="Times New Roman"/>
          <w:szCs w:val="24"/>
        </w:rPr>
        <w:t>021</w:t>
      </w:r>
      <w:r w:rsidRPr="00E725A8">
        <w:rPr>
          <w:rFonts w:cs="Times New Roman"/>
          <w:szCs w:val="24"/>
        </w:rPr>
        <w:t xml:space="preserve"> r. poz. </w:t>
      </w:r>
      <w:r w:rsidR="000E04AE">
        <w:rPr>
          <w:rFonts w:cs="Times New Roman"/>
          <w:szCs w:val="24"/>
        </w:rPr>
        <w:t xml:space="preserve">183, z </w:t>
      </w:r>
      <w:proofErr w:type="spellStart"/>
      <w:r w:rsidR="00DA31D4">
        <w:rPr>
          <w:rFonts w:cs="Times New Roman"/>
          <w:szCs w:val="24"/>
        </w:rPr>
        <w:t>późn</w:t>
      </w:r>
      <w:proofErr w:type="spellEnd"/>
      <w:r w:rsidR="00DA31D4">
        <w:rPr>
          <w:rFonts w:cs="Times New Roman"/>
          <w:szCs w:val="24"/>
        </w:rPr>
        <w:t>. zm.</w:t>
      </w:r>
      <w:r w:rsidRPr="00E725A8">
        <w:rPr>
          <w:rFonts w:cs="Times New Roman"/>
          <w:szCs w:val="24"/>
        </w:rPr>
        <w:t xml:space="preserve">) oraz rozporządzenia Rady Ministrów z dnia 4 sierpnia 2016 r. w sprawie Narodowego Programu Zdrowia na lata 2016-2020 </w:t>
      </w:r>
      <w:r w:rsidR="00DA31D4">
        <w:rPr>
          <w:rFonts w:cs="Times New Roman"/>
          <w:szCs w:val="24"/>
        </w:rPr>
        <w:t>(Dz. U. poz. 1492)</w:t>
      </w:r>
      <w:r w:rsidRPr="00E725A8">
        <w:rPr>
          <w:rFonts w:cs="Times New Roman"/>
          <w:szCs w:val="24"/>
        </w:rPr>
        <w:t>. W Narodowym Programie Zdrowia na lata 2016-2020 (NPZ), wydzielony został cel operacyjny dedykowany obecnym i przyszłym osobom starszym - Promocja zdrowego i aktywnego starzenia się.</w:t>
      </w:r>
    </w:p>
    <w:p w14:paraId="4B8CF7ED" w14:textId="77777777" w:rsidR="005A50FB" w:rsidRPr="00E725A8" w:rsidRDefault="005A50FB" w:rsidP="00E725A8">
      <w:pPr>
        <w:autoSpaceDE w:val="0"/>
        <w:autoSpaceDN w:val="0"/>
        <w:adjustRightInd w:val="0"/>
        <w:rPr>
          <w:rFonts w:cs="Times New Roman"/>
          <w:szCs w:val="24"/>
        </w:rPr>
      </w:pPr>
    </w:p>
    <w:p w14:paraId="3AF84464"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 2020 r. w ramach NPZ prowadzone były m.in. następujące działania z zakresu profilaktyki i promocji zdrowia skierowane bezpośrednio lub pośrednio do osób starszych:</w:t>
      </w:r>
    </w:p>
    <w:p w14:paraId="61647C01" w14:textId="5917A426" w:rsidR="00E725A8" w:rsidRPr="005A50FB" w:rsidRDefault="00E725A8" w:rsidP="00FE70E3">
      <w:pPr>
        <w:pStyle w:val="Akapitzlist"/>
        <w:numPr>
          <w:ilvl w:val="0"/>
          <w:numId w:val="88"/>
        </w:numPr>
        <w:autoSpaceDE w:val="0"/>
        <w:autoSpaceDN w:val="0"/>
        <w:adjustRightInd w:val="0"/>
        <w:rPr>
          <w:rFonts w:cs="Times New Roman"/>
          <w:szCs w:val="24"/>
        </w:rPr>
      </w:pPr>
      <w:r w:rsidRPr="005A50FB">
        <w:rPr>
          <w:rFonts w:cs="Times New Roman"/>
          <w:szCs w:val="24"/>
        </w:rPr>
        <w:t>Edukacja zdrowotna w profilaktyce urazów i w promocji bezpieczeństwa</w:t>
      </w:r>
    </w:p>
    <w:p w14:paraId="66F61DBC"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realizator: Narodowy Instytut Zdrowia Publicznego - Państwowy Zakład Higieny</w:t>
      </w:r>
    </w:p>
    <w:p w14:paraId="0ADF9A4E"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Realizacja zadania ma na celu pozyskanie danych na temat występowania urazów wśród osób starszych, podniesienie wiedzy opiekunów osób starszych na temat profilaktyki urazów wśród osób 60+, a także wypracowanie standardów projektowania obiektów dostosowanych do potrzeb tej grupy.</w:t>
      </w:r>
    </w:p>
    <w:p w14:paraId="3F2F501E" w14:textId="7CA5054B" w:rsid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W 2020 r. w ramach zadania Realizator przygotował Raport końcowy zawierający analizę adekwatności i efektywności świadczeń udzielanych osobom starszym.</w:t>
      </w:r>
    </w:p>
    <w:p w14:paraId="61C8FCD7" w14:textId="77777777" w:rsidR="005A50FB" w:rsidRPr="00E725A8" w:rsidRDefault="005A50FB" w:rsidP="00E725A8">
      <w:pPr>
        <w:autoSpaceDE w:val="0"/>
        <w:autoSpaceDN w:val="0"/>
        <w:adjustRightInd w:val="0"/>
        <w:rPr>
          <w:rFonts w:cs="Times New Roman"/>
          <w:szCs w:val="24"/>
        </w:rPr>
      </w:pPr>
    </w:p>
    <w:p w14:paraId="15216811" w14:textId="26F63CD8" w:rsidR="00E725A8" w:rsidRPr="005A50FB" w:rsidRDefault="00E725A8" w:rsidP="00FE70E3">
      <w:pPr>
        <w:pStyle w:val="Akapitzlist"/>
        <w:numPr>
          <w:ilvl w:val="0"/>
          <w:numId w:val="88"/>
        </w:numPr>
        <w:autoSpaceDE w:val="0"/>
        <w:autoSpaceDN w:val="0"/>
        <w:adjustRightInd w:val="0"/>
        <w:rPr>
          <w:rFonts w:cs="Times New Roman"/>
          <w:szCs w:val="24"/>
        </w:rPr>
      </w:pPr>
      <w:r w:rsidRPr="005A50FB">
        <w:rPr>
          <w:rFonts w:cs="Times New Roman"/>
          <w:szCs w:val="24"/>
        </w:rPr>
        <w:t>Edukacja pracodawców, menedżerów, specjalistów zarządzania zasobami ludzkimi</w:t>
      </w:r>
    </w:p>
    <w:p w14:paraId="3DA20D7F"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i ochrony zdrowia pracujących w zakresie tworzenia i realizacji w zakładach pracy programów zarządzania zdrowiem starzejących się pracowników</w:t>
      </w:r>
    </w:p>
    <w:p w14:paraId="0CEC9941"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 xml:space="preserve">realizator: Instytut Medycyny Pracy im. prof. dra med. Jerzego </w:t>
      </w:r>
      <w:proofErr w:type="spellStart"/>
      <w:r w:rsidRPr="00E725A8">
        <w:rPr>
          <w:rFonts w:cs="Times New Roman"/>
          <w:szCs w:val="24"/>
        </w:rPr>
        <w:t>Nofera</w:t>
      </w:r>
      <w:proofErr w:type="spellEnd"/>
      <w:r w:rsidRPr="00E725A8">
        <w:rPr>
          <w:rFonts w:cs="Times New Roman"/>
          <w:szCs w:val="24"/>
        </w:rPr>
        <w:t xml:space="preserve"> w Łodzi</w:t>
      </w:r>
    </w:p>
    <w:p w14:paraId="6BC01D77"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Celem głównym realizacji projektu jest zwiększenie motywacji i kompetencji pracodawców, menedżerów i specjalistów zarządzania zasobami ludzkimi do realizacji programów zarządzania zdrowiem starzejących się pracowników w średnich i dużych zakładach pracy.</w:t>
      </w:r>
    </w:p>
    <w:p w14:paraId="443749AD" w14:textId="609BB606" w:rsid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W 2020 r</w:t>
      </w:r>
      <w:r w:rsidR="00AD7202">
        <w:rPr>
          <w:rFonts w:cs="Times New Roman"/>
          <w:szCs w:val="24"/>
        </w:rPr>
        <w:t>.</w:t>
      </w:r>
      <w:r w:rsidRPr="00E725A8">
        <w:rPr>
          <w:rFonts w:cs="Times New Roman"/>
          <w:szCs w:val="24"/>
        </w:rPr>
        <w:t xml:space="preserve"> przygotowano m.in. materiały edukacyjno-informacyjne dot. fizjologicznych i ergonomicznych aspektów organizacji pracy zdalnej ze szczególnym uwzględnieniem pracowników starszych.</w:t>
      </w:r>
    </w:p>
    <w:p w14:paraId="588597DC" w14:textId="77777777" w:rsidR="005A50FB" w:rsidRPr="00E725A8" w:rsidRDefault="005A50FB" w:rsidP="00E725A8">
      <w:pPr>
        <w:autoSpaceDE w:val="0"/>
        <w:autoSpaceDN w:val="0"/>
        <w:adjustRightInd w:val="0"/>
        <w:rPr>
          <w:rFonts w:cs="Times New Roman"/>
          <w:szCs w:val="24"/>
        </w:rPr>
      </w:pPr>
    </w:p>
    <w:p w14:paraId="18125DF9" w14:textId="49718AC6" w:rsidR="00E725A8" w:rsidRPr="005A50FB" w:rsidRDefault="00E725A8" w:rsidP="00FE70E3">
      <w:pPr>
        <w:pStyle w:val="Akapitzlist"/>
        <w:numPr>
          <w:ilvl w:val="0"/>
          <w:numId w:val="88"/>
        </w:numPr>
        <w:autoSpaceDE w:val="0"/>
        <w:autoSpaceDN w:val="0"/>
        <w:adjustRightInd w:val="0"/>
        <w:rPr>
          <w:rFonts w:cs="Times New Roman"/>
          <w:szCs w:val="24"/>
        </w:rPr>
      </w:pPr>
      <w:r w:rsidRPr="005A50FB">
        <w:rPr>
          <w:rFonts w:cs="Times New Roman"/>
          <w:szCs w:val="24"/>
        </w:rPr>
        <w:t>Realizacja badania poszczególnych obszarów stanu zdrowia osób starszych, w tym jakości życia związanej ze zdrowiem</w:t>
      </w:r>
    </w:p>
    <w:p w14:paraId="13ABD10F"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realizator: Gdański Uniwersytet Medyczny</w:t>
      </w:r>
    </w:p>
    <w:p w14:paraId="417FD762" w14:textId="139350D8"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Celem realizacji zadania jest zbadanie sytuacji epi</w:t>
      </w:r>
      <w:r w:rsidR="00641C42">
        <w:rPr>
          <w:rFonts w:cs="Times New Roman"/>
          <w:szCs w:val="24"/>
        </w:rPr>
        <w:t>demiologicznej osób starszych w </w:t>
      </w:r>
      <w:r w:rsidRPr="00E725A8">
        <w:rPr>
          <w:rFonts w:cs="Times New Roman"/>
          <w:szCs w:val="24"/>
        </w:rPr>
        <w:t xml:space="preserve">Polsce, m.in. w zakresie chorób neurologicznych wieku podeszłego, zaburzeń i chorób psychicznych specyficznych dla wieku 60+, zaburzeń funkcji poznawczych i chorób otępiennych, </w:t>
      </w:r>
      <w:proofErr w:type="spellStart"/>
      <w:r w:rsidRPr="00E725A8">
        <w:rPr>
          <w:rFonts w:cs="Times New Roman"/>
          <w:szCs w:val="24"/>
        </w:rPr>
        <w:t>zachowań</w:t>
      </w:r>
      <w:proofErr w:type="spellEnd"/>
      <w:r w:rsidRPr="00E725A8">
        <w:rPr>
          <w:rFonts w:cs="Times New Roman"/>
          <w:szCs w:val="24"/>
        </w:rPr>
        <w:t xml:space="preserve"> żywieniowych i stanu odżywienia, stanu narządów, występowania upadków i urazów oraz ich następstw. Badanie obejmie także sytuację społeczno-ekonomiczną osób starszych w Polsce, m.in. w zakresie sytuacji materialnej osób starszych oraz ich warunków zamieszkania, oceny jakości życia, aktywności zawodowej oraz sytuacji rodzinnej.</w:t>
      </w:r>
    </w:p>
    <w:p w14:paraId="6076A783" w14:textId="77777777" w:rsidR="00E725A8" w:rsidRPr="00E725A8" w:rsidRDefault="00E725A8" w:rsidP="00E725A8">
      <w:pPr>
        <w:autoSpaceDE w:val="0"/>
        <w:autoSpaceDN w:val="0"/>
        <w:adjustRightInd w:val="0"/>
        <w:rPr>
          <w:rFonts w:cs="Times New Roman"/>
          <w:szCs w:val="24"/>
        </w:rPr>
      </w:pPr>
      <w:r w:rsidRPr="00E725A8">
        <w:rPr>
          <w:rFonts w:cs="Times New Roman"/>
          <w:szCs w:val="24"/>
        </w:rPr>
        <w:lastRenderedPageBreak/>
        <w:t>-</w:t>
      </w:r>
      <w:r w:rsidRPr="00E725A8">
        <w:rPr>
          <w:rFonts w:cs="Times New Roman"/>
          <w:szCs w:val="24"/>
        </w:rPr>
        <w:tab/>
        <w:t>W 2020 r. rozpoczęto prace nad monografią, która przedstawiać będzie wyniki i analizy z przeprowadzonego badania. Zakończenie prac zaplanowane jest na II połowę 2021 r.</w:t>
      </w:r>
    </w:p>
    <w:p w14:paraId="38F90C1D" w14:textId="4DBE26BC" w:rsidR="00E725A8" w:rsidRDefault="00DA31D4" w:rsidP="00E725A8">
      <w:pPr>
        <w:autoSpaceDE w:val="0"/>
        <w:autoSpaceDN w:val="0"/>
        <w:adjustRightInd w:val="0"/>
        <w:rPr>
          <w:rFonts w:cs="Times New Roman"/>
          <w:szCs w:val="24"/>
        </w:rPr>
      </w:pPr>
      <w:r>
        <w:rPr>
          <w:rFonts w:cs="Times New Roman"/>
          <w:szCs w:val="24"/>
        </w:rPr>
        <w:t xml:space="preserve">W </w:t>
      </w:r>
      <w:r w:rsidR="00E725A8" w:rsidRPr="00E725A8">
        <w:rPr>
          <w:rFonts w:cs="Times New Roman"/>
          <w:szCs w:val="24"/>
        </w:rPr>
        <w:t xml:space="preserve">2020 r. trwały prace nad projektem Narodowego Programu Zdrowia na lata 2021-2025. </w:t>
      </w:r>
      <w:r w:rsidR="00641C42">
        <w:rPr>
          <w:rFonts w:cs="Times New Roman"/>
          <w:szCs w:val="24"/>
        </w:rPr>
        <w:t>W </w:t>
      </w:r>
      <w:r w:rsidR="00E725A8" w:rsidRPr="00E725A8">
        <w:rPr>
          <w:rFonts w:cs="Times New Roman"/>
          <w:szCs w:val="24"/>
        </w:rPr>
        <w:t xml:space="preserve">przedmiotowym programie ujęto m.in. </w:t>
      </w:r>
      <w:r w:rsidR="009A0AA4">
        <w:rPr>
          <w:rFonts w:cs="Times New Roman"/>
          <w:szCs w:val="24"/>
        </w:rPr>
        <w:t>„</w:t>
      </w:r>
      <w:r w:rsidR="00E725A8" w:rsidRPr="00E725A8">
        <w:rPr>
          <w:rFonts w:cs="Times New Roman"/>
          <w:szCs w:val="24"/>
        </w:rPr>
        <w:t>Cel operacyjny 5. Wyzwania demograficzne</w:t>
      </w:r>
      <w:r w:rsidR="009A0AA4">
        <w:rPr>
          <w:rFonts w:cs="Times New Roman"/>
          <w:szCs w:val="24"/>
        </w:rPr>
        <w:t>”</w:t>
      </w:r>
      <w:r w:rsidR="00641C42">
        <w:rPr>
          <w:rFonts w:cs="Times New Roman"/>
          <w:szCs w:val="24"/>
        </w:rPr>
        <w:t>, w </w:t>
      </w:r>
      <w:r w:rsidR="00E725A8" w:rsidRPr="00E725A8">
        <w:rPr>
          <w:rFonts w:cs="Times New Roman"/>
          <w:szCs w:val="24"/>
        </w:rPr>
        <w:t>ramach</w:t>
      </w:r>
      <w:r w:rsidR="009A0AA4">
        <w:rPr>
          <w:rFonts w:cs="Times New Roman"/>
          <w:szCs w:val="24"/>
        </w:rPr>
        <w:t xml:space="preserve"> </w:t>
      </w:r>
      <w:r w:rsidR="00E725A8" w:rsidRPr="00E725A8">
        <w:rPr>
          <w:rFonts w:cs="Times New Roman"/>
          <w:szCs w:val="24"/>
        </w:rPr>
        <w:t xml:space="preserve">którego zaprojektowane zostały działania dedykowane bezpośrednio lub pośrednio grupie osób starszych. Ww. dokument został przyjęty rozporządzeniem Rady Ministrów z dnia 30 marca 2021 r. w sprawie Narodowego Programu Zdrowia na lata 2021-2025 </w:t>
      </w:r>
      <w:r w:rsidR="00641C42">
        <w:rPr>
          <w:rFonts w:cs="Times New Roman"/>
          <w:szCs w:val="24"/>
        </w:rPr>
        <w:t xml:space="preserve">                                    </w:t>
      </w:r>
      <w:r w:rsidR="00E725A8" w:rsidRPr="00E725A8">
        <w:rPr>
          <w:rFonts w:cs="Times New Roman"/>
          <w:szCs w:val="24"/>
        </w:rPr>
        <w:t>(Dz.U. z 2021 r. poz. 642).</w:t>
      </w:r>
    </w:p>
    <w:p w14:paraId="447E1D96" w14:textId="07D3A7A3" w:rsidR="005A50FB" w:rsidRPr="00E725A8" w:rsidRDefault="005A50FB" w:rsidP="00E725A8">
      <w:pPr>
        <w:autoSpaceDE w:val="0"/>
        <w:autoSpaceDN w:val="0"/>
        <w:adjustRightInd w:val="0"/>
        <w:rPr>
          <w:rFonts w:cs="Times New Roman"/>
          <w:szCs w:val="24"/>
        </w:rPr>
      </w:pPr>
    </w:p>
    <w:p w14:paraId="4552921F" w14:textId="77777777" w:rsidR="00E725A8" w:rsidRPr="00E725A8" w:rsidRDefault="00E725A8" w:rsidP="00E725A8">
      <w:pPr>
        <w:autoSpaceDE w:val="0"/>
        <w:autoSpaceDN w:val="0"/>
        <w:adjustRightInd w:val="0"/>
        <w:rPr>
          <w:rFonts w:cs="Times New Roman"/>
          <w:b/>
          <w:szCs w:val="24"/>
        </w:rPr>
      </w:pPr>
      <w:r w:rsidRPr="00E725A8">
        <w:rPr>
          <w:rFonts w:cs="Times New Roman"/>
          <w:b/>
          <w:szCs w:val="24"/>
        </w:rPr>
        <w:t>Realizacja programów polityki zdrowotnej oraz programów strategicznych</w:t>
      </w:r>
    </w:p>
    <w:p w14:paraId="0BBC8416" w14:textId="1061BF7B" w:rsidR="00E725A8" w:rsidRPr="00E725A8" w:rsidRDefault="009A0AA4" w:rsidP="00E725A8">
      <w:pPr>
        <w:autoSpaceDE w:val="0"/>
        <w:autoSpaceDN w:val="0"/>
        <w:adjustRightInd w:val="0"/>
        <w:rPr>
          <w:rFonts w:cs="Times New Roman"/>
          <w:szCs w:val="24"/>
        </w:rPr>
      </w:pPr>
      <w:r>
        <w:rPr>
          <w:rFonts w:cs="Times New Roman"/>
          <w:szCs w:val="24"/>
        </w:rPr>
        <w:t>1</w:t>
      </w:r>
      <w:r w:rsidR="00E725A8" w:rsidRPr="00E725A8">
        <w:rPr>
          <w:rFonts w:cs="Times New Roman"/>
          <w:szCs w:val="24"/>
        </w:rPr>
        <w:t>)</w:t>
      </w:r>
      <w:r w:rsidR="00E725A8" w:rsidRPr="00E725A8">
        <w:rPr>
          <w:rFonts w:cs="Times New Roman"/>
          <w:szCs w:val="24"/>
        </w:rPr>
        <w:tab/>
        <w:t>Program Profilaktyki i Leczenia Chorób Układu Sercowo-Naczyniowego POLKARD na lata 2017-2020</w:t>
      </w:r>
    </w:p>
    <w:p w14:paraId="5A23E4C8"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 celu poprawy jakości, bezpieczeństwa i dostępności do świadczeń zdrowotnych finansowanych ze środków publicznych w ramach programu zakupiono specjalistyczny sprzęt. W 2020 r. prowadzone działania umożliwiły wyposażenie m.in.:</w:t>
      </w:r>
    </w:p>
    <w:p w14:paraId="2E0CAD9D" w14:textId="60B954E4" w:rsidR="00E725A8" w:rsidRPr="00E725A8" w:rsidRDefault="00E725A8" w:rsidP="00E725A8">
      <w:pPr>
        <w:autoSpaceDE w:val="0"/>
        <w:autoSpaceDN w:val="0"/>
        <w:adjustRightInd w:val="0"/>
        <w:rPr>
          <w:rFonts w:cs="Times New Roman"/>
          <w:szCs w:val="24"/>
        </w:rPr>
      </w:pPr>
      <w:r w:rsidRPr="00E725A8">
        <w:rPr>
          <w:rFonts w:cs="Times New Roman"/>
          <w:szCs w:val="24"/>
        </w:rPr>
        <w:t>a)</w:t>
      </w:r>
      <w:r w:rsidRPr="00E725A8">
        <w:rPr>
          <w:rFonts w:cs="Times New Roman"/>
          <w:szCs w:val="24"/>
        </w:rPr>
        <w:tab/>
        <w:t>w aparaty RTG z ramieniem C celem umożliwienia udzielania świadczeń z zakresu chirurgii naczyniowej i leczenia chorych z zaburzeniami rytmu serca</w:t>
      </w:r>
    </w:p>
    <w:p w14:paraId="376D3B86" w14:textId="40FA922F" w:rsidR="00E725A8" w:rsidRDefault="00E725A8" w:rsidP="00E725A8">
      <w:pPr>
        <w:autoSpaceDE w:val="0"/>
        <w:autoSpaceDN w:val="0"/>
        <w:adjustRightInd w:val="0"/>
        <w:rPr>
          <w:rFonts w:cs="Times New Roman"/>
          <w:szCs w:val="24"/>
        </w:rPr>
      </w:pPr>
      <w:r w:rsidRPr="00E725A8">
        <w:rPr>
          <w:rFonts w:cs="Times New Roman"/>
          <w:szCs w:val="24"/>
        </w:rPr>
        <w:t>b)</w:t>
      </w:r>
      <w:r w:rsidRPr="00E725A8">
        <w:rPr>
          <w:rFonts w:cs="Times New Roman"/>
          <w:szCs w:val="24"/>
        </w:rPr>
        <w:tab/>
        <w:t>w aparaty USG z możliwością echokardiografii celem diagnozowania i leczenia chorób układu krążenia.</w:t>
      </w:r>
    </w:p>
    <w:p w14:paraId="483814DD" w14:textId="77777777" w:rsidR="005A50FB" w:rsidRPr="00E725A8" w:rsidRDefault="005A50FB" w:rsidP="00E725A8">
      <w:pPr>
        <w:autoSpaceDE w:val="0"/>
        <w:autoSpaceDN w:val="0"/>
        <w:adjustRightInd w:val="0"/>
        <w:rPr>
          <w:rFonts w:cs="Times New Roman"/>
          <w:szCs w:val="24"/>
        </w:rPr>
      </w:pPr>
    </w:p>
    <w:p w14:paraId="74915533"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Od 2018 r. w ramach programu POLKARD prowadzony jest Ogólnopolski program badań przesiewowych w kierunku tętniaka aorty brzusznej w latach 2018 - 2020. W ramach programu pacjentom oferowane jest bezpłatne badanie ultrasonograficzne, którego celem jest stwierdzenie występowania tętniaka aorty brzusznej. Badania wykonywane są u osób w wieku 65 lat i powyżej, u których stwierdzono występowanie co najmniej trzech czynników ryzyka sercowo - naczyniowego spośród następujących:</w:t>
      </w:r>
    </w:p>
    <w:p w14:paraId="57C42896" w14:textId="77777777" w:rsidR="005A50FB" w:rsidRDefault="00E725A8" w:rsidP="00FE70E3">
      <w:pPr>
        <w:pStyle w:val="Akapitzlist"/>
        <w:numPr>
          <w:ilvl w:val="0"/>
          <w:numId w:val="88"/>
        </w:numPr>
        <w:autoSpaceDE w:val="0"/>
        <w:autoSpaceDN w:val="0"/>
        <w:adjustRightInd w:val="0"/>
        <w:rPr>
          <w:rFonts w:cs="Times New Roman"/>
          <w:szCs w:val="24"/>
        </w:rPr>
      </w:pPr>
      <w:r w:rsidRPr="005A50FB">
        <w:rPr>
          <w:rFonts w:cs="Times New Roman"/>
          <w:szCs w:val="24"/>
        </w:rPr>
        <w:t>choroba wieńcowa,</w:t>
      </w:r>
    </w:p>
    <w:p w14:paraId="2C329A92" w14:textId="77777777" w:rsidR="005A50FB" w:rsidRDefault="00E725A8" w:rsidP="00FE70E3">
      <w:pPr>
        <w:pStyle w:val="Akapitzlist"/>
        <w:numPr>
          <w:ilvl w:val="0"/>
          <w:numId w:val="88"/>
        </w:numPr>
        <w:autoSpaceDE w:val="0"/>
        <w:autoSpaceDN w:val="0"/>
        <w:adjustRightInd w:val="0"/>
        <w:rPr>
          <w:rFonts w:cs="Times New Roman"/>
          <w:szCs w:val="24"/>
        </w:rPr>
      </w:pPr>
      <w:r w:rsidRPr="005A50FB">
        <w:rPr>
          <w:rFonts w:cs="Times New Roman"/>
          <w:szCs w:val="24"/>
        </w:rPr>
        <w:t>palenie tytoniu,</w:t>
      </w:r>
    </w:p>
    <w:p w14:paraId="271587A4" w14:textId="77777777" w:rsidR="005A50FB" w:rsidRDefault="00E725A8" w:rsidP="00FE70E3">
      <w:pPr>
        <w:pStyle w:val="Akapitzlist"/>
        <w:numPr>
          <w:ilvl w:val="0"/>
          <w:numId w:val="88"/>
        </w:numPr>
        <w:autoSpaceDE w:val="0"/>
        <w:autoSpaceDN w:val="0"/>
        <w:adjustRightInd w:val="0"/>
        <w:rPr>
          <w:rFonts w:cs="Times New Roman"/>
          <w:szCs w:val="24"/>
        </w:rPr>
      </w:pPr>
      <w:r w:rsidRPr="005A50FB">
        <w:rPr>
          <w:rFonts w:cs="Times New Roman"/>
          <w:szCs w:val="24"/>
        </w:rPr>
        <w:t>nadciśnienie tętnicze,</w:t>
      </w:r>
    </w:p>
    <w:p w14:paraId="42D2AEE4" w14:textId="77777777" w:rsidR="005A50FB" w:rsidRDefault="00E725A8" w:rsidP="00FE70E3">
      <w:pPr>
        <w:pStyle w:val="Akapitzlist"/>
        <w:numPr>
          <w:ilvl w:val="0"/>
          <w:numId w:val="88"/>
        </w:numPr>
        <w:autoSpaceDE w:val="0"/>
        <w:autoSpaceDN w:val="0"/>
        <w:adjustRightInd w:val="0"/>
        <w:rPr>
          <w:rFonts w:cs="Times New Roman"/>
          <w:szCs w:val="24"/>
        </w:rPr>
      </w:pPr>
      <w:proofErr w:type="spellStart"/>
      <w:r w:rsidRPr="005A50FB">
        <w:rPr>
          <w:rFonts w:cs="Times New Roman"/>
          <w:szCs w:val="24"/>
        </w:rPr>
        <w:t>hiperlipidemia</w:t>
      </w:r>
      <w:proofErr w:type="spellEnd"/>
      <w:r w:rsidRPr="005A50FB">
        <w:rPr>
          <w:rFonts w:cs="Times New Roman"/>
          <w:szCs w:val="24"/>
        </w:rPr>
        <w:t>,</w:t>
      </w:r>
    </w:p>
    <w:p w14:paraId="7CF882B8" w14:textId="2A854292" w:rsidR="00E725A8" w:rsidRDefault="00E725A8" w:rsidP="00FE70E3">
      <w:pPr>
        <w:pStyle w:val="Akapitzlist"/>
        <w:numPr>
          <w:ilvl w:val="0"/>
          <w:numId w:val="88"/>
        </w:numPr>
        <w:autoSpaceDE w:val="0"/>
        <w:autoSpaceDN w:val="0"/>
        <w:adjustRightInd w:val="0"/>
        <w:rPr>
          <w:rFonts w:cs="Times New Roman"/>
          <w:szCs w:val="24"/>
        </w:rPr>
      </w:pPr>
      <w:r w:rsidRPr="005A50FB">
        <w:rPr>
          <w:rFonts w:cs="Times New Roman"/>
          <w:szCs w:val="24"/>
        </w:rPr>
        <w:t>płeć męska.</w:t>
      </w:r>
    </w:p>
    <w:p w14:paraId="55579E2D" w14:textId="77777777" w:rsidR="005A50FB" w:rsidRPr="005A50FB" w:rsidRDefault="005A50FB" w:rsidP="00942717">
      <w:pPr>
        <w:pStyle w:val="Akapitzlist"/>
        <w:autoSpaceDE w:val="0"/>
        <w:autoSpaceDN w:val="0"/>
        <w:adjustRightInd w:val="0"/>
        <w:ind w:left="360"/>
        <w:rPr>
          <w:rFonts w:cs="Times New Roman"/>
          <w:szCs w:val="24"/>
        </w:rPr>
      </w:pPr>
    </w:p>
    <w:p w14:paraId="64BBC075" w14:textId="1D5BF499" w:rsidR="00E725A8" w:rsidRDefault="00E725A8" w:rsidP="00E725A8">
      <w:pPr>
        <w:autoSpaceDE w:val="0"/>
        <w:autoSpaceDN w:val="0"/>
        <w:adjustRightInd w:val="0"/>
        <w:rPr>
          <w:rFonts w:cs="Times New Roman"/>
          <w:szCs w:val="24"/>
        </w:rPr>
      </w:pPr>
      <w:r w:rsidRPr="00E725A8">
        <w:rPr>
          <w:rFonts w:cs="Times New Roman"/>
          <w:szCs w:val="24"/>
        </w:rPr>
        <w:t>W 2020 r. sumaryczna liczba przebadanych osób starszych wyniosła 18 043, z czego wykryto 895 tętniaków o średnicy większej niż 30 mm (pacjentów skierowano do dalszego leczenia lub obserwacji).</w:t>
      </w:r>
    </w:p>
    <w:p w14:paraId="6BC359A9" w14:textId="77777777" w:rsidR="005A50FB" w:rsidRPr="00E725A8" w:rsidRDefault="005A50FB" w:rsidP="00E725A8">
      <w:pPr>
        <w:autoSpaceDE w:val="0"/>
        <w:autoSpaceDN w:val="0"/>
        <w:adjustRightInd w:val="0"/>
        <w:rPr>
          <w:rFonts w:cs="Times New Roman"/>
          <w:szCs w:val="24"/>
        </w:rPr>
      </w:pPr>
    </w:p>
    <w:p w14:paraId="11D32CD6" w14:textId="10FB8443" w:rsidR="00E725A8" w:rsidRPr="00E725A8" w:rsidRDefault="009A0AA4" w:rsidP="00E725A8">
      <w:pPr>
        <w:autoSpaceDE w:val="0"/>
        <w:autoSpaceDN w:val="0"/>
        <w:adjustRightInd w:val="0"/>
        <w:rPr>
          <w:rFonts w:cs="Times New Roman"/>
          <w:szCs w:val="24"/>
        </w:rPr>
      </w:pPr>
      <w:r>
        <w:rPr>
          <w:rFonts w:cs="Times New Roman"/>
          <w:szCs w:val="24"/>
        </w:rPr>
        <w:t>2</w:t>
      </w:r>
      <w:r w:rsidR="00E725A8" w:rsidRPr="00E725A8">
        <w:rPr>
          <w:rFonts w:cs="Times New Roman"/>
          <w:szCs w:val="24"/>
        </w:rPr>
        <w:t>) Program Zapobiegania Depresji w Polsce na lata 2016-2020</w:t>
      </w:r>
    </w:p>
    <w:p w14:paraId="6D6BC988"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 xml:space="preserve">W ramach realizacji Programu Zapobiegania Depresji w Polsce na lata 2016-2020 prowadzona jest kampania informacyjno-edukacyjna dotycząca depresji "Depresja. Rozumiesz - Pomagasz", której celem jest zwiększenie świadomości społecznej w zakresie występowania </w:t>
      </w:r>
      <w:r w:rsidRPr="00E725A8">
        <w:rPr>
          <w:rFonts w:cs="Times New Roman"/>
          <w:szCs w:val="24"/>
        </w:rPr>
        <w:lastRenderedPageBreak/>
        <w:t>depresji oraz przekazanie rzetelnej wiedzy dotyczącej jej objawów, profilaktyki, diagnozowania, leczenia i możliwych form wsparcia.</w:t>
      </w:r>
    </w:p>
    <w:p w14:paraId="49F67D4F" w14:textId="77777777" w:rsidR="005A50FB" w:rsidRDefault="005A50FB" w:rsidP="00E725A8">
      <w:pPr>
        <w:autoSpaceDE w:val="0"/>
        <w:autoSpaceDN w:val="0"/>
        <w:adjustRightInd w:val="0"/>
        <w:rPr>
          <w:rFonts w:cs="Times New Roman"/>
          <w:szCs w:val="24"/>
        </w:rPr>
      </w:pPr>
    </w:p>
    <w:p w14:paraId="6CB7388D" w14:textId="6D190EFE" w:rsidR="005A50FB" w:rsidRPr="00E725A8" w:rsidRDefault="00E725A8" w:rsidP="00E725A8">
      <w:pPr>
        <w:autoSpaceDE w:val="0"/>
        <w:autoSpaceDN w:val="0"/>
        <w:adjustRightInd w:val="0"/>
        <w:rPr>
          <w:rFonts w:cs="Times New Roman"/>
          <w:szCs w:val="24"/>
        </w:rPr>
      </w:pPr>
      <w:r w:rsidRPr="00E725A8">
        <w:rPr>
          <w:rFonts w:cs="Times New Roman"/>
          <w:szCs w:val="24"/>
        </w:rPr>
        <w:t>Jedną z grup szczególnie narażonych na wystąpienie depresji są osoby w starszym wieku. Działania podjęte w ramach kampanii zostały skierowane do osób w starszym wieku, ale również do osób z ich otoczenia, w tym personelu medycznego.</w:t>
      </w:r>
    </w:p>
    <w:p w14:paraId="5E6583C8" w14:textId="40539E8F" w:rsidR="00E725A8" w:rsidRDefault="00E725A8" w:rsidP="00E725A8">
      <w:pPr>
        <w:autoSpaceDE w:val="0"/>
        <w:autoSpaceDN w:val="0"/>
        <w:adjustRightInd w:val="0"/>
        <w:rPr>
          <w:rFonts w:cs="Times New Roman"/>
          <w:szCs w:val="24"/>
        </w:rPr>
      </w:pPr>
      <w:r w:rsidRPr="00E725A8">
        <w:rPr>
          <w:rFonts w:cs="Times New Roman"/>
          <w:szCs w:val="24"/>
        </w:rPr>
        <w:t>Na stronie internetowej kampanii www.wyleczdepresje.pl zostały udostępnione w formie elektronicznej wszystkie opracowane materiały, w tym broszury, filmy oraz rekomendacje postępowania w zakresie profilaktyki, diagnostyki i leczenia.</w:t>
      </w:r>
    </w:p>
    <w:p w14:paraId="62F698A8" w14:textId="77777777" w:rsidR="005A50FB" w:rsidRPr="00E725A8" w:rsidRDefault="005A50FB" w:rsidP="00E725A8">
      <w:pPr>
        <w:autoSpaceDE w:val="0"/>
        <w:autoSpaceDN w:val="0"/>
        <w:adjustRightInd w:val="0"/>
        <w:rPr>
          <w:rFonts w:cs="Times New Roman"/>
          <w:szCs w:val="24"/>
        </w:rPr>
      </w:pPr>
    </w:p>
    <w:p w14:paraId="777D6812" w14:textId="1C0DC91F" w:rsidR="00E725A8" w:rsidRPr="00E725A8" w:rsidRDefault="009A0AA4" w:rsidP="00E725A8">
      <w:pPr>
        <w:autoSpaceDE w:val="0"/>
        <w:autoSpaceDN w:val="0"/>
        <w:adjustRightInd w:val="0"/>
        <w:rPr>
          <w:rFonts w:cs="Times New Roman"/>
          <w:szCs w:val="24"/>
        </w:rPr>
      </w:pPr>
      <w:r>
        <w:rPr>
          <w:rFonts w:cs="Times New Roman"/>
          <w:szCs w:val="24"/>
        </w:rPr>
        <w:t>3</w:t>
      </w:r>
      <w:r w:rsidR="00E725A8" w:rsidRPr="00E725A8">
        <w:rPr>
          <w:rFonts w:cs="Times New Roman"/>
          <w:szCs w:val="24"/>
        </w:rPr>
        <w:t>)</w:t>
      </w:r>
      <w:r w:rsidR="00E725A8" w:rsidRPr="00E725A8">
        <w:rPr>
          <w:rFonts w:cs="Times New Roman"/>
          <w:szCs w:val="24"/>
        </w:rPr>
        <w:tab/>
        <w:t>Narodowa Strategia Onkologiczna</w:t>
      </w:r>
    </w:p>
    <w:p w14:paraId="210E6145"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 ramach Narodowej Strategii Onkologicznej nie były realizowane programy skierowane wyłącznie do osób starszych. Osoby z tej grupy mogły jednakże uczestniczyć w następujących zadaniach ww. programu, w szczególności ukierunkowanych na działania profilaktyczne:</w:t>
      </w:r>
    </w:p>
    <w:p w14:paraId="3FB648BE"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a)</w:t>
      </w:r>
      <w:r w:rsidRPr="00E725A8">
        <w:rPr>
          <w:rFonts w:cs="Times New Roman"/>
          <w:szCs w:val="24"/>
        </w:rPr>
        <w:tab/>
        <w:t>Program badań przesiewowych raka jelita grubego,</w:t>
      </w:r>
    </w:p>
    <w:p w14:paraId="4F116F19" w14:textId="4C017D65" w:rsidR="00E725A8" w:rsidRDefault="00E725A8" w:rsidP="00E725A8">
      <w:pPr>
        <w:autoSpaceDE w:val="0"/>
        <w:autoSpaceDN w:val="0"/>
        <w:adjustRightInd w:val="0"/>
        <w:rPr>
          <w:rFonts w:cs="Times New Roman"/>
          <w:szCs w:val="24"/>
        </w:rPr>
      </w:pPr>
      <w:r w:rsidRPr="00E725A8">
        <w:rPr>
          <w:rFonts w:cs="Times New Roman"/>
          <w:szCs w:val="24"/>
        </w:rPr>
        <w:t>b)</w:t>
      </w:r>
      <w:r w:rsidRPr="00E725A8">
        <w:rPr>
          <w:rFonts w:cs="Times New Roman"/>
          <w:szCs w:val="24"/>
        </w:rPr>
        <w:tab/>
        <w:t>Program opieki nad rodzinami wysokiego, dziedzicznie uwarunkowanego ryzyka zachorowania na nowotwory złośliwe.</w:t>
      </w:r>
    </w:p>
    <w:p w14:paraId="7034756A" w14:textId="77777777" w:rsidR="005A50FB" w:rsidRPr="00E725A8" w:rsidRDefault="005A50FB" w:rsidP="00E725A8">
      <w:pPr>
        <w:autoSpaceDE w:val="0"/>
        <w:autoSpaceDN w:val="0"/>
        <w:adjustRightInd w:val="0"/>
        <w:rPr>
          <w:rFonts w:cs="Times New Roman"/>
          <w:szCs w:val="24"/>
        </w:rPr>
      </w:pPr>
    </w:p>
    <w:p w14:paraId="6ADFF642" w14:textId="278948AA" w:rsidR="00E725A8" w:rsidRDefault="00E725A8" w:rsidP="00E725A8">
      <w:pPr>
        <w:autoSpaceDE w:val="0"/>
        <w:autoSpaceDN w:val="0"/>
        <w:adjustRightInd w:val="0"/>
        <w:rPr>
          <w:rFonts w:cs="Times New Roman"/>
          <w:szCs w:val="24"/>
        </w:rPr>
      </w:pPr>
      <w:r w:rsidRPr="00E725A8">
        <w:rPr>
          <w:rFonts w:cs="Times New Roman"/>
          <w:szCs w:val="24"/>
        </w:rPr>
        <w:t>Ponadto w ramach Narodowej Strategii Onkologicznej prowadzona była koordynacja i monitorowanie jakości Programu profilaktyki raka piersi i Programu profilaktyki raka szyjki macicy, finansowanych przez NFZ. Program profilaktyki raka piersi obejmuje realizację badań mammograficznych dla kobiet z grupy wiekowej 50-69 lat, tj. dla grupy najwyższego ryzyka zachorowania na raka piersi, a badanie wykonywane jest w interwale raz na dwa lata. W ramach Programu profilaktyki raka szyjki macicy wykonywane jest badanie cytologiczne. To badanie również dedykowane jest grupie najwyższego ryzyka zachorowania na raka szyjki macicy, tj. kobietom w wieku 25¬59 lat, tj. i przeprowadzane jest w interwale raz na trzy lata.</w:t>
      </w:r>
    </w:p>
    <w:p w14:paraId="58B55DA0" w14:textId="77777777" w:rsidR="005A50FB" w:rsidRPr="00E725A8" w:rsidRDefault="005A50FB" w:rsidP="00E725A8">
      <w:pPr>
        <w:autoSpaceDE w:val="0"/>
        <w:autoSpaceDN w:val="0"/>
        <w:adjustRightInd w:val="0"/>
        <w:rPr>
          <w:rFonts w:cs="Times New Roman"/>
          <w:szCs w:val="24"/>
        </w:rPr>
      </w:pPr>
    </w:p>
    <w:p w14:paraId="27847331" w14:textId="5EB418BC" w:rsidR="00E725A8" w:rsidRPr="00E725A8" w:rsidRDefault="00E725A8" w:rsidP="00E725A8">
      <w:pPr>
        <w:autoSpaceDE w:val="0"/>
        <w:autoSpaceDN w:val="0"/>
        <w:adjustRightInd w:val="0"/>
        <w:rPr>
          <w:rFonts w:cs="Times New Roman"/>
          <w:szCs w:val="24"/>
        </w:rPr>
      </w:pPr>
      <w:r w:rsidRPr="00E725A8">
        <w:rPr>
          <w:rFonts w:cs="Times New Roman"/>
          <w:szCs w:val="24"/>
        </w:rPr>
        <w:t>W ramach Narodowej Strategii Onkologicznej na lata 2020-2030 Ministerstwo Zdrowia na bieżąco prowadzi Kampanię społeczną „</w:t>
      </w:r>
      <w:r w:rsidRPr="005A50FB">
        <w:rPr>
          <w:rFonts w:cs="Times New Roman"/>
          <w:b/>
          <w:bCs/>
          <w:szCs w:val="24"/>
        </w:rPr>
        <w:t>Planuję długie życie</w:t>
      </w:r>
      <w:r w:rsidRPr="00E725A8">
        <w:rPr>
          <w:rFonts w:cs="Times New Roman"/>
          <w:szCs w:val="24"/>
        </w:rPr>
        <w:t>”.</w:t>
      </w:r>
      <w:r w:rsidR="005A50FB">
        <w:rPr>
          <w:rFonts w:cs="Times New Roman"/>
          <w:szCs w:val="24"/>
        </w:rPr>
        <w:t xml:space="preserve"> </w:t>
      </w:r>
      <w:r w:rsidRPr="00E725A8">
        <w:rPr>
          <w:rFonts w:cs="Times New Roman"/>
          <w:szCs w:val="24"/>
        </w:rPr>
        <w:t>Program wskazuje konieczność zmiany nastawienia społeczeństwa do kwestii konieczności regularnego wykonywania badań profilaktycznych.</w:t>
      </w:r>
    </w:p>
    <w:p w14:paraId="4D884202" w14:textId="77777777" w:rsidR="005A50FB" w:rsidRDefault="005A50FB" w:rsidP="00E725A8">
      <w:pPr>
        <w:autoSpaceDE w:val="0"/>
        <w:autoSpaceDN w:val="0"/>
        <w:adjustRightInd w:val="0"/>
        <w:rPr>
          <w:rFonts w:cs="Times New Roman"/>
          <w:szCs w:val="24"/>
        </w:rPr>
      </w:pPr>
    </w:p>
    <w:p w14:paraId="46836863" w14:textId="30561AF8" w:rsidR="005A50FB" w:rsidRDefault="00E725A8" w:rsidP="00E725A8">
      <w:pPr>
        <w:autoSpaceDE w:val="0"/>
        <w:autoSpaceDN w:val="0"/>
        <w:adjustRightInd w:val="0"/>
        <w:rPr>
          <w:rFonts w:cs="Times New Roman"/>
          <w:szCs w:val="24"/>
        </w:rPr>
      </w:pPr>
      <w:r w:rsidRPr="00E725A8">
        <w:rPr>
          <w:rFonts w:cs="Times New Roman"/>
          <w:szCs w:val="24"/>
        </w:rPr>
        <w:t xml:space="preserve">W celu dotarcia do bardzo licznych i zróżnicowanych odbiorców, kampania społeczna „Planuje długie życie” realizowana jest w oparciu o telewizję, radio, prasę, </w:t>
      </w:r>
      <w:proofErr w:type="spellStart"/>
      <w:r w:rsidRPr="00E725A8">
        <w:rPr>
          <w:rFonts w:cs="Times New Roman"/>
          <w:szCs w:val="24"/>
        </w:rPr>
        <w:t>internet</w:t>
      </w:r>
      <w:proofErr w:type="spellEnd"/>
      <w:r w:rsidRPr="00E725A8">
        <w:rPr>
          <w:rFonts w:cs="Times New Roman"/>
          <w:szCs w:val="24"/>
        </w:rPr>
        <w:t>. Działanie obejmujące telewizj</w:t>
      </w:r>
      <w:r w:rsidR="009A0AA4">
        <w:rPr>
          <w:rFonts w:cs="Times New Roman"/>
          <w:szCs w:val="24"/>
        </w:rPr>
        <w:t>ę</w:t>
      </w:r>
      <w:r w:rsidRPr="00E725A8">
        <w:rPr>
          <w:rFonts w:cs="Times New Roman"/>
          <w:szCs w:val="24"/>
        </w:rPr>
        <w:t xml:space="preserve"> i radio prowadzone są w stacjach o zasięgu ogólnopolskim, przy wsparciu stacjami regionalnymi, tematycznymi, z zachowaniem synergii działań i z wykorzystaniem dwóch formatów komunikacyjnych: audycji edukacyjnych i spotów społecznych. Działania obejmujące prasę to publikacje artykułów edukacyjnych w prasie ogólnopolskiej i lokalnej.</w:t>
      </w:r>
    </w:p>
    <w:p w14:paraId="084E7557" w14:textId="77777777" w:rsidR="005A50FB" w:rsidRDefault="005A50FB" w:rsidP="00E725A8">
      <w:pPr>
        <w:autoSpaceDE w:val="0"/>
        <w:autoSpaceDN w:val="0"/>
        <w:adjustRightInd w:val="0"/>
        <w:rPr>
          <w:rFonts w:cs="Times New Roman"/>
          <w:szCs w:val="24"/>
        </w:rPr>
      </w:pPr>
    </w:p>
    <w:p w14:paraId="1F43F74B" w14:textId="72556BBD" w:rsidR="00E725A8" w:rsidRDefault="00E725A8" w:rsidP="00E725A8">
      <w:pPr>
        <w:autoSpaceDE w:val="0"/>
        <w:autoSpaceDN w:val="0"/>
        <w:adjustRightInd w:val="0"/>
        <w:rPr>
          <w:rFonts w:cs="Times New Roman"/>
          <w:szCs w:val="24"/>
        </w:rPr>
      </w:pPr>
      <w:r w:rsidRPr="00E725A8">
        <w:rPr>
          <w:rFonts w:cs="Times New Roman"/>
          <w:szCs w:val="24"/>
        </w:rPr>
        <w:t xml:space="preserve"> Na potrzebę kampanii stworzona została również sukcesywnie rozbudowywana strona www.planujedlugiezycie.pl, na której publikowane są artykuły eksperckie poruszające tematykę onkologiczną, promujące zdrowe nawyki żywieniowe i regularny ruch oraz zalety </w:t>
      </w:r>
      <w:r w:rsidRPr="00E725A8">
        <w:rPr>
          <w:rFonts w:cs="Times New Roman"/>
          <w:szCs w:val="24"/>
        </w:rPr>
        <w:lastRenderedPageBreak/>
        <w:t>regularnych badań profilaktycznych, spoty społeczne, adresy do poradni dietetycznych czy baz adresowych z miejscami, w których można wykonać bezpłatne badania.</w:t>
      </w:r>
    </w:p>
    <w:p w14:paraId="6F3DCBD8" w14:textId="18F7B78D" w:rsidR="00340F91" w:rsidRDefault="00340F91" w:rsidP="00E725A8">
      <w:pPr>
        <w:autoSpaceDE w:val="0"/>
        <w:autoSpaceDN w:val="0"/>
        <w:adjustRightInd w:val="0"/>
        <w:rPr>
          <w:rFonts w:cs="Times New Roman"/>
          <w:b/>
          <w:szCs w:val="24"/>
        </w:rPr>
      </w:pPr>
    </w:p>
    <w:p w14:paraId="0D72BF95" w14:textId="427DCD67" w:rsidR="00E725A8" w:rsidRPr="007A2213" w:rsidRDefault="007A2213" w:rsidP="00E725A8">
      <w:pPr>
        <w:autoSpaceDE w:val="0"/>
        <w:autoSpaceDN w:val="0"/>
        <w:adjustRightInd w:val="0"/>
        <w:rPr>
          <w:rFonts w:cs="Times New Roman"/>
          <w:b/>
          <w:szCs w:val="24"/>
        </w:rPr>
      </w:pPr>
      <w:r w:rsidRPr="007A2213">
        <w:rPr>
          <w:rFonts w:cs="Times New Roman"/>
          <w:b/>
          <w:szCs w:val="24"/>
        </w:rPr>
        <w:t>Działania z zakresu profilaktyki i promocji zdrowia realizowane przez Narodowy Fundusz Zdrowia</w:t>
      </w:r>
    </w:p>
    <w:p w14:paraId="062C679D"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 2020 r. Narodowy Fundusz Zdrowia kontynuował finansowanie następujących programów profilaktycznych:</w:t>
      </w:r>
    </w:p>
    <w:p w14:paraId="708F9327"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1.</w:t>
      </w:r>
      <w:r w:rsidRPr="00E725A8">
        <w:rPr>
          <w:rFonts w:cs="Times New Roman"/>
          <w:szCs w:val="24"/>
        </w:rPr>
        <w:tab/>
        <w:t>Program profilaktyki raka piersi obejmujący przesiewowe badania mammograficzne kobiet w wieku 50-69 lat.</w:t>
      </w:r>
    </w:p>
    <w:p w14:paraId="4F0D23F2"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2.</w:t>
      </w:r>
      <w:r w:rsidRPr="00E725A8">
        <w:rPr>
          <w:rFonts w:cs="Times New Roman"/>
          <w:szCs w:val="24"/>
        </w:rPr>
        <w:tab/>
        <w:t xml:space="preserve">Program profilaktyki chorób </w:t>
      </w:r>
      <w:proofErr w:type="spellStart"/>
      <w:r w:rsidRPr="00E725A8">
        <w:rPr>
          <w:rFonts w:cs="Times New Roman"/>
          <w:szCs w:val="24"/>
        </w:rPr>
        <w:t>odtytoniowych</w:t>
      </w:r>
      <w:proofErr w:type="spellEnd"/>
      <w:r w:rsidRPr="00E725A8">
        <w:rPr>
          <w:rFonts w:cs="Times New Roman"/>
          <w:szCs w:val="24"/>
        </w:rPr>
        <w:t xml:space="preserve"> (w tym przewlekłej obturacyjnej choroby płuc - </w:t>
      </w:r>
      <w:proofErr w:type="spellStart"/>
      <w:r w:rsidRPr="00E725A8">
        <w:rPr>
          <w:rFonts w:cs="Times New Roman"/>
          <w:szCs w:val="24"/>
        </w:rPr>
        <w:t>POChP</w:t>
      </w:r>
      <w:proofErr w:type="spellEnd"/>
      <w:r w:rsidRPr="00E725A8">
        <w:rPr>
          <w:rFonts w:cs="Times New Roman"/>
          <w:szCs w:val="24"/>
        </w:rPr>
        <w:t>) obejmujący edukację antynikotynową, spirometrię w uzasadnionych przypadkach, edukację oraz terapię antynikotynową. Finansowany jest w ramach programów profilaktycznych.</w:t>
      </w:r>
    </w:p>
    <w:p w14:paraId="4628E097"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Działania z zakresu profilaktyki i promocji zdrowia realizowane przez NFZ:</w:t>
      </w:r>
    </w:p>
    <w:p w14:paraId="293CED5A" w14:textId="30E1B8D0" w:rsidR="00E725A8" w:rsidRPr="00E725A8" w:rsidRDefault="00E725A8" w:rsidP="00E725A8">
      <w:pPr>
        <w:autoSpaceDE w:val="0"/>
        <w:autoSpaceDN w:val="0"/>
        <w:adjustRightInd w:val="0"/>
        <w:rPr>
          <w:rFonts w:cs="Times New Roman"/>
          <w:szCs w:val="24"/>
        </w:rPr>
      </w:pPr>
      <w:r w:rsidRPr="00E725A8">
        <w:rPr>
          <w:rFonts w:cs="Times New Roman"/>
          <w:szCs w:val="24"/>
        </w:rPr>
        <w:t>1</w:t>
      </w:r>
      <w:r w:rsidR="005A50FB">
        <w:rPr>
          <w:rFonts w:cs="Times New Roman"/>
          <w:szCs w:val="24"/>
        </w:rPr>
        <w:t xml:space="preserve">.        </w:t>
      </w:r>
      <w:r w:rsidRPr="00E725A8">
        <w:rPr>
          <w:rFonts w:cs="Times New Roman"/>
          <w:szCs w:val="24"/>
        </w:rPr>
        <w:t>Cykliczna akcja NFZ „ŚRODA Z PROFILAKTYKĄ”.</w:t>
      </w:r>
    </w:p>
    <w:p w14:paraId="216A7023"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2.</w:t>
      </w:r>
      <w:r w:rsidRPr="00E725A8">
        <w:rPr>
          <w:rFonts w:cs="Times New Roman"/>
          <w:szCs w:val="24"/>
        </w:rPr>
        <w:tab/>
        <w:t>Kurs kształcenia kierunkowego Edukatora Zdrowotnego do spraw profilaktyki i promocji zdrowia NFZ.</w:t>
      </w:r>
    </w:p>
    <w:p w14:paraId="0B5CAB69"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3.</w:t>
      </w:r>
      <w:r w:rsidRPr="00E725A8">
        <w:rPr>
          <w:rFonts w:cs="Times New Roman"/>
          <w:szCs w:val="24"/>
        </w:rPr>
        <w:tab/>
        <w:t>Portal żywieniowy DIETY.NFZ.GOV.PL.</w:t>
      </w:r>
    </w:p>
    <w:p w14:paraId="7D289390"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4.</w:t>
      </w:r>
      <w:r w:rsidRPr="00E725A8">
        <w:rPr>
          <w:rFonts w:cs="Times New Roman"/>
          <w:szCs w:val="24"/>
        </w:rPr>
        <w:tab/>
        <w:t xml:space="preserve">Kampania edukacyjna na temat </w:t>
      </w:r>
      <w:proofErr w:type="spellStart"/>
      <w:r w:rsidRPr="00E725A8">
        <w:rPr>
          <w:rFonts w:cs="Times New Roman"/>
          <w:szCs w:val="24"/>
        </w:rPr>
        <w:t>polipragmazji</w:t>
      </w:r>
      <w:proofErr w:type="spellEnd"/>
      <w:r w:rsidRPr="00E725A8">
        <w:rPr>
          <w:rFonts w:cs="Times New Roman"/>
          <w:szCs w:val="24"/>
        </w:rPr>
        <w:t xml:space="preserve"> „Nie igraj z lekami - w grę wchodzi Twoje zdrowie”.</w:t>
      </w:r>
    </w:p>
    <w:p w14:paraId="18B1F2E7"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5.</w:t>
      </w:r>
      <w:r w:rsidRPr="00E725A8">
        <w:rPr>
          <w:rFonts w:cs="Times New Roman"/>
          <w:szCs w:val="24"/>
        </w:rPr>
        <w:tab/>
        <w:t>Cykl filmów:</w:t>
      </w:r>
    </w:p>
    <w:p w14:paraId="7DC0377E"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„Wsparcie psychologiczne w czasie epidemii”</w:t>
      </w:r>
    </w:p>
    <w:p w14:paraId="521DEA16"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„Poranne rozciąganie z Pytaniem na Śniadanie i NFZ”</w:t>
      </w:r>
    </w:p>
    <w:p w14:paraId="60AA3E02"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„Bezpieczni w czasie epidemii”</w:t>
      </w:r>
    </w:p>
    <w:p w14:paraId="7E19C1C4"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6.</w:t>
      </w:r>
      <w:r w:rsidRPr="00E725A8">
        <w:rPr>
          <w:rFonts w:cs="Times New Roman"/>
          <w:szCs w:val="24"/>
        </w:rPr>
        <w:tab/>
        <w:t>Program profilaktyczno-treningowy „8 tygodni do zdrowia”</w:t>
      </w:r>
    </w:p>
    <w:p w14:paraId="3D2B83C0"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7.</w:t>
      </w:r>
      <w:r w:rsidRPr="00E725A8">
        <w:rPr>
          <w:rFonts w:cs="Times New Roman"/>
          <w:szCs w:val="24"/>
        </w:rPr>
        <w:tab/>
        <w:t>Kampania edukacyjna „Słodki, słodszy... cukrzyca”</w:t>
      </w:r>
    </w:p>
    <w:p w14:paraId="496A26DB" w14:textId="44F843ED" w:rsidR="00E725A8" w:rsidRDefault="00E725A8" w:rsidP="00E725A8">
      <w:pPr>
        <w:autoSpaceDE w:val="0"/>
        <w:autoSpaceDN w:val="0"/>
        <w:adjustRightInd w:val="0"/>
        <w:rPr>
          <w:rFonts w:cs="Times New Roman"/>
          <w:szCs w:val="24"/>
        </w:rPr>
      </w:pPr>
      <w:r w:rsidRPr="00E725A8">
        <w:rPr>
          <w:rFonts w:cs="Times New Roman"/>
          <w:szCs w:val="24"/>
        </w:rPr>
        <w:t>Dodawane są też kolejne elementy w zakładce „Profilaktyka” w serwisie pacjent.gov.pl. Aktualnie publikowane są tam informacje dot. programów profilaktycznych, artykuły dot. odpowiedniej diety, zapobiegania chorobom, informacje o szczepieniach. Planowane są kolejne inicjatywy, w tym również dedykowane osobom starszym.</w:t>
      </w:r>
    </w:p>
    <w:p w14:paraId="0352B338" w14:textId="77777777" w:rsidR="005A50FB" w:rsidRPr="00E725A8" w:rsidRDefault="005A50FB" w:rsidP="00E725A8">
      <w:pPr>
        <w:autoSpaceDE w:val="0"/>
        <w:autoSpaceDN w:val="0"/>
        <w:adjustRightInd w:val="0"/>
        <w:rPr>
          <w:rFonts w:cs="Times New Roman"/>
          <w:szCs w:val="24"/>
        </w:rPr>
      </w:pPr>
    </w:p>
    <w:p w14:paraId="08616BB1" w14:textId="77777777" w:rsidR="00E725A8" w:rsidRPr="007A2213" w:rsidRDefault="007A2213" w:rsidP="00E725A8">
      <w:pPr>
        <w:autoSpaceDE w:val="0"/>
        <w:autoSpaceDN w:val="0"/>
        <w:adjustRightInd w:val="0"/>
        <w:rPr>
          <w:rFonts w:cs="Times New Roman"/>
          <w:b/>
          <w:szCs w:val="24"/>
        </w:rPr>
      </w:pPr>
      <w:r w:rsidRPr="007A2213">
        <w:rPr>
          <w:rFonts w:cs="Times New Roman"/>
          <w:b/>
          <w:szCs w:val="24"/>
        </w:rPr>
        <w:t>Projekty profilaktyczne realizowane przez Narodowy Instytut Geriatrii, Reumatologii i Rehabilitacji</w:t>
      </w:r>
    </w:p>
    <w:p w14:paraId="1C6D0765" w14:textId="5E7BD3E2" w:rsidR="00E725A8" w:rsidRDefault="00E725A8" w:rsidP="00E725A8">
      <w:pPr>
        <w:autoSpaceDE w:val="0"/>
        <w:autoSpaceDN w:val="0"/>
        <w:adjustRightInd w:val="0"/>
        <w:rPr>
          <w:rFonts w:cs="Times New Roman"/>
          <w:szCs w:val="24"/>
        </w:rPr>
      </w:pPr>
      <w:r w:rsidRPr="00E725A8">
        <w:rPr>
          <w:rFonts w:cs="Times New Roman"/>
          <w:szCs w:val="24"/>
        </w:rPr>
        <w:t>1)</w:t>
      </w:r>
      <w:r w:rsidRPr="00E725A8">
        <w:rPr>
          <w:rFonts w:cs="Times New Roman"/>
          <w:szCs w:val="24"/>
        </w:rPr>
        <w:tab/>
        <w:t>Kontynuacja i uaktualnianie platformy edukacyjno-informacyjnej pod adresem: zespolkruchosci.edu.pl, na której zamieszczane są materiały informacyjno- edukacyjne dla decydentów polityki zdrowotnej, menadżerów, pacjentów i ich opiekunów oraz profesjonalistów w ochronie zdrowia. Utrzymywanie platformy pozostaje częścią Kampanii edukacyjno-informacyjnej Face-</w:t>
      </w:r>
      <w:proofErr w:type="spellStart"/>
      <w:r w:rsidRPr="00E725A8">
        <w:rPr>
          <w:rFonts w:cs="Times New Roman"/>
          <w:szCs w:val="24"/>
        </w:rPr>
        <w:t>Up</w:t>
      </w:r>
      <w:proofErr w:type="spellEnd"/>
      <w:r w:rsidRPr="00E725A8">
        <w:rPr>
          <w:rFonts w:cs="Times New Roman"/>
          <w:szCs w:val="24"/>
        </w:rPr>
        <w:t xml:space="preserve">-to- </w:t>
      </w:r>
      <w:proofErr w:type="spellStart"/>
      <w:r w:rsidRPr="00E725A8">
        <w:rPr>
          <w:rFonts w:cs="Times New Roman"/>
          <w:szCs w:val="24"/>
        </w:rPr>
        <w:t>Frailty</w:t>
      </w:r>
      <w:proofErr w:type="spellEnd"/>
      <w:r w:rsidRPr="00E725A8">
        <w:rPr>
          <w:rFonts w:cs="Times New Roman"/>
          <w:szCs w:val="24"/>
        </w:rPr>
        <w:t xml:space="preserve"> Zmierz się z kruchością. Kampania stanowiła istotne ogniwo w promocji osiągnięć projektu Komisji Europejskiej ADVANTAGE: Postępowanie w "zespole kruchości". Kompleksowe podejście do promowania w Europie życia w podeszłym wieku wolnego od niepełnosprawności: inicjatywa ADVANTAGE - ADVANTAGE, realizowanego w latach 2017-2019 z udziałem 23 krajów europejskich, w celu </w:t>
      </w:r>
      <w:r w:rsidRPr="00E725A8">
        <w:rPr>
          <w:rFonts w:cs="Times New Roman"/>
          <w:szCs w:val="24"/>
        </w:rPr>
        <w:lastRenderedPageBreak/>
        <w:t>ustalenia stanu wiedzy o zespole kruchości w Europie oraz określenia kierunku wspólnych działań zorientowanych na przeciwdziałanie zespołowi kruchości w populacji osób w wieku 60 lat i więcej.</w:t>
      </w:r>
    </w:p>
    <w:p w14:paraId="4F7C7A83" w14:textId="77777777" w:rsidR="005A50FB" w:rsidRPr="00E725A8" w:rsidRDefault="005A50FB" w:rsidP="00E725A8">
      <w:pPr>
        <w:autoSpaceDE w:val="0"/>
        <w:autoSpaceDN w:val="0"/>
        <w:adjustRightInd w:val="0"/>
        <w:rPr>
          <w:rFonts w:cs="Times New Roman"/>
          <w:szCs w:val="24"/>
        </w:rPr>
      </w:pPr>
    </w:p>
    <w:p w14:paraId="1DC179F9" w14:textId="45E8578C" w:rsidR="00E725A8" w:rsidRPr="00E725A8" w:rsidRDefault="00E725A8" w:rsidP="00E725A8">
      <w:pPr>
        <w:autoSpaceDE w:val="0"/>
        <w:autoSpaceDN w:val="0"/>
        <w:adjustRightInd w:val="0"/>
        <w:rPr>
          <w:rFonts w:cs="Times New Roman"/>
          <w:szCs w:val="24"/>
        </w:rPr>
      </w:pPr>
      <w:r w:rsidRPr="00E725A8">
        <w:rPr>
          <w:rFonts w:cs="Times New Roman"/>
          <w:szCs w:val="24"/>
        </w:rPr>
        <w:t>2)</w:t>
      </w:r>
      <w:r w:rsidRPr="00E725A8">
        <w:rPr>
          <w:rFonts w:cs="Times New Roman"/>
          <w:szCs w:val="24"/>
        </w:rPr>
        <w:tab/>
        <w:t>Opracowanie przez zespół Narodowego Instytutu Geriatrii, Reumatologii i Rehabilitacji we współpracy z Fundacją Biedronki oraz Szlachetną Paczką Poradnika seniora oraz stworzenie strony internetowej adresowanej do seniorów, ich opiekunów i wolontariuszy. Z materiałów tych można dowiedzieć się min.</w:t>
      </w:r>
      <w:r w:rsidR="009A0AA4">
        <w:rPr>
          <w:rFonts w:cs="Times New Roman"/>
          <w:szCs w:val="24"/>
        </w:rPr>
        <w:t>,</w:t>
      </w:r>
      <w:r w:rsidRPr="00E725A8">
        <w:rPr>
          <w:rFonts w:cs="Times New Roman"/>
          <w:szCs w:val="24"/>
        </w:rPr>
        <w:t xml:space="preserve"> z jakimi trudnościami - zdrowotnymi, psychicznymi, socjalnymi, finansowymi zmagają się na co dzień osoby starsze i jak je wspierać. Akcja promuje działanie w ramach solidarności międzypokoleniowej, szczególnie w sytuacji zagrożenia epidemiologicznego.</w:t>
      </w:r>
    </w:p>
    <w:p w14:paraId="2270F57D"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Poradnik zawiera:</w:t>
      </w:r>
    </w:p>
    <w:p w14:paraId="62868071" w14:textId="7D73656E" w:rsidR="00E725A8" w:rsidRPr="00E725A8" w:rsidRDefault="009A0AA4" w:rsidP="00E725A8">
      <w:pPr>
        <w:autoSpaceDE w:val="0"/>
        <w:autoSpaceDN w:val="0"/>
        <w:adjustRightInd w:val="0"/>
        <w:rPr>
          <w:rFonts w:cs="Times New Roman"/>
          <w:szCs w:val="24"/>
        </w:rPr>
      </w:pPr>
      <w:r>
        <w:rPr>
          <w:rFonts w:cs="Times New Roman"/>
          <w:szCs w:val="24"/>
        </w:rPr>
        <w:t>a)</w:t>
      </w:r>
      <w:r w:rsidR="00E725A8" w:rsidRPr="00E725A8">
        <w:rPr>
          <w:rFonts w:cs="Times New Roman"/>
          <w:szCs w:val="24"/>
        </w:rPr>
        <w:t xml:space="preserve"> zweryfikowane metody i narzędzia do pracy edukacyjnej z osobami 60+,</w:t>
      </w:r>
    </w:p>
    <w:p w14:paraId="5CFA6C8E" w14:textId="4F07296B" w:rsidR="00E725A8" w:rsidRPr="00E725A8" w:rsidRDefault="009A0AA4" w:rsidP="00E725A8">
      <w:pPr>
        <w:autoSpaceDE w:val="0"/>
        <w:autoSpaceDN w:val="0"/>
        <w:adjustRightInd w:val="0"/>
        <w:rPr>
          <w:rFonts w:cs="Times New Roman"/>
          <w:szCs w:val="24"/>
        </w:rPr>
      </w:pPr>
      <w:r>
        <w:rPr>
          <w:rFonts w:cs="Times New Roman"/>
          <w:szCs w:val="24"/>
        </w:rPr>
        <w:t>b)</w:t>
      </w:r>
      <w:r w:rsidR="00E725A8" w:rsidRPr="00E725A8">
        <w:rPr>
          <w:rFonts w:cs="Times New Roman"/>
          <w:szCs w:val="24"/>
        </w:rPr>
        <w:t xml:space="preserve"> analizę najczęściej powielanych stereotypów na temat osób starszych,</w:t>
      </w:r>
    </w:p>
    <w:p w14:paraId="0E2366F2" w14:textId="60CCBC78" w:rsidR="00E725A8" w:rsidRPr="00E725A8" w:rsidRDefault="009A0AA4" w:rsidP="00E725A8">
      <w:pPr>
        <w:autoSpaceDE w:val="0"/>
        <w:autoSpaceDN w:val="0"/>
        <w:adjustRightInd w:val="0"/>
        <w:rPr>
          <w:rFonts w:cs="Times New Roman"/>
          <w:szCs w:val="24"/>
        </w:rPr>
      </w:pPr>
      <w:r>
        <w:rPr>
          <w:rFonts w:cs="Times New Roman"/>
          <w:szCs w:val="24"/>
        </w:rPr>
        <w:t>c)</w:t>
      </w:r>
      <w:r w:rsidR="00E725A8" w:rsidRPr="00E725A8">
        <w:rPr>
          <w:rFonts w:cs="Times New Roman"/>
          <w:szCs w:val="24"/>
        </w:rPr>
        <w:t xml:space="preserve"> informacje na temat troski o zdrowie seniorów, zasad prawidłowego żywienia, zalecanej diety i aktywności fizycznej seniorów,</w:t>
      </w:r>
    </w:p>
    <w:p w14:paraId="7F30FFD7" w14:textId="29673631" w:rsidR="00E725A8" w:rsidRPr="00E725A8" w:rsidRDefault="009A0AA4" w:rsidP="00E725A8">
      <w:pPr>
        <w:autoSpaceDE w:val="0"/>
        <w:autoSpaceDN w:val="0"/>
        <w:adjustRightInd w:val="0"/>
        <w:rPr>
          <w:rFonts w:cs="Times New Roman"/>
          <w:szCs w:val="24"/>
        </w:rPr>
      </w:pPr>
      <w:r>
        <w:rPr>
          <w:rFonts w:cs="Times New Roman"/>
          <w:szCs w:val="24"/>
        </w:rPr>
        <w:t>d)</w:t>
      </w:r>
      <w:r w:rsidR="00E725A8" w:rsidRPr="00E725A8">
        <w:rPr>
          <w:rFonts w:cs="Times New Roman"/>
          <w:szCs w:val="24"/>
        </w:rPr>
        <w:t xml:space="preserve"> praktyczne porady dla wolontariuszy dotyczące realizacji ich pracy i zadań, np. wskazówki jak skutecznie komunikować się i pomagać seniorom, jakie podjąć działania podnoszące jakość życia osób starszych, jak dbać o ich zdrowie dzięki zasadom diety i aktywności fizycznej,</w:t>
      </w:r>
    </w:p>
    <w:p w14:paraId="15D3E893" w14:textId="4D663DBE" w:rsidR="00E725A8" w:rsidRDefault="009A0AA4" w:rsidP="00E725A8">
      <w:pPr>
        <w:autoSpaceDE w:val="0"/>
        <w:autoSpaceDN w:val="0"/>
        <w:adjustRightInd w:val="0"/>
        <w:rPr>
          <w:rFonts w:cs="Times New Roman"/>
          <w:szCs w:val="24"/>
        </w:rPr>
      </w:pPr>
      <w:r>
        <w:rPr>
          <w:rFonts w:cs="Times New Roman"/>
          <w:szCs w:val="24"/>
        </w:rPr>
        <w:t>e)</w:t>
      </w:r>
      <w:r w:rsidR="00E725A8" w:rsidRPr="00E725A8">
        <w:rPr>
          <w:rFonts w:cs="Times New Roman"/>
          <w:szCs w:val="24"/>
        </w:rPr>
        <w:t xml:space="preserve"> zestaw praktycznych narzędzi do pobrania i korzystania przy pracy z Seniorami - interesująco i barwnie wydany poradnik w wersji pdf do druku, </w:t>
      </w:r>
      <w:proofErr w:type="spellStart"/>
      <w:r w:rsidR="00E725A8" w:rsidRPr="00E725A8">
        <w:rPr>
          <w:rFonts w:cs="Times New Roman"/>
          <w:szCs w:val="24"/>
        </w:rPr>
        <w:t>ikonografiki</w:t>
      </w:r>
      <w:proofErr w:type="spellEnd"/>
      <w:r w:rsidR="00E725A8" w:rsidRPr="00E725A8">
        <w:rPr>
          <w:rFonts w:cs="Times New Roman"/>
          <w:szCs w:val="24"/>
        </w:rPr>
        <w:t xml:space="preserve">, animacje, filmy oraz QUIZ. Adres: </w:t>
      </w:r>
      <w:r w:rsidR="005A50FB" w:rsidRPr="00054E88">
        <w:rPr>
          <w:rFonts w:cs="Times New Roman"/>
          <w:szCs w:val="24"/>
        </w:rPr>
        <w:t>https://pomagamseniorowi.pl/</w:t>
      </w:r>
      <w:r w:rsidR="00E725A8" w:rsidRPr="00E725A8">
        <w:rPr>
          <w:rFonts w:cs="Times New Roman"/>
          <w:szCs w:val="24"/>
        </w:rPr>
        <w:t>.</w:t>
      </w:r>
    </w:p>
    <w:p w14:paraId="3CEF7FA9" w14:textId="77777777" w:rsidR="005A50FB" w:rsidRPr="00E725A8" w:rsidRDefault="005A50FB" w:rsidP="00E725A8">
      <w:pPr>
        <w:autoSpaceDE w:val="0"/>
        <w:autoSpaceDN w:val="0"/>
        <w:adjustRightInd w:val="0"/>
        <w:rPr>
          <w:rFonts w:cs="Times New Roman"/>
          <w:szCs w:val="24"/>
        </w:rPr>
      </w:pPr>
    </w:p>
    <w:p w14:paraId="7D8E007A" w14:textId="62082CEF" w:rsidR="00E725A8" w:rsidRDefault="00E725A8" w:rsidP="00E725A8">
      <w:pPr>
        <w:autoSpaceDE w:val="0"/>
        <w:autoSpaceDN w:val="0"/>
        <w:adjustRightInd w:val="0"/>
        <w:rPr>
          <w:rFonts w:cs="Times New Roman"/>
          <w:szCs w:val="24"/>
        </w:rPr>
      </w:pPr>
      <w:r w:rsidRPr="00E725A8">
        <w:rPr>
          <w:rFonts w:cs="Times New Roman"/>
          <w:szCs w:val="24"/>
        </w:rPr>
        <w:t>3)</w:t>
      </w:r>
      <w:r w:rsidRPr="00E725A8">
        <w:rPr>
          <w:rFonts w:cs="Times New Roman"/>
          <w:szCs w:val="24"/>
        </w:rPr>
        <w:tab/>
        <w:t xml:space="preserve">Nawiązanie współpracy z gminą Izabelin w ramach projektu pt.: Opracowanie i wdrożenie kompleksowego programu aktywizacji funkcjonalnej, opieki medycznej oraz diagnostyki i leczenia seniorów gminy. </w:t>
      </w:r>
      <w:proofErr w:type="spellStart"/>
      <w:r w:rsidRPr="00E725A8">
        <w:rPr>
          <w:rFonts w:cs="Times New Roman"/>
          <w:szCs w:val="24"/>
        </w:rPr>
        <w:t>NIGRiR</w:t>
      </w:r>
      <w:proofErr w:type="spellEnd"/>
      <w:r w:rsidRPr="00E725A8">
        <w:rPr>
          <w:rFonts w:cs="Times New Roman"/>
          <w:szCs w:val="24"/>
        </w:rPr>
        <w:t xml:space="preserve"> realizując swoje zadania statutowe, a także dostrzegając potrzebę wdrażania projektów wspomagających zintegrowane modele opieki geriatrycznej w polskim społeczeństwie, opracował i zamierza wdrożyć program opiekuńczo- leczniczy oparty o model opieki zintegrowanej adresowanego do starszych mieszkańców Gminy. Projekt ten polegałby na objęciu jego uczestników opieką geriatryczną przez Klinikę i Poliklinikę Geriatrii Narodowego Instytutu Geriatrii, Reumatologii i Rehabilitacji oraz wdrożeniu kilkumiesięcznego programu rehabilitacji ruchowej, poradnictwa dietetycznego i oceny psychologicznej dostosowanego do indywidualnego stanu zdrowia i potrzeb pacjentów rekrutujących się z blisko 2500 seniorów zamieszkujących na terenie Gminy.</w:t>
      </w:r>
    </w:p>
    <w:p w14:paraId="6EB0C42F" w14:textId="77777777" w:rsidR="005A50FB" w:rsidRPr="00E725A8" w:rsidRDefault="005A50FB" w:rsidP="00E725A8">
      <w:pPr>
        <w:autoSpaceDE w:val="0"/>
        <w:autoSpaceDN w:val="0"/>
        <w:adjustRightInd w:val="0"/>
        <w:rPr>
          <w:rFonts w:cs="Times New Roman"/>
          <w:szCs w:val="24"/>
        </w:rPr>
      </w:pPr>
    </w:p>
    <w:p w14:paraId="4BB5478C"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4)</w:t>
      </w:r>
      <w:r w:rsidRPr="00E725A8">
        <w:rPr>
          <w:rFonts w:cs="Times New Roman"/>
          <w:szCs w:val="24"/>
        </w:rPr>
        <w:tab/>
        <w:t>Partnerstwo w projekcie międzynarodowym Wdrażanie dobrych praktyk w chorobach przewlekłych: CHRODIS PLUS. Celem wspólnego działania CHRODIS PLUS (2017-2020) przez trzy lata jego istnienia było wspieranie państw uczestniczących w projekcie w pokonywaniu obciążenia chorobami przewlekłymi poprzez promowanie polityk i praktyk, które okazały się skuteczne w przeszłości. Główną ideą projektu było dalsze udoskonalanie i transgraniczne udostępnianie przez UE sprawdzonych polityk i dobrych praktyk.</w:t>
      </w:r>
    </w:p>
    <w:p w14:paraId="0486B030" w14:textId="0024C7B8" w:rsidR="00E725A8" w:rsidRPr="00E725A8" w:rsidRDefault="00E725A8" w:rsidP="00E725A8">
      <w:pPr>
        <w:autoSpaceDE w:val="0"/>
        <w:autoSpaceDN w:val="0"/>
        <w:adjustRightInd w:val="0"/>
        <w:rPr>
          <w:rFonts w:cs="Times New Roman"/>
          <w:szCs w:val="24"/>
        </w:rPr>
      </w:pPr>
      <w:r w:rsidRPr="00E725A8">
        <w:rPr>
          <w:rFonts w:cs="Times New Roman"/>
          <w:szCs w:val="24"/>
        </w:rPr>
        <w:lastRenderedPageBreak/>
        <w:t xml:space="preserve">W ramach CHRODIS PLUS wdrożono 21 projektów pilotażowych mających na celu przetestowanie narzędzi i dobrych praktyk w zakresie niektórych chorób przewlekłych oraz przeprowadzono 17 dialogów politycznych (15 na szczeblu krajowym i 2 na szczeblu UE). Projekt zgromadził ponad 50 partnerów z 21 krajów europejskich. NIGRIR promuje osiągnięcia projektu CHRODIS PLUS oraz udostępnia materiały za pośrednictwem strony internetowej www.spartanska.pl. W ramach projektu </w:t>
      </w:r>
      <w:r w:rsidR="00641C42">
        <w:rPr>
          <w:rFonts w:cs="Times New Roman"/>
          <w:szCs w:val="24"/>
        </w:rPr>
        <w:t xml:space="preserve">eksperci </w:t>
      </w:r>
      <w:proofErr w:type="spellStart"/>
      <w:r w:rsidR="00641C42">
        <w:rPr>
          <w:rFonts w:cs="Times New Roman"/>
          <w:szCs w:val="24"/>
        </w:rPr>
        <w:t>NIGRiR</w:t>
      </w:r>
      <w:proofErr w:type="spellEnd"/>
      <w:r w:rsidR="00641C42">
        <w:rPr>
          <w:rFonts w:cs="Times New Roman"/>
          <w:szCs w:val="24"/>
        </w:rPr>
        <w:t xml:space="preserve"> uczestniczyli w </w:t>
      </w:r>
      <w:r w:rsidRPr="00E725A8">
        <w:rPr>
          <w:rFonts w:cs="Times New Roman"/>
          <w:szCs w:val="24"/>
        </w:rPr>
        <w:t>opracowaniu następujących dokumentów:</w:t>
      </w:r>
    </w:p>
    <w:p w14:paraId="13257F81" w14:textId="77777777" w:rsidR="005A50FB" w:rsidRDefault="00E725A8" w:rsidP="00FE70E3">
      <w:pPr>
        <w:pStyle w:val="Akapitzlist"/>
        <w:numPr>
          <w:ilvl w:val="0"/>
          <w:numId w:val="89"/>
        </w:numPr>
        <w:autoSpaceDE w:val="0"/>
        <w:autoSpaceDN w:val="0"/>
        <w:adjustRightInd w:val="0"/>
        <w:rPr>
          <w:rFonts w:cs="Times New Roman"/>
          <w:szCs w:val="24"/>
          <w:lang w:val="en-GB"/>
        </w:rPr>
      </w:pPr>
      <w:r w:rsidRPr="005A50FB">
        <w:rPr>
          <w:rFonts w:cs="Times New Roman"/>
          <w:szCs w:val="24"/>
          <w:lang w:val="en-GB"/>
        </w:rPr>
        <w:t xml:space="preserve">Recommendations on </w:t>
      </w:r>
      <w:proofErr w:type="spellStart"/>
      <w:r w:rsidRPr="005A50FB">
        <w:rPr>
          <w:rFonts w:cs="Times New Roman"/>
          <w:szCs w:val="24"/>
          <w:lang w:val="en-GB"/>
        </w:rPr>
        <w:t>Intersectoral</w:t>
      </w:r>
      <w:proofErr w:type="spellEnd"/>
      <w:r w:rsidRPr="005A50FB">
        <w:rPr>
          <w:rFonts w:cs="Times New Roman"/>
          <w:szCs w:val="24"/>
          <w:lang w:val="en-GB"/>
        </w:rPr>
        <w:t xml:space="preserve"> Collaboration to Strengthen Health Promotion and Disease Prevention</w:t>
      </w:r>
    </w:p>
    <w:p w14:paraId="0F01054A" w14:textId="77777777" w:rsidR="005A50FB" w:rsidRPr="005A50FB" w:rsidRDefault="00E725A8" w:rsidP="00FE70E3">
      <w:pPr>
        <w:pStyle w:val="Akapitzlist"/>
        <w:numPr>
          <w:ilvl w:val="0"/>
          <w:numId w:val="89"/>
        </w:numPr>
        <w:autoSpaceDE w:val="0"/>
        <w:autoSpaceDN w:val="0"/>
        <w:adjustRightInd w:val="0"/>
        <w:rPr>
          <w:rFonts w:cs="Times New Roman"/>
          <w:szCs w:val="24"/>
          <w:lang w:val="en-GB"/>
        </w:rPr>
      </w:pPr>
      <w:r w:rsidRPr="005A50FB">
        <w:rPr>
          <w:rFonts w:cs="Times New Roman"/>
          <w:szCs w:val="24"/>
        </w:rPr>
        <w:t xml:space="preserve">Współpraca między krajami i wartość dodana UE w obszarze chorób niezakaźnych. Podsumowanie oświadczenia </w:t>
      </w:r>
      <w:proofErr w:type="spellStart"/>
      <w:r w:rsidRPr="005A50FB">
        <w:rPr>
          <w:rFonts w:cs="Times New Roman"/>
          <w:szCs w:val="24"/>
        </w:rPr>
        <w:t>konsensusowego</w:t>
      </w:r>
      <w:proofErr w:type="spellEnd"/>
      <w:r w:rsidRPr="005A50FB">
        <w:rPr>
          <w:rFonts w:cs="Times New Roman"/>
          <w:szCs w:val="24"/>
        </w:rPr>
        <w:t xml:space="preserve"> inicjatywy Joint Action CHRODIS-PLUS. Październik 2020.</w:t>
      </w:r>
    </w:p>
    <w:p w14:paraId="73B01EB4" w14:textId="6B2BEBC6" w:rsidR="00E725A8" w:rsidRPr="005A50FB" w:rsidRDefault="00E725A8" w:rsidP="00FE70E3">
      <w:pPr>
        <w:pStyle w:val="Akapitzlist"/>
        <w:numPr>
          <w:ilvl w:val="0"/>
          <w:numId w:val="89"/>
        </w:numPr>
        <w:autoSpaceDE w:val="0"/>
        <w:autoSpaceDN w:val="0"/>
        <w:adjustRightInd w:val="0"/>
        <w:rPr>
          <w:rFonts w:cs="Times New Roman"/>
          <w:szCs w:val="24"/>
          <w:lang w:val="en-GB"/>
        </w:rPr>
      </w:pPr>
      <w:r w:rsidRPr="005A50FB">
        <w:rPr>
          <w:rFonts w:cs="Times New Roman"/>
          <w:szCs w:val="24"/>
        </w:rPr>
        <w:t xml:space="preserve">Pilotażowe wdrożenie modelu systemowej opieki w przypadku </w:t>
      </w:r>
      <w:proofErr w:type="spellStart"/>
      <w:r w:rsidRPr="005A50FB">
        <w:rPr>
          <w:rFonts w:cs="Times New Roman"/>
          <w:szCs w:val="24"/>
        </w:rPr>
        <w:t>wielochorobowości</w:t>
      </w:r>
      <w:proofErr w:type="spellEnd"/>
      <w:r w:rsidRPr="005A50FB">
        <w:rPr>
          <w:rFonts w:cs="Times New Roman"/>
          <w:szCs w:val="24"/>
        </w:rPr>
        <w:t xml:space="preserve"> u osób starszych. Projekt obejmuje następujące działania:</w:t>
      </w:r>
    </w:p>
    <w:p w14:paraId="4696CA03"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 xml:space="preserve">Regularna Całościowa Ocena Pacjentów poszerzona o przesiewową ocenę ryzyka zespołu kruchości/słabości - </w:t>
      </w:r>
      <w:proofErr w:type="spellStart"/>
      <w:r w:rsidRPr="00E725A8">
        <w:rPr>
          <w:rFonts w:cs="Times New Roman"/>
          <w:szCs w:val="24"/>
        </w:rPr>
        <w:t>frailty</w:t>
      </w:r>
      <w:proofErr w:type="spellEnd"/>
      <w:r w:rsidRPr="00E725A8">
        <w:rPr>
          <w:rFonts w:cs="Times New Roman"/>
          <w:szCs w:val="24"/>
        </w:rPr>
        <w:t xml:space="preserve"> </w:t>
      </w:r>
      <w:proofErr w:type="spellStart"/>
      <w:r w:rsidRPr="00E725A8">
        <w:rPr>
          <w:rFonts w:cs="Times New Roman"/>
          <w:szCs w:val="24"/>
        </w:rPr>
        <w:t>syndrome</w:t>
      </w:r>
      <w:proofErr w:type="spellEnd"/>
      <w:r w:rsidRPr="00E725A8">
        <w:rPr>
          <w:rFonts w:cs="Times New Roman"/>
          <w:szCs w:val="24"/>
        </w:rPr>
        <w:t>;</w:t>
      </w:r>
    </w:p>
    <w:p w14:paraId="21D0C137"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Szkolenie interdyscyplinarnych zespołów szpitalnych;</w:t>
      </w:r>
    </w:p>
    <w:p w14:paraId="60911293" w14:textId="54F6CF35"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Szkolenie opiekunów bezpośrednich pacjentów w celu przygotowania do samoopi</w:t>
      </w:r>
      <w:r w:rsidR="00641C42">
        <w:rPr>
          <w:rFonts w:cs="Times New Roman"/>
          <w:szCs w:val="24"/>
        </w:rPr>
        <w:t>eki z </w:t>
      </w:r>
      <w:r w:rsidRPr="00E725A8">
        <w:rPr>
          <w:rFonts w:cs="Times New Roman"/>
          <w:szCs w:val="24"/>
        </w:rPr>
        <w:t>uwzględnieniem możliwych do osiągnięcia kompetencji.</w:t>
      </w:r>
    </w:p>
    <w:p w14:paraId="7314CAA6" w14:textId="77777777" w:rsidR="00641C42" w:rsidRDefault="00641C42" w:rsidP="00E725A8">
      <w:pPr>
        <w:autoSpaceDE w:val="0"/>
        <w:autoSpaceDN w:val="0"/>
        <w:adjustRightInd w:val="0"/>
        <w:rPr>
          <w:rFonts w:cs="Times New Roman"/>
          <w:szCs w:val="24"/>
        </w:rPr>
      </w:pPr>
    </w:p>
    <w:p w14:paraId="38828910" w14:textId="4EC4E868" w:rsidR="00E725A8" w:rsidRPr="00E725A8" w:rsidRDefault="00E725A8" w:rsidP="00E725A8">
      <w:pPr>
        <w:autoSpaceDE w:val="0"/>
        <w:autoSpaceDN w:val="0"/>
        <w:adjustRightInd w:val="0"/>
        <w:rPr>
          <w:rFonts w:cs="Times New Roman"/>
          <w:szCs w:val="24"/>
        </w:rPr>
      </w:pPr>
      <w:r w:rsidRPr="00E725A8">
        <w:rPr>
          <w:rFonts w:cs="Times New Roman"/>
          <w:szCs w:val="24"/>
        </w:rPr>
        <w:t>Opracowany dokument stanowi podbudowę do aplikowania i</w:t>
      </w:r>
      <w:r w:rsidR="00641C42">
        <w:rPr>
          <w:rFonts w:cs="Times New Roman"/>
          <w:szCs w:val="24"/>
        </w:rPr>
        <w:t xml:space="preserve"> wdrożenia projektu krajowego w </w:t>
      </w:r>
      <w:r w:rsidRPr="00E725A8">
        <w:rPr>
          <w:rFonts w:cs="Times New Roman"/>
          <w:szCs w:val="24"/>
        </w:rPr>
        <w:t>ramach kontynuacji międzynarodowego projektu CHROD</w:t>
      </w:r>
      <w:r w:rsidR="00641C42">
        <w:rPr>
          <w:rFonts w:cs="Times New Roman"/>
          <w:szCs w:val="24"/>
        </w:rPr>
        <w:t>IS PLUS w przyszłych latach, do </w:t>
      </w:r>
      <w:r w:rsidRPr="00E725A8">
        <w:rPr>
          <w:rFonts w:cs="Times New Roman"/>
          <w:szCs w:val="24"/>
        </w:rPr>
        <w:t>czego został wstępnie zgłoszony akces.</w:t>
      </w:r>
    </w:p>
    <w:p w14:paraId="02D107BA" w14:textId="77777777" w:rsidR="00E725A8" w:rsidRPr="00E725A8" w:rsidRDefault="00E725A8" w:rsidP="00E725A8">
      <w:pPr>
        <w:autoSpaceDE w:val="0"/>
        <w:autoSpaceDN w:val="0"/>
        <w:adjustRightInd w:val="0"/>
        <w:rPr>
          <w:rFonts w:cs="Times New Roman"/>
          <w:szCs w:val="24"/>
        </w:rPr>
      </w:pPr>
    </w:p>
    <w:p w14:paraId="2822270A" w14:textId="34E3DD32" w:rsidR="00E725A8" w:rsidRDefault="005A50FB" w:rsidP="007A2213">
      <w:pPr>
        <w:pStyle w:val="Nagwek3"/>
      </w:pPr>
      <w:bookmarkStart w:id="101" w:name="_Toc77513932"/>
      <w:bookmarkStart w:id="102" w:name="_Toc80523087"/>
      <w:r>
        <w:t>Z</w:t>
      </w:r>
      <w:r w:rsidRPr="00E725A8">
        <w:t>miany w sposobie udzielania świadczeń realizowanych na rzecz osób starszych</w:t>
      </w:r>
      <w:bookmarkEnd w:id="101"/>
      <w:bookmarkEnd w:id="102"/>
    </w:p>
    <w:p w14:paraId="41CB00F8" w14:textId="77777777" w:rsidR="005A50FB" w:rsidRPr="005A50FB" w:rsidRDefault="005A50FB" w:rsidP="005A50FB"/>
    <w:p w14:paraId="41407484" w14:textId="77777777" w:rsidR="00E725A8" w:rsidRPr="007A2213" w:rsidRDefault="007A2213" w:rsidP="00E725A8">
      <w:pPr>
        <w:autoSpaceDE w:val="0"/>
        <w:autoSpaceDN w:val="0"/>
        <w:adjustRightInd w:val="0"/>
        <w:rPr>
          <w:rFonts w:cs="Times New Roman"/>
          <w:b/>
          <w:szCs w:val="24"/>
        </w:rPr>
      </w:pPr>
      <w:r w:rsidRPr="007A2213">
        <w:rPr>
          <w:rFonts w:cs="Times New Roman"/>
          <w:b/>
          <w:szCs w:val="24"/>
        </w:rPr>
        <w:t xml:space="preserve">Krajowa Sieć Onkologiczna </w:t>
      </w:r>
      <w:r w:rsidR="00E725A8" w:rsidRPr="007A2213">
        <w:rPr>
          <w:rFonts w:cs="Times New Roman"/>
          <w:b/>
          <w:szCs w:val="24"/>
        </w:rPr>
        <w:t>(KSO)</w:t>
      </w:r>
    </w:p>
    <w:p w14:paraId="60C2BA2D"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Zgodnie z koncepcją rozwoju sektora ochrony zdrowia, w której kluczowa rola w poprawie efektywności i dostępności do leczenia została przypisana rozwojowi opieki koordynowanej, zasadniczym narzędziem reformy opieki onkologicznej jest ustanowienie krajowej sieci onkologicznej (KSO), czyli współpracujących ze sobą w obrębie województwa ośrodków onkologicznych. W 2019 r. w dwóch województwach (dolnośląskim i świętokrzyskim) rozpoczęła się realizacja programu pilotażowego KSO, w 2020 r. została rozszerzona o kolejne dwa województwa - pomorskie i podlaskie.</w:t>
      </w:r>
    </w:p>
    <w:p w14:paraId="094B3264" w14:textId="77777777" w:rsidR="00641C42" w:rsidRDefault="00641C42" w:rsidP="00E725A8">
      <w:pPr>
        <w:autoSpaceDE w:val="0"/>
        <w:autoSpaceDN w:val="0"/>
        <w:adjustRightInd w:val="0"/>
        <w:rPr>
          <w:rFonts w:cs="Times New Roman"/>
          <w:szCs w:val="24"/>
        </w:rPr>
      </w:pPr>
    </w:p>
    <w:p w14:paraId="7E88AF82" w14:textId="1BC9017F" w:rsidR="00441B41" w:rsidRPr="00E725A8" w:rsidRDefault="00E725A8" w:rsidP="00E725A8">
      <w:pPr>
        <w:autoSpaceDE w:val="0"/>
        <w:autoSpaceDN w:val="0"/>
        <w:adjustRightInd w:val="0"/>
        <w:rPr>
          <w:rFonts w:cs="Times New Roman"/>
          <w:szCs w:val="24"/>
        </w:rPr>
      </w:pPr>
      <w:r w:rsidRPr="00E725A8">
        <w:rPr>
          <w:rFonts w:cs="Times New Roman"/>
          <w:szCs w:val="24"/>
        </w:rPr>
        <w:t>W ramach pilotażu analizowana i oceniana jest kompleksowość ścieżek postępowania medycznego w 5 najczęściej wyst</w:t>
      </w:r>
      <w:r w:rsidR="00A5053D">
        <w:rPr>
          <w:rFonts w:cs="Times New Roman"/>
          <w:szCs w:val="24"/>
        </w:rPr>
        <w:t xml:space="preserve">ępujących w Polsce nowotworach: piersi, płuca, </w:t>
      </w:r>
      <w:r w:rsidRPr="00E725A8">
        <w:rPr>
          <w:rFonts w:cs="Times New Roman"/>
          <w:szCs w:val="24"/>
        </w:rPr>
        <w:t>jajnika,</w:t>
      </w:r>
      <w:r w:rsidR="00A5053D">
        <w:rPr>
          <w:rFonts w:cs="Times New Roman"/>
          <w:szCs w:val="24"/>
        </w:rPr>
        <w:t xml:space="preserve"> </w:t>
      </w:r>
      <w:r w:rsidR="00441B41" w:rsidRPr="00E725A8">
        <w:rPr>
          <w:rFonts w:cs="Times New Roman"/>
          <w:szCs w:val="24"/>
        </w:rPr>
        <w:t>jelita grubego oraz</w:t>
      </w:r>
      <w:r w:rsidR="00A5053D">
        <w:rPr>
          <w:rFonts w:cs="Times New Roman"/>
          <w:szCs w:val="24"/>
        </w:rPr>
        <w:t xml:space="preserve"> </w:t>
      </w:r>
      <w:r w:rsidR="00441B41" w:rsidRPr="00E725A8">
        <w:rPr>
          <w:rFonts w:cs="Times New Roman"/>
          <w:szCs w:val="24"/>
        </w:rPr>
        <w:t>gruczołu krokowego.</w:t>
      </w:r>
    </w:p>
    <w:p w14:paraId="1FFDA371" w14:textId="535DEE44" w:rsidR="00E725A8" w:rsidRDefault="00E725A8" w:rsidP="00E725A8">
      <w:pPr>
        <w:autoSpaceDE w:val="0"/>
        <w:autoSpaceDN w:val="0"/>
        <w:adjustRightInd w:val="0"/>
        <w:rPr>
          <w:rFonts w:cs="Times New Roman"/>
          <w:szCs w:val="24"/>
        </w:rPr>
      </w:pPr>
    </w:p>
    <w:p w14:paraId="558A7F1E" w14:textId="77777777" w:rsidR="00641C42" w:rsidRPr="00E725A8" w:rsidRDefault="00641C42" w:rsidP="00E725A8">
      <w:pPr>
        <w:autoSpaceDE w:val="0"/>
        <w:autoSpaceDN w:val="0"/>
        <w:adjustRightInd w:val="0"/>
        <w:rPr>
          <w:rFonts w:cs="Times New Roman"/>
          <w:szCs w:val="24"/>
        </w:rPr>
      </w:pPr>
    </w:p>
    <w:p w14:paraId="6073F121" w14:textId="4545D592" w:rsidR="00E725A8" w:rsidRDefault="00441B41" w:rsidP="007A2213">
      <w:pPr>
        <w:pStyle w:val="Nagwek3"/>
      </w:pPr>
      <w:bookmarkStart w:id="103" w:name="_Toc77513933"/>
      <w:bookmarkStart w:id="104" w:name="_Toc80523088"/>
      <w:r>
        <w:lastRenderedPageBreak/>
        <w:t>Z</w:t>
      </w:r>
      <w:r w:rsidRPr="00E725A8">
        <w:t>większenie dostępu do leków dla osób starszych</w:t>
      </w:r>
      <w:bookmarkEnd w:id="103"/>
      <w:bookmarkEnd w:id="104"/>
    </w:p>
    <w:p w14:paraId="507712BC" w14:textId="77777777" w:rsidR="00441B41" w:rsidRPr="00441B41" w:rsidRDefault="00441B41" w:rsidP="00441B41"/>
    <w:p w14:paraId="5AF658FA" w14:textId="77777777" w:rsidR="00E725A8" w:rsidRPr="007A2213" w:rsidRDefault="007A2213" w:rsidP="00E725A8">
      <w:pPr>
        <w:autoSpaceDE w:val="0"/>
        <w:autoSpaceDN w:val="0"/>
        <w:adjustRightInd w:val="0"/>
        <w:rPr>
          <w:rFonts w:cs="Times New Roman"/>
          <w:b/>
          <w:szCs w:val="24"/>
        </w:rPr>
      </w:pPr>
      <w:r w:rsidRPr="007A2213">
        <w:rPr>
          <w:rFonts w:cs="Times New Roman"/>
          <w:b/>
          <w:szCs w:val="24"/>
        </w:rPr>
        <w:t>Realizacja Programu Leki 75+</w:t>
      </w:r>
    </w:p>
    <w:p w14:paraId="37C04E6E"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Projekt Leki 75+ służy zapewnieniu osobom po ukończeniu 75. roku życia bezpłatnego dostępu do wybranych leków, środków spożywczych specjalnego przeznaczenia żywieniowego oraz wyrobów medycznych. W ramach programu Leki 75+, od 1 września 2016 r. bezpłatne leki z tzw. listy „S” przysługują wszystkim świadczeniobiorcom po ukończeniu 75. roku życia.</w:t>
      </w:r>
    </w:p>
    <w:p w14:paraId="678DA31B"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 ramach projektu Leki 75 + w 2020 r.:</w:t>
      </w:r>
    </w:p>
    <w:p w14:paraId="611FC419" w14:textId="77777777" w:rsidR="00441B41" w:rsidRDefault="00E725A8" w:rsidP="00FE70E3">
      <w:pPr>
        <w:pStyle w:val="Akapitzlist"/>
        <w:numPr>
          <w:ilvl w:val="0"/>
          <w:numId w:val="90"/>
        </w:numPr>
        <w:autoSpaceDE w:val="0"/>
        <w:autoSpaceDN w:val="0"/>
        <w:adjustRightInd w:val="0"/>
        <w:rPr>
          <w:rFonts w:cs="Times New Roman"/>
          <w:szCs w:val="24"/>
        </w:rPr>
      </w:pPr>
      <w:r w:rsidRPr="00441B41">
        <w:rPr>
          <w:rFonts w:cs="Times New Roman"/>
          <w:szCs w:val="24"/>
        </w:rPr>
        <w:t>w ustawie budżetowej na realizację programu zaplanowano środki finansowe w łącznej wysokości 836 mln zł (kwota na finansowanie ww. projektu w 2020 r. wzrosła w porównaniu z 2019 r. (733,4 mln zł.));</w:t>
      </w:r>
    </w:p>
    <w:p w14:paraId="783289DC" w14:textId="77777777" w:rsidR="00441B41" w:rsidRDefault="00E725A8" w:rsidP="00FE70E3">
      <w:pPr>
        <w:pStyle w:val="Akapitzlist"/>
        <w:numPr>
          <w:ilvl w:val="0"/>
          <w:numId w:val="90"/>
        </w:numPr>
        <w:autoSpaceDE w:val="0"/>
        <w:autoSpaceDN w:val="0"/>
        <w:adjustRightInd w:val="0"/>
        <w:rPr>
          <w:rFonts w:cs="Times New Roman"/>
          <w:szCs w:val="24"/>
        </w:rPr>
      </w:pPr>
      <w:r w:rsidRPr="00441B41">
        <w:rPr>
          <w:rFonts w:cs="Times New Roman"/>
          <w:szCs w:val="24"/>
        </w:rPr>
        <w:t>na Leki 75+ wydatkowano kwotę 754,8 mln zł;</w:t>
      </w:r>
    </w:p>
    <w:p w14:paraId="6C27E4F8" w14:textId="77777777" w:rsidR="00441B41" w:rsidRDefault="00E725A8" w:rsidP="00FE70E3">
      <w:pPr>
        <w:pStyle w:val="Akapitzlist"/>
        <w:numPr>
          <w:ilvl w:val="0"/>
          <w:numId w:val="90"/>
        </w:numPr>
        <w:autoSpaceDE w:val="0"/>
        <w:autoSpaceDN w:val="0"/>
        <w:adjustRightInd w:val="0"/>
        <w:rPr>
          <w:rFonts w:cs="Times New Roman"/>
          <w:szCs w:val="24"/>
        </w:rPr>
      </w:pPr>
      <w:r w:rsidRPr="00441B41">
        <w:rPr>
          <w:rFonts w:cs="Times New Roman"/>
          <w:szCs w:val="24"/>
        </w:rPr>
        <w:t>z programu Leki 75+ skorzystało ok. 2,4 mln osób po 75. roku życia;</w:t>
      </w:r>
    </w:p>
    <w:p w14:paraId="2BF21128" w14:textId="77777777" w:rsidR="00441B41" w:rsidRDefault="00E725A8" w:rsidP="00FE70E3">
      <w:pPr>
        <w:pStyle w:val="Akapitzlist"/>
        <w:numPr>
          <w:ilvl w:val="0"/>
          <w:numId w:val="90"/>
        </w:numPr>
        <w:autoSpaceDE w:val="0"/>
        <w:autoSpaceDN w:val="0"/>
        <w:adjustRightInd w:val="0"/>
        <w:rPr>
          <w:rFonts w:cs="Times New Roman"/>
          <w:szCs w:val="24"/>
        </w:rPr>
      </w:pPr>
      <w:r w:rsidRPr="00441B41">
        <w:rPr>
          <w:rFonts w:cs="Times New Roman"/>
          <w:szCs w:val="24"/>
        </w:rPr>
        <w:t>na liście 75+  znalazło się 2 051 produktów;</w:t>
      </w:r>
    </w:p>
    <w:p w14:paraId="3C594D59" w14:textId="75E65DFC" w:rsidR="00E725A8" w:rsidRDefault="00E725A8" w:rsidP="00FE70E3">
      <w:pPr>
        <w:pStyle w:val="Akapitzlist"/>
        <w:numPr>
          <w:ilvl w:val="0"/>
          <w:numId w:val="90"/>
        </w:numPr>
        <w:autoSpaceDE w:val="0"/>
        <w:autoSpaceDN w:val="0"/>
        <w:adjustRightInd w:val="0"/>
        <w:rPr>
          <w:rFonts w:cs="Times New Roman"/>
          <w:szCs w:val="24"/>
        </w:rPr>
      </w:pPr>
      <w:r w:rsidRPr="00441B41">
        <w:rPr>
          <w:rFonts w:cs="Times New Roman"/>
          <w:szCs w:val="24"/>
        </w:rPr>
        <w:t>liczba wydanych opakowań leków wyniosła 69 346 408;liczba zrealizowanych recept wyniosła 47 602</w:t>
      </w:r>
      <w:r w:rsidR="00441B41">
        <w:rPr>
          <w:rFonts w:cs="Times New Roman"/>
          <w:szCs w:val="24"/>
        </w:rPr>
        <w:t> </w:t>
      </w:r>
      <w:r w:rsidRPr="00441B41">
        <w:rPr>
          <w:rFonts w:cs="Times New Roman"/>
          <w:szCs w:val="24"/>
        </w:rPr>
        <w:t>209.</w:t>
      </w:r>
    </w:p>
    <w:p w14:paraId="21B07BAB" w14:textId="77777777" w:rsidR="00441B41" w:rsidRPr="00441B41" w:rsidRDefault="00441B41" w:rsidP="00441B41">
      <w:pPr>
        <w:autoSpaceDE w:val="0"/>
        <w:autoSpaceDN w:val="0"/>
        <w:adjustRightInd w:val="0"/>
        <w:rPr>
          <w:rFonts w:cs="Times New Roman"/>
          <w:szCs w:val="24"/>
        </w:rPr>
      </w:pPr>
    </w:p>
    <w:p w14:paraId="48F92D24" w14:textId="0B5F6316" w:rsidR="00E725A8" w:rsidRDefault="00E725A8" w:rsidP="00E725A8">
      <w:pPr>
        <w:autoSpaceDE w:val="0"/>
        <w:autoSpaceDN w:val="0"/>
        <w:adjustRightInd w:val="0"/>
        <w:rPr>
          <w:rFonts w:cs="Times New Roman"/>
          <w:szCs w:val="24"/>
        </w:rPr>
      </w:pPr>
      <w:r w:rsidRPr="00E725A8">
        <w:rPr>
          <w:rFonts w:cs="Times New Roman"/>
          <w:szCs w:val="24"/>
        </w:rPr>
        <w:t>Aktualnie prawo pacjenta do otrzymania recepty 75 plus uzależnione jest od wyrażenia zgody przez pacjenta na dostęp konkretnego pracownika medycznego do jego danych, zgromadzonych w Systemie e-Zdrowie</w:t>
      </w:r>
      <w:r w:rsidR="00762A65">
        <w:rPr>
          <w:rFonts w:cs="Times New Roman"/>
          <w:szCs w:val="24"/>
        </w:rPr>
        <w:t>.</w:t>
      </w:r>
      <w:r w:rsidRPr="00E725A8">
        <w:rPr>
          <w:rFonts w:cs="Times New Roman"/>
          <w:szCs w:val="24"/>
        </w:rPr>
        <w:t xml:space="preserve"> </w:t>
      </w:r>
      <w:r w:rsidR="00762A65">
        <w:rPr>
          <w:rFonts w:cs="Times New Roman"/>
          <w:szCs w:val="24"/>
        </w:rPr>
        <w:t>W</w:t>
      </w:r>
      <w:r w:rsidRPr="00E725A8">
        <w:rPr>
          <w:rFonts w:cs="Times New Roman"/>
          <w:szCs w:val="24"/>
        </w:rPr>
        <w:t>iąże się to z koniecznością posiadania przez pacjenta Internetowego Konta Pacjenta (IKP). Mając na uwadze m.in. ułatwienie dostępu do ww. recept, obecnie prowadzone są prace w celu zmiany przepisów regulujących kwestię ich wystawiania. Propozycja zmiany przepisów, która jest procedowana, polega na przyznaniu osobom uprawionym do wystawiania recept dla pacjentów 75+ prawa do automatycznego dostępu do danych o wystawionych receptach, analogicznie jak w przypadku lekarzy zatrudnionych w podstawowej opiece zdrowotnej.</w:t>
      </w:r>
    </w:p>
    <w:p w14:paraId="2DE9606D" w14:textId="77777777" w:rsidR="00441B41" w:rsidRPr="00E725A8" w:rsidRDefault="00441B41" w:rsidP="00E725A8">
      <w:pPr>
        <w:autoSpaceDE w:val="0"/>
        <w:autoSpaceDN w:val="0"/>
        <w:adjustRightInd w:val="0"/>
        <w:rPr>
          <w:rFonts w:cs="Times New Roman"/>
          <w:szCs w:val="24"/>
        </w:rPr>
      </w:pPr>
    </w:p>
    <w:p w14:paraId="1A45A7CE" w14:textId="7E34EBD2" w:rsidR="00E725A8" w:rsidRDefault="00441B41" w:rsidP="007A2213">
      <w:pPr>
        <w:pStyle w:val="Nagwek3"/>
        <w:ind w:left="709" w:hanging="709"/>
      </w:pPr>
      <w:bookmarkStart w:id="105" w:name="_Toc77513934"/>
      <w:bookmarkStart w:id="106" w:name="_Toc80523089"/>
      <w:r>
        <w:t>S</w:t>
      </w:r>
      <w:r w:rsidRPr="00E725A8">
        <w:t>zkolenia kadr medycznych, finansowane ze środków krajowych i zagranicznych</w:t>
      </w:r>
      <w:bookmarkEnd w:id="105"/>
      <w:bookmarkEnd w:id="106"/>
    </w:p>
    <w:p w14:paraId="4F47D23F" w14:textId="77777777" w:rsidR="00D05ABE" w:rsidRPr="00D05ABE" w:rsidRDefault="00D05ABE" w:rsidP="00D05ABE"/>
    <w:p w14:paraId="7D43489F" w14:textId="566EF6F3" w:rsidR="007A2213" w:rsidRDefault="00E725A8" w:rsidP="00E725A8">
      <w:pPr>
        <w:autoSpaceDE w:val="0"/>
        <w:autoSpaceDN w:val="0"/>
        <w:adjustRightInd w:val="0"/>
        <w:rPr>
          <w:rFonts w:cs="Times New Roman"/>
          <w:szCs w:val="24"/>
        </w:rPr>
      </w:pPr>
      <w:r w:rsidRPr="00E725A8">
        <w:rPr>
          <w:rFonts w:cs="Times New Roman"/>
          <w:szCs w:val="24"/>
        </w:rPr>
        <w:t>Zgodnie z art. 70 ustawy z dnia 15 lipca 2011 r. o zawodach pielęgniarki i położnej (Dz. U. z 202</w:t>
      </w:r>
      <w:r w:rsidR="00762A65">
        <w:rPr>
          <w:rFonts w:cs="Times New Roman"/>
          <w:szCs w:val="24"/>
        </w:rPr>
        <w:t>1</w:t>
      </w:r>
      <w:r w:rsidRPr="00E725A8">
        <w:rPr>
          <w:rFonts w:cs="Times New Roman"/>
          <w:szCs w:val="24"/>
        </w:rPr>
        <w:t xml:space="preserve"> r. poz. </w:t>
      </w:r>
      <w:r w:rsidR="00762A65">
        <w:rPr>
          <w:rFonts w:cs="Times New Roman"/>
          <w:szCs w:val="24"/>
        </w:rPr>
        <w:t>479</w:t>
      </w:r>
      <w:r w:rsidRPr="00E725A8">
        <w:rPr>
          <w:rFonts w:cs="Times New Roman"/>
          <w:szCs w:val="24"/>
        </w:rPr>
        <w:t>), minister właściwy do spraw zdrowia w ramach posiadanych środków i ustalonej minimalnej liczby miejsc szkoleniowych dla pielęgniarek i położnych, dofinansowuje szkolenia specjalizacyjne dla tych grup zawodowyc</w:t>
      </w:r>
      <w:r w:rsidR="007A2213">
        <w:rPr>
          <w:rFonts w:cs="Times New Roman"/>
          <w:szCs w:val="24"/>
        </w:rPr>
        <w:t xml:space="preserve">h w dziedzinach priorytetowych. </w:t>
      </w:r>
      <w:r w:rsidR="007A2213" w:rsidRPr="007A2213">
        <w:rPr>
          <w:rFonts w:cs="Times New Roman"/>
          <w:szCs w:val="24"/>
        </w:rPr>
        <w:t xml:space="preserve">W 2020 r. 194 pielęgniarki uzyskały tytuł specjalisty pielęgniarstwa geriatrycznego, natomiast 202 pielęgniarki uzyskały tytuł specjalisty pielęgniarstwa opieki paliatywnej. </w:t>
      </w:r>
    </w:p>
    <w:p w14:paraId="19460435" w14:textId="77777777" w:rsidR="007A2213" w:rsidRDefault="007A2213" w:rsidP="00E725A8">
      <w:pPr>
        <w:autoSpaceDE w:val="0"/>
        <w:autoSpaceDN w:val="0"/>
        <w:adjustRightInd w:val="0"/>
        <w:rPr>
          <w:rFonts w:cs="Times New Roman"/>
          <w:szCs w:val="24"/>
        </w:rPr>
      </w:pPr>
    </w:p>
    <w:p w14:paraId="2E1C3641"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Przedstawiciele personelu medycznego stanowią również grupę beneficjentów projektów szkoleniowych prowadzonych przez Centrum e-Zdrowia.</w:t>
      </w:r>
    </w:p>
    <w:p w14:paraId="3518B054" w14:textId="77777777" w:rsidR="00D05ABE" w:rsidRDefault="00D05ABE" w:rsidP="00E725A8">
      <w:pPr>
        <w:autoSpaceDE w:val="0"/>
        <w:autoSpaceDN w:val="0"/>
        <w:adjustRightInd w:val="0"/>
        <w:rPr>
          <w:rFonts w:cs="Times New Roman"/>
          <w:szCs w:val="24"/>
        </w:rPr>
      </w:pPr>
    </w:p>
    <w:p w14:paraId="0B5A1CA8" w14:textId="09937DFE" w:rsidR="00E725A8" w:rsidRDefault="00E725A8" w:rsidP="00E725A8">
      <w:pPr>
        <w:autoSpaceDE w:val="0"/>
        <w:autoSpaceDN w:val="0"/>
        <w:adjustRightInd w:val="0"/>
        <w:rPr>
          <w:rFonts w:cs="Times New Roman"/>
          <w:szCs w:val="24"/>
        </w:rPr>
      </w:pPr>
      <w:r w:rsidRPr="00E725A8">
        <w:rPr>
          <w:rFonts w:cs="Times New Roman"/>
          <w:szCs w:val="24"/>
        </w:rPr>
        <w:t xml:space="preserve">W 2020 r. w ramach projektu pod nazwą Poprawa jakości świadczonych usług medycznych poprzez zapoznanie i przeszkolenie pracowników podmiotów leczniczych z podstawowymi </w:t>
      </w:r>
      <w:r w:rsidRPr="00E725A8">
        <w:rPr>
          <w:rFonts w:cs="Times New Roman"/>
          <w:szCs w:val="24"/>
        </w:rPr>
        <w:lastRenderedPageBreak/>
        <w:t>terminami i procesami związanymi z wystawianiem, prowadzeniem i wymianą Elektronicznej Dokumentacji Medycznej prowadzono szkolenia w podmiotach leczniczych, w których realizowane są stacjonarne i całodobowe świadczenia szpitalne, w podmiotach leczniczych realizujących świadczenia opieki zdrowotnej w rodzaju podstawowa opieka zdrowotna - POZ oraz AOS. W 2020 r. łącznie przeszkolono 4 991 osób, w tym również pracowników medycznych w grupie wiekowej powyżej 65 r.ż.</w:t>
      </w:r>
    </w:p>
    <w:p w14:paraId="7A551EA9" w14:textId="77777777" w:rsidR="00340F91" w:rsidRPr="00E725A8" w:rsidRDefault="00340F91" w:rsidP="00E725A8">
      <w:pPr>
        <w:autoSpaceDE w:val="0"/>
        <w:autoSpaceDN w:val="0"/>
        <w:adjustRightInd w:val="0"/>
        <w:rPr>
          <w:rFonts w:cs="Times New Roman"/>
          <w:szCs w:val="24"/>
        </w:rPr>
      </w:pPr>
    </w:p>
    <w:p w14:paraId="1B09FF9F" w14:textId="61035244" w:rsidR="00E725A8" w:rsidRDefault="00D05ABE" w:rsidP="007A2213">
      <w:pPr>
        <w:pStyle w:val="Nagwek3"/>
      </w:pPr>
      <w:bookmarkStart w:id="107" w:name="_Toc77513935"/>
      <w:bookmarkStart w:id="108" w:name="_Toc80523090"/>
      <w:r>
        <w:t>I</w:t>
      </w:r>
      <w:r w:rsidRPr="00E725A8">
        <w:t>nicjatywy z zakresu e-zdrowia</w:t>
      </w:r>
      <w:bookmarkEnd w:id="107"/>
      <w:bookmarkEnd w:id="108"/>
    </w:p>
    <w:p w14:paraId="73C05AEF" w14:textId="77777777" w:rsidR="00D05ABE" w:rsidRPr="00D05ABE" w:rsidRDefault="00D05ABE" w:rsidP="00D05ABE"/>
    <w:p w14:paraId="69A03F24" w14:textId="77777777" w:rsidR="00E725A8" w:rsidRPr="007A2213" w:rsidRDefault="007A2213" w:rsidP="00E725A8">
      <w:pPr>
        <w:autoSpaceDE w:val="0"/>
        <w:autoSpaceDN w:val="0"/>
        <w:adjustRightInd w:val="0"/>
        <w:rPr>
          <w:rFonts w:cs="Times New Roman"/>
          <w:b/>
          <w:szCs w:val="24"/>
        </w:rPr>
      </w:pPr>
      <w:r w:rsidRPr="007A2213">
        <w:rPr>
          <w:rFonts w:cs="Times New Roman"/>
          <w:b/>
          <w:szCs w:val="24"/>
        </w:rPr>
        <w:t>Rozwój powszechnych usług cyfrowych w ochronie zdrowia</w:t>
      </w:r>
    </w:p>
    <w:p w14:paraId="43A333C0" w14:textId="77777777" w:rsidR="007A2213" w:rsidRDefault="00E725A8" w:rsidP="00E725A8">
      <w:pPr>
        <w:autoSpaceDE w:val="0"/>
        <w:autoSpaceDN w:val="0"/>
        <w:adjustRightInd w:val="0"/>
        <w:rPr>
          <w:rFonts w:cs="Times New Roman"/>
          <w:szCs w:val="24"/>
        </w:rPr>
      </w:pPr>
      <w:r w:rsidRPr="00E725A8">
        <w:rPr>
          <w:rFonts w:cs="Times New Roman"/>
          <w:szCs w:val="24"/>
        </w:rPr>
        <w:t>Spośród kluczowych e-usług, które zwiększają dostępność do świadczeń oraz przyczyniają się do poprawy funkcjonowania osób starszych w polskim systemie ochr</w:t>
      </w:r>
      <w:r w:rsidR="007A2213">
        <w:rPr>
          <w:rFonts w:cs="Times New Roman"/>
          <w:szCs w:val="24"/>
        </w:rPr>
        <w:t xml:space="preserve">ony zdrowia, należy wymienić: </w:t>
      </w:r>
    </w:p>
    <w:p w14:paraId="67052743" w14:textId="77777777" w:rsidR="007A2213" w:rsidRDefault="00E725A8" w:rsidP="00FE70E3">
      <w:pPr>
        <w:pStyle w:val="Akapitzlist"/>
        <w:numPr>
          <w:ilvl w:val="0"/>
          <w:numId w:val="35"/>
        </w:numPr>
        <w:autoSpaceDE w:val="0"/>
        <w:autoSpaceDN w:val="0"/>
        <w:adjustRightInd w:val="0"/>
        <w:rPr>
          <w:rFonts w:cs="Times New Roman"/>
          <w:szCs w:val="24"/>
        </w:rPr>
      </w:pPr>
      <w:r w:rsidRPr="007A2213">
        <w:rPr>
          <w:rFonts w:cs="Times New Roman"/>
          <w:szCs w:val="24"/>
        </w:rPr>
        <w:t xml:space="preserve">e-receptę (od 8 stycznia 2020 r. wystawianie recept w postaci elektronicznej jest obowiązkowe. Upowszechnienie elektronicznej recepty w skali systemowej umożliwiło zachowanie ciągłości udzielania świadczeń zdrowotnych w czasie epidemii </w:t>
      </w:r>
      <w:proofErr w:type="spellStart"/>
      <w:r w:rsidRPr="007A2213">
        <w:rPr>
          <w:rFonts w:cs="Times New Roman"/>
          <w:szCs w:val="24"/>
        </w:rPr>
        <w:t>koronawirusa</w:t>
      </w:r>
      <w:proofErr w:type="spellEnd"/>
      <w:r w:rsidRPr="007A2213">
        <w:rPr>
          <w:rFonts w:cs="Times New Roman"/>
          <w:szCs w:val="24"/>
        </w:rPr>
        <w:t>; ponadto wprowadzenie możliwości wystawienie recepty „rocznej”, czyli ważnej przez 365 dni, pozwoliło wielu pacjentom, zwłaszcza osobom starszym i przewlekle chorym, ograniczyć liczbę ryzykownych epidemiologicznie kontaktów osobistych z przychodnią w celu otrzymania e-recepty na kontynuację leczenia),</w:t>
      </w:r>
    </w:p>
    <w:p w14:paraId="4BC01F5D" w14:textId="77777777" w:rsidR="00E725A8" w:rsidRPr="007A2213" w:rsidRDefault="00E725A8" w:rsidP="00FE70E3">
      <w:pPr>
        <w:pStyle w:val="Akapitzlist"/>
        <w:numPr>
          <w:ilvl w:val="0"/>
          <w:numId w:val="35"/>
        </w:numPr>
        <w:autoSpaceDE w:val="0"/>
        <w:autoSpaceDN w:val="0"/>
        <w:adjustRightInd w:val="0"/>
        <w:rPr>
          <w:rFonts w:cs="Times New Roman"/>
          <w:szCs w:val="24"/>
        </w:rPr>
      </w:pPr>
      <w:r w:rsidRPr="007A2213">
        <w:rPr>
          <w:rFonts w:cs="Times New Roman"/>
          <w:szCs w:val="24"/>
        </w:rPr>
        <w:t>e-skierowanie (elektroniczna forma realizacji skierowania na wybrane świadczenia zaczęła obowiązywać od 8 stycznia 2021 r. Wdrożenie obowiązku wystawianie e-skierowań przyczynia się do poprawy efektywności świadczeń opieki zdrowotnej, skrócenia kolejek na wybrane świadczenia, a w przyszłości stworzy szansę sprostania wyzwaniom stawianym przed systemem a związanym m.in. ze zmianami demograficznymi).</w:t>
      </w:r>
    </w:p>
    <w:p w14:paraId="2AD12DCA" w14:textId="77777777" w:rsidR="00D05ABE" w:rsidRDefault="00D05ABE" w:rsidP="00E725A8">
      <w:pPr>
        <w:autoSpaceDE w:val="0"/>
        <w:autoSpaceDN w:val="0"/>
        <w:adjustRightInd w:val="0"/>
        <w:rPr>
          <w:rFonts w:cs="Times New Roman"/>
          <w:szCs w:val="24"/>
        </w:rPr>
      </w:pPr>
    </w:p>
    <w:p w14:paraId="24800D73" w14:textId="5777D271" w:rsidR="00E725A8" w:rsidRPr="00E725A8" w:rsidRDefault="00E725A8" w:rsidP="00E725A8">
      <w:pPr>
        <w:autoSpaceDE w:val="0"/>
        <w:autoSpaceDN w:val="0"/>
        <w:adjustRightInd w:val="0"/>
        <w:rPr>
          <w:rFonts w:cs="Times New Roman"/>
          <w:szCs w:val="24"/>
        </w:rPr>
      </w:pPr>
      <w:r w:rsidRPr="00E725A8">
        <w:rPr>
          <w:rFonts w:cs="Times New Roman"/>
          <w:szCs w:val="24"/>
        </w:rPr>
        <w:t>W związku z wystąpieniem na terenie kraju stanu epidemii już przed wejściem w życie obowiązku wystawania i realizacji e-skierowań został wprowadzony szereg rozwiązań mających na celu ułatwienie dostępu do świadczeń opieki zdrowotnej, przy jednoczesnym ograniczeniu osobistego kontaktu pacjenta z podmiotem udzielającym świadczeń zdrowotnych.</w:t>
      </w:r>
    </w:p>
    <w:p w14:paraId="5F90C65F" w14:textId="35D67813" w:rsidR="00E725A8" w:rsidRDefault="00E725A8" w:rsidP="00E725A8">
      <w:pPr>
        <w:autoSpaceDE w:val="0"/>
        <w:autoSpaceDN w:val="0"/>
        <w:adjustRightInd w:val="0"/>
        <w:rPr>
          <w:rFonts w:cs="Times New Roman"/>
          <w:szCs w:val="24"/>
        </w:rPr>
      </w:pPr>
      <w:r w:rsidRPr="00E725A8">
        <w:rPr>
          <w:rFonts w:cs="Times New Roman"/>
          <w:szCs w:val="24"/>
        </w:rPr>
        <w:t>Jednym z nich było zrezygnowanie z konieczności dostarczenia przez pacjenta oryginału skierowania nie później niż w terminie 14 dni roboczych od dnia wpisania na listę oczekujących na udzielenie świadczenia - aktualnie może to nastąpić w dniu udzielania świadczeń zdrowotnych. Z kolei w przypadku udzielania świadczeń zdrowotnych za pośrednictwem systemów teleinformatycznych lub systemów łączności, przy braku możliwości dostarczenia skierowania, pacjent może dostarczyć skan albo zdjęcie skierowania za pośrednictwem tych systemów, albo, jeżeli nie ma takiej możliwości, przekazuje świadczeniodawcy dane uwidocznione na tym skierowaniu.</w:t>
      </w:r>
    </w:p>
    <w:p w14:paraId="7FC934A2" w14:textId="77777777" w:rsidR="00D05ABE" w:rsidRPr="00E725A8" w:rsidRDefault="00D05ABE" w:rsidP="00E725A8">
      <w:pPr>
        <w:autoSpaceDE w:val="0"/>
        <w:autoSpaceDN w:val="0"/>
        <w:adjustRightInd w:val="0"/>
        <w:rPr>
          <w:rFonts w:cs="Times New Roman"/>
          <w:szCs w:val="24"/>
        </w:rPr>
      </w:pPr>
    </w:p>
    <w:p w14:paraId="5017234C"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Systematycznie rozbudowywany jest również zakres usług dostępnych w IKP. Wprowadzono nowe funkcjonalności IKP, takie jak dostęp do:</w:t>
      </w:r>
    </w:p>
    <w:p w14:paraId="5E76EAB5" w14:textId="77777777" w:rsidR="00D05ABE" w:rsidRDefault="00D05ABE" w:rsidP="00FE70E3">
      <w:pPr>
        <w:pStyle w:val="Akapitzlist"/>
        <w:numPr>
          <w:ilvl w:val="0"/>
          <w:numId w:val="91"/>
        </w:numPr>
        <w:autoSpaceDE w:val="0"/>
        <w:autoSpaceDN w:val="0"/>
        <w:adjustRightInd w:val="0"/>
        <w:rPr>
          <w:rFonts w:cs="Times New Roman"/>
          <w:szCs w:val="24"/>
        </w:rPr>
      </w:pPr>
      <w:r w:rsidRPr="00D05ABE">
        <w:rPr>
          <w:rFonts w:cs="Times New Roman"/>
          <w:szCs w:val="24"/>
        </w:rPr>
        <w:lastRenderedPageBreak/>
        <w:t>i</w:t>
      </w:r>
      <w:r w:rsidR="00E725A8" w:rsidRPr="00D05ABE">
        <w:rPr>
          <w:rFonts w:cs="Times New Roman"/>
          <w:szCs w:val="24"/>
        </w:rPr>
        <w:t xml:space="preserve">nformacji o wyniku testu na </w:t>
      </w:r>
      <w:proofErr w:type="spellStart"/>
      <w:r w:rsidR="00E725A8" w:rsidRPr="00D05ABE">
        <w:rPr>
          <w:rFonts w:cs="Times New Roman"/>
          <w:szCs w:val="24"/>
        </w:rPr>
        <w:t>koronawirusa</w:t>
      </w:r>
      <w:proofErr w:type="spellEnd"/>
      <w:r w:rsidR="00E725A8" w:rsidRPr="00D05ABE">
        <w:rPr>
          <w:rFonts w:cs="Times New Roman"/>
          <w:szCs w:val="24"/>
        </w:rPr>
        <w:t>,</w:t>
      </w:r>
    </w:p>
    <w:p w14:paraId="2B1BEF72" w14:textId="77777777" w:rsidR="00D05ABE" w:rsidRDefault="00E725A8" w:rsidP="00FE70E3">
      <w:pPr>
        <w:pStyle w:val="Akapitzlist"/>
        <w:numPr>
          <w:ilvl w:val="0"/>
          <w:numId w:val="91"/>
        </w:numPr>
        <w:autoSpaceDE w:val="0"/>
        <w:autoSpaceDN w:val="0"/>
        <w:adjustRightInd w:val="0"/>
        <w:rPr>
          <w:rFonts w:cs="Times New Roman"/>
          <w:szCs w:val="24"/>
        </w:rPr>
      </w:pPr>
      <w:r w:rsidRPr="00D05ABE">
        <w:rPr>
          <w:rFonts w:cs="Times New Roman"/>
          <w:szCs w:val="24"/>
        </w:rPr>
        <w:t>informacji o czasie obowiązywania kwarantanny lub izolacji domowej,</w:t>
      </w:r>
    </w:p>
    <w:p w14:paraId="167E7395" w14:textId="763594A2" w:rsidR="00D05ABE" w:rsidRDefault="00E725A8" w:rsidP="00FE70E3">
      <w:pPr>
        <w:pStyle w:val="Akapitzlist"/>
        <w:numPr>
          <w:ilvl w:val="0"/>
          <w:numId w:val="91"/>
        </w:numPr>
        <w:autoSpaceDE w:val="0"/>
        <w:autoSpaceDN w:val="0"/>
        <w:adjustRightInd w:val="0"/>
        <w:rPr>
          <w:rFonts w:cs="Times New Roman"/>
          <w:szCs w:val="24"/>
        </w:rPr>
      </w:pPr>
      <w:r w:rsidRPr="00D05ABE">
        <w:rPr>
          <w:rFonts w:cs="Times New Roman"/>
          <w:szCs w:val="24"/>
        </w:rPr>
        <w:t>skierowania na szczepienie przeciwko COVID-19</w:t>
      </w:r>
      <w:r w:rsidR="00762A65">
        <w:rPr>
          <w:rFonts w:cs="Times New Roman"/>
          <w:szCs w:val="24"/>
        </w:rPr>
        <w:t>,</w:t>
      </w:r>
    </w:p>
    <w:p w14:paraId="1F9A8592" w14:textId="0C24DD72" w:rsidR="00E725A8" w:rsidRDefault="00E725A8" w:rsidP="00FE70E3">
      <w:pPr>
        <w:pStyle w:val="Akapitzlist"/>
        <w:numPr>
          <w:ilvl w:val="0"/>
          <w:numId w:val="91"/>
        </w:numPr>
        <w:autoSpaceDE w:val="0"/>
        <w:autoSpaceDN w:val="0"/>
        <w:adjustRightInd w:val="0"/>
        <w:rPr>
          <w:rFonts w:cs="Times New Roman"/>
          <w:szCs w:val="24"/>
        </w:rPr>
      </w:pPr>
      <w:r w:rsidRPr="00D05ABE">
        <w:rPr>
          <w:rFonts w:cs="Times New Roman"/>
          <w:szCs w:val="24"/>
        </w:rPr>
        <w:t>informacji o podanych kolejnych dawkach szczepienia przeciw COVID-19 oraz kod QR, który zaświadcza, że ktoś przyjął drugą dawkę szczepienia.</w:t>
      </w:r>
    </w:p>
    <w:p w14:paraId="7D50085F" w14:textId="77777777" w:rsidR="00D05ABE" w:rsidRPr="00D05ABE" w:rsidRDefault="00D05ABE" w:rsidP="00D05ABE">
      <w:pPr>
        <w:autoSpaceDE w:val="0"/>
        <w:autoSpaceDN w:val="0"/>
        <w:adjustRightInd w:val="0"/>
        <w:rPr>
          <w:rFonts w:cs="Times New Roman"/>
          <w:szCs w:val="24"/>
        </w:rPr>
      </w:pPr>
    </w:p>
    <w:p w14:paraId="3CD7ABD4" w14:textId="7A049F0B" w:rsidR="00E725A8" w:rsidRDefault="00E725A8" w:rsidP="00E725A8">
      <w:pPr>
        <w:autoSpaceDE w:val="0"/>
        <w:autoSpaceDN w:val="0"/>
        <w:adjustRightInd w:val="0"/>
        <w:rPr>
          <w:rFonts w:cs="Times New Roman"/>
          <w:szCs w:val="24"/>
        </w:rPr>
      </w:pPr>
      <w:r w:rsidRPr="00E725A8">
        <w:rPr>
          <w:rFonts w:cs="Times New Roman"/>
          <w:szCs w:val="24"/>
        </w:rPr>
        <w:t>Ważną zmianą dla seniorów i osób przewlekle chorych, jest to, że dzięki IKP zyskali możliwość udostępniania bliskiej osobie lub lekarzowi informacji o stanie zdrowia i historii przepisywanych leków. Przy tym osoby starsze, które nigdy nie korzystały z Internetu i nie czują takiej potrzeby, mogą upoważnić kogoś bliskiego do obsługi ich konta w IKP, a także do wykonywania określonych czynności w ich imieniu, np. realizacji e-recept i e-skierowań. W celu ułatwienia dostępu do IKP wprowadzona została możliwość potwierdzania Profili Zaufanych oraz aktywowania IKP w placówkach POZ (Narodowy Fundusz Zdrowia może nadać uprawnienia lekarzom, pielęgniarkom i położnym POZ, a także osobom zatrudnionym u świadczeniodawcy, który udziela świadczeń opieki zdrowotnej z zakresu POZ, do potwierdzania profilu zaufanego pacjenta).</w:t>
      </w:r>
    </w:p>
    <w:p w14:paraId="19B0FAF2" w14:textId="77777777" w:rsidR="00D05ABE" w:rsidRPr="00E725A8" w:rsidRDefault="00D05ABE" w:rsidP="00E725A8">
      <w:pPr>
        <w:autoSpaceDE w:val="0"/>
        <w:autoSpaceDN w:val="0"/>
        <w:adjustRightInd w:val="0"/>
        <w:rPr>
          <w:rFonts w:cs="Times New Roman"/>
          <w:szCs w:val="24"/>
        </w:rPr>
      </w:pPr>
    </w:p>
    <w:p w14:paraId="38E7C054" w14:textId="3597D6E1" w:rsidR="00E725A8" w:rsidRDefault="00E725A8" w:rsidP="00E725A8">
      <w:pPr>
        <w:autoSpaceDE w:val="0"/>
        <w:autoSpaceDN w:val="0"/>
        <w:adjustRightInd w:val="0"/>
        <w:rPr>
          <w:rFonts w:cs="Times New Roman"/>
          <w:szCs w:val="24"/>
        </w:rPr>
      </w:pPr>
      <w:r w:rsidRPr="00E725A8">
        <w:rPr>
          <w:rFonts w:cs="Times New Roman"/>
          <w:szCs w:val="24"/>
        </w:rPr>
        <w:t>Do działań skierowanych do osób starszych zaliczyć można także rozszerzenie funkcjonalności projektu e-zdrowie (P1) o centralną elektroniczną rejestrację na wybrane świadczenia, usługę e-wizyty oraz możliwość zamówienia e-recepty. Usługi te pozwalają na załatwienie kluczowych dla pacjenta spraw online, bez konieczności kontaktu osobistego z personelem administracyjnym i medycznym, co jest szczególnie istotne w stanach zagrożenia epidemicznego, ale równie istotne z punktu widzenia osoby starszej, często z dysfunkcjami narządów uchu. Wdrożenie tych usług jest przewidziane do końca 2021 r. Rozwiązania te przyczynią się do bardziej efektywnego udzielania świadczeń zdrowotnych, poprawy ich jakości, dostępności, również w zakresie subpopulacji osób starszych.</w:t>
      </w:r>
    </w:p>
    <w:p w14:paraId="1D1B3BB9" w14:textId="77777777" w:rsidR="00D05ABE" w:rsidRPr="00E725A8" w:rsidRDefault="00D05ABE" w:rsidP="00E725A8">
      <w:pPr>
        <w:autoSpaceDE w:val="0"/>
        <w:autoSpaceDN w:val="0"/>
        <w:adjustRightInd w:val="0"/>
        <w:rPr>
          <w:rFonts w:cs="Times New Roman"/>
          <w:szCs w:val="24"/>
        </w:rPr>
      </w:pPr>
    </w:p>
    <w:p w14:paraId="3F6BF337" w14:textId="5ADE63C2" w:rsidR="00E725A8" w:rsidRDefault="00E725A8" w:rsidP="00E725A8">
      <w:pPr>
        <w:autoSpaceDE w:val="0"/>
        <w:autoSpaceDN w:val="0"/>
        <w:adjustRightInd w:val="0"/>
        <w:rPr>
          <w:rFonts w:cs="Times New Roman"/>
          <w:szCs w:val="24"/>
        </w:rPr>
      </w:pPr>
      <w:r w:rsidRPr="00E725A8">
        <w:rPr>
          <w:rFonts w:cs="Times New Roman"/>
          <w:szCs w:val="24"/>
        </w:rPr>
        <w:t>Jednocześnie poszerzony został katalog Elektronicznej Dokumentacji Medycznej. Z dniem 25.04.2020 r. wszedł w życie obowiązek prowadzenia kolejnego dokumentu w postaci Elektronicznej</w:t>
      </w:r>
      <w:r w:rsidR="00D05ABE">
        <w:rPr>
          <w:rFonts w:cs="Times New Roman"/>
          <w:szCs w:val="24"/>
        </w:rPr>
        <w:t xml:space="preserve"> </w:t>
      </w:r>
      <w:r w:rsidRPr="00E725A8">
        <w:rPr>
          <w:rFonts w:cs="Times New Roman"/>
          <w:szCs w:val="24"/>
        </w:rPr>
        <w:t>Dokumentacji Medycznej - opisu badań diagnostycznych. Finalnie katalog Elektrycznej Dokumentacji Medycznej ma objąć wszystkie dokumenty, do których prowadzenia jest zobowiązany podmiot udzielający świadczeń zdrowotnych.</w:t>
      </w:r>
    </w:p>
    <w:p w14:paraId="20A5E1D2" w14:textId="77777777" w:rsidR="00D05ABE" w:rsidRPr="00E725A8" w:rsidRDefault="00D05ABE" w:rsidP="00E725A8">
      <w:pPr>
        <w:autoSpaceDE w:val="0"/>
        <w:autoSpaceDN w:val="0"/>
        <w:adjustRightInd w:val="0"/>
        <w:rPr>
          <w:rFonts w:cs="Times New Roman"/>
          <w:szCs w:val="24"/>
        </w:rPr>
      </w:pPr>
    </w:p>
    <w:p w14:paraId="2B5E5F92" w14:textId="16D4EEB0" w:rsidR="00E725A8" w:rsidRDefault="00E725A8" w:rsidP="00E725A8">
      <w:pPr>
        <w:autoSpaceDE w:val="0"/>
        <w:autoSpaceDN w:val="0"/>
        <w:adjustRightInd w:val="0"/>
        <w:rPr>
          <w:rFonts w:cs="Times New Roman"/>
          <w:szCs w:val="24"/>
        </w:rPr>
      </w:pPr>
      <w:r w:rsidRPr="00E725A8">
        <w:rPr>
          <w:rFonts w:cs="Times New Roman"/>
          <w:szCs w:val="24"/>
        </w:rPr>
        <w:t>Rozszerzenie katalogu dokumentów kwalifikowanych do Elektronicznej Dokumentacji Medycznej niewątpliwie poprawia opiekę nad osobami starszymi z uwagi na możliwość sprawniejszego zaznajomienia się lekarza z dokumentacją medyczną pacjenta dotyczącą jego stanu zdrowia, co z kolei umożliwia szybszy i efektywniejszy proces udzielania świadczeń zdrowotnych.</w:t>
      </w:r>
    </w:p>
    <w:p w14:paraId="01D58EAA" w14:textId="3C3586EB" w:rsidR="00D05ABE" w:rsidRDefault="00D05ABE" w:rsidP="00E725A8">
      <w:pPr>
        <w:autoSpaceDE w:val="0"/>
        <w:autoSpaceDN w:val="0"/>
        <w:adjustRightInd w:val="0"/>
        <w:rPr>
          <w:rFonts w:cs="Times New Roman"/>
          <w:szCs w:val="24"/>
        </w:rPr>
      </w:pPr>
    </w:p>
    <w:p w14:paraId="6C85C3EE" w14:textId="092C57E7" w:rsidR="00641C42" w:rsidRDefault="00641C42" w:rsidP="00E725A8">
      <w:pPr>
        <w:autoSpaceDE w:val="0"/>
        <w:autoSpaceDN w:val="0"/>
        <w:adjustRightInd w:val="0"/>
        <w:rPr>
          <w:rFonts w:cs="Times New Roman"/>
          <w:szCs w:val="24"/>
        </w:rPr>
      </w:pPr>
    </w:p>
    <w:p w14:paraId="0534E2CF" w14:textId="77777777" w:rsidR="00641C42" w:rsidRPr="00E725A8" w:rsidRDefault="00641C42" w:rsidP="00E725A8">
      <w:pPr>
        <w:autoSpaceDE w:val="0"/>
        <w:autoSpaceDN w:val="0"/>
        <w:adjustRightInd w:val="0"/>
        <w:rPr>
          <w:rFonts w:cs="Times New Roman"/>
          <w:szCs w:val="24"/>
        </w:rPr>
      </w:pPr>
    </w:p>
    <w:p w14:paraId="5E852EAB" w14:textId="77777777" w:rsidR="00E725A8" w:rsidRPr="007A2213" w:rsidRDefault="007A2213" w:rsidP="00E725A8">
      <w:pPr>
        <w:autoSpaceDE w:val="0"/>
        <w:autoSpaceDN w:val="0"/>
        <w:adjustRightInd w:val="0"/>
        <w:rPr>
          <w:rFonts w:cs="Times New Roman"/>
          <w:b/>
          <w:szCs w:val="24"/>
        </w:rPr>
      </w:pPr>
      <w:r w:rsidRPr="007A2213">
        <w:rPr>
          <w:rFonts w:cs="Times New Roman"/>
          <w:b/>
          <w:szCs w:val="24"/>
        </w:rPr>
        <w:lastRenderedPageBreak/>
        <w:t xml:space="preserve">Projekty </w:t>
      </w:r>
      <w:proofErr w:type="spellStart"/>
      <w:r w:rsidRPr="007A2213">
        <w:rPr>
          <w:rFonts w:cs="Times New Roman"/>
          <w:b/>
          <w:szCs w:val="24"/>
        </w:rPr>
        <w:t>telemedyczne</w:t>
      </w:r>
      <w:proofErr w:type="spellEnd"/>
      <w:r w:rsidRPr="007A2213">
        <w:rPr>
          <w:rFonts w:cs="Times New Roman"/>
          <w:b/>
          <w:szCs w:val="24"/>
        </w:rPr>
        <w:t xml:space="preserve"> dofinansowane ze środków zagranicznych</w:t>
      </w:r>
    </w:p>
    <w:p w14:paraId="365C2CAA"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 xml:space="preserve">W celu dalszego rozwoju </w:t>
      </w:r>
      <w:proofErr w:type="spellStart"/>
      <w:r w:rsidRPr="00E725A8">
        <w:rPr>
          <w:rFonts w:cs="Times New Roman"/>
          <w:szCs w:val="24"/>
        </w:rPr>
        <w:t>telemedycyny</w:t>
      </w:r>
      <w:proofErr w:type="spellEnd"/>
      <w:r w:rsidRPr="00E725A8">
        <w:rPr>
          <w:rFonts w:cs="Times New Roman"/>
          <w:szCs w:val="24"/>
        </w:rPr>
        <w:t xml:space="preserve">, Ministerstwo Zdrowia w maju 2020 r. rozpoczęło wdrażanie projektu pn. Ograniczanie społecznych nierówności w zdrowiu poprzez stosowanie rozwiązań </w:t>
      </w:r>
      <w:proofErr w:type="spellStart"/>
      <w:r w:rsidRPr="00E725A8">
        <w:rPr>
          <w:rFonts w:cs="Times New Roman"/>
          <w:szCs w:val="24"/>
        </w:rPr>
        <w:t>telemedycyny</w:t>
      </w:r>
      <w:proofErr w:type="spellEnd"/>
      <w:r w:rsidRPr="00E725A8">
        <w:rPr>
          <w:rFonts w:cs="Times New Roman"/>
          <w:szCs w:val="24"/>
        </w:rPr>
        <w:t xml:space="preserve"> i e-zdrowia w ramach Norweskiego Mechanizmu Finansowego 2014-2021. Projekt ma przyczynić się do zmniejszenia kosztów procedur medycznych, zmniejszenia obciążeń dla pacjentów oraz zwiększenia dostępności usług medycznych. Projekt koncentruje się na wypracowaniu modeli </w:t>
      </w:r>
      <w:proofErr w:type="spellStart"/>
      <w:r w:rsidRPr="00E725A8">
        <w:rPr>
          <w:rFonts w:cs="Times New Roman"/>
          <w:szCs w:val="24"/>
        </w:rPr>
        <w:t>telemedycznych</w:t>
      </w:r>
      <w:proofErr w:type="spellEnd"/>
      <w:r w:rsidRPr="00E725A8">
        <w:rPr>
          <w:rFonts w:cs="Times New Roman"/>
          <w:szCs w:val="24"/>
        </w:rPr>
        <w:t xml:space="preserve"> w 7 obszarach:</w:t>
      </w:r>
    </w:p>
    <w:p w14:paraId="18965247" w14:textId="77777777" w:rsidR="00D05ABE" w:rsidRDefault="00E725A8" w:rsidP="00FE70E3">
      <w:pPr>
        <w:pStyle w:val="Akapitzlist"/>
        <w:numPr>
          <w:ilvl w:val="0"/>
          <w:numId w:val="92"/>
        </w:numPr>
        <w:autoSpaceDE w:val="0"/>
        <w:autoSpaceDN w:val="0"/>
        <w:adjustRightInd w:val="0"/>
        <w:rPr>
          <w:rFonts w:cs="Times New Roman"/>
          <w:szCs w:val="24"/>
        </w:rPr>
      </w:pPr>
      <w:r w:rsidRPr="00D05ABE">
        <w:rPr>
          <w:rFonts w:cs="Times New Roman"/>
          <w:szCs w:val="24"/>
        </w:rPr>
        <w:t>diabetologii,</w:t>
      </w:r>
    </w:p>
    <w:p w14:paraId="6CA7571F" w14:textId="1E564FE0" w:rsidR="00D05ABE" w:rsidRDefault="00E725A8" w:rsidP="00FE70E3">
      <w:pPr>
        <w:pStyle w:val="Akapitzlist"/>
        <w:numPr>
          <w:ilvl w:val="0"/>
          <w:numId w:val="92"/>
        </w:numPr>
        <w:autoSpaceDE w:val="0"/>
        <w:autoSpaceDN w:val="0"/>
        <w:adjustRightInd w:val="0"/>
        <w:rPr>
          <w:rFonts w:cs="Times New Roman"/>
          <w:szCs w:val="24"/>
        </w:rPr>
      </w:pPr>
      <w:r w:rsidRPr="00D05ABE">
        <w:rPr>
          <w:rFonts w:cs="Times New Roman"/>
          <w:szCs w:val="24"/>
        </w:rPr>
        <w:t>opieki paliatywnej</w:t>
      </w:r>
      <w:r w:rsidR="00762A65">
        <w:rPr>
          <w:rFonts w:cs="Times New Roman"/>
          <w:szCs w:val="24"/>
        </w:rPr>
        <w:t>,</w:t>
      </w:r>
    </w:p>
    <w:p w14:paraId="22B7096E" w14:textId="77777777" w:rsidR="00D05ABE" w:rsidRDefault="00E725A8" w:rsidP="00FE70E3">
      <w:pPr>
        <w:pStyle w:val="Akapitzlist"/>
        <w:numPr>
          <w:ilvl w:val="0"/>
          <w:numId w:val="92"/>
        </w:numPr>
        <w:autoSpaceDE w:val="0"/>
        <w:autoSpaceDN w:val="0"/>
        <w:adjustRightInd w:val="0"/>
        <w:rPr>
          <w:rFonts w:cs="Times New Roman"/>
          <w:szCs w:val="24"/>
        </w:rPr>
      </w:pPr>
      <w:r w:rsidRPr="00D05ABE">
        <w:rPr>
          <w:rFonts w:cs="Times New Roman"/>
          <w:szCs w:val="24"/>
        </w:rPr>
        <w:t>chorób przewlekłych,</w:t>
      </w:r>
    </w:p>
    <w:p w14:paraId="7EFE6C4B" w14:textId="13B50615" w:rsidR="00E725A8" w:rsidRPr="00D05ABE" w:rsidRDefault="00E725A8" w:rsidP="00FE70E3">
      <w:pPr>
        <w:pStyle w:val="Akapitzlist"/>
        <w:numPr>
          <w:ilvl w:val="0"/>
          <w:numId w:val="92"/>
        </w:numPr>
        <w:autoSpaceDE w:val="0"/>
        <w:autoSpaceDN w:val="0"/>
        <w:adjustRightInd w:val="0"/>
        <w:rPr>
          <w:rFonts w:cs="Times New Roman"/>
          <w:szCs w:val="24"/>
        </w:rPr>
      </w:pPr>
      <w:r w:rsidRPr="00D05ABE">
        <w:rPr>
          <w:rFonts w:cs="Times New Roman"/>
          <w:szCs w:val="24"/>
        </w:rPr>
        <w:t>położnictwa,</w:t>
      </w:r>
    </w:p>
    <w:p w14:paraId="018D83DE"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 xml:space="preserve">które mogłyby poszerzyć katalog procedur </w:t>
      </w:r>
      <w:proofErr w:type="spellStart"/>
      <w:r w:rsidRPr="00E725A8">
        <w:rPr>
          <w:rFonts w:cs="Times New Roman"/>
          <w:szCs w:val="24"/>
        </w:rPr>
        <w:t>telemedycznych</w:t>
      </w:r>
      <w:proofErr w:type="spellEnd"/>
      <w:r w:rsidRPr="00E725A8">
        <w:rPr>
          <w:rFonts w:cs="Times New Roman"/>
          <w:szCs w:val="24"/>
        </w:rPr>
        <w:t xml:space="preserve"> objętych publicznym finansowaniem oraz zwiększyć poziom wykorzystania potencjału </w:t>
      </w:r>
      <w:proofErr w:type="spellStart"/>
      <w:r w:rsidRPr="00E725A8">
        <w:rPr>
          <w:rFonts w:cs="Times New Roman"/>
          <w:szCs w:val="24"/>
        </w:rPr>
        <w:t>telemedycyny</w:t>
      </w:r>
      <w:proofErr w:type="spellEnd"/>
      <w:r w:rsidRPr="00E725A8">
        <w:rPr>
          <w:rFonts w:cs="Times New Roman"/>
          <w:szCs w:val="24"/>
        </w:rPr>
        <w:t xml:space="preserve"> w Polsce. Wynikiem projektu będzie wypracowanie rekomendacji dotyczących możliwości finansowania ze środków publicznych najbardziej efektywnych kosztowo świadczeń </w:t>
      </w:r>
      <w:proofErr w:type="spellStart"/>
      <w:r w:rsidRPr="00E725A8">
        <w:rPr>
          <w:rFonts w:cs="Times New Roman"/>
          <w:szCs w:val="24"/>
        </w:rPr>
        <w:t>telemedycznych</w:t>
      </w:r>
      <w:proofErr w:type="spellEnd"/>
      <w:r w:rsidRPr="00E725A8">
        <w:rPr>
          <w:rFonts w:cs="Times New Roman"/>
          <w:szCs w:val="24"/>
        </w:rPr>
        <w:t>.</w:t>
      </w:r>
    </w:p>
    <w:p w14:paraId="2D0890A0" w14:textId="1D26937D" w:rsidR="00E725A8" w:rsidRDefault="00E725A8" w:rsidP="00E725A8">
      <w:pPr>
        <w:autoSpaceDE w:val="0"/>
        <w:autoSpaceDN w:val="0"/>
        <w:adjustRightInd w:val="0"/>
        <w:rPr>
          <w:rFonts w:cs="Times New Roman"/>
          <w:szCs w:val="24"/>
        </w:rPr>
      </w:pPr>
      <w:r w:rsidRPr="00E725A8">
        <w:rPr>
          <w:rFonts w:cs="Times New Roman"/>
          <w:szCs w:val="24"/>
        </w:rPr>
        <w:t>Osoby starsze są jedną z grup docelowych działań realizowanych w projekcie, szczególnie w obszarze geriatrii, opieki paliatywnej oraz chorób przewlekłych. Realizacja projektu potrwa do kwietnia 2024 r</w:t>
      </w:r>
      <w:r w:rsidR="0024526E">
        <w:rPr>
          <w:rFonts w:cs="Times New Roman"/>
          <w:szCs w:val="24"/>
        </w:rPr>
        <w:t>.</w:t>
      </w:r>
    </w:p>
    <w:p w14:paraId="6673E2AE" w14:textId="77777777" w:rsidR="00D05ABE" w:rsidRPr="00E725A8" w:rsidRDefault="00D05ABE" w:rsidP="00E725A8">
      <w:pPr>
        <w:autoSpaceDE w:val="0"/>
        <w:autoSpaceDN w:val="0"/>
        <w:adjustRightInd w:val="0"/>
        <w:rPr>
          <w:rFonts w:cs="Times New Roman"/>
          <w:szCs w:val="24"/>
        </w:rPr>
      </w:pPr>
    </w:p>
    <w:p w14:paraId="3CA10DB6" w14:textId="29F47318" w:rsidR="00E725A8" w:rsidRDefault="00D05ABE" w:rsidP="007A2213">
      <w:pPr>
        <w:pStyle w:val="Nagwek3"/>
      </w:pPr>
      <w:bookmarkStart w:id="109" w:name="_Toc77513936"/>
      <w:bookmarkStart w:id="110" w:name="_Toc80523091"/>
      <w:r w:rsidRPr="00E725A8">
        <w:t xml:space="preserve">Dostępność Plus </w:t>
      </w:r>
      <w:r>
        <w:t>d</w:t>
      </w:r>
      <w:r w:rsidRPr="00E725A8">
        <w:t xml:space="preserve">la </w:t>
      </w:r>
      <w:r>
        <w:t>z</w:t>
      </w:r>
      <w:r w:rsidRPr="00E725A8">
        <w:t>drowia</w:t>
      </w:r>
      <w:bookmarkEnd w:id="109"/>
      <w:bookmarkEnd w:id="110"/>
    </w:p>
    <w:p w14:paraId="21F01658" w14:textId="77777777" w:rsidR="00D05ABE" w:rsidRPr="00D05ABE" w:rsidRDefault="00D05ABE" w:rsidP="00D05ABE"/>
    <w:p w14:paraId="0997DE51" w14:textId="12805FFC" w:rsidR="00E725A8" w:rsidRDefault="00E725A8" w:rsidP="00E725A8">
      <w:pPr>
        <w:autoSpaceDE w:val="0"/>
        <w:autoSpaceDN w:val="0"/>
        <w:adjustRightInd w:val="0"/>
        <w:rPr>
          <w:rFonts w:cs="Times New Roman"/>
          <w:szCs w:val="24"/>
        </w:rPr>
      </w:pPr>
      <w:r w:rsidRPr="00E725A8">
        <w:rPr>
          <w:rFonts w:cs="Times New Roman"/>
          <w:szCs w:val="24"/>
        </w:rPr>
        <w:t>W 2019 r. w ramach Programu Operacyjnego Wiedza Edukacja Rozwój (PO WER) rozpoczęto realizację projektu pn. Dostępność Plus dla zdrowia. Projekt ma na celu wdrożenie działań projakościowych w systemie ochrony zdrowia związanych z dostosowaniem placówek medycznych do potrzeb osób z niepełnosprawnościami i osób starszych.</w:t>
      </w:r>
    </w:p>
    <w:p w14:paraId="61EF0735" w14:textId="77777777" w:rsidR="00D05ABE" w:rsidRPr="00E725A8" w:rsidRDefault="00D05ABE" w:rsidP="00E725A8">
      <w:pPr>
        <w:autoSpaceDE w:val="0"/>
        <w:autoSpaceDN w:val="0"/>
        <w:adjustRightInd w:val="0"/>
        <w:rPr>
          <w:rFonts w:cs="Times New Roman"/>
          <w:szCs w:val="24"/>
        </w:rPr>
      </w:pPr>
    </w:p>
    <w:p w14:paraId="22388778"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 projekcie zostanie przygotowany standard dostępności dla szpitala i POZ. Wdrażane rozwiązania będą przyczyniały się do poprawy dostępności placówek medycznych w obszarach:</w:t>
      </w:r>
    </w:p>
    <w:p w14:paraId="6B05BE2C" w14:textId="77777777" w:rsidR="00D05ABE" w:rsidRDefault="00E725A8" w:rsidP="00FE70E3">
      <w:pPr>
        <w:pStyle w:val="Akapitzlist"/>
        <w:numPr>
          <w:ilvl w:val="0"/>
          <w:numId w:val="93"/>
        </w:numPr>
        <w:autoSpaceDE w:val="0"/>
        <w:autoSpaceDN w:val="0"/>
        <w:adjustRightInd w:val="0"/>
        <w:rPr>
          <w:rFonts w:cs="Times New Roman"/>
          <w:szCs w:val="24"/>
        </w:rPr>
      </w:pPr>
      <w:r w:rsidRPr="00D05ABE">
        <w:rPr>
          <w:rFonts w:cs="Times New Roman"/>
          <w:szCs w:val="24"/>
        </w:rPr>
        <w:t xml:space="preserve">cyfrowym (w tym </w:t>
      </w:r>
      <w:proofErr w:type="spellStart"/>
      <w:r w:rsidRPr="00D05ABE">
        <w:rPr>
          <w:rFonts w:cs="Times New Roman"/>
          <w:szCs w:val="24"/>
        </w:rPr>
        <w:t>telemedycznym</w:t>
      </w:r>
      <w:proofErr w:type="spellEnd"/>
      <w:r w:rsidRPr="00D05ABE">
        <w:rPr>
          <w:rFonts w:cs="Times New Roman"/>
          <w:szCs w:val="24"/>
        </w:rPr>
        <w:t>),</w:t>
      </w:r>
    </w:p>
    <w:p w14:paraId="6F9BC79B" w14:textId="77777777" w:rsidR="00D05ABE" w:rsidRDefault="00E725A8" w:rsidP="00FE70E3">
      <w:pPr>
        <w:pStyle w:val="Akapitzlist"/>
        <w:numPr>
          <w:ilvl w:val="0"/>
          <w:numId w:val="93"/>
        </w:numPr>
        <w:autoSpaceDE w:val="0"/>
        <w:autoSpaceDN w:val="0"/>
        <w:adjustRightInd w:val="0"/>
        <w:rPr>
          <w:rFonts w:cs="Times New Roman"/>
          <w:szCs w:val="24"/>
        </w:rPr>
      </w:pPr>
      <w:r w:rsidRPr="00D05ABE">
        <w:rPr>
          <w:rFonts w:cs="Times New Roman"/>
          <w:szCs w:val="24"/>
        </w:rPr>
        <w:t>architektonicznym,</w:t>
      </w:r>
    </w:p>
    <w:p w14:paraId="3C6D4AD7" w14:textId="77777777" w:rsidR="00D05ABE" w:rsidRDefault="00E725A8" w:rsidP="00FE70E3">
      <w:pPr>
        <w:pStyle w:val="Akapitzlist"/>
        <w:numPr>
          <w:ilvl w:val="0"/>
          <w:numId w:val="93"/>
        </w:numPr>
        <w:autoSpaceDE w:val="0"/>
        <w:autoSpaceDN w:val="0"/>
        <w:adjustRightInd w:val="0"/>
        <w:rPr>
          <w:rFonts w:cs="Times New Roman"/>
          <w:szCs w:val="24"/>
        </w:rPr>
      </w:pPr>
      <w:r w:rsidRPr="00D05ABE">
        <w:rPr>
          <w:rFonts w:cs="Times New Roman"/>
          <w:szCs w:val="24"/>
        </w:rPr>
        <w:t>komunikacyjnym oraz</w:t>
      </w:r>
    </w:p>
    <w:p w14:paraId="29AF970F" w14:textId="47DCF7EA" w:rsidR="00E725A8" w:rsidRDefault="00E725A8" w:rsidP="00FE70E3">
      <w:pPr>
        <w:pStyle w:val="Akapitzlist"/>
        <w:numPr>
          <w:ilvl w:val="0"/>
          <w:numId w:val="93"/>
        </w:numPr>
        <w:autoSpaceDE w:val="0"/>
        <w:autoSpaceDN w:val="0"/>
        <w:adjustRightInd w:val="0"/>
        <w:rPr>
          <w:rFonts w:cs="Times New Roman"/>
          <w:szCs w:val="24"/>
        </w:rPr>
      </w:pPr>
      <w:r w:rsidRPr="00D05ABE">
        <w:rPr>
          <w:rFonts w:cs="Times New Roman"/>
          <w:szCs w:val="24"/>
        </w:rPr>
        <w:t>organizacyjnym.</w:t>
      </w:r>
    </w:p>
    <w:p w14:paraId="031FB5BC" w14:textId="77777777" w:rsidR="00D05ABE" w:rsidRPr="00D05ABE" w:rsidRDefault="00D05ABE" w:rsidP="00942717">
      <w:pPr>
        <w:pStyle w:val="Akapitzlist"/>
        <w:autoSpaceDE w:val="0"/>
        <w:autoSpaceDN w:val="0"/>
        <w:adjustRightInd w:val="0"/>
        <w:ind w:left="360"/>
        <w:rPr>
          <w:rFonts w:cs="Times New Roman"/>
          <w:szCs w:val="24"/>
        </w:rPr>
      </w:pPr>
    </w:p>
    <w:p w14:paraId="5042E873" w14:textId="728BAC16" w:rsidR="00E725A8" w:rsidRDefault="00E725A8" w:rsidP="00E725A8">
      <w:pPr>
        <w:autoSpaceDE w:val="0"/>
        <w:autoSpaceDN w:val="0"/>
        <w:adjustRightInd w:val="0"/>
        <w:rPr>
          <w:rFonts w:cs="Times New Roman"/>
          <w:szCs w:val="24"/>
        </w:rPr>
      </w:pPr>
      <w:r w:rsidRPr="00E725A8">
        <w:rPr>
          <w:rFonts w:cs="Times New Roman"/>
          <w:szCs w:val="24"/>
        </w:rPr>
        <w:t xml:space="preserve">Placówki medyczne biorące udział w projekcie otrzymają granty - w przypadku POZ w wysokości do 720 tys. zł, a szpitali - do 2 mln zł. Okres realizacji danego przedsięwzięcia wynosi od 12 do 18 miesięcy. Zgodnie z założeniami, w projekcie Dostępność Plus dla zdrowia, wsparcie grantowe na poprawę dostępności dla osób ze szczególnymi potrzebami otrzyma min. 250 POZ oraz 50 szpitali. Wnioskodawcy uzyskają wsparcie doradcy (wyłoniony przez MZ) oraz pracowników MZ, którzy przeprowadzą audyty wstępne, weryfikujące proponowany </w:t>
      </w:r>
      <w:r w:rsidRPr="00E725A8">
        <w:rPr>
          <w:rFonts w:cs="Times New Roman"/>
          <w:szCs w:val="24"/>
        </w:rPr>
        <w:lastRenderedPageBreak/>
        <w:t>zakres każdego projektu, podsumowujące - na zakończenie działań projektowych oraz - w razie wystąpienia takiej konieczności - audyty uzupełniające.</w:t>
      </w:r>
    </w:p>
    <w:p w14:paraId="7355AA13" w14:textId="77777777" w:rsidR="00D05ABE" w:rsidRPr="00E725A8" w:rsidRDefault="00D05ABE" w:rsidP="00E725A8">
      <w:pPr>
        <w:autoSpaceDE w:val="0"/>
        <w:autoSpaceDN w:val="0"/>
        <w:adjustRightInd w:val="0"/>
        <w:rPr>
          <w:rFonts w:cs="Times New Roman"/>
          <w:szCs w:val="24"/>
        </w:rPr>
      </w:pPr>
    </w:p>
    <w:p w14:paraId="6E81A240" w14:textId="6929D674" w:rsidR="00E725A8" w:rsidRPr="00E725A8" w:rsidRDefault="00E725A8" w:rsidP="00E725A8">
      <w:pPr>
        <w:autoSpaceDE w:val="0"/>
        <w:autoSpaceDN w:val="0"/>
        <w:adjustRightInd w:val="0"/>
        <w:rPr>
          <w:rFonts w:cs="Times New Roman"/>
          <w:szCs w:val="24"/>
        </w:rPr>
      </w:pPr>
      <w:r w:rsidRPr="00E725A8">
        <w:rPr>
          <w:rFonts w:cs="Times New Roman"/>
          <w:szCs w:val="24"/>
        </w:rPr>
        <w:t>Szkoleniami dotyczącymi obszaru dostępności zostaną objęci również pracownicy szpitali i POZ. W wyniku realizacji projektu zostanie przygotowany raport podsumowujący, zawierający rekomendacje do wdrożenia działań systemowych. Ponadto, MZ opracuje rekomendacje związane z kontraktowaniem świadczeń przez NFZ, które spowodują położenie większego nacisku na aspekty dostępności w przedmiotowym procesie.</w:t>
      </w:r>
      <w:r w:rsidR="00D05ABE">
        <w:rPr>
          <w:rFonts w:cs="Times New Roman"/>
          <w:szCs w:val="24"/>
        </w:rPr>
        <w:t xml:space="preserve"> </w:t>
      </w:r>
      <w:r w:rsidRPr="00E725A8">
        <w:rPr>
          <w:rFonts w:cs="Times New Roman"/>
          <w:szCs w:val="24"/>
        </w:rPr>
        <w:t>Okres realizacji projektu: od 1 stycznia 2019 r. do 28 września 2023 r.</w:t>
      </w:r>
    </w:p>
    <w:p w14:paraId="7E3A5101"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Planowane efekty projektu to m.in.:</w:t>
      </w:r>
    </w:p>
    <w:p w14:paraId="6EA7291C" w14:textId="77777777" w:rsidR="00D05ABE" w:rsidRDefault="00E725A8" w:rsidP="00FE70E3">
      <w:pPr>
        <w:pStyle w:val="Akapitzlist"/>
        <w:numPr>
          <w:ilvl w:val="0"/>
          <w:numId w:val="94"/>
        </w:numPr>
        <w:autoSpaceDE w:val="0"/>
        <w:autoSpaceDN w:val="0"/>
        <w:adjustRightInd w:val="0"/>
        <w:rPr>
          <w:rFonts w:cs="Times New Roman"/>
          <w:szCs w:val="24"/>
        </w:rPr>
      </w:pPr>
      <w:r w:rsidRPr="00D05ABE">
        <w:rPr>
          <w:rFonts w:cs="Times New Roman"/>
          <w:szCs w:val="24"/>
        </w:rPr>
        <w:t xml:space="preserve">stworzenie/zoptymalizowanie systemów IT uwzględniających szczególne potrzeby pacjentów, w tym wdrożenie rozwiązań </w:t>
      </w:r>
      <w:proofErr w:type="spellStart"/>
      <w:r w:rsidRPr="00D05ABE">
        <w:rPr>
          <w:rFonts w:cs="Times New Roman"/>
          <w:szCs w:val="24"/>
        </w:rPr>
        <w:t>telemedycznych</w:t>
      </w:r>
      <w:proofErr w:type="spellEnd"/>
      <w:r w:rsidRPr="00D05ABE">
        <w:rPr>
          <w:rFonts w:cs="Times New Roman"/>
          <w:szCs w:val="24"/>
        </w:rPr>
        <w:t xml:space="preserve"> w POZ i szpitalach;</w:t>
      </w:r>
    </w:p>
    <w:p w14:paraId="1F196CC7" w14:textId="77777777" w:rsidR="00D05ABE" w:rsidRDefault="00E725A8" w:rsidP="00FE70E3">
      <w:pPr>
        <w:pStyle w:val="Akapitzlist"/>
        <w:numPr>
          <w:ilvl w:val="0"/>
          <w:numId w:val="94"/>
        </w:numPr>
        <w:autoSpaceDE w:val="0"/>
        <w:autoSpaceDN w:val="0"/>
        <w:adjustRightInd w:val="0"/>
        <w:rPr>
          <w:rFonts w:cs="Times New Roman"/>
          <w:szCs w:val="24"/>
        </w:rPr>
      </w:pPr>
      <w:r w:rsidRPr="00D05ABE">
        <w:rPr>
          <w:rFonts w:cs="Times New Roman"/>
          <w:szCs w:val="24"/>
        </w:rPr>
        <w:t>podniesienie dojrzałości cyfrowej placówek w zakresie wsparcia pacjentów ze szczególnymi potrzebami;</w:t>
      </w:r>
    </w:p>
    <w:p w14:paraId="665AE315" w14:textId="77777777" w:rsidR="00D05ABE" w:rsidRDefault="00E725A8" w:rsidP="00FE70E3">
      <w:pPr>
        <w:pStyle w:val="Akapitzlist"/>
        <w:numPr>
          <w:ilvl w:val="0"/>
          <w:numId w:val="94"/>
        </w:numPr>
        <w:autoSpaceDE w:val="0"/>
        <w:autoSpaceDN w:val="0"/>
        <w:adjustRightInd w:val="0"/>
        <w:rPr>
          <w:rFonts w:cs="Times New Roman"/>
          <w:szCs w:val="24"/>
        </w:rPr>
      </w:pPr>
      <w:r w:rsidRPr="00D05ABE">
        <w:rPr>
          <w:rFonts w:cs="Times New Roman"/>
          <w:szCs w:val="24"/>
        </w:rPr>
        <w:t>podniesienie jakości usług zdrowotnych dla pacjentów ze szczególnymi potrzebami, w tym aspektów komunikacyjnych i organizacyjnych;</w:t>
      </w:r>
    </w:p>
    <w:p w14:paraId="39035E13" w14:textId="24B8F34F" w:rsidR="00E725A8" w:rsidRPr="00D05ABE" w:rsidRDefault="00E725A8" w:rsidP="00FE70E3">
      <w:pPr>
        <w:pStyle w:val="Akapitzlist"/>
        <w:numPr>
          <w:ilvl w:val="0"/>
          <w:numId w:val="94"/>
        </w:numPr>
        <w:autoSpaceDE w:val="0"/>
        <w:autoSpaceDN w:val="0"/>
        <w:adjustRightInd w:val="0"/>
        <w:rPr>
          <w:rFonts w:cs="Times New Roman"/>
          <w:szCs w:val="24"/>
        </w:rPr>
      </w:pPr>
      <w:r w:rsidRPr="00D05ABE">
        <w:rPr>
          <w:rFonts w:cs="Times New Roman"/>
          <w:szCs w:val="24"/>
        </w:rPr>
        <w:t>zniwelowanie barier architektonicznych, zapewniających funkcjonowanie placówek „przyjaznych” osobom ze szczególnymi potrzebami.</w:t>
      </w:r>
    </w:p>
    <w:p w14:paraId="513CC196" w14:textId="47C67E1C" w:rsidR="00E725A8" w:rsidRDefault="00E725A8" w:rsidP="00E725A8">
      <w:pPr>
        <w:autoSpaceDE w:val="0"/>
        <w:autoSpaceDN w:val="0"/>
        <w:adjustRightInd w:val="0"/>
        <w:rPr>
          <w:rFonts w:cs="Times New Roman"/>
          <w:szCs w:val="24"/>
        </w:rPr>
      </w:pPr>
      <w:r w:rsidRPr="00E725A8">
        <w:rPr>
          <w:rFonts w:cs="Times New Roman"/>
          <w:szCs w:val="24"/>
        </w:rPr>
        <w:t>Do stycznia 2021 r. przeprowadzono 52 audyty dostępności POZ oraz 18 szpitali, które przeszły pozytywnie I etap oceny.</w:t>
      </w:r>
    </w:p>
    <w:p w14:paraId="24E0DE14" w14:textId="77777777" w:rsidR="00D05ABE" w:rsidRPr="00E725A8" w:rsidRDefault="00D05ABE" w:rsidP="00E725A8">
      <w:pPr>
        <w:autoSpaceDE w:val="0"/>
        <w:autoSpaceDN w:val="0"/>
        <w:adjustRightInd w:val="0"/>
        <w:rPr>
          <w:rFonts w:cs="Times New Roman"/>
          <w:szCs w:val="24"/>
        </w:rPr>
      </w:pPr>
    </w:p>
    <w:p w14:paraId="22DB8AA9" w14:textId="30EBC440" w:rsidR="00E725A8" w:rsidRDefault="00D05ABE" w:rsidP="007A2213">
      <w:pPr>
        <w:pStyle w:val="Nagwek3"/>
      </w:pPr>
      <w:bookmarkStart w:id="111" w:name="_Toc77513937"/>
      <w:bookmarkStart w:id="112" w:name="_Toc80523092"/>
      <w:r w:rsidRPr="00E725A8">
        <w:t>Inwestycje</w:t>
      </w:r>
      <w:bookmarkEnd w:id="111"/>
      <w:bookmarkEnd w:id="112"/>
    </w:p>
    <w:p w14:paraId="5FD48A1D" w14:textId="77777777" w:rsidR="00D05ABE" w:rsidRPr="00D05ABE" w:rsidRDefault="00D05ABE" w:rsidP="00D05ABE"/>
    <w:p w14:paraId="5B632FD6"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 zakresie działań inwestycyjnych Ministerstwo Zdrowia aktualnie realizuje 2 zadania inwestycyjne:</w:t>
      </w:r>
    </w:p>
    <w:p w14:paraId="1452C32A" w14:textId="77777777" w:rsidR="00D05ABE" w:rsidRDefault="00E725A8" w:rsidP="00FE70E3">
      <w:pPr>
        <w:pStyle w:val="Akapitzlist"/>
        <w:numPr>
          <w:ilvl w:val="0"/>
          <w:numId w:val="95"/>
        </w:numPr>
        <w:autoSpaceDE w:val="0"/>
        <w:autoSpaceDN w:val="0"/>
        <w:adjustRightInd w:val="0"/>
        <w:rPr>
          <w:rFonts w:cs="Times New Roman"/>
          <w:szCs w:val="24"/>
        </w:rPr>
      </w:pPr>
      <w:r w:rsidRPr="00D05ABE">
        <w:rPr>
          <w:rFonts w:cs="Times New Roman"/>
          <w:szCs w:val="24"/>
        </w:rPr>
        <w:t>Zadanie pn. „Modernizacja Klinik i Budynków Narodowego Instytutu Geriatrii Reumatologii i Rehabilitacji”, realizowane w latach 2014-2021, w ramach którego zrealizowane są prace adaptacyjne na potrzeby Kliniki i Polikliniki Reumoortopedii dla funkcji Klinik Geriatrii i Reumatologii. Powierzchnia użytkowa inwestycji 3 670,17 m2, liczba łóżek: 78.</w:t>
      </w:r>
    </w:p>
    <w:p w14:paraId="34D1BECC" w14:textId="4615ED43" w:rsidR="00E725A8" w:rsidRDefault="00E725A8" w:rsidP="00FE70E3">
      <w:pPr>
        <w:pStyle w:val="Akapitzlist"/>
        <w:numPr>
          <w:ilvl w:val="0"/>
          <w:numId w:val="95"/>
        </w:numPr>
        <w:autoSpaceDE w:val="0"/>
        <w:autoSpaceDN w:val="0"/>
        <w:adjustRightInd w:val="0"/>
        <w:rPr>
          <w:rFonts w:cs="Times New Roman"/>
          <w:szCs w:val="24"/>
        </w:rPr>
      </w:pPr>
      <w:r w:rsidRPr="00D05ABE">
        <w:rPr>
          <w:rFonts w:cs="Times New Roman"/>
          <w:szCs w:val="24"/>
        </w:rPr>
        <w:t>Zadanie pn. „Powstanie Śląskiego Ośrodka Kliniczno-Naukowego Zapobiegania i Leczenia Chorób Środowiskowych, Cywilizacyjnych i Wieku Podeszłego im. prof. Zbigniewa Religi w Zabrzu”, realizowane w latach 2018-2022, powierzchnia użytkowa: 12.000 m2, liczba łóżek 138, , z czego 17 na Oddział Kardiologii - Chorób Środowiskowych i Cywilizacyjnych oraz Wieku Podeszłego w chorobach serca, płuc i naczyń.</w:t>
      </w:r>
    </w:p>
    <w:p w14:paraId="523BF65C" w14:textId="77777777" w:rsidR="00D05ABE" w:rsidRPr="00340F91" w:rsidRDefault="00D05ABE" w:rsidP="00340F91">
      <w:pPr>
        <w:autoSpaceDE w:val="0"/>
        <w:autoSpaceDN w:val="0"/>
        <w:adjustRightInd w:val="0"/>
        <w:rPr>
          <w:rFonts w:cs="Times New Roman"/>
          <w:szCs w:val="24"/>
        </w:rPr>
      </w:pPr>
    </w:p>
    <w:p w14:paraId="6D9162CF" w14:textId="774EE173" w:rsidR="00E725A8" w:rsidRDefault="00054E88" w:rsidP="00054E88">
      <w:pPr>
        <w:pStyle w:val="Nagwek3"/>
        <w:ind w:left="142" w:hanging="220"/>
      </w:pPr>
      <w:bookmarkStart w:id="113" w:name="_Toc77513938"/>
      <w:bookmarkStart w:id="114" w:name="_Toc80523093"/>
      <w:r>
        <w:t> </w:t>
      </w:r>
      <w:r w:rsidR="00D05ABE">
        <w:t>D</w:t>
      </w:r>
      <w:r w:rsidR="00D05ABE" w:rsidRPr="00D05ABE">
        <w:t>ziałania strategiczne</w:t>
      </w:r>
      <w:bookmarkEnd w:id="113"/>
      <w:bookmarkEnd w:id="114"/>
    </w:p>
    <w:p w14:paraId="315C1EC1" w14:textId="77777777" w:rsidR="00D05ABE" w:rsidRPr="00D05ABE" w:rsidRDefault="00D05ABE" w:rsidP="00D05ABE"/>
    <w:p w14:paraId="7D88A312" w14:textId="77777777" w:rsidR="00E725A8" w:rsidRPr="007A2213" w:rsidRDefault="007A2213" w:rsidP="00E725A8">
      <w:pPr>
        <w:autoSpaceDE w:val="0"/>
        <w:autoSpaceDN w:val="0"/>
        <w:adjustRightInd w:val="0"/>
        <w:rPr>
          <w:rFonts w:cs="Times New Roman"/>
          <w:b/>
          <w:szCs w:val="24"/>
        </w:rPr>
      </w:pPr>
      <w:r w:rsidRPr="007A2213">
        <w:rPr>
          <w:rFonts w:cs="Times New Roman"/>
          <w:b/>
          <w:szCs w:val="24"/>
        </w:rPr>
        <w:t xml:space="preserve">Działania z zakresu </w:t>
      </w:r>
      <w:proofErr w:type="spellStart"/>
      <w:r w:rsidRPr="007A2213">
        <w:rPr>
          <w:rFonts w:cs="Times New Roman"/>
          <w:b/>
          <w:szCs w:val="24"/>
        </w:rPr>
        <w:t>deinstytucjonalizacji</w:t>
      </w:r>
      <w:proofErr w:type="spellEnd"/>
      <w:r w:rsidRPr="007A2213">
        <w:rPr>
          <w:rFonts w:cs="Times New Roman"/>
          <w:b/>
          <w:szCs w:val="24"/>
        </w:rPr>
        <w:t xml:space="preserve"> usług zdrowotnych</w:t>
      </w:r>
    </w:p>
    <w:p w14:paraId="7DE4DDC0" w14:textId="361494E0" w:rsidR="00E725A8" w:rsidRDefault="00E725A8" w:rsidP="00E725A8">
      <w:pPr>
        <w:autoSpaceDE w:val="0"/>
        <w:autoSpaceDN w:val="0"/>
        <w:adjustRightInd w:val="0"/>
        <w:rPr>
          <w:rFonts w:cs="Times New Roman"/>
          <w:szCs w:val="24"/>
        </w:rPr>
      </w:pPr>
      <w:r w:rsidRPr="00E725A8">
        <w:rPr>
          <w:rFonts w:cs="Times New Roman"/>
          <w:szCs w:val="24"/>
        </w:rPr>
        <w:t xml:space="preserve">Od 2020 r. trwają prace nad opracowaniem projektu dokumentu strategicznego w zakresie </w:t>
      </w:r>
      <w:proofErr w:type="spellStart"/>
      <w:r w:rsidRPr="00E725A8">
        <w:rPr>
          <w:rFonts w:cs="Times New Roman"/>
          <w:szCs w:val="24"/>
        </w:rPr>
        <w:t>deinstytucjonalizacji</w:t>
      </w:r>
      <w:proofErr w:type="spellEnd"/>
      <w:r w:rsidRPr="00E725A8">
        <w:rPr>
          <w:rFonts w:cs="Times New Roman"/>
          <w:szCs w:val="24"/>
        </w:rPr>
        <w:t xml:space="preserve"> na rzecz osób starszych, stanowiącego załącznik do dokumentu pn. </w:t>
      </w:r>
      <w:r w:rsidRPr="00E725A8">
        <w:rPr>
          <w:rFonts w:cs="Times New Roman"/>
          <w:szCs w:val="24"/>
        </w:rPr>
        <w:lastRenderedPageBreak/>
        <w:t>Zdrowa Przyszłość. Ramy strategiczne rozwoju systemu ochrony zdrowia na lata 2021-2027, z perspektywą do 2030 r.</w:t>
      </w:r>
    </w:p>
    <w:p w14:paraId="4EA02925" w14:textId="77777777" w:rsidR="00D05ABE" w:rsidRPr="00E725A8" w:rsidRDefault="00D05ABE" w:rsidP="00E725A8">
      <w:pPr>
        <w:autoSpaceDE w:val="0"/>
        <w:autoSpaceDN w:val="0"/>
        <w:adjustRightInd w:val="0"/>
        <w:rPr>
          <w:rFonts w:cs="Times New Roman"/>
          <w:szCs w:val="24"/>
        </w:rPr>
      </w:pPr>
    </w:p>
    <w:p w14:paraId="501C0476" w14:textId="704306FC" w:rsidR="00E725A8" w:rsidRPr="00E725A8" w:rsidRDefault="00E725A8" w:rsidP="00E725A8">
      <w:pPr>
        <w:autoSpaceDE w:val="0"/>
        <w:autoSpaceDN w:val="0"/>
        <w:adjustRightInd w:val="0"/>
        <w:rPr>
          <w:rFonts w:cs="Times New Roman"/>
          <w:szCs w:val="24"/>
        </w:rPr>
      </w:pPr>
      <w:r w:rsidRPr="00E725A8">
        <w:rPr>
          <w:rFonts w:cs="Times New Roman"/>
          <w:szCs w:val="24"/>
        </w:rPr>
        <w:t xml:space="preserve">Nadrzędnym celem procesu </w:t>
      </w:r>
      <w:proofErr w:type="spellStart"/>
      <w:r w:rsidRPr="00E725A8">
        <w:rPr>
          <w:rFonts w:cs="Times New Roman"/>
          <w:szCs w:val="24"/>
        </w:rPr>
        <w:t>deinstytucjonalizacji</w:t>
      </w:r>
      <w:proofErr w:type="spellEnd"/>
      <w:r w:rsidRPr="00E725A8">
        <w:rPr>
          <w:rFonts w:cs="Times New Roman"/>
          <w:szCs w:val="24"/>
        </w:rPr>
        <w:t xml:space="preserve"> usług zdrowotnych dedykowanych osobom starszym jest: </w:t>
      </w:r>
      <w:r w:rsidR="00D45874">
        <w:rPr>
          <w:rFonts w:cs="Times New Roman"/>
          <w:szCs w:val="24"/>
        </w:rPr>
        <w:t>p</w:t>
      </w:r>
      <w:r w:rsidRPr="00E725A8">
        <w:rPr>
          <w:rFonts w:cs="Times New Roman"/>
          <w:szCs w:val="24"/>
        </w:rPr>
        <w:t>oprawa stanu zdrowia i jakości życia związanej ze zdrowiem u osób starszych i ich opiekunów oraz wsparcie w utrzymaniu niezależności osób starszych umożliwiającej im jak najdłuższe funkcjonowanie w środowisku lokalnym.</w:t>
      </w:r>
    </w:p>
    <w:p w14:paraId="5DE40A7E" w14:textId="71574D20" w:rsidR="00E725A8" w:rsidRDefault="00E725A8" w:rsidP="00E725A8">
      <w:pPr>
        <w:autoSpaceDE w:val="0"/>
        <w:autoSpaceDN w:val="0"/>
        <w:adjustRightInd w:val="0"/>
        <w:rPr>
          <w:rFonts w:cs="Times New Roman"/>
          <w:szCs w:val="24"/>
        </w:rPr>
      </w:pPr>
      <w:r w:rsidRPr="00E725A8">
        <w:rPr>
          <w:rFonts w:cs="Times New Roman"/>
          <w:szCs w:val="24"/>
        </w:rPr>
        <w:t>Uwzględniając specyfikę i problematykę systemu ochrony zdrowia w Polsce, w projekcie ww. dokumentu za kluczowe dla realizacji przedmiotowego celu przyjęto następujące obszary strategiczne:</w:t>
      </w:r>
    </w:p>
    <w:p w14:paraId="3D36B8EA" w14:textId="77777777" w:rsidR="00D05ABE" w:rsidRPr="00E725A8" w:rsidRDefault="00D05ABE" w:rsidP="00E725A8">
      <w:pPr>
        <w:autoSpaceDE w:val="0"/>
        <w:autoSpaceDN w:val="0"/>
        <w:adjustRightInd w:val="0"/>
        <w:rPr>
          <w:rFonts w:cs="Times New Roman"/>
          <w:szCs w:val="24"/>
        </w:rPr>
      </w:pPr>
    </w:p>
    <w:p w14:paraId="107365A2"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I. Rozwój zasobów kadrowych, w tym:</w:t>
      </w:r>
    </w:p>
    <w:p w14:paraId="360EB3DF"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 Podniesienie kompetencji personelu realizującego opiekę zdrowotną dla osób starszych wymagających wsparcia w codziennym funkcjonowaniu w środowisku lokalnym</w:t>
      </w:r>
    </w:p>
    <w:p w14:paraId="6D173871"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II. Rozwój form opieki dziennej, w tym:</w:t>
      </w:r>
    </w:p>
    <w:p w14:paraId="2EDD3D5D"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Rozwijanie form dziennej opieki medycznej dla osób starszych i wymagających wsparcia w codziennym funkcjonowaniu ze szczególnym uwzględnieniem regionów oraz obszarów wiejskich, w których dostęp do świadczeń opieki długoterminowej oraz paliatywnej i hospicyjnej jest najbardziej ograniczony</w:t>
      </w:r>
    </w:p>
    <w:p w14:paraId="7887EB6E"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III.</w:t>
      </w:r>
      <w:r w:rsidRPr="00E725A8">
        <w:rPr>
          <w:rFonts w:cs="Times New Roman"/>
          <w:szCs w:val="24"/>
        </w:rPr>
        <w:tab/>
        <w:t>Rozwój form opieki domowej, w tym:</w:t>
      </w:r>
    </w:p>
    <w:p w14:paraId="115FC237"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Zwiększenie dostępu do opieki długoterminowej oraz opieki paliatywnej i hospicyjnej udzielanej w warunkach domowych</w:t>
      </w:r>
    </w:p>
    <w:p w14:paraId="21AA7726"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IV.</w:t>
      </w:r>
      <w:r w:rsidRPr="00E725A8">
        <w:rPr>
          <w:rFonts w:cs="Times New Roman"/>
          <w:szCs w:val="24"/>
        </w:rPr>
        <w:tab/>
        <w:t>Rozwój innowacyjnych form opieki, w tym</w:t>
      </w:r>
    </w:p>
    <w:p w14:paraId="23A9A501"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 xml:space="preserve">Zwiększenie dostępności usług z zakresu </w:t>
      </w:r>
      <w:proofErr w:type="spellStart"/>
      <w:r w:rsidRPr="00E725A8">
        <w:rPr>
          <w:rFonts w:cs="Times New Roman"/>
          <w:szCs w:val="24"/>
        </w:rPr>
        <w:t>telemedycyny</w:t>
      </w:r>
      <w:proofErr w:type="spellEnd"/>
    </w:p>
    <w:p w14:paraId="3E2BD3AE"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V.</w:t>
      </w:r>
      <w:r w:rsidRPr="00E725A8">
        <w:rPr>
          <w:rFonts w:cs="Times New Roman"/>
          <w:szCs w:val="24"/>
        </w:rPr>
        <w:tab/>
        <w:t>Wsparcie opiekunów nieformalnych, w tym:</w:t>
      </w:r>
    </w:p>
    <w:p w14:paraId="32649C85"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Rozwój wsparcia środowiskowego dla opiekunów nieformalnych osób starszych</w:t>
      </w:r>
    </w:p>
    <w:p w14:paraId="58D559C8"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VI.</w:t>
      </w:r>
      <w:r w:rsidRPr="00E725A8">
        <w:rPr>
          <w:rFonts w:cs="Times New Roman"/>
          <w:szCs w:val="24"/>
        </w:rPr>
        <w:tab/>
        <w:t>Koordynacja środowiskowej opieki zdrowotnej, w tym:</w:t>
      </w:r>
    </w:p>
    <w:p w14:paraId="0BE221BB" w14:textId="7760BF3F" w:rsidR="00E725A8" w:rsidRDefault="00E725A8" w:rsidP="00E725A8">
      <w:pPr>
        <w:autoSpaceDE w:val="0"/>
        <w:autoSpaceDN w:val="0"/>
        <w:adjustRightInd w:val="0"/>
        <w:rPr>
          <w:rFonts w:cs="Times New Roman"/>
          <w:szCs w:val="24"/>
        </w:rPr>
      </w:pPr>
      <w:r w:rsidRPr="00E725A8">
        <w:rPr>
          <w:rFonts w:cs="Times New Roman"/>
          <w:szCs w:val="24"/>
        </w:rPr>
        <w:t>•</w:t>
      </w:r>
      <w:r w:rsidRPr="00E725A8">
        <w:rPr>
          <w:rFonts w:cs="Times New Roman"/>
          <w:szCs w:val="24"/>
        </w:rPr>
        <w:tab/>
        <w:t>Zwiększenie dostępu do kompleksowej informacji na temat dostępnego wsparcia zdrowotnego dla osób starszych i ich opiekunów</w:t>
      </w:r>
    </w:p>
    <w:p w14:paraId="5595D6B6" w14:textId="77777777" w:rsidR="00D05ABE" w:rsidRPr="00E725A8" w:rsidRDefault="00D05ABE" w:rsidP="00E725A8">
      <w:pPr>
        <w:autoSpaceDE w:val="0"/>
        <w:autoSpaceDN w:val="0"/>
        <w:adjustRightInd w:val="0"/>
        <w:rPr>
          <w:rFonts w:cs="Times New Roman"/>
          <w:szCs w:val="24"/>
        </w:rPr>
      </w:pPr>
    </w:p>
    <w:p w14:paraId="7D34AEC3" w14:textId="77777777" w:rsidR="00E725A8" w:rsidRPr="007A2213" w:rsidRDefault="007A2213" w:rsidP="00E725A8">
      <w:pPr>
        <w:autoSpaceDE w:val="0"/>
        <w:autoSpaceDN w:val="0"/>
        <w:adjustRightInd w:val="0"/>
        <w:rPr>
          <w:rFonts w:cs="Times New Roman"/>
          <w:b/>
          <w:szCs w:val="24"/>
        </w:rPr>
      </w:pPr>
      <w:r w:rsidRPr="007A2213">
        <w:rPr>
          <w:rFonts w:cs="Times New Roman"/>
          <w:b/>
          <w:szCs w:val="24"/>
        </w:rPr>
        <w:t>Aplikacja dotycząca kadr medycznych</w:t>
      </w:r>
    </w:p>
    <w:p w14:paraId="69217901"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W 2020 r. opracowano aplikację dotyczącą kadr medycznych, w której prezentowane są liczne analizy z podziałem m.in. na lekarzy specjalistów w dziedzinie geriatrii. W aplikacji znaleźć można zapotrzebowanie na lekarzy geriatrów, które zostało oszacowane na potrzeby analiz MZ w 2020 r. - konsultant krajowy w dziedzinie geriatrii określił zapotrzebowanie na lekarzy geriatrów w Polsce na 3000 lekarzy geriatrów. Obliczono również m.in.:</w:t>
      </w:r>
    </w:p>
    <w:p w14:paraId="688B879B" w14:textId="77777777" w:rsidR="00D05ABE" w:rsidRDefault="00E725A8" w:rsidP="00FE70E3">
      <w:pPr>
        <w:pStyle w:val="Akapitzlist"/>
        <w:numPr>
          <w:ilvl w:val="0"/>
          <w:numId w:val="96"/>
        </w:numPr>
        <w:autoSpaceDE w:val="0"/>
        <w:autoSpaceDN w:val="0"/>
        <w:adjustRightInd w:val="0"/>
        <w:rPr>
          <w:rFonts w:cs="Times New Roman"/>
          <w:szCs w:val="24"/>
        </w:rPr>
      </w:pPr>
      <w:r w:rsidRPr="00D05ABE">
        <w:rPr>
          <w:rFonts w:cs="Times New Roman"/>
          <w:szCs w:val="24"/>
        </w:rPr>
        <w:t>liczbę lekarzy geriatrów pracujących ogółem oraz w podmiotach leczniczych,</w:t>
      </w:r>
    </w:p>
    <w:p w14:paraId="673E6CD9" w14:textId="77777777" w:rsidR="00D05ABE" w:rsidRDefault="00E725A8" w:rsidP="00FE70E3">
      <w:pPr>
        <w:pStyle w:val="Akapitzlist"/>
        <w:numPr>
          <w:ilvl w:val="0"/>
          <w:numId w:val="96"/>
        </w:numPr>
        <w:autoSpaceDE w:val="0"/>
        <w:autoSpaceDN w:val="0"/>
        <w:adjustRightInd w:val="0"/>
        <w:rPr>
          <w:rFonts w:cs="Times New Roman"/>
          <w:szCs w:val="24"/>
        </w:rPr>
      </w:pPr>
      <w:r w:rsidRPr="00D05ABE">
        <w:rPr>
          <w:rFonts w:cs="Times New Roman"/>
          <w:szCs w:val="24"/>
        </w:rPr>
        <w:t>średni wiek lekarzy geriatrów,</w:t>
      </w:r>
    </w:p>
    <w:p w14:paraId="7E7028BF" w14:textId="77777777" w:rsidR="00D05ABE" w:rsidRDefault="00E725A8" w:rsidP="00FE70E3">
      <w:pPr>
        <w:pStyle w:val="Akapitzlist"/>
        <w:numPr>
          <w:ilvl w:val="0"/>
          <w:numId w:val="96"/>
        </w:numPr>
        <w:autoSpaceDE w:val="0"/>
        <w:autoSpaceDN w:val="0"/>
        <w:adjustRightInd w:val="0"/>
        <w:rPr>
          <w:rFonts w:cs="Times New Roman"/>
          <w:szCs w:val="24"/>
        </w:rPr>
      </w:pPr>
      <w:r w:rsidRPr="00D05ABE">
        <w:rPr>
          <w:rFonts w:cs="Times New Roman"/>
          <w:szCs w:val="24"/>
        </w:rPr>
        <w:t>liczbę pracujących lekarzy geriatrów w wieku emerytalnym,</w:t>
      </w:r>
    </w:p>
    <w:p w14:paraId="48BD47D4" w14:textId="2FD82112" w:rsidR="00E725A8" w:rsidRDefault="00E725A8" w:rsidP="00FE70E3">
      <w:pPr>
        <w:pStyle w:val="Akapitzlist"/>
        <w:numPr>
          <w:ilvl w:val="0"/>
          <w:numId w:val="96"/>
        </w:numPr>
        <w:autoSpaceDE w:val="0"/>
        <w:autoSpaceDN w:val="0"/>
        <w:adjustRightInd w:val="0"/>
        <w:rPr>
          <w:rFonts w:cs="Times New Roman"/>
          <w:szCs w:val="24"/>
        </w:rPr>
      </w:pPr>
      <w:r w:rsidRPr="00D05ABE">
        <w:rPr>
          <w:rFonts w:cs="Times New Roman"/>
          <w:szCs w:val="24"/>
        </w:rPr>
        <w:t>wymienialność pokoleniową wśród lekarzy geriatrów, zapotrzebowanie na miejsca</w:t>
      </w:r>
      <w:r w:rsidR="00D05ABE" w:rsidRPr="00D05ABE">
        <w:rPr>
          <w:rFonts w:cs="Times New Roman"/>
          <w:szCs w:val="24"/>
        </w:rPr>
        <w:t xml:space="preserve"> </w:t>
      </w:r>
      <w:r w:rsidRPr="00D05ABE">
        <w:rPr>
          <w:rFonts w:cs="Times New Roman"/>
          <w:szCs w:val="24"/>
        </w:rPr>
        <w:t>specjalizacyjne.</w:t>
      </w:r>
    </w:p>
    <w:p w14:paraId="117988C8" w14:textId="77777777" w:rsidR="00D05ABE" w:rsidRPr="00340F91" w:rsidRDefault="00D05ABE" w:rsidP="00340F91">
      <w:pPr>
        <w:autoSpaceDE w:val="0"/>
        <w:autoSpaceDN w:val="0"/>
        <w:adjustRightInd w:val="0"/>
        <w:rPr>
          <w:rFonts w:cs="Times New Roman"/>
          <w:szCs w:val="24"/>
        </w:rPr>
      </w:pPr>
    </w:p>
    <w:p w14:paraId="61BF667E" w14:textId="77777777" w:rsidR="00641C42" w:rsidRDefault="00E725A8" w:rsidP="00E725A8">
      <w:pPr>
        <w:autoSpaceDE w:val="0"/>
        <w:autoSpaceDN w:val="0"/>
        <w:adjustRightInd w:val="0"/>
        <w:rPr>
          <w:rFonts w:cs="Times New Roman"/>
          <w:szCs w:val="24"/>
        </w:rPr>
      </w:pPr>
      <w:r w:rsidRPr="00E725A8">
        <w:rPr>
          <w:rFonts w:cs="Times New Roman"/>
          <w:szCs w:val="24"/>
        </w:rPr>
        <w:t>W aplikacji dotyczącej kadry medycznej można także analizować personel medyczny pracujący na podstawie umów zawartych z NFZ, według rodzaju świadczeń na jakie została podpisana umowa, w tym np. opieki paliatywnej i hospicyjnej, czy też świadczeń pielęgnacyjnych i opiekuńczych w ramach</w:t>
      </w:r>
      <w:r w:rsidRPr="00E725A8">
        <w:rPr>
          <w:rFonts w:cs="Times New Roman"/>
          <w:szCs w:val="24"/>
        </w:rPr>
        <w:tab/>
        <w:t>opieki</w:t>
      </w:r>
      <w:r w:rsidRPr="00E725A8">
        <w:rPr>
          <w:rFonts w:cs="Times New Roman"/>
          <w:szCs w:val="24"/>
        </w:rPr>
        <w:tab/>
        <w:t>długoterminowej.</w:t>
      </w:r>
    </w:p>
    <w:p w14:paraId="6F150EC0" w14:textId="30590271" w:rsidR="00E725A8" w:rsidRPr="00E725A8" w:rsidRDefault="00E725A8" w:rsidP="00E725A8">
      <w:pPr>
        <w:autoSpaceDE w:val="0"/>
        <w:autoSpaceDN w:val="0"/>
        <w:adjustRightInd w:val="0"/>
        <w:rPr>
          <w:rFonts w:cs="Times New Roman"/>
          <w:szCs w:val="24"/>
        </w:rPr>
      </w:pPr>
      <w:r w:rsidRPr="00E725A8">
        <w:rPr>
          <w:rFonts w:cs="Times New Roman"/>
          <w:szCs w:val="24"/>
        </w:rPr>
        <w:tab/>
      </w:r>
      <w:r w:rsidRPr="00E725A8">
        <w:rPr>
          <w:rFonts w:cs="Times New Roman"/>
          <w:szCs w:val="24"/>
        </w:rPr>
        <w:tab/>
      </w:r>
      <w:r w:rsidRPr="00E725A8">
        <w:rPr>
          <w:rFonts w:cs="Times New Roman"/>
          <w:szCs w:val="24"/>
        </w:rPr>
        <w:tab/>
      </w:r>
    </w:p>
    <w:p w14:paraId="15E3D549" w14:textId="4BA3EB7E" w:rsidR="00E725A8" w:rsidRDefault="00C4765A" w:rsidP="00054E88">
      <w:pPr>
        <w:pStyle w:val="Nagwek3"/>
        <w:ind w:left="851" w:hanging="851"/>
      </w:pPr>
      <w:bookmarkStart w:id="115" w:name="_Toc77513939"/>
      <w:bookmarkStart w:id="116" w:name="_Toc80523094"/>
      <w:r>
        <w:t>I</w:t>
      </w:r>
      <w:r w:rsidRPr="00E725A8">
        <w:t>nne działania realizowane przez Narodowy Instytut Geriatrii,</w:t>
      </w:r>
      <w:r>
        <w:t xml:space="preserve"> </w:t>
      </w:r>
      <w:r w:rsidRPr="00E725A8">
        <w:t>Reumatologii I Rehabilitacji</w:t>
      </w:r>
      <w:bookmarkEnd w:id="115"/>
      <w:r w:rsidR="00D45874">
        <w:t xml:space="preserve"> (</w:t>
      </w:r>
      <w:proofErr w:type="spellStart"/>
      <w:r w:rsidR="00D45874" w:rsidRPr="00D45874">
        <w:t>NIGRiR</w:t>
      </w:r>
      <w:proofErr w:type="spellEnd"/>
      <w:r w:rsidR="00D45874">
        <w:t>)</w:t>
      </w:r>
      <w:bookmarkEnd w:id="116"/>
    </w:p>
    <w:p w14:paraId="35DDF508" w14:textId="77777777" w:rsidR="00C4765A" w:rsidRPr="00C4765A" w:rsidRDefault="00C4765A" w:rsidP="00C4765A"/>
    <w:p w14:paraId="607A1CF8"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 xml:space="preserve">W 2020 r. </w:t>
      </w:r>
      <w:proofErr w:type="spellStart"/>
      <w:r w:rsidRPr="00E725A8">
        <w:rPr>
          <w:rFonts w:cs="Times New Roman"/>
          <w:szCs w:val="24"/>
        </w:rPr>
        <w:t>NIGRiR</w:t>
      </w:r>
      <w:proofErr w:type="spellEnd"/>
      <w:r w:rsidRPr="00E725A8">
        <w:rPr>
          <w:rFonts w:cs="Times New Roman"/>
          <w:szCs w:val="24"/>
        </w:rPr>
        <w:t>:</w:t>
      </w:r>
    </w:p>
    <w:p w14:paraId="73021014" w14:textId="77777777" w:rsidR="00C4765A" w:rsidRDefault="00E725A8" w:rsidP="00FE70E3">
      <w:pPr>
        <w:pStyle w:val="Akapitzlist"/>
        <w:numPr>
          <w:ilvl w:val="0"/>
          <w:numId w:val="97"/>
        </w:numPr>
        <w:autoSpaceDE w:val="0"/>
        <w:autoSpaceDN w:val="0"/>
        <w:adjustRightInd w:val="0"/>
        <w:rPr>
          <w:rFonts w:cs="Times New Roman"/>
          <w:szCs w:val="24"/>
        </w:rPr>
      </w:pPr>
      <w:r w:rsidRPr="00C4765A">
        <w:rPr>
          <w:rFonts w:cs="Times New Roman"/>
          <w:szCs w:val="24"/>
        </w:rPr>
        <w:t>organizował comiesięczne spotkania edukacyjno-informacyjne z geriatrią, reumatologią i rehabilitacją;</w:t>
      </w:r>
    </w:p>
    <w:p w14:paraId="483C23E1" w14:textId="77777777" w:rsidR="00C4765A" w:rsidRDefault="00E725A8" w:rsidP="00FE70E3">
      <w:pPr>
        <w:pStyle w:val="Akapitzlist"/>
        <w:numPr>
          <w:ilvl w:val="0"/>
          <w:numId w:val="97"/>
        </w:numPr>
        <w:autoSpaceDE w:val="0"/>
        <w:autoSpaceDN w:val="0"/>
        <w:adjustRightInd w:val="0"/>
        <w:rPr>
          <w:rFonts w:cs="Times New Roman"/>
          <w:szCs w:val="24"/>
        </w:rPr>
      </w:pPr>
      <w:r w:rsidRPr="00C4765A">
        <w:rPr>
          <w:rFonts w:cs="Times New Roman"/>
          <w:szCs w:val="24"/>
        </w:rPr>
        <w:t>współpracował z Kancelarią Prezydenta RP oraz Narodową Radą Rozwoju w obszarze przygotowania i wdrożenia koncepcji Centrów Zdrowia 75+;</w:t>
      </w:r>
    </w:p>
    <w:p w14:paraId="7ACE0376" w14:textId="77777777" w:rsidR="00C4765A" w:rsidRDefault="00E725A8" w:rsidP="00FE70E3">
      <w:pPr>
        <w:pStyle w:val="Akapitzlist"/>
        <w:numPr>
          <w:ilvl w:val="0"/>
          <w:numId w:val="97"/>
        </w:numPr>
        <w:autoSpaceDE w:val="0"/>
        <w:autoSpaceDN w:val="0"/>
        <w:adjustRightInd w:val="0"/>
        <w:rPr>
          <w:rFonts w:cs="Times New Roman"/>
          <w:szCs w:val="24"/>
        </w:rPr>
      </w:pPr>
      <w:r w:rsidRPr="00C4765A">
        <w:rPr>
          <w:rFonts w:cs="Times New Roman"/>
          <w:szCs w:val="24"/>
        </w:rPr>
        <w:t>udzielał stacjonarnych i ambulatoryjnych świadczeń medycznych z zakresu geriatrii;</w:t>
      </w:r>
    </w:p>
    <w:p w14:paraId="15AC140A" w14:textId="77777777" w:rsidR="00C4765A" w:rsidRDefault="00E725A8" w:rsidP="00FE70E3">
      <w:pPr>
        <w:pStyle w:val="Akapitzlist"/>
        <w:numPr>
          <w:ilvl w:val="0"/>
          <w:numId w:val="97"/>
        </w:numPr>
        <w:autoSpaceDE w:val="0"/>
        <w:autoSpaceDN w:val="0"/>
        <w:adjustRightInd w:val="0"/>
        <w:rPr>
          <w:rFonts w:cs="Times New Roman"/>
          <w:szCs w:val="24"/>
        </w:rPr>
      </w:pPr>
      <w:r w:rsidRPr="00C4765A">
        <w:rPr>
          <w:rFonts w:cs="Times New Roman"/>
          <w:szCs w:val="24"/>
        </w:rPr>
        <w:t xml:space="preserve">prowadził badania naukowe w ramach działalności statutowej w obszarze tzw. Wielkich Problemów Geriatrycznych, w tym przede wszystkim nad zespołem kruchości, </w:t>
      </w:r>
      <w:proofErr w:type="spellStart"/>
      <w:r w:rsidRPr="00C4765A">
        <w:rPr>
          <w:rFonts w:cs="Times New Roman"/>
          <w:szCs w:val="24"/>
        </w:rPr>
        <w:t>sarkopenią</w:t>
      </w:r>
      <w:proofErr w:type="spellEnd"/>
      <w:r w:rsidRPr="00C4765A">
        <w:rPr>
          <w:rFonts w:cs="Times New Roman"/>
          <w:szCs w:val="24"/>
        </w:rPr>
        <w:t xml:space="preserve">, upadkami, zaburzeniami poznawczymi i </w:t>
      </w:r>
      <w:proofErr w:type="spellStart"/>
      <w:r w:rsidRPr="00C4765A">
        <w:rPr>
          <w:rFonts w:cs="Times New Roman"/>
          <w:szCs w:val="24"/>
        </w:rPr>
        <w:t>wielochorobowością</w:t>
      </w:r>
      <w:proofErr w:type="spellEnd"/>
      <w:r w:rsidRPr="00C4765A">
        <w:rPr>
          <w:rFonts w:cs="Times New Roman"/>
          <w:szCs w:val="24"/>
        </w:rPr>
        <w:t>;</w:t>
      </w:r>
    </w:p>
    <w:p w14:paraId="6E237B23" w14:textId="058993E3" w:rsidR="00E725A8" w:rsidRDefault="00E725A8" w:rsidP="00FE70E3">
      <w:pPr>
        <w:pStyle w:val="Akapitzlist"/>
        <w:numPr>
          <w:ilvl w:val="0"/>
          <w:numId w:val="97"/>
        </w:numPr>
        <w:autoSpaceDE w:val="0"/>
        <w:autoSpaceDN w:val="0"/>
        <w:adjustRightInd w:val="0"/>
        <w:rPr>
          <w:rFonts w:cs="Times New Roman"/>
          <w:szCs w:val="24"/>
        </w:rPr>
      </w:pPr>
      <w:r w:rsidRPr="00C4765A">
        <w:rPr>
          <w:rFonts w:cs="Times New Roman"/>
          <w:szCs w:val="24"/>
        </w:rPr>
        <w:t>objął patronatem konkurs Pielęgniarskiej Nagrody Królowej Sylwii (</w:t>
      </w:r>
      <w:proofErr w:type="spellStart"/>
      <w:r w:rsidRPr="00C4765A">
        <w:rPr>
          <w:rFonts w:cs="Times New Roman"/>
          <w:szCs w:val="24"/>
        </w:rPr>
        <w:t>Queen</w:t>
      </w:r>
      <w:proofErr w:type="spellEnd"/>
      <w:r w:rsidRPr="00C4765A">
        <w:rPr>
          <w:rFonts w:cs="Times New Roman"/>
          <w:szCs w:val="24"/>
        </w:rPr>
        <w:t xml:space="preserve"> </w:t>
      </w:r>
      <w:proofErr w:type="spellStart"/>
      <w:r w:rsidRPr="00C4765A">
        <w:rPr>
          <w:rFonts w:cs="Times New Roman"/>
          <w:szCs w:val="24"/>
        </w:rPr>
        <w:t>Silvia</w:t>
      </w:r>
      <w:proofErr w:type="spellEnd"/>
      <w:r w:rsidRPr="00C4765A">
        <w:rPr>
          <w:rFonts w:cs="Times New Roman"/>
          <w:szCs w:val="24"/>
        </w:rPr>
        <w:t xml:space="preserve"> </w:t>
      </w:r>
      <w:proofErr w:type="spellStart"/>
      <w:r w:rsidRPr="00C4765A">
        <w:rPr>
          <w:rFonts w:cs="Times New Roman"/>
          <w:szCs w:val="24"/>
        </w:rPr>
        <w:t>Nursing</w:t>
      </w:r>
      <w:proofErr w:type="spellEnd"/>
      <w:r w:rsidRPr="00C4765A">
        <w:rPr>
          <w:rFonts w:cs="Times New Roman"/>
          <w:szCs w:val="24"/>
        </w:rPr>
        <w:t xml:space="preserve"> </w:t>
      </w:r>
      <w:proofErr w:type="spellStart"/>
      <w:r w:rsidRPr="00C4765A">
        <w:rPr>
          <w:rFonts w:cs="Times New Roman"/>
          <w:szCs w:val="24"/>
        </w:rPr>
        <w:t>Award</w:t>
      </w:r>
      <w:proofErr w:type="spellEnd"/>
      <w:r w:rsidRPr="00C4765A">
        <w:rPr>
          <w:rFonts w:cs="Times New Roman"/>
          <w:szCs w:val="24"/>
        </w:rPr>
        <w:t>). Przedstawiciel NIGRIR brał również udział w pracach Komisji Konkursowej (wrzesień-grudzień 2020), polegający na recenzji przedstawianych projektów w zakresie usprawnienia i poprawy jakości opieki nad osobami starszymi.</w:t>
      </w:r>
    </w:p>
    <w:p w14:paraId="09FB0D30" w14:textId="77777777" w:rsidR="00C4765A" w:rsidRPr="00C4765A" w:rsidRDefault="00C4765A" w:rsidP="00942717">
      <w:pPr>
        <w:pStyle w:val="Akapitzlist"/>
        <w:autoSpaceDE w:val="0"/>
        <w:autoSpaceDN w:val="0"/>
        <w:adjustRightInd w:val="0"/>
        <w:ind w:left="360"/>
        <w:rPr>
          <w:rFonts w:cs="Times New Roman"/>
          <w:szCs w:val="24"/>
        </w:rPr>
      </w:pPr>
    </w:p>
    <w:p w14:paraId="6237E693" w14:textId="77777777" w:rsidR="00E725A8" w:rsidRPr="007A2213" w:rsidRDefault="007A2213" w:rsidP="00E725A8">
      <w:pPr>
        <w:autoSpaceDE w:val="0"/>
        <w:autoSpaceDN w:val="0"/>
        <w:adjustRightInd w:val="0"/>
        <w:rPr>
          <w:rFonts w:cs="Times New Roman"/>
          <w:b/>
          <w:szCs w:val="24"/>
        </w:rPr>
      </w:pPr>
      <w:r w:rsidRPr="007A2213">
        <w:rPr>
          <w:rFonts w:cs="Times New Roman"/>
          <w:b/>
          <w:szCs w:val="24"/>
        </w:rPr>
        <w:t>Działania w zakresie szkolenia kadr medycznych</w:t>
      </w:r>
    </w:p>
    <w:p w14:paraId="15956ECB" w14:textId="77777777" w:rsidR="00E725A8" w:rsidRPr="00E725A8" w:rsidRDefault="00E725A8" w:rsidP="00E725A8">
      <w:pPr>
        <w:autoSpaceDE w:val="0"/>
        <w:autoSpaceDN w:val="0"/>
        <w:adjustRightInd w:val="0"/>
        <w:rPr>
          <w:rFonts w:cs="Times New Roman"/>
          <w:szCs w:val="24"/>
        </w:rPr>
      </w:pPr>
      <w:r w:rsidRPr="00E725A8">
        <w:rPr>
          <w:rFonts w:cs="Times New Roman"/>
          <w:szCs w:val="24"/>
        </w:rPr>
        <w:t xml:space="preserve">W ramach szkolenia kadr medycznych </w:t>
      </w:r>
      <w:proofErr w:type="spellStart"/>
      <w:r w:rsidRPr="00E725A8">
        <w:rPr>
          <w:rFonts w:cs="Times New Roman"/>
          <w:szCs w:val="24"/>
        </w:rPr>
        <w:t>NIGRiR</w:t>
      </w:r>
      <w:proofErr w:type="spellEnd"/>
      <w:r w:rsidRPr="00E725A8">
        <w:rPr>
          <w:rFonts w:cs="Times New Roman"/>
          <w:szCs w:val="24"/>
        </w:rPr>
        <w:t xml:space="preserve"> prowadził następujące działania:</w:t>
      </w:r>
    </w:p>
    <w:p w14:paraId="53524319" w14:textId="77777777" w:rsidR="00C4765A" w:rsidRDefault="00E725A8" w:rsidP="00FE70E3">
      <w:pPr>
        <w:pStyle w:val="Akapitzlist"/>
        <w:numPr>
          <w:ilvl w:val="0"/>
          <w:numId w:val="98"/>
        </w:numPr>
        <w:autoSpaceDE w:val="0"/>
        <w:autoSpaceDN w:val="0"/>
        <w:adjustRightInd w:val="0"/>
        <w:rPr>
          <w:rFonts w:cs="Times New Roman"/>
          <w:szCs w:val="24"/>
        </w:rPr>
      </w:pPr>
      <w:r w:rsidRPr="00C4765A">
        <w:rPr>
          <w:rFonts w:cs="Times New Roman"/>
          <w:szCs w:val="24"/>
        </w:rPr>
        <w:t>rozpoczęcie w roku akademickim 2019/2020 (po raz pierwszy w historii WUM) kształcenia studentów V roku wydziału lekarskiego w zakresie geriatrii;</w:t>
      </w:r>
    </w:p>
    <w:p w14:paraId="2A9964A1" w14:textId="77777777" w:rsidR="00C4765A" w:rsidRDefault="00E725A8" w:rsidP="00FE70E3">
      <w:pPr>
        <w:pStyle w:val="Akapitzlist"/>
        <w:numPr>
          <w:ilvl w:val="0"/>
          <w:numId w:val="98"/>
        </w:numPr>
        <w:autoSpaceDE w:val="0"/>
        <w:autoSpaceDN w:val="0"/>
        <w:adjustRightInd w:val="0"/>
        <w:rPr>
          <w:rFonts w:cs="Times New Roman"/>
          <w:szCs w:val="24"/>
        </w:rPr>
      </w:pPr>
      <w:r w:rsidRPr="00C4765A">
        <w:rPr>
          <w:rFonts w:cs="Times New Roman"/>
          <w:szCs w:val="24"/>
        </w:rPr>
        <w:t xml:space="preserve">prowadzenie kształcenia </w:t>
      </w:r>
      <w:proofErr w:type="spellStart"/>
      <w:r w:rsidRPr="00C4765A">
        <w:rPr>
          <w:rFonts w:cs="Times New Roman"/>
          <w:szCs w:val="24"/>
        </w:rPr>
        <w:t>przeddyplomowego</w:t>
      </w:r>
      <w:proofErr w:type="spellEnd"/>
      <w:r w:rsidRPr="00C4765A">
        <w:rPr>
          <w:rFonts w:cs="Times New Roman"/>
          <w:szCs w:val="24"/>
        </w:rPr>
        <w:t xml:space="preserve"> studentów Katedry Pielęgniarstwa Wydziału Rehabilitacji AWF w zakresie geriatrii;</w:t>
      </w:r>
    </w:p>
    <w:p w14:paraId="1FAF2F70" w14:textId="77777777" w:rsidR="00C4765A" w:rsidRDefault="00E725A8" w:rsidP="00FE70E3">
      <w:pPr>
        <w:pStyle w:val="Akapitzlist"/>
        <w:numPr>
          <w:ilvl w:val="0"/>
          <w:numId w:val="98"/>
        </w:numPr>
        <w:autoSpaceDE w:val="0"/>
        <w:autoSpaceDN w:val="0"/>
        <w:adjustRightInd w:val="0"/>
        <w:rPr>
          <w:rFonts w:cs="Times New Roman"/>
          <w:szCs w:val="24"/>
        </w:rPr>
      </w:pPr>
      <w:r w:rsidRPr="00C4765A">
        <w:rPr>
          <w:rFonts w:cs="Times New Roman"/>
          <w:szCs w:val="24"/>
        </w:rPr>
        <w:t>prowadzenie szkolenia specjalizacyjnego lekarzy w dziedzinie geriatrii;</w:t>
      </w:r>
    </w:p>
    <w:p w14:paraId="7A5D02F0" w14:textId="77777777" w:rsidR="00C4765A" w:rsidRDefault="00E725A8" w:rsidP="00FE70E3">
      <w:pPr>
        <w:pStyle w:val="Akapitzlist"/>
        <w:numPr>
          <w:ilvl w:val="0"/>
          <w:numId w:val="98"/>
        </w:numPr>
        <w:autoSpaceDE w:val="0"/>
        <w:autoSpaceDN w:val="0"/>
        <w:adjustRightInd w:val="0"/>
        <w:rPr>
          <w:rFonts w:cs="Times New Roman"/>
          <w:szCs w:val="24"/>
        </w:rPr>
      </w:pPr>
      <w:r w:rsidRPr="00C4765A">
        <w:rPr>
          <w:rFonts w:cs="Times New Roman"/>
          <w:szCs w:val="24"/>
        </w:rPr>
        <w:t>przewodniczenie Zespołowi Ekspertów ds. opracowania programu specjalizacji lekarzy w dziedzinie geriatrii oraz aktualizacja programu zgodnie z założeniami nowelizacji Ustawy o zawodzie lekarza i lekarza dentysty;</w:t>
      </w:r>
    </w:p>
    <w:p w14:paraId="78A9AD57" w14:textId="566FDDBE" w:rsidR="00C4765A" w:rsidRDefault="00E725A8" w:rsidP="00FE70E3">
      <w:pPr>
        <w:pStyle w:val="Akapitzlist"/>
        <w:numPr>
          <w:ilvl w:val="0"/>
          <w:numId w:val="98"/>
        </w:numPr>
        <w:autoSpaceDE w:val="0"/>
        <w:autoSpaceDN w:val="0"/>
        <w:adjustRightInd w:val="0"/>
        <w:rPr>
          <w:rFonts w:cs="Times New Roman"/>
          <w:szCs w:val="24"/>
        </w:rPr>
      </w:pPr>
      <w:r w:rsidRPr="00C4765A">
        <w:rPr>
          <w:rFonts w:cs="Times New Roman"/>
          <w:szCs w:val="24"/>
        </w:rPr>
        <w:t>przewodniczenie Podzespołowi nr 12 do spraw wypracowania założeń do zmian w kształceniu podyplomowym pielęgniarek i położnych w dziedzinie pielęgniarstwa geriatrycznego w okresie od 1 marca do 30 czerwca 2020 r. Raport z prac zespołu został przekazany do Ministerstwa Zdrowia w lipcu 2020 r. Zaproponowane zmiany programowe dotyczą m in. rozwoju kompleksowej opieki nad chorym starszym, w tym: nowych standardów profilaktyki i opieki nad osobami starszymi na podstawie dorobku krajów europejskich</w:t>
      </w:r>
      <w:r w:rsidR="00552A29">
        <w:rPr>
          <w:rFonts w:cs="Times New Roman"/>
          <w:szCs w:val="24"/>
        </w:rPr>
        <w:t>,</w:t>
      </w:r>
      <w:r w:rsidRPr="00C4765A">
        <w:rPr>
          <w:rFonts w:cs="Times New Roman"/>
          <w:szCs w:val="24"/>
        </w:rPr>
        <w:t xml:space="preserve"> a także prezentacji wzorcowych modeli służących poprawia koordynacji opieki;</w:t>
      </w:r>
    </w:p>
    <w:p w14:paraId="224921CC" w14:textId="77777777" w:rsidR="00C4765A" w:rsidRDefault="00E725A8" w:rsidP="00FE70E3">
      <w:pPr>
        <w:pStyle w:val="Akapitzlist"/>
        <w:numPr>
          <w:ilvl w:val="0"/>
          <w:numId w:val="98"/>
        </w:numPr>
        <w:autoSpaceDE w:val="0"/>
        <w:autoSpaceDN w:val="0"/>
        <w:adjustRightInd w:val="0"/>
        <w:rPr>
          <w:rFonts w:cs="Times New Roman"/>
          <w:szCs w:val="24"/>
        </w:rPr>
      </w:pPr>
      <w:r w:rsidRPr="00C4765A">
        <w:rPr>
          <w:rFonts w:cs="Times New Roman"/>
          <w:szCs w:val="24"/>
        </w:rPr>
        <w:lastRenderedPageBreak/>
        <w:t xml:space="preserve">przekazanie do </w:t>
      </w:r>
      <w:proofErr w:type="spellStart"/>
      <w:r w:rsidRPr="00C4765A">
        <w:rPr>
          <w:rFonts w:cs="Times New Roman"/>
          <w:szCs w:val="24"/>
        </w:rPr>
        <w:t>CKPPiP</w:t>
      </w:r>
      <w:proofErr w:type="spellEnd"/>
      <w:r w:rsidRPr="00C4765A">
        <w:rPr>
          <w:rFonts w:cs="Times New Roman"/>
          <w:szCs w:val="24"/>
        </w:rPr>
        <w:t xml:space="preserve"> i Ministerstwa Zdrowia uwag do treści specjalizacji w dziedzinie pielęgniarstwa geriatrycznego wraz z listą aktualnego piśmiennictwa. Podkreślono potrzebę:</w:t>
      </w:r>
    </w:p>
    <w:p w14:paraId="6C873F50" w14:textId="77777777" w:rsidR="00C4765A" w:rsidRDefault="00E725A8" w:rsidP="00942717">
      <w:pPr>
        <w:pStyle w:val="Akapitzlist"/>
        <w:numPr>
          <w:ilvl w:val="1"/>
          <w:numId w:val="98"/>
        </w:numPr>
        <w:autoSpaceDE w:val="0"/>
        <w:autoSpaceDN w:val="0"/>
        <w:adjustRightInd w:val="0"/>
        <w:rPr>
          <w:rFonts w:cs="Times New Roman"/>
          <w:szCs w:val="24"/>
        </w:rPr>
      </w:pPr>
      <w:r w:rsidRPr="00C4765A">
        <w:rPr>
          <w:rFonts w:cs="Times New Roman"/>
          <w:szCs w:val="24"/>
        </w:rPr>
        <w:t>zmiany treści programowych w zakresie poszerzenia o zagadnienia z zakresu promowania zdrowego starzenia się w aspekcie dokumentów WHO z 2015 r.</w:t>
      </w:r>
      <w:r w:rsidR="00C4765A">
        <w:rPr>
          <w:rFonts w:cs="Times New Roman"/>
          <w:szCs w:val="24"/>
        </w:rPr>
        <w:t xml:space="preserve"> </w:t>
      </w:r>
      <w:r w:rsidRPr="00C4765A">
        <w:rPr>
          <w:rFonts w:cs="Times New Roman"/>
          <w:szCs w:val="24"/>
        </w:rPr>
        <w:t xml:space="preserve">i późniejszych, dotyczących zagadnienia </w:t>
      </w:r>
      <w:proofErr w:type="spellStart"/>
      <w:r w:rsidRPr="00C4765A">
        <w:rPr>
          <w:rFonts w:cs="Times New Roman"/>
          <w:szCs w:val="24"/>
        </w:rPr>
        <w:t>healthy</w:t>
      </w:r>
      <w:proofErr w:type="spellEnd"/>
      <w:r w:rsidRPr="00C4765A">
        <w:rPr>
          <w:rFonts w:cs="Times New Roman"/>
          <w:szCs w:val="24"/>
        </w:rPr>
        <w:t xml:space="preserve"> </w:t>
      </w:r>
      <w:proofErr w:type="spellStart"/>
      <w:r w:rsidRPr="00C4765A">
        <w:rPr>
          <w:rFonts w:cs="Times New Roman"/>
          <w:szCs w:val="24"/>
        </w:rPr>
        <w:t>ageing</w:t>
      </w:r>
      <w:proofErr w:type="spellEnd"/>
      <w:r w:rsidRPr="00C4765A">
        <w:rPr>
          <w:rFonts w:cs="Times New Roman"/>
          <w:szCs w:val="24"/>
        </w:rPr>
        <w:t xml:space="preserve"> oraz modeli całościowej opieki,</w:t>
      </w:r>
      <w:r w:rsidR="00C4765A">
        <w:rPr>
          <w:rFonts w:cs="Times New Roman"/>
          <w:szCs w:val="24"/>
        </w:rPr>
        <w:t xml:space="preserve"> </w:t>
      </w:r>
      <w:r w:rsidRPr="00C4765A">
        <w:rPr>
          <w:rFonts w:cs="Times New Roman"/>
          <w:szCs w:val="24"/>
        </w:rPr>
        <w:t>uzupełnienie aktualnych treści z zakresu geriatrycznej opieki koordynowanej, nowych technologii w komunikowaniu się i monitorowaniu stanu zdrowia osób starszych,</w:t>
      </w:r>
    </w:p>
    <w:p w14:paraId="0693CB8E" w14:textId="2B4761FF" w:rsidR="00E725A8" w:rsidRPr="00C4765A" w:rsidRDefault="00E725A8" w:rsidP="00942717">
      <w:pPr>
        <w:pStyle w:val="Akapitzlist"/>
        <w:numPr>
          <w:ilvl w:val="1"/>
          <w:numId w:val="98"/>
        </w:numPr>
        <w:autoSpaceDE w:val="0"/>
        <w:autoSpaceDN w:val="0"/>
        <w:adjustRightInd w:val="0"/>
        <w:rPr>
          <w:rFonts w:cs="Times New Roman"/>
          <w:szCs w:val="24"/>
        </w:rPr>
      </w:pPr>
      <w:r w:rsidRPr="00C4765A">
        <w:rPr>
          <w:rFonts w:cs="Times New Roman"/>
          <w:szCs w:val="24"/>
        </w:rPr>
        <w:t xml:space="preserve">dodanie aktualnych treści z zakresu problematyki niedożywienia, </w:t>
      </w:r>
      <w:proofErr w:type="spellStart"/>
      <w:r w:rsidRPr="00C4765A">
        <w:rPr>
          <w:rFonts w:cs="Times New Roman"/>
          <w:szCs w:val="24"/>
        </w:rPr>
        <w:t>sarkopenii</w:t>
      </w:r>
      <w:proofErr w:type="spellEnd"/>
      <w:r w:rsidRPr="00C4765A">
        <w:rPr>
          <w:rFonts w:cs="Times New Roman"/>
          <w:szCs w:val="24"/>
        </w:rPr>
        <w:t xml:space="preserve"> (w kontekście nowego konsensusu postępowania diagnostyczno-terapeutycznego z 2018 r.), a także zespołu kruchości (</w:t>
      </w:r>
      <w:proofErr w:type="spellStart"/>
      <w:r w:rsidRPr="00C4765A">
        <w:rPr>
          <w:rFonts w:cs="Times New Roman"/>
          <w:szCs w:val="24"/>
        </w:rPr>
        <w:t>frailty</w:t>
      </w:r>
      <w:proofErr w:type="spellEnd"/>
      <w:r w:rsidRPr="00C4765A">
        <w:rPr>
          <w:rFonts w:cs="Times New Roman"/>
          <w:szCs w:val="24"/>
        </w:rPr>
        <w:t xml:space="preserve"> </w:t>
      </w:r>
      <w:proofErr w:type="spellStart"/>
      <w:r w:rsidRPr="00C4765A">
        <w:rPr>
          <w:rFonts w:cs="Times New Roman"/>
          <w:szCs w:val="24"/>
        </w:rPr>
        <w:t>syndrome</w:t>
      </w:r>
      <w:proofErr w:type="spellEnd"/>
      <w:r w:rsidRPr="00C4765A">
        <w:rPr>
          <w:rFonts w:cs="Times New Roman"/>
          <w:szCs w:val="24"/>
        </w:rPr>
        <w:t>) - na podstawie dorobku europejskiego projektu ADVANTAGE.</w:t>
      </w:r>
    </w:p>
    <w:p w14:paraId="364D4667" w14:textId="77777777" w:rsidR="00C4765A" w:rsidRDefault="00C4765A" w:rsidP="00E725A8">
      <w:pPr>
        <w:autoSpaceDE w:val="0"/>
        <w:autoSpaceDN w:val="0"/>
        <w:adjustRightInd w:val="0"/>
        <w:rPr>
          <w:rFonts w:cs="Times New Roman"/>
          <w:szCs w:val="24"/>
        </w:rPr>
      </w:pPr>
    </w:p>
    <w:p w14:paraId="6EF4C496" w14:textId="1B94CB70" w:rsidR="00E725A8" w:rsidRPr="00E725A8" w:rsidRDefault="00E725A8" w:rsidP="00E725A8">
      <w:pPr>
        <w:autoSpaceDE w:val="0"/>
        <w:autoSpaceDN w:val="0"/>
        <w:adjustRightInd w:val="0"/>
        <w:rPr>
          <w:rFonts w:cs="Times New Roman"/>
          <w:szCs w:val="24"/>
        </w:rPr>
      </w:pPr>
      <w:r w:rsidRPr="00E725A8">
        <w:rPr>
          <w:rFonts w:cs="Times New Roman"/>
          <w:szCs w:val="24"/>
        </w:rPr>
        <w:t>Kierownik i Pielęgniarka Oddziałowa Kliniki Geriatrii pełnią funkcję konsultantów krajowych w swoich dziedzinach i odpowiadają za organizację egzaminów specjalizacyjnych z geriatrii.</w:t>
      </w:r>
    </w:p>
    <w:p w14:paraId="3F26A750" w14:textId="77777777" w:rsidR="00E725A8" w:rsidRPr="00E725A8" w:rsidRDefault="00E725A8" w:rsidP="00E725A8">
      <w:pPr>
        <w:autoSpaceDE w:val="0"/>
        <w:autoSpaceDN w:val="0"/>
        <w:adjustRightInd w:val="0"/>
        <w:rPr>
          <w:rFonts w:cs="Times New Roman"/>
          <w:szCs w:val="24"/>
        </w:rPr>
      </w:pPr>
    </w:p>
    <w:p w14:paraId="48ED9130" w14:textId="77777777" w:rsidR="007E0780" w:rsidRPr="009F3331" w:rsidRDefault="007E0780" w:rsidP="00FE70E3">
      <w:pPr>
        <w:pStyle w:val="Nagwek2"/>
        <w:numPr>
          <w:ilvl w:val="1"/>
          <w:numId w:val="23"/>
        </w:numPr>
        <w:spacing w:before="240" w:after="240"/>
        <w:ind w:left="0" w:hanging="142"/>
        <w:rPr>
          <w:rFonts w:cs="Times New Roman"/>
          <w:sz w:val="40"/>
          <w:szCs w:val="40"/>
          <w:lang w:eastAsia="ar-SA"/>
        </w:rPr>
      </w:pPr>
      <w:bookmarkStart w:id="117" w:name="_Toc80523095"/>
      <w:r w:rsidRPr="009F3331">
        <w:rPr>
          <w:rFonts w:cs="Times New Roman"/>
          <w:sz w:val="40"/>
          <w:szCs w:val="40"/>
          <w:lang w:eastAsia="ar-SA"/>
        </w:rPr>
        <w:t>Narodowy Instytut Wolności – Centrum Rozwoju Społeczeństwa Obywatelskiego</w:t>
      </w:r>
      <w:bookmarkEnd w:id="117"/>
    </w:p>
    <w:p w14:paraId="54ADB356" w14:textId="608A0208" w:rsidR="00C4765A" w:rsidRDefault="009F3331" w:rsidP="007E0780">
      <w:pPr>
        <w:autoSpaceDE w:val="0"/>
        <w:autoSpaceDN w:val="0"/>
        <w:adjustRightInd w:val="0"/>
        <w:rPr>
          <w:rFonts w:cs="Times New Roman"/>
          <w:szCs w:val="24"/>
        </w:rPr>
      </w:pPr>
      <w:r w:rsidRPr="009F3331">
        <w:rPr>
          <w:rFonts w:cs="Times New Roman"/>
          <w:szCs w:val="24"/>
        </w:rPr>
        <w:t xml:space="preserve">Narodowy Instytut Wolności – Centrum Rozwoju Społeczeństwa Obywatelskiego jest rządową agencją wykonawczą </w:t>
      </w:r>
      <w:r>
        <w:rPr>
          <w:rFonts w:cs="Times New Roman"/>
          <w:szCs w:val="24"/>
        </w:rPr>
        <w:t xml:space="preserve">prowadzącą </w:t>
      </w:r>
      <w:r w:rsidR="007E0780" w:rsidRPr="007E0780">
        <w:rPr>
          <w:rFonts w:cs="Times New Roman"/>
          <w:szCs w:val="24"/>
        </w:rPr>
        <w:t>szereg programów dotacyjnych, które wspierają organizacje pozarządowe</w:t>
      </w:r>
      <w:r>
        <w:rPr>
          <w:rFonts w:cs="Times New Roman"/>
          <w:szCs w:val="24"/>
        </w:rPr>
        <w:t>, w tym również</w:t>
      </w:r>
      <w:r w:rsidR="007E0780" w:rsidRPr="007E0780">
        <w:rPr>
          <w:rFonts w:cs="Times New Roman"/>
          <w:szCs w:val="24"/>
        </w:rPr>
        <w:t xml:space="preserve"> w ich działaniach na rzecz seniorów. Głównym programem grantowym, który służył pomocą grantową w przedmiotowym odniesieniu w 2020 r. był Program Fundusz Inicjatyw Obywatelskich na lata 2014-2020. Jest to rządowy Program dotacyjny dla organizacji pozarządowych, w ramach którego realizowane są działania mające na celu zwiększenie zaangażowania obywateli i organizacji pozarządowych w życie publiczne. </w:t>
      </w:r>
    </w:p>
    <w:p w14:paraId="0C6A8685" w14:textId="77777777" w:rsidR="00C4765A" w:rsidRDefault="00C4765A" w:rsidP="007E0780">
      <w:pPr>
        <w:autoSpaceDE w:val="0"/>
        <w:autoSpaceDN w:val="0"/>
        <w:adjustRightInd w:val="0"/>
        <w:rPr>
          <w:rFonts w:cs="Times New Roman"/>
          <w:szCs w:val="24"/>
        </w:rPr>
      </w:pPr>
    </w:p>
    <w:p w14:paraId="5CE7B235" w14:textId="54F72150" w:rsidR="007E0780" w:rsidRDefault="007E0780" w:rsidP="007E0780">
      <w:pPr>
        <w:autoSpaceDE w:val="0"/>
        <w:autoSpaceDN w:val="0"/>
        <w:adjustRightInd w:val="0"/>
        <w:rPr>
          <w:rFonts w:cs="Times New Roman"/>
          <w:szCs w:val="24"/>
        </w:rPr>
      </w:pPr>
      <w:r w:rsidRPr="007E0780">
        <w:rPr>
          <w:rFonts w:cs="Times New Roman"/>
          <w:szCs w:val="24"/>
        </w:rPr>
        <w:t xml:space="preserve">W ramach Programu, corocznie przeprowadzany jest otwarty konkurs ofert zgodnie z przepisami </w:t>
      </w:r>
      <w:r w:rsidR="004D289B">
        <w:rPr>
          <w:rFonts w:cs="Times New Roman"/>
          <w:szCs w:val="24"/>
        </w:rPr>
        <w:t>u</w:t>
      </w:r>
      <w:r w:rsidRPr="007E0780">
        <w:rPr>
          <w:rFonts w:cs="Times New Roman"/>
          <w:szCs w:val="24"/>
        </w:rPr>
        <w:t>stawy z dnia 24 kwietnia 2003 r. o działalności pożytku publicznego i o wolontariacie (Dz. U. z 20</w:t>
      </w:r>
      <w:r w:rsidR="004D289B">
        <w:rPr>
          <w:rFonts w:cs="Times New Roman"/>
          <w:szCs w:val="24"/>
        </w:rPr>
        <w:t>20</w:t>
      </w:r>
      <w:r w:rsidRPr="007E0780">
        <w:rPr>
          <w:rFonts w:cs="Times New Roman"/>
          <w:szCs w:val="24"/>
        </w:rPr>
        <w:t xml:space="preserve"> r., poz. </w:t>
      </w:r>
      <w:r w:rsidR="004D289B">
        <w:rPr>
          <w:rFonts w:cs="Times New Roman"/>
          <w:szCs w:val="24"/>
        </w:rPr>
        <w:t>1057,</w:t>
      </w:r>
      <w:r w:rsidRPr="007E0780">
        <w:rPr>
          <w:rFonts w:cs="Times New Roman"/>
          <w:szCs w:val="24"/>
        </w:rPr>
        <w:t xml:space="preserve"> z </w:t>
      </w:r>
      <w:proofErr w:type="spellStart"/>
      <w:r w:rsidRPr="007E0780">
        <w:rPr>
          <w:rFonts w:cs="Times New Roman"/>
          <w:szCs w:val="24"/>
        </w:rPr>
        <w:t>późn</w:t>
      </w:r>
      <w:proofErr w:type="spellEnd"/>
      <w:r w:rsidRPr="007E0780">
        <w:rPr>
          <w:rFonts w:cs="Times New Roman"/>
          <w:szCs w:val="24"/>
        </w:rPr>
        <w:t xml:space="preserve">. zm.) oraz </w:t>
      </w:r>
      <w:r w:rsidR="004D289B">
        <w:rPr>
          <w:rFonts w:cs="Times New Roman"/>
          <w:szCs w:val="24"/>
        </w:rPr>
        <w:t>u</w:t>
      </w:r>
      <w:r w:rsidRPr="007E0780">
        <w:rPr>
          <w:rFonts w:cs="Times New Roman"/>
          <w:szCs w:val="24"/>
        </w:rPr>
        <w:t>stawy z dnia 15 września 2017 r</w:t>
      </w:r>
      <w:r w:rsidR="004D289B">
        <w:rPr>
          <w:rFonts w:cs="Times New Roman"/>
          <w:szCs w:val="24"/>
        </w:rPr>
        <w:t>.</w:t>
      </w:r>
      <w:r w:rsidRPr="007E0780">
        <w:rPr>
          <w:rFonts w:cs="Times New Roman"/>
          <w:szCs w:val="24"/>
        </w:rPr>
        <w:t xml:space="preserve"> o Narodowym Instytucie Wolności - Centrum Rozwoju Społeczeństwa Obywatelskiego (Dz. U. z 20</w:t>
      </w:r>
      <w:r w:rsidR="004D289B">
        <w:rPr>
          <w:rFonts w:cs="Times New Roman"/>
          <w:szCs w:val="24"/>
        </w:rPr>
        <w:t>21</w:t>
      </w:r>
      <w:r w:rsidRPr="007E0780">
        <w:rPr>
          <w:rFonts w:cs="Times New Roman"/>
          <w:szCs w:val="24"/>
        </w:rPr>
        <w:t xml:space="preserve"> r. poz. 1</w:t>
      </w:r>
      <w:r w:rsidR="004D289B">
        <w:rPr>
          <w:rFonts w:cs="Times New Roman"/>
          <w:szCs w:val="24"/>
        </w:rPr>
        <w:t>284</w:t>
      </w:r>
      <w:r w:rsidRPr="007E0780">
        <w:rPr>
          <w:rFonts w:cs="Times New Roman"/>
          <w:szCs w:val="24"/>
        </w:rPr>
        <w:t>).</w:t>
      </w:r>
    </w:p>
    <w:p w14:paraId="2C910F84" w14:textId="157B735A" w:rsidR="00C4765A" w:rsidRDefault="00C4765A" w:rsidP="007E0780">
      <w:pPr>
        <w:autoSpaceDE w:val="0"/>
        <w:autoSpaceDN w:val="0"/>
        <w:adjustRightInd w:val="0"/>
        <w:rPr>
          <w:rFonts w:cs="Times New Roman"/>
          <w:szCs w:val="24"/>
        </w:rPr>
      </w:pPr>
    </w:p>
    <w:p w14:paraId="3A079B29" w14:textId="0664F137" w:rsidR="00C4765A" w:rsidRPr="00C4765A" w:rsidRDefault="00C4765A" w:rsidP="007E0780">
      <w:pPr>
        <w:autoSpaceDE w:val="0"/>
        <w:autoSpaceDN w:val="0"/>
        <w:adjustRightInd w:val="0"/>
        <w:rPr>
          <w:rFonts w:cs="Times New Roman"/>
          <w:b/>
          <w:bCs/>
          <w:szCs w:val="24"/>
        </w:rPr>
      </w:pPr>
      <w:r w:rsidRPr="00C4765A">
        <w:rPr>
          <w:rFonts w:cs="Times New Roman"/>
          <w:b/>
          <w:bCs/>
          <w:szCs w:val="24"/>
        </w:rPr>
        <w:t>Fundusz Inicjatyw Obywatelskich</w:t>
      </w:r>
    </w:p>
    <w:p w14:paraId="3FAC77F1" w14:textId="6FAB8D9B" w:rsidR="007E0780" w:rsidRPr="007E0780" w:rsidRDefault="007E0780" w:rsidP="007E0780">
      <w:pPr>
        <w:autoSpaceDE w:val="0"/>
        <w:autoSpaceDN w:val="0"/>
        <w:adjustRightInd w:val="0"/>
        <w:rPr>
          <w:rFonts w:cs="Times New Roman"/>
          <w:szCs w:val="24"/>
        </w:rPr>
      </w:pPr>
      <w:r w:rsidRPr="007E0780">
        <w:rPr>
          <w:rFonts w:cs="Times New Roman"/>
          <w:szCs w:val="24"/>
        </w:rPr>
        <w:t>Wsparcie zadań dotyczących seniorów we wspomnianej edycji Programu Fundusz Inicjatyw Obywatelskich udzielanie było głównie w ramach następujących sfer pożytku publicznego:</w:t>
      </w:r>
    </w:p>
    <w:p w14:paraId="5682267A" w14:textId="23646859" w:rsidR="007E0780" w:rsidRPr="007E0780" w:rsidRDefault="007E0780" w:rsidP="007E0780">
      <w:pPr>
        <w:autoSpaceDE w:val="0"/>
        <w:autoSpaceDN w:val="0"/>
        <w:adjustRightInd w:val="0"/>
        <w:rPr>
          <w:rFonts w:cs="Times New Roman"/>
          <w:szCs w:val="24"/>
        </w:rPr>
      </w:pPr>
      <w:r w:rsidRPr="007E0780">
        <w:rPr>
          <w:rFonts w:cs="Times New Roman"/>
          <w:szCs w:val="24"/>
        </w:rPr>
        <w:t>1) pomocy społecznej, w tym pomocy rodzinom i osobom w trudnej sytuacji życiowej oraz wyrównywania szans tych rodzin i osób;</w:t>
      </w:r>
    </w:p>
    <w:p w14:paraId="5A0AEC90" w14:textId="27C5DA33" w:rsidR="007E0780" w:rsidRPr="007E0780" w:rsidRDefault="00552A29" w:rsidP="007E0780">
      <w:pPr>
        <w:autoSpaceDE w:val="0"/>
        <w:autoSpaceDN w:val="0"/>
        <w:adjustRightInd w:val="0"/>
        <w:rPr>
          <w:rFonts w:cs="Times New Roman"/>
          <w:szCs w:val="24"/>
        </w:rPr>
      </w:pPr>
      <w:r>
        <w:rPr>
          <w:rFonts w:cs="Times New Roman"/>
          <w:szCs w:val="24"/>
        </w:rPr>
        <w:t>2</w:t>
      </w:r>
      <w:r w:rsidR="007E0780" w:rsidRPr="007E0780">
        <w:rPr>
          <w:rFonts w:cs="Times New Roman"/>
          <w:szCs w:val="24"/>
        </w:rPr>
        <w:t>) działalności na rzecz osób w wieku emerytalnym;</w:t>
      </w:r>
    </w:p>
    <w:p w14:paraId="70222CC5" w14:textId="6C508BB9" w:rsidR="007E0780" w:rsidRPr="007E0780" w:rsidRDefault="007E0780" w:rsidP="007E0780">
      <w:pPr>
        <w:autoSpaceDE w:val="0"/>
        <w:autoSpaceDN w:val="0"/>
        <w:adjustRightInd w:val="0"/>
        <w:rPr>
          <w:rFonts w:cs="Times New Roman"/>
          <w:szCs w:val="24"/>
        </w:rPr>
      </w:pPr>
      <w:r w:rsidRPr="007E0780">
        <w:rPr>
          <w:rFonts w:cs="Times New Roman"/>
          <w:szCs w:val="24"/>
        </w:rPr>
        <w:lastRenderedPageBreak/>
        <w:t>3) działalności wspomagającej rozwój wspólnot i społeczności lokalnych;</w:t>
      </w:r>
    </w:p>
    <w:p w14:paraId="6A1C8750" w14:textId="5E03EDAE" w:rsidR="007E0780" w:rsidRDefault="007E0780" w:rsidP="007E0780">
      <w:pPr>
        <w:autoSpaceDE w:val="0"/>
        <w:autoSpaceDN w:val="0"/>
        <w:adjustRightInd w:val="0"/>
        <w:rPr>
          <w:rFonts w:cs="Times New Roman"/>
          <w:szCs w:val="24"/>
        </w:rPr>
      </w:pPr>
      <w:r w:rsidRPr="007E0780">
        <w:rPr>
          <w:rFonts w:cs="Times New Roman"/>
          <w:szCs w:val="24"/>
        </w:rPr>
        <w:t>Łącznie w FIO edycja 2020 dofinansowano 14 zadań publicznych realizowanych przez organizacje pozarządowe oraz podmioty wymienione w art. 3 ust. 3 ustawy z dnia 24.04.2003 r. o działalności pożytku publicznego i wolontariacie na ogólną kwotę 1 387 524, 6 zł.</w:t>
      </w:r>
    </w:p>
    <w:p w14:paraId="57C213C3" w14:textId="77777777" w:rsidR="00C4765A" w:rsidRPr="007E0780" w:rsidRDefault="00C4765A" w:rsidP="007E0780">
      <w:pPr>
        <w:autoSpaceDE w:val="0"/>
        <w:autoSpaceDN w:val="0"/>
        <w:adjustRightInd w:val="0"/>
        <w:rPr>
          <w:rFonts w:cs="Times New Roman"/>
          <w:szCs w:val="24"/>
        </w:rPr>
      </w:pPr>
    </w:p>
    <w:p w14:paraId="3D5D5D54" w14:textId="0ADA0F42" w:rsidR="007E0780" w:rsidRPr="007E0780" w:rsidRDefault="007E0780" w:rsidP="007E0780">
      <w:pPr>
        <w:autoSpaceDE w:val="0"/>
        <w:autoSpaceDN w:val="0"/>
        <w:adjustRightInd w:val="0"/>
        <w:rPr>
          <w:rFonts w:cs="Times New Roman"/>
          <w:szCs w:val="24"/>
        </w:rPr>
      </w:pPr>
      <w:r w:rsidRPr="007E0780">
        <w:rPr>
          <w:rFonts w:cs="Times New Roman"/>
          <w:szCs w:val="24"/>
        </w:rPr>
        <w:t>Przykładem projektu zrealizowanego w ramach FIO jest:</w:t>
      </w:r>
      <w:r w:rsidR="00A07764">
        <w:rPr>
          <w:rFonts w:cs="Times New Roman"/>
          <w:szCs w:val="24"/>
        </w:rPr>
        <w:t xml:space="preserve"> </w:t>
      </w:r>
      <w:r w:rsidRPr="007E0780">
        <w:rPr>
          <w:rFonts w:cs="Times New Roman"/>
          <w:szCs w:val="24"/>
        </w:rPr>
        <w:t xml:space="preserve">Międzypokoleniowe </w:t>
      </w:r>
      <w:proofErr w:type="spellStart"/>
      <w:r w:rsidRPr="007E0780">
        <w:rPr>
          <w:rFonts w:cs="Times New Roman"/>
          <w:szCs w:val="24"/>
        </w:rPr>
        <w:t>MotywAkcje</w:t>
      </w:r>
      <w:proofErr w:type="spellEnd"/>
      <w:r w:rsidRPr="007E0780">
        <w:rPr>
          <w:rFonts w:cs="Times New Roman"/>
          <w:szCs w:val="24"/>
        </w:rPr>
        <w:t xml:space="preserve"> - organizator: Stowarzyszenie </w:t>
      </w:r>
      <w:proofErr w:type="spellStart"/>
      <w:r w:rsidRPr="007E0780">
        <w:rPr>
          <w:rFonts w:cs="Times New Roman"/>
          <w:szCs w:val="24"/>
        </w:rPr>
        <w:t>MOCnaMOC</w:t>
      </w:r>
      <w:proofErr w:type="spellEnd"/>
      <w:r w:rsidRPr="007E0780">
        <w:rPr>
          <w:rFonts w:cs="Times New Roman"/>
          <w:szCs w:val="24"/>
        </w:rPr>
        <w:t>.</w:t>
      </w:r>
    </w:p>
    <w:p w14:paraId="41D24558" w14:textId="54893CED" w:rsidR="007E0780" w:rsidRDefault="007E0780" w:rsidP="007E0780">
      <w:pPr>
        <w:autoSpaceDE w:val="0"/>
        <w:autoSpaceDN w:val="0"/>
        <w:adjustRightInd w:val="0"/>
        <w:rPr>
          <w:rFonts w:cs="Times New Roman"/>
          <w:szCs w:val="24"/>
        </w:rPr>
      </w:pPr>
      <w:r w:rsidRPr="007E0780">
        <w:rPr>
          <w:rFonts w:cs="Times New Roman"/>
          <w:szCs w:val="24"/>
        </w:rPr>
        <w:t xml:space="preserve">Projekt zakładał działania wewnątrzpokoleniowe, w ramach których utworzone zostały we- </w:t>
      </w:r>
      <w:proofErr w:type="spellStart"/>
      <w:r w:rsidRPr="007E0780">
        <w:rPr>
          <w:rFonts w:cs="Times New Roman"/>
          <w:szCs w:val="24"/>
        </w:rPr>
        <w:t>wnątrzpokoleniowe</w:t>
      </w:r>
      <w:proofErr w:type="spellEnd"/>
      <w:r w:rsidRPr="007E0780">
        <w:rPr>
          <w:rFonts w:cs="Times New Roman"/>
          <w:szCs w:val="24"/>
        </w:rPr>
        <w:t xml:space="preserve"> sieci współpracy (senioralna i młodzieżowa sieć współpracy) służące wymianie doświadczeń i pomysłów w tym obszarze. Działania prowadziły do nawiązania i rozwijania współpracy seniorów i młodzieży w dzięki uczestnictwie m.in w: spotkaniu zapoznawczym (w ramach obchodów europejskiego dnia solidarności międzypokoleniowej); warsztatach men</w:t>
      </w:r>
      <w:r w:rsidR="00C4765A">
        <w:rPr>
          <w:rFonts w:cs="Times New Roman"/>
          <w:szCs w:val="24"/>
        </w:rPr>
        <w:t>t</w:t>
      </w:r>
      <w:r w:rsidRPr="007E0780">
        <w:rPr>
          <w:rFonts w:cs="Times New Roman"/>
          <w:szCs w:val="24"/>
        </w:rPr>
        <w:t xml:space="preserve">oringu międzypokoleniowego (rozwijających pozytywną komunikację, samowiedzę na temat potencjału grup i koncepty wspólnych działań); konkursie na międzypokoleniowe </w:t>
      </w:r>
      <w:r w:rsidR="00C4765A" w:rsidRPr="007E0780">
        <w:rPr>
          <w:rFonts w:cs="Times New Roman"/>
          <w:szCs w:val="24"/>
        </w:rPr>
        <w:t>motywacje</w:t>
      </w:r>
      <w:r w:rsidRPr="007E0780">
        <w:rPr>
          <w:rFonts w:cs="Times New Roman"/>
          <w:szCs w:val="24"/>
        </w:rPr>
        <w:t xml:space="preserve"> (akcje motywujące lokalną społeczność do podejmowania działań łączących pokolenia); szkole projektowania (wsparcie mentorskie podczas pracy nad opracowaniem, realizacją i rozliczeniem projektu).</w:t>
      </w:r>
    </w:p>
    <w:p w14:paraId="14AB9813" w14:textId="77777777" w:rsidR="00C4765A" w:rsidRPr="007E0780" w:rsidRDefault="00C4765A" w:rsidP="007E0780">
      <w:pPr>
        <w:autoSpaceDE w:val="0"/>
        <w:autoSpaceDN w:val="0"/>
        <w:adjustRightInd w:val="0"/>
        <w:rPr>
          <w:rFonts w:cs="Times New Roman"/>
          <w:szCs w:val="24"/>
        </w:rPr>
      </w:pPr>
    </w:p>
    <w:p w14:paraId="3ABB150A" w14:textId="7F5BE81C" w:rsidR="007E0780" w:rsidRPr="007E0780" w:rsidRDefault="007E0780" w:rsidP="007E0780">
      <w:pPr>
        <w:autoSpaceDE w:val="0"/>
        <w:autoSpaceDN w:val="0"/>
        <w:adjustRightInd w:val="0"/>
        <w:rPr>
          <w:rFonts w:cs="Times New Roman"/>
          <w:szCs w:val="24"/>
        </w:rPr>
      </w:pPr>
      <w:r w:rsidRPr="007E0780">
        <w:rPr>
          <w:rFonts w:cs="Times New Roman"/>
          <w:szCs w:val="24"/>
        </w:rPr>
        <w:t xml:space="preserve">Najważniejszą zmianą jest powstanie Międzypokoleniowej Sieci Współpracy oraz przekazanie wiedzy, uwrażliwienie na problematykę międzypokoleniowości oraz zaktywizowanie do </w:t>
      </w:r>
      <w:r w:rsidR="00C4765A">
        <w:rPr>
          <w:rFonts w:cs="Times New Roman"/>
          <w:szCs w:val="24"/>
        </w:rPr>
        <w:t xml:space="preserve">działania </w:t>
      </w:r>
      <w:r w:rsidRPr="007E0780">
        <w:rPr>
          <w:rFonts w:cs="Times New Roman"/>
          <w:szCs w:val="24"/>
        </w:rPr>
        <w:t>osób, które mają wpływ na kształt polityki senioralnej i młodzieżowej w mieście.</w:t>
      </w:r>
    </w:p>
    <w:p w14:paraId="3622F2D4" w14:textId="15F5D6F7" w:rsidR="007E0780" w:rsidRDefault="007E0780" w:rsidP="007E0780">
      <w:pPr>
        <w:autoSpaceDE w:val="0"/>
        <w:autoSpaceDN w:val="0"/>
        <w:adjustRightInd w:val="0"/>
        <w:rPr>
          <w:rFonts w:cs="Times New Roman"/>
          <w:szCs w:val="24"/>
        </w:rPr>
      </w:pPr>
      <w:r w:rsidRPr="007E0780">
        <w:rPr>
          <w:rFonts w:cs="Times New Roman"/>
          <w:szCs w:val="24"/>
        </w:rPr>
        <w:t>Kwota dofinansowania w 2020 r: 120 000 zł</w:t>
      </w:r>
    </w:p>
    <w:p w14:paraId="13446ED7" w14:textId="03E473EF" w:rsidR="00C4765A" w:rsidRDefault="00C4765A" w:rsidP="007E0780">
      <w:pPr>
        <w:autoSpaceDE w:val="0"/>
        <w:autoSpaceDN w:val="0"/>
        <w:adjustRightInd w:val="0"/>
        <w:rPr>
          <w:rFonts w:cs="Times New Roman"/>
          <w:szCs w:val="24"/>
        </w:rPr>
      </w:pPr>
    </w:p>
    <w:p w14:paraId="6E4051BE" w14:textId="6DD9AB4F" w:rsidR="00C4765A" w:rsidRPr="00C4765A" w:rsidRDefault="00C4765A" w:rsidP="007E0780">
      <w:pPr>
        <w:autoSpaceDE w:val="0"/>
        <w:autoSpaceDN w:val="0"/>
        <w:adjustRightInd w:val="0"/>
        <w:rPr>
          <w:rFonts w:cs="Times New Roman"/>
          <w:b/>
          <w:bCs/>
          <w:szCs w:val="24"/>
        </w:rPr>
      </w:pPr>
      <w:r>
        <w:rPr>
          <w:rFonts w:cs="Times New Roman"/>
          <w:b/>
          <w:bCs/>
          <w:szCs w:val="24"/>
        </w:rPr>
        <w:t>Program Rozwoju Organizacji Obywatelskich</w:t>
      </w:r>
    </w:p>
    <w:p w14:paraId="3149229A" w14:textId="77777777" w:rsidR="00C4765A" w:rsidRDefault="007E0780" w:rsidP="007E0780">
      <w:pPr>
        <w:autoSpaceDE w:val="0"/>
        <w:autoSpaceDN w:val="0"/>
        <w:adjustRightInd w:val="0"/>
        <w:rPr>
          <w:rFonts w:cs="Times New Roman"/>
          <w:szCs w:val="24"/>
        </w:rPr>
      </w:pPr>
      <w:r w:rsidRPr="007E0780">
        <w:rPr>
          <w:rFonts w:cs="Times New Roman"/>
          <w:szCs w:val="24"/>
        </w:rPr>
        <w:t xml:space="preserve">Programem wspierającym organizacje realizujące projekty senioralne jest Program Rozwoju Organizacji Obywatelskich na lata 2018-2030. Jest on adresowany do organizacji pozarządowych, którego głównym celem jest wsparcie rozwoju instytucjonalnego organizacji społeczeństwa obywatelskiego oraz zwiększenie udziału tych organizacji w życiu publicznym i upowszechnianiu demokratycznych norm obywatelskości. </w:t>
      </w:r>
    </w:p>
    <w:p w14:paraId="591A10A4" w14:textId="77777777" w:rsidR="00C4765A" w:rsidRDefault="00C4765A" w:rsidP="007E0780">
      <w:pPr>
        <w:autoSpaceDE w:val="0"/>
        <w:autoSpaceDN w:val="0"/>
        <w:adjustRightInd w:val="0"/>
        <w:rPr>
          <w:rFonts w:cs="Times New Roman"/>
          <w:szCs w:val="24"/>
        </w:rPr>
      </w:pPr>
    </w:p>
    <w:p w14:paraId="2B68E9AE" w14:textId="77777777" w:rsidR="00C4765A" w:rsidRDefault="007E0780" w:rsidP="007E0780">
      <w:pPr>
        <w:autoSpaceDE w:val="0"/>
        <w:autoSpaceDN w:val="0"/>
        <w:adjustRightInd w:val="0"/>
        <w:rPr>
          <w:rFonts w:cs="Times New Roman"/>
          <w:szCs w:val="24"/>
        </w:rPr>
      </w:pPr>
      <w:r w:rsidRPr="007E0780">
        <w:rPr>
          <w:rFonts w:cs="Times New Roman"/>
          <w:szCs w:val="24"/>
        </w:rPr>
        <w:t xml:space="preserve">Program składa się z 5 Priorytetów (Priorytet 1 Zrównoważony rozwój organizacyjny dzieli się na Priorytet la Wsparcie działań misyjnych i rozwoju instytucjonalnego oraz lb Dotacje na wkład własny, Priorytet 2 Kapitały Żelazne dzieli się na Priorytet 2a Dotacje operacyjne na wsparcie budowania </w:t>
      </w:r>
      <w:r w:rsidR="00C4765A" w:rsidRPr="007E0780">
        <w:rPr>
          <w:rFonts w:cs="Times New Roman"/>
          <w:szCs w:val="24"/>
        </w:rPr>
        <w:t>początkowych</w:t>
      </w:r>
      <w:r w:rsidRPr="007E0780">
        <w:rPr>
          <w:rFonts w:cs="Times New Roman"/>
          <w:szCs w:val="24"/>
        </w:rPr>
        <w:t xml:space="preserve"> kapitałów żelaznych Priorytet 2b Dofinansowanie początkowych kapitałów żelaznych i Priorytet 2c Dofinansowanie rozbudowy kapitałów żelaznych, Priorytet 3 Rozwój Instytucjonalny lokalnych organizacji strażniczych i mediów obywatelskich, Priorytet 4 Rozwój Instytucjonalny </w:t>
      </w:r>
      <w:proofErr w:type="spellStart"/>
      <w:r w:rsidRPr="007E0780">
        <w:rPr>
          <w:rFonts w:cs="Times New Roman"/>
          <w:szCs w:val="24"/>
        </w:rPr>
        <w:t>Think</w:t>
      </w:r>
      <w:proofErr w:type="spellEnd"/>
      <w:r w:rsidRPr="007E0780">
        <w:rPr>
          <w:rFonts w:cs="Times New Roman"/>
          <w:szCs w:val="24"/>
        </w:rPr>
        <w:t xml:space="preserve"> </w:t>
      </w:r>
      <w:proofErr w:type="spellStart"/>
      <w:r w:rsidRPr="007E0780">
        <w:rPr>
          <w:rFonts w:cs="Times New Roman"/>
          <w:szCs w:val="24"/>
        </w:rPr>
        <w:t>Thanków</w:t>
      </w:r>
      <w:proofErr w:type="spellEnd"/>
      <w:r w:rsidRPr="007E0780">
        <w:rPr>
          <w:rFonts w:cs="Times New Roman"/>
          <w:szCs w:val="24"/>
        </w:rPr>
        <w:t xml:space="preserve"> Obywatelskich, Priorytet 5 Wsparcie doraźne). Istotnym założeniem Programu jest wsparcie budowy silnego, sprawnego sektora obywatelskiego, który, zachowując swoją różnorodność i niezależność, będzie równocześnie realnym, równoprawnym partnerem w życiu publicznym i społecznym dla znacznie silniejszych instytucji władzy politycznej, ekonomicznej, medialnej czy samorządowej. </w:t>
      </w:r>
    </w:p>
    <w:p w14:paraId="1CEAAF3F" w14:textId="77777777" w:rsidR="00C4765A" w:rsidRDefault="00C4765A" w:rsidP="007E0780">
      <w:pPr>
        <w:autoSpaceDE w:val="0"/>
        <w:autoSpaceDN w:val="0"/>
        <w:adjustRightInd w:val="0"/>
        <w:rPr>
          <w:rFonts w:cs="Times New Roman"/>
          <w:szCs w:val="24"/>
        </w:rPr>
      </w:pPr>
    </w:p>
    <w:p w14:paraId="75CA92D1" w14:textId="72D97F04" w:rsidR="007E0780" w:rsidRPr="007E0780" w:rsidRDefault="007E0780" w:rsidP="007E0780">
      <w:pPr>
        <w:autoSpaceDE w:val="0"/>
        <w:autoSpaceDN w:val="0"/>
        <w:adjustRightInd w:val="0"/>
        <w:rPr>
          <w:rFonts w:cs="Times New Roman"/>
          <w:szCs w:val="24"/>
        </w:rPr>
      </w:pPr>
      <w:r w:rsidRPr="007E0780">
        <w:rPr>
          <w:rFonts w:cs="Times New Roman"/>
          <w:szCs w:val="24"/>
        </w:rPr>
        <w:t>Program realizuje następujące cele szczegółowe:</w:t>
      </w:r>
    </w:p>
    <w:p w14:paraId="11340A44" w14:textId="77777777" w:rsidR="00C4765A" w:rsidRDefault="007E0780" w:rsidP="00FE70E3">
      <w:pPr>
        <w:pStyle w:val="Akapitzlist"/>
        <w:numPr>
          <w:ilvl w:val="0"/>
          <w:numId w:val="99"/>
        </w:numPr>
        <w:autoSpaceDE w:val="0"/>
        <w:autoSpaceDN w:val="0"/>
        <w:adjustRightInd w:val="0"/>
        <w:rPr>
          <w:rFonts w:cs="Times New Roman"/>
          <w:szCs w:val="24"/>
        </w:rPr>
      </w:pPr>
      <w:r w:rsidRPr="00C4765A">
        <w:rPr>
          <w:rFonts w:cs="Times New Roman"/>
          <w:szCs w:val="24"/>
        </w:rPr>
        <w:t>Wzrost zaangażowania obywateli i organizacji obywatelskich w życie publiczne</w:t>
      </w:r>
    </w:p>
    <w:p w14:paraId="127FC966" w14:textId="77777777" w:rsidR="00C4765A" w:rsidRDefault="007E0780" w:rsidP="00FE70E3">
      <w:pPr>
        <w:pStyle w:val="Akapitzlist"/>
        <w:numPr>
          <w:ilvl w:val="0"/>
          <w:numId w:val="99"/>
        </w:numPr>
        <w:autoSpaceDE w:val="0"/>
        <w:autoSpaceDN w:val="0"/>
        <w:adjustRightInd w:val="0"/>
        <w:rPr>
          <w:rFonts w:cs="Times New Roman"/>
          <w:szCs w:val="24"/>
        </w:rPr>
      </w:pPr>
      <w:r w:rsidRPr="00C4765A">
        <w:rPr>
          <w:rFonts w:cs="Times New Roman"/>
          <w:szCs w:val="24"/>
        </w:rPr>
        <w:t>Wzmocnienie organizacji obywatelskich w wymiarze strategicznym</w:t>
      </w:r>
    </w:p>
    <w:p w14:paraId="25368ACB" w14:textId="00B09CE6" w:rsidR="007E0780" w:rsidRPr="00C4765A" w:rsidRDefault="007E0780" w:rsidP="00FE70E3">
      <w:pPr>
        <w:pStyle w:val="Akapitzlist"/>
        <w:numPr>
          <w:ilvl w:val="0"/>
          <w:numId w:val="99"/>
        </w:numPr>
        <w:autoSpaceDE w:val="0"/>
        <w:autoSpaceDN w:val="0"/>
        <w:adjustRightInd w:val="0"/>
        <w:rPr>
          <w:rFonts w:cs="Times New Roman"/>
          <w:szCs w:val="24"/>
        </w:rPr>
      </w:pPr>
      <w:r w:rsidRPr="00C4765A">
        <w:rPr>
          <w:rFonts w:cs="Times New Roman"/>
          <w:szCs w:val="24"/>
        </w:rPr>
        <w:t>Poprawa stabilności finansowej organizacji obywatelskich.</w:t>
      </w:r>
    </w:p>
    <w:p w14:paraId="70E08980" w14:textId="77777777" w:rsidR="00340F91" w:rsidRDefault="00340F91" w:rsidP="007E0780">
      <w:pPr>
        <w:autoSpaceDE w:val="0"/>
        <w:autoSpaceDN w:val="0"/>
        <w:adjustRightInd w:val="0"/>
        <w:rPr>
          <w:rFonts w:cs="Times New Roman"/>
          <w:szCs w:val="24"/>
        </w:rPr>
      </w:pPr>
    </w:p>
    <w:p w14:paraId="38775454" w14:textId="7F9777EC" w:rsidR="007E0780" w:rsidRDefault="007E0780" w:rsidP="007E0780">
      <w:pPr>
        <w:autoSpaceDE w:val="0"/>
        <w:autoSpaceDN w:val="0"/>
        <w:adjustRightInd w:val="0"/>
        <w:rPr>
          <w:rFonts w:cs="Times New Roman"/>
          <w:szCs w:val="24"/>
        </w:rPr>
      </w:pPr>
      <w:r w:rsidRPr="007E0780">
        <w:rPr>
          <w:rFonts w:cs="Times New Roman"/>
          <w:szCs w:val="24"/>
        </w:rPr>
        <w:t>W ramach Priorytetu 1A PROO - Wsparcie działań misyjnych i rozwoju instytucjonalnego, dofinansowano 7 zadań zrealizowanych przez podmioty działające w obszarze pracy z seniorami, na łączną kwotę: 1 345 653,11 zł</w:t>
      </w:r>
      <w:r w:rsidR="00D91F7F">
        <w:rPr>
          <w:rFonts w:cs="Times New Roman"/>
          <w:szCs w:val="24"/>
        </w:rPr>
        <w:t>.</w:t>
      </w:r>
    </w:p>
    <w:p w14:paraId="5F7B4C86" w14:textId="77777777" w:rsidR="00340F91" w:rsidRPr="007E0780" w:rsidRDefault="00340F91" w:rsidP="007E0780">
      <w:pPr>
        <w:autoSpaceDE w:val="0"/>
        <w:autoSpaceDN w:val="0"/>
        <w:adjustRightInd w:val="0"/>
        <w:rPr>
          <w:rFonts w:cs="Times New Roman"/>
          <w:szCs w:val="24"/>
        </w:rPr>
      </w:pPr>
    </w:p>
    <w:p w14:paraId="54EAF866" w14:textId="6EDE0D8E" w:rsidR="007E0780" w:rsidRDefault="007E0780" w:rsidP="007E0780">
      <w:pPr>
        <w:autoSpaceDE w:val="0"/>
        <w:autoSpaceDN w:val="0"/>
        <w:adjustRightInd w:val="0"/>
        <w:rPr>
          <w:rFonts w:cs="Times New Roman"/>
          <w:szCs w:val="24"/>
        </w:rPr>
      </w:pPr>
      <w:r w:rsidRPr="007E0780">
        <w:rPr>
          <w:rFonts w:cs="Times New Roman"/>
          <w:szCs w:val="24"/>
        </w:rPr>
        <w:t>W ramach Priorytetu 5 PROO - Wsparcie doraźne dofinansowano 22 zadania zrealizowane przez zrealizowanych przez podmioty działające w obszarze pracy z seniorami na ogólną kwotę: 174 112,89 zł. Szczegółowa część sprawozdania została zamieszczona, zgodnie ze wskazaniem, w załączniku.</w:t>
      </w:r>
    </w:p>
    <w:p w14:paraId="57BAE60A" w14:textId="04513FEC" w:rsidR="00C4765A" w:rsidRDefault="00C4765A" w:rsidP="007E0780">
      <w:pPr>
        <w:autoSpaceDE w:val="0"/>
        <w:autoSpaceDN w:val="0"/>
        <w:adjustRightInd w:val="0"/>
        <w:rPr>
          <w:rFonts w:cs="Times New Roman"/>
          <w:szCs w:val="24"/>
        </w:rPr>
      </w:pPr>
    </w:p>
    <w:p w14:paraId="3C0DF675" w14:textId="7EB4C968" w:rsidR="00C4765A" w:rsidRPr="00C4765A" w:rsidRDefault="00C4765A" w:rsidP="007E0780">
      <w:pPr>
        <w:autoSpaceDE w:val="0"/>
        <w:autoSpaceDN w:val="0"/>
        <w:adjustRightInd w:val="0"/>
        <w:rPr>
          <w:rFonts w:cs="Times New Roman"/>
          <w:b/>
          <w:bCs/>
          <w:szCs w:val="24"/>
        </w:rPr>
      </w:pPr>
      <w:r w:rsidRPr="00C4765A">
        <w:rPr>
          <w:rFonts w:cs="Times New Roman"/>
          <w:b/>
          <w:bCs/>
          <w:szCs w:val="24"/>
        </w:rPr>
        <w:t>Program Wsparcia Doraźnego Organizacji Pozarządowych w zakresie przeciwdziałania skutkom COVID-19</w:t>
      </w:r>
    </w:p>
    <w:p w14:paraId="5274ED6B" w14:textId="5E936335" w:rsidR="007E0780" w:rsidRPr="007E0780" w:rsidRDefault="007E0780" w:rsidP="007E0780">
      <w:pPr>
        <w:autoSpaceDE w:val="0"/>
        <w:autoSpaceDN w:val="0"/>
        <w:adjustRightInd w:val="0"/>
        <w:rPr>
          <w:rFonts w:cs="Times New Roman"/>
          <w:szCs w:val="24"/>
        </w:rPr>
      </w:pPr>
      <w:r w:rsidRPr="007E0780">
        <w:rPr>
          <w:rFonts w:cs="Times New Roman"/>
          <w:szCs w:val="24"/>
        </w:rPr>
        <w:t xml:space="preserve">W zakresie Realizacji pozostałych działań na rzecz osób starszych, w tym w szczególności inicjatyw związanych z ochroną seniorów przed negatywnymi skutkami pandemii C0VID-19 informuję, że Narodowy Instytut Wolności- Centrum Rozwoju Społeczeństwa Obywatelskiego wdrożyło Program Wsparcia Doraźnego Organizacji Pozarządowych w zakresie przeciwdziałania skutkom COVID-19. Była to rządowa pomoc dla organizacji obywatelskich, którego celem jest wsparcie bytu instytucjonalnego organizacji społeczeństwa obywatelskiego, zagrożonego w wyniku wystąpienia nieprzewidzianych sytuacji i zdarzeń związanych z bieżącą sytuacją epidemiczną, oraz wsparcie ich działań dotyczących przeciwdziałania pandemii </w:t>
      </w:r>
      <w:proofErr w:type="spellStart"/>
      <w:r w:rsidRPr="007E0780">
        <w:rPr>
          <w:rFonts w:cs="Times New Roman"/>
          <w:szCs w:val="24"/>
        </w:rPr>
        <w:t>koronawirusa</w:t>
      </w:r>
      <w:proofErr w:type="spellEnd"/>
      <w:r w:rsidRPr="007E0780">
        <w:rPr>
          <w:rFonts w:cs="Times New Roman"/>
          <w:szCs w:val="24"/>
        </w:rPr>
        <w:t>. Jednym z Priorytetów Programu był Priorytet</w:t>
      </w:r>
      <w:r w:rsidR="00C4765A">
        <w:rPr>
          <w:rFonts w:cs="Times New Roman"/>
          <w:szCs w:val="24"/>
        </w:rPr>
        <w:t xml:space="preserve"> 1. </w:t>
      </w:r>
      <w:r w:rsidRPr="007E0780">
        <w:rPr>
          <w:rFonts w:cs="Times New Roman"/>
          <w:szCs w:val="24"/>
        </w:rPr>
        <w:t>Działania wspierające, który zakładał zadania publiczne/projekty realizowane w społeczności lokalnej lub na jej rzecz, które mają na celu poprawę sytuacji obywateli w związku ze stanem epidemii. W tym obszarze organizacje składały oferty na dofinansowania takich działań jak zaopatrywanie społeczności lokalnej w materiały związane z zapobieganiem zarażeniom (np. szycie i dystrybucja masek, przygotowanie materiałów informacyjnych), organizacja wolontariatu w społeczności lokalnej- w tym w szczególności dla osób szczególnie narażonych, seniorów i osób niepełnosprawnych.</w:t>
      </w:r>
    </w:p>
    <w:p w14:paraId="6AC50453" w14:textId="7641CA27" w:rsidR="007E0780" w:rsidRPr="007E0780" w:rsidRDefault="007E0780" w:rsidP="007E0780">
      <w:pPr>
        <w:autoSpaceDE w:val="0"/>
        <w:autoSpaceDN w:val="0"/>
        <w:adjustRightInd w:val="0"/>
        <w:rPr>
          <w:rFonts w:cs="Times New Roman"/>
          <w:szCs w:val="24"/>
        </w:rPr>
      </w:pPr>
      <w:r w:rsidRPr="007E0780">
        <w:rPr>
          <w:rFonts w:cs="Times New Roman"/>
          <w:szCs w:val="24"/>
        </w:rPr>
        <w:t>W Programie tym łącznie dofinansowano 39 zadań publicznych realizowanych przez organizacje pozarządowe oraz podmioty wymienione w art. 3 ust. 3 ustawy z dnia 24</w:t>
      </w:r>
      <w:r w:rsidR="00D91F7F">
        <w:rPr>
          <w:rFonts w:cs="Times New Roman"/>
          <w:szCs w:val="24"/>
        </w:rPr>
        <w:t xml:space="preserve">  kwietnia </w:t>
      </w:r>
      <w:r w:rsidRPr="007E0780">
        <w:rPr>
          <w:rFonts w:cs="Times New Roman"/>
          <w:szCs w:val="24"/>
        </w:rPr>
        <w:t>2003 r. o działalności pożytku publicznego i wolontariacie na ogólną kwotę 1 220 189 zł.</w:t>
      </w:r>
    </w:p>
    <w:p w14:paraId="777E79A7" w14:textId="77777777" w:rsidR="00C4765A" w:rsidRDefault="00C4765A" w:rsidP="007E0780">
      <w:pPr>
        <w:autoSpaceDE w:val="0"/>
        <w:autoSpaceDN w:val="0"/>
        <w:adjustRightInd w:val="0"/>
        <w:rPr>
          <w:rFonts w:cs="Times New Roman"/>
          <w:szCs w:val="24"/>
        </w:rPr>
      </w:pPr>
    </w:p>
    <w:p w14:paraId="2343D7EB" w14:textId="5751C850" w:rsidR="007E0780" w:rsidRPr="007E0780" w:rsidRDefault="007E0780" w:rsidP="007E0780">
      <w:pPr>
        <w:autoSpaceDE w:val="0"/>
        <w:autoSpaceDN w:val="0"/>
        <w:adjustRightInd w:val="0"/>
        <w:rPr>
          <w:rFonts w:cs="Times New Roman"/>
          <w:szCs w:val="24"/>
        </w:rPr>
      </w:pPr>
      <w:r w:rsidRPr="007E0780">
        <w:rPr>
          <w:rFonts w:cs="Times New Roman"/>
          <w:szCs w:val="24"/>
        </w:rPr>
        <w:t>Przykładem zadania realizowanego w ramach Programu COVID-19 był projekt:</w:t>
      </w:r>
    </w:p>
    <w:p w14:paraId="7CBF1E45" w14:textId="77777777" w:rsidR="007E0780" w:rsidRPr="007E0780" w:rsidRDefault="007E0780" w:rsidP="007E0780">
      <w:pPr>
        <w:autoSpaceDE w:val="0"/>
        <w:autoSpaceDN w:val="0"/>
        <w:adjustRightInd w:val="0"/>
        <w:rPr>
          <w:rFonts w:cs="Times New Roman"/>
          <w:szCs w:val="24"/>
        </w:rPr>
      </w:pPr>
      <w:r w:rsidRPr="007E0780">
        <w:rPr>
          <w:rFonts w:cs="Times New Roman"/>
          <w:szCs w:val="24"/>
        </w:rPr>
        <w:t>Solidarni z Seniorami - Razem Damy Radę - organizator: Stowarzyszenie Manko.</w:t>
      </w:r>
    </w:p>
    <w:p w14:paraId="4AF93D58" w14:textId="77777777" w:rsidR="007E0780" w:rsidRPr="007E0780" w:rsidRDefault="007E0780" w:rsidP="007E0780">
      <w:pPr>
        <w:autoSpaceDE w:val="0"/>
        <w:autoSpaceDN w:val="0"/>
        <w:adjustRightInd w:val="0"/>
        <w:rPr>
          <w:rFonts w:cs="Times New Roman"/>
          <w:szCs w:val="24"/>
        </w:rPr>
      </w:pPr>
      <w:r w:rsidRPr="007E0780">
        <w:rPr>
          <w:rFonts w:cs="Times New Roman"/>
          <w:szCs w:val="24"/>
        </w:rPr>
        <w:t>Projekt starał się rozwiązywać problemy związane z trudnościami społecznymi seniorów w okresie pandemii. Pomoc dla osób starszych polegała głównie na:</w:t>
      </w:r>
    </w:p>
    <w:p w14:paraId="7D9556DC" w14:textId="77777777" w:rsidR="00C4765A" w:rsidRDefault="007E0780" w:rsidP="00FE70E3">
      <w:pPr>
        <w:pStyle w:val="Akapitzlist"/>
        <w:numPr>
          <w:ilvl w:val="0"/>
          <w:numId w:val="100"/>
        </w:numPr>
        <w:autoSpaceDE w:val="0"/>
        <w:autoSpaceDN w:val="0"/>
        <w:adjustRightInd w:val="0"/>
        <w:rPr>
          <w:rFonts w:cs="Times New Roman"/>
          <w:szCs w:val="24"/>
        </w:rPr>
      </w:pPr>
      <w:r w:rsidRPr="00C4765A">
        <w:rPr>
          <w:rFonts w:cs="Times New Roman"/>
          <w:szCs w:val="24"/>
        </w:rPr>
        <w:t>dotarciu do seniorów w domach z naszymi narzędziami medialnej aktywizacji,</w:t>
      </w:r>
    </w:p>
    <w:p w14:paraId="1D0645B0" w14:textId="77777777" w:rsidR="00C4765A" w:rsidRDefault="007E0780" w:rsidP="00FE70E3">
      <w:pPr>
        <w:pStyle w:val="Akapitzlist"/>
        <w:numPr>
          <w:ilvl w:val="0"/>
          <w:numId w:val="100"/>
        </w:numPr>
        <w:autoSpaceDE w:val="0"/>
        <w:autoSpaceDN w:val="0"/>
        <w:adjustRightInd w:val="0"/>
        <w:rPr>
          <w:rFonts w:cs="Times New Roman"/>
          <w:szCs w:val="24"/>
        </w:rPr>
      </w:pPr>
      <w:r w:rsidRPr="00C4765A">
        <w:rPr>
          <w:rFonts w:cs="Times New Roman"/>
          <w:szCs w:val="24"/>
        </w:rPr>
        <w:lastRenderedPageBreak/>
        <w:t>wsparciu psychicznym seniorów poprzez umożliwienie im dostępu do pomocy, informacji, porad ekspertów, aktywności i rozrywki,</w:t>
      </w:r>
    </w:p>
    <w:p w14:paraId="4414A627" w14:textId="17ACFF31" w:rsidR="007E0780" w:rsidRPr="00C4765A" w:rsidRDefault="007E0780" w:rsidP="00FE70E3">
      <w:pPr>
        <w:pStyle w:val="Akapitzlist"/>
        <w:numPr>
          <w:ilvl w:val="0"/>
          <w:numId w:val="100"/>
        </w:numPr>
        <w:autoSpaceDE w:val="0"/>
        <w:autoSpaceDN w:val="0"/>
        <w:adjustRightInd w:val="0"/>
        <w:rPr>
          <w:rFonts w:cs="Times New Roman"/>
          <w:szCs w:val="24"/>
        </w:rPr>
      </w:pPr>
      <w:r w:rsidRPr="00C4765A">
        <w:rPr>
          <w:rFonts w:cs="Times New Roman"/>
          <w:szCs w:val="24"/>
        </w:rPr>
        <w:t>zwiększeniu społecznej świadomości o potrzebach osób starszych w czasie epidemii</w:t>
      </w:r>
      <w:r w:rsidR="00D91F7F">
        <w:rPr>
          <w:rFonts w:cs="Times New Roman"/>
          <w:szCs w:val="24"/>
        </w:rPr>
        <w:t>.</w:t>
      </w:r>
    </w:p>
    <w:p w14:paraId="41649CCA" w14:textId="2EF2CB33" w:rsidR="007E0780" w:rsidRDefault="007E0780" w:rsidP="007E0780">
      <w:pPr>
        <w:autoSpaceDE w:val="0"/>
        <w:autoSpaceDN w:val="0"/>
        <w:adjustRightInd w:val="0"/>
        <w:rPr>
          <w:rFonts w:cs="Times New Roman"/>
          <w:szCs w:val="24"/>
        </w:rPr>
      </w:pPr>
      <w:r w:rsidRPr="007E0780">
        <w:rPr>
          <w:rFonts w:cs="Times New Roman"/>
          <w:szCs w:val="24"/>
        </w:rPr>
        <w:t>W związku z tym, Stowarzyszenie Manko-Głos Seniora realizując swoją misję na rzecz seniorów, od początku marca prowadziło kampanię "Solidarni z Seniorami-Razem Damy Radę" - która wspomagała seniorów, w tym trudnym dla nich okresie. W ramach działania z pomocy skorzystało z ok. 5000 seniorów z Krakowa i powiatu krakowskiego.</w:t>
      </w:r>
      <w:r w:rsidR="00C4765A">
        <w:rPr>
          <w:rFonts w:cs="Times New Roman"/>
          <w:szCs w:val="24"/>
        </w:rPr>
        <w:t xml:space="preserve"> </w:t>
      </w:r>
      <w:r w:rsidRPr="007E0780">
        <w:rPr>
          <w:rFonts w:cs="Times New Roman"/>
          <w:szCs w:val="24"/>
        </w:rPr>
        <w:t>Kwota dofinansowania w 2020 r.: 50 000 zł.</w:t>
      </w:r>
    </w:p>
    <w:p w14:paraId="2E21E95C" w14:textId="6602311B" w:rsidR="00C4765A" w:rsidRDefault="00C4765A" w:rsidP="007E0780">
      <w:pPr>
        <w:autoSpaceDE w:val="0"/>
        <w:autoSpaceDN w:val="0"/>
        <w:adjustRightInd w:val="0"/>
        <w:rPr>
          <w:rFonts w:cs="Times New Roman"/>
          <w:szCs w:val="24"/>
        </w:rPr>
      </w:pPr>
    </w:p>
    <w:p w14:paraId="7D22CBF8" w14:textId="7794ADA9" w:rsidR="00C4765A" w:rsidRPr="00C4765A" w:rsidRDefault="00C4765A" w:rsidP="007E0780">
      <w:pPr>
        <w:autoSpaceDE w:val="0"/>
        <w:autoSpaceDN w:val="0"/>
        <w:adjustRightInd w:val="0"/>
        <w:rPr>
          <w:rFonts w:cs="Times New Roman"/>
          <w:b/>
          <w:bCs/>
          <w:szCs w:val="24"/>
        </w:rPr>
      </w:pPr>
      <w:r w:rsidRPr="00C4765A">
        <w:rPr>
          <w:rFonts w:cs="Times New Roman"/>
          <w:b/>
          <w:bCs/>
          <w:szCs w:val="24"/>
        </w:rPr>
        <w:t>Korpus Solidarności</w:t>
      </w:r>
    </w:p>
    <w:p w14:paraId="4BDFD423" w14:textId="30906801" w:rsidR="007E0780" w:rsidRPr="007E0780" w:rsidRDefault="007E0780" w:rsidP="007E0780">
      <w:pPr>
        <w:autoSpaceDE w:val="0"/>
        <w:autoSpaceDN w:val="0"/>
        <w:adjustRightInd w:val="0"/>
        <w:rPr>
          <w:rFonts w:cs="Times New Roman"/>
          <w:szCs w:val="24"/>
        </w:rPr>
      </w:pPr>
      <w:r w:rsidRPr="007E0780">
        <w:rPr>
          <w:rFonts w:cs="Times New Roman"/>
          <w:szCs w:val="24"/>
        </w:rPr>
        <w:t>Programem, który służył wsparciem dla organizacji zaangażowanych na rzecz seniorów był wspomniany Korpus Solidarności. Program ten oddziaływał na środowiska osób starszych poprzez instytucje partnerskie, które zaangażowane były w organizacje pomocy seniorom na swoim terenie. W obszarze działania anty-COVID-19 należy wymienić takie wskaźniki jak:</w:t>
      </w:r>
    </w:p>
    <w:p w14:paraId="61AFD112" w14:textId="77777777" w:rsidR="00C4765A" w:rsidRDefault="007E0780" w:rsidP="00FE70E3">
      <w:pPr>
        <w:pStyle w:val="Akapitzlist"/>
        <w:numPr>
          <w:ilvl w:val="0"/>
          <w:numId w:val="101"/>
        </w:numPr>
        <w:autoSpaceDE w:val="0"/>
        <w:autoSpaceDN w:val="0"/>
        <w:adjustRightInd w:val="0"/>
        <w:rPr>
          <w:rFonts w:cs="Times New Roman"/>
          <w:szCs w:val="24"/>
        </w:rPr>
      </w:pPr>
      <w:r w:rsidRPr="00C4765A">
        <w:rPr>
          <w:rFonts w:cs="Times New Roman"/>
          <w:szCs w:val="24"/>
        </w:rPr>
        <w:t>Wsparcie realizowane było na terenie 16 województw.</w:t>
      </w:r>
    </w:p>
    <w:p w14:paraId="3D26AC6A" w14:textId="77777777" w:rsidR="00C4765A" w:rsidRDefault="007E0780" w:rsidP="00FE70E3">
      <w:pPr>
        <w:pStyle w:val="Akapitzlist"/>
        <w:numPr>
          <w:ilvl w:val="0"/>
          <w:numId w:val="101"/>
        </w:numPr>
        <w:autoSpaceDE w:val="0"/>
        <w:autoSpaceDN w:val="0"/>
        <w:adjustRightInd w:val="0"/>
        <w:rPr>
          <w:rFonts w:cs="Times New Roman"/>
          <w:szCs w:val="24"/>
        </w:rPr>
      </w:pPr>
      <w:r w:rsidRPr="00C4765A">
        <w:rPr>
          <w:rFonts w:cs="Times New Roman"/>
          <w:szCs w:val="24"/>
        </w:rPr>
        <w:t>W działania zaangażowanych było łącznie 1 804 wolontariuszy Korpusu Solidarności i wolontariuszy, którzy podjęli ad hoc współpracę z Korpusem na fali pomocy w ramach pandemii.</w:t>
      </w:r>
    </w:p>
    <w:p w14:paraId="5CC503D7" w14:textId="1ABA97CD" w:rsidR="007E0780" w:rsidRPr="00C4765A" w:rsidRDefault="007E0780" w:rsidP="00FE70E3">
      <w:pPr>
        <w:pStyle w:val="Akapitzlist"/>
        <w:numPr>
          <w:ilvl w:val="0"/>
          <w:numId w:val="101"/>
        </w:numPr>
        <w:autoSpaceDE w:val="0"/>
        <w:autoSpaceDN w:val="0"/>
        <w:adjustRightInd w:val="0"/>
        <w:rPr>
          <w:rFonts w:cs="Times New Roman"/>
          <w:szCs w:val="24"/>
        </w:rPr>
      </w:pPr>
      <w:r w:rsidRPr="00C4765A">
        <w:rPr>
          <w:rFonts w:cs="Times New Roman"/>
          <w:szCs w:val="24"/>
        </w:rPr>
        <w:t>Podjęto współpracę z 123 podmiotami - jednostkami samorządu terytorialnego, lokalnymi instytucjami pomocy społecznej (MOPS, MOPR, OPS, DPS) instytucjami lokalnymi, organizacjami pozarządowymi, szkołami oraz szkołami wyższymi.</w:t>
      </w:r>
    </w:p>
    <w:p w14:paraId="572A3807" w14:textId="77777777" w:rsidR="00C4765A" w:rsidRDefault="00C4765A" w:rsidP="007E0780">
      <w:pPr>
        <w:autoSpaceDE w:val="0"/>
        <w:autoSpaceDN w:val="0"/>
        <w:adjustRightInd w:val="0"/>
        <w:rPr>
          <w:rFonts w:cs="Times New Roman"/>
          <w:szCs w:val="24"/>
        </w:rPr>
      </w:pPr>
    </w:p>
    <w:p w14:paraId="36100EA4" w14:textId="54F523E4" w:rsidR="00E725A8" w:rsidRPr="00E725A8" w:rsidRDefault="007E0780" w:rsidP="007E0780">
      <w:pPr>
        <w:autoSpaceDE w:val="0"/>
        <w:autoSpaceDN w:val="0"/>
        <w:adjustRightInd w:val="0"/>
        <w:rPr>
          <w:rFonts w:cs="Times New Roman"/>
          <w:szCs w:val="24"/>
        </w:rPr>
      </w:pPr>
      <w:r w:rsidRPr="007E0780">
        <w:rPr>
          <w:rFonts w:cs="Times New Roman"/>
          <w:szCs w:val="24"/>
        </w:rPr>
        <w:t>Unikalne działania - projekty realizowane na rzecz seniorów w ramach Korpusu Solidarności to:</w:t>
      </w:r>
      <w:r w:rsidR="00C4765A">
        <w:rPr>
          <w:rFonts w:cs="Times New Roman"/>
          <w:szCs w:val="24"/>
        </w:rPr>
        <w:t xml:space="preserve"> </w:t>
      </w:r>
      <w:r w:rsidRPr="007E0780">
        <w:rPr>
          <w:rFonts w:cs="Times New Roman"/>
          <w:szCs w:val="24"/>
        </w:rPr>
        <w:t>Wsparcie osób niesamodzielnych i seniorów w tym m.in. robienie zakupów, wyprowadzanie psa, rozmowy przez telefon, dowóz paczek żywnościowych, pomoc w pilnych codziennych sprawach (Elbląg, Ełk, Lublin, Suwałki, Rzeszów, Szczecin, Nowy Sącz, Gdańsk, Tomaszów Lubelski)</w:t>
      </w:r>
      <w:r w:rsidR="001E5E91">
        <w:rPr>
          <w:rFonts w:cs="Times New Roman"/>
          <w:szCs w:val="24"/>
        </w:rPr>
        <w:t>.</w:t>
      </w:r>
    </w:p>
    <w:p w14:paraId="210E8332" w14:textId="77777777" w:rsidR="00E725A8" w:rsidRDefault="00E725A8" w:rsidP="00E725A8">
      <w:pPr>
        <w:autoSpaceDE w:val="0"/>
        <w:autoSpaceDN w:val="0"/>
        <w:adjustRightInd w:val="0"/>
        <w:rPr>
          <w:rFonts w:cs="Times New Roman"/>
          <w:szCs w:val="24"/>
        </w:rPr>
      </w:pPr>
    </w:p>
    <w:p w14:paraId="44CBD1EE" w14:textId="77777777" w:rsidR="00876F82" w:rsidRPr="00454337" w:rsidRDefault="00876F82" w:rsidP="00FE70E3">
      <w:pPr>
        <w:pStyle w:val="Nagwek2"/>
        <w:numPr>
          <w:ilvl w:val="1"/>
          <w:numId w:val="23"/>
        </w:numPr>
        <w:spacing w:before="240" w:after="240"/>
        <w:ind w:left="0" w:hanging="142"/>
        <w:rPr>
          <w:rFonts w:cs="Times New Roman"/>
          <w:sz w:val="40"/>
          <w:lang w:eastAsia="ar-SA"/>
        </w:rPr>
      </w:pPr>
      <w:bookmarkStart w:id="118" w:name="_Toc80523096"/>
      <w:r>
        <w:rPr>
          <w:rFonts w:cs="Times New Roman"/>
          <w:sz w:val="40"/>
          <w:lang w:eastAsia="ar-SA"/>
        </w:rPr>
        <w:t>Urząd Ochrony Konkurencji i Konsumentów</w:t>
      </w:r>
      <w:bookmarkEnd w:id="118"/>
    </w:p>
    <w:p w14:paraId="0E94AE0D" w14:textId="6F0CF65E" w:rsidR="00876F82" w:rsidRDefault="00C4765A" w:rsidP="00C4765A">
      <w:r>
        <w:t>C</w:t>
      </w:r>
      <w:r w:rsidR="00876F82" w:rsidRPr="00876F82">
        <w:t xml:space="preserve">elem działań podejmowanych przez Prezesa Urzędu </w:t>
      </w:r>
      <w:r w:rsidR="00A21F26">
        <w:t xml:space="preserve">Ochrony Konkurencji i Konsumentów </w:t>
      </w:r>
      <w:r w:rsidR="00A21F26" w:rsidRPr="00A21F26">
        <w:t xml:space="preserve">(dalej: „UOKiK” lub „Urząd”) </w:t>
      </w:r>
      <w:r w:rsidR="00876F82" w:rsidRPr="00876F82">
        <w:t>jest ochrona</w:t>
      </w:r>
      <w:r>
        <w:t xml:space="preserve"> </w:t>
      </w:r>
      <w:r w:rsidR="00876F82" w:rsidRPr="00876F82">
        <w:t>wszystkich nieprofesjonalnych uczestników obrotu gospodarczego, bez faworyzowania</w:t>
      </w:r>
      <w:r>
        <w:t xml:space="preserve"> </w:t>
      </w:r>
      <w:r w:rsidR="00876F82" w:rsidRPr="00876F82">
        <w:t>wybranej grupy konsumentów. Niemniej jednak Prezes Urzędu ma na uwadze fakt, iż osoby</w:t>
      </w:r>
      <w:r>
        <w:t xml:space="preserve"> </w:t>
      </w:r>
      <w:r w:rsidR="00876F82" w:rsidRPr="00876F82">
        <w:t>starsze stanowią grupę szczególnie narażoną na negatywne oddziaływanie zakazanych</w:t>
      </w:r>
      <w:r>
        <w:t xml:space="preserve"> </w:t>
      </w:r>
      <w:r w:rsidR="00876F82" w:rsidRPr="00876F82">
        <w:t>praktyk handlowych stosowanych przez przedsiębiorców. Z racji cech fizycznych (gorszy</w:t>
      </w:r>
      <w:r>
        <w:t xml:space="preserve"> </w:t>
      </w:r>
      <w:r w:rsidR="00876F82" w:rsidRPr="00876F82">
        <w:t>wzrok i słuch, spowolnione reakcje) i charakteru (dobre wychowanie, wiara w ludzi) ta</w:t>
      </w:r>
      <w:r>
        <w:t xml:space="preserve"> g</w:t>
      </w:r>
      <w:r w:rsidR="00876F82" w:rsidRPr="00876F82">
        <w:t>rupa społeczna jest w szczególny sposób narażona na zabiegi socjotechniczne</w:t>
      </w:r>
      <w:r>
        <w:t xml:space="preserve"> </w:t>
      </w:r>
      <w:r w:rsidR="00876F82" w:rsidRPr="00876F82">
        <w:t>i manipulacyjne, a przez to niezwykle podatna na oddziaływanie stosowanych wobec niej,</w:t>
      </w:r>
      <w:r>
        <w:t xml:space="preserve"> </w:t>
      </w:r>
      <w:r w:rsidR="00876F82" w:rsidRPr="00876F82">
        <w:t>nieuczciwych praktyk rynkowych. Osoby starsze charakteryzują się mniejszym niż</w:t>
      </w:r>
      <w:r>
        <w:t xml:space="preserve"> </w:t>
      </w:r>
      <w:r w:rsidR="00876F82" w:rsidRPr="00876F82">
        <w:t>przeciętny konsument, stopniem</w:t>
      </w:r>
      <w:r>
        <w:t xml:space="preserve"> </w:t>
      </w:r>
      <w:r w:rsidR="00876F82" w:rsidRPr="00876F82">
        <w:t>poinformowania, uwagi i ostrożności przy podejmowaniu</w:t>
      </w:r>
      <w:r>
        <w:t xml:space="preserve"> </w:t>
      </w:r>
      <w:r w:rsidR="00876F82" w:rsidRPr="00876F82">
        <w:lastRenderedPageBreak/>
        <w:t>decyzji dotyczącej umowy i nie mają należytego rozeznania podczas oceny działań</w:t>
      </w:r>
      <w:r>
        <w:t xml:space="preserve"> </w:t>
      </w:r>
      <w:r w:rsidR="00876F82" w:rsidRPr="00876F82">
        <w:t>przedsiębiorcy i skutków z nich wynikających. Są to więc osoby, które łatwiej wprowadzić</w:t>
      </w:r>
      <w:r>
        <w:t xml:space="preserve"> </w:t>
      </w:r>
      <w:r w:rsidR="00876F82" w:rsidRPr="00876F82">
        <w:t>w błąd.</w:t>
      </w:r>
    </w:p>
    <w:p w14:paraId="78E5EA0F" w14:textId="77777777" w:rsidR="00876F82" w:rsidRDefault="00876F82" w:rsidP="00876F82">
      <w:pPr>
        <w:autoSpaceDE w:val="0"/>
        <w:autoSpaceDN w:val="0"/>
        <w:adjustRightInd w:val="0"/>
        <w:rPr>
          <w:rFonts w:cs="Times New Roman"/>
          <w:szCs w:val="24"/>
        </w:rPr>
      </w:pPr>
    </w:p>
    <w:p w14:paraId="27512A47" w14:textId="43D74D23" w:rsidR="00876F82" w:rsidRDefault="00876F82" w:rsidP="00876F82">
      <w:pPr>
        <w:autoSpaceDE w:val="0"/>
        <w:autoSpaceDN w:val="0"/>
        <w:adjustRightInd w:val="0"/>
        <w:rPr>
          <w:rFonts w:cs="Times New Roman"/>
          <w:szCs w:val="24"/>
        </w:rPr>
      </w:pPr>
      <w:r w:rsidRPr="00876F82">
        <w:rPr>
          <w:rFonts w:cs="Times New Roman"/>
          <w:szCs w:val="24"/>
        </w:rPr>
        <w:t>Prezes U</w:t>
      </w:r>
      <w:r w:rsidR="00A21F26">
        <w:rPr>
          <w:rFonts w:cs="Times New Roman"/>
          <w:szCs w:val="24"/>
        </w:rPr>
        <w:t>OKIK</w:t>
      </w:r>
      <w:r w:rsidRPr="00876F82">
        <w:rPr>
          <w:rFonts w:cs="Times New Roman"/>
          <w:szCs w:val="24"/>
        </w:rPr>
        <w:t xml:space="preserve"> podejmował w okresie od 1 stycznia 2020 r. do 31 grudnia 2020 r. szereg działań o charakterze edukacyjno-informacyjnym skierowanych do osób starszych, z uwagi na fakt, iż stają się one najczęściej ofiarami nieuczciwych praktyk stosowanych przez przedsiębiorców organizujących pokazy handlowe, w ramach których istnieje możliwość dokonania zakupu urządzeń oferowanych jako sprzęt medyczny, czy drobne AGD. Przedmiotowe działania koncentrowały się przede wszystkim na informowaniu o podstawowych prawach i</w:t>
      </w:r>
      <w:r w:rsidR="00C4765A">
        <w:rPr>
          <w:rFonts w:cs="Times New Roman"/>
          <w:szCs w:val="24"/>
        </w:rPr>
        <w:t> </w:t>
      </w:r>
      <w:r w:rsidRPr="00876F82">
        <w:rPr>
          <w:rFonts w:cs="Times New Roman"/>
          <w:szCs w:val="24"/>
        </w:rPr>
        <w:t>obowiązkach konsumentów oraz promowaniu systemu ochrony konsumentów w Polsce.</w:t>
      </w:r>
    </w:p>
    <w:p w14:paraId="6FCF9DC3" w14:textId="77777777" w:rsidR="00876F82" w:rsidRDefault="00876F82" w:rsidP="00876F82">
      <w:pPr>
        <w:autoSpaceDE w:val="0"/>
        <w:autoSpaceDN w:val="0"/>
        <w:adjustRightInd w:val="0"/>
        <w:rPr>
          <w:rFonts w:cs="Times New Roman"/>
          <w:szCs w:val="24"/>
        </w:rPr>
      </w:pPr>
    </w:p>
    <w:p w14:paraId="6FF7A6A3" w14:textId="49351CC3" w:rsidR="00876F82" w:rsidRDefault="00876F82" w:rsidP="00876F82">
      <w:pPr>
        <w:autoSpaceDE w:val="0"/>
        <w:autoSpaceDN w:val="0"/>
        <w:adjustRightInd w:val="0"/>
        <w:rPr>
          <w:rFonts w:cs="Times New Roman"/>
          <w:szCs w:val="24"/>
        </w:rPr>
      </w:pPr>
      <w:r w:rsidRPr="00876F82">
        <w:rPr>
          <w:rFonts w:cs="Times New Roman"/>
          <w:szCs w:val="24"/>
        </w:rPr>
        <w:t>W 2020 r</w:t>
      </w:r>
      <w:r w:rsidR="004D289B">
        <w:rPr>
          <w:rFonts w:cs="Times New Roman"/>
          <w:szCs w:val="24"/>
        </w:rPr>
        <w:t>.</w:t>
      </w:r>
      <w:r w:rsidRPr="00876F82">
        <w:rPr>
          <w:rFonts w:cs="Times New Roman"/>
          <w:szCs w:val="24"/>
        </w:rPr>
        <w:t xml:space="preserve"> Prezes UOKiK objął patronat nad akcją społeczną „Prezentacje to</w:t>
      </w:r>
      <w:r w:rsidR="00C4765A">
        <w:rPr>
          <w:rFonts w:cs="Times New Roman"/>
          <w:szCs w:val="24"/>
        </w:rPr>
        <w:t xml:space="preserve"> </w:t>
      </w:r>
      <w:r w:rsidRPr="00876F82">
        <w:rPr>
          <w:rFonts w:cs="Times New Roman"/>
          <w:szCs w:val="24"/>
        </w:rPr>
        <w:t>manipulacje”, organizowaną przez Gminę Piaseczno w</w:t>
      </w:r>
      <w:r>
        <w:rPr>
          <w:rFonts w:cs="Times New Roman"/>
          <w:szCs w:val="24"/>
        </w:rPr>
        <w:t xml:space="preserve"> okresie wrzesień-listopad 2020,  a także przygotował   </w:t>
      </w:r>
      <w:r w:rsidRPr="00876F82">
        <w:rPr>
          <w:rFonts w:cs="Times New Roman"/>
          <w:szCs w:val="24"/>
        </w:rPr>
        <w:t>12 komunikatów prasowych, w których UOKiK prz</w:t>
      </w:r>
      <w:r>
        <w:rPr>
          <w:rFonts w:cs="Times New Roman"/>
          <w:szCs w:val="24"/>
        </w:rPr>
        <w:t xml:space="preserve">ypominał seniorom o ich prawach </w:t>
      </w:r>
      <w:r w:rsidRPr="00876F82">
        <w:rPr>
          <w:rFonts w:cs="Times New Roman"/>
          <w:szCs w:val="24"/>
        </w:rPr>
        <w:t>i radził, jak uniknąć oszustwa (komunikaty dotyczyły</w:t>
      </w:r>
      <w:r>
        <w:rPr>
          <w:rFonts w:cs="Times New Roman"/>
          <w:szCs w:val="24"/>
        </w:rPr>
        <w:t xml:space="preserve"> m.in. nieuczciwej sprzedaży na </w:t>
      </w:r>
      <w:r w:rsidRPr="00876F82">
        <w:rPr>
          <w:rFonts w:cs="Times New Roman"/>
          <w:szCs w:val="24"/>
        </w:rPr>
        <w:t>pokazach, wprowadzania seniorów w błąd, nieuczci</w:t>
      </w:r>
      <w:r>
        <w:rPr>
          <w:rFonts w:cs="Times New Roman"/>
          <w:szCs w:val="24"/>
        </w:rPr>
        <w:t xml:space="preserve">wych praktyk na rynku leków czy </w:t>
      </w:r>
      <w:r w:rsidRPr="00876F82">
        <w:rPr>
          <w:rFonts w:cs="Times New Roman"/>
          <w:szCs w:val="24"/>
        </w:rPr>
        <w:t>nieuczciwego zdobywania klientów przez firmę telekomun</w:t>
      </w:r>
      <w:r>
        <w:rPr>
          <w:rFonts w:cs="Times New Roman"/>
          <w:szCs w:val="24"/>
        </w:rPr>
        <w:t xml:space="preserve">ikacyjną). Komunikacja medialna </w:t>
      </w:r>
      <w:r w:rsidRPr="00876F82">
        <w:rPr>
          <w:rFonts w:cs="Times New Roman"/>
          <w:szCs w:val="24"/>
        </w:rPr>
        <w:t xml:space="preserve">wspierana jest poprzez </w:t>
      </w:r>
      <w:proofErr w:type="spellStart"/>
      <w:r w:rsidRPr="00876F82">
        <w:rPr>
          <w:rFonts w:cs="Times New Roman"/>
          <w:szCs w:val="24"/>
        </w:rPr>
        <w:t>Twittera</w:t>
      </w:r>
      <w:proofErr w:type="spellEnd"/>
      <w:r w:rsidRPr="00876F82">
        <w:rPr>
          <w:rFonts w:cs="Times New Roman"/>
          <w:szCs w:val="24"/>
        </w:rPr>
        <w:t>.</w:t>
      </w:r>
    </w:p>
    <w:p w14:paraId="0AC0ADDC" w14:textId="77777777" w:rsidR="00876F82" w:rsidRDefault="00876F82" w:rsidP="00876F82">
      <w:pPr>
        <w:autoSpaceDE w:val="0"/>
        <w:autoSpaceDN w:val="0"/>
        <w:adjustRightInd w:val="0"/>
        <w:rPr>
          <w:rFonts w:cs="Times New Roman"/>
          <w:szCs w:val="24"/>
        </w:rPr>
      </w:pPr>
    </w:p>
    <w:p w14:paraId="461A6BBC" w14:textId="4FBE03BF" w:rsidR="00876F82" w:rsidRDefault="00876F82" w:rsidP="00876F82">
      <w:pPr>
        <w:autoSpaceDE w:val="0"/>
        <w:autoSpaceDN w:val="0"/>
        <w:adjustRightInd w:val="0"/>
        <w:rPr>
          <w:rFonts w:cs="Times New Roman"/>
          <w:szCs w:val="24"/>
        </w:rPr>
      </w:pPr>
      <w:r w:rsidRPr="00876F82">
        <w:rPr>
          <w:rFonts w:cs="Times New Roman"/>
          <w:szCs w:val="24"/>
        </w:rPr>
        <w:t>Pracownicy U</w:t>
      </w:r>
      <w:r w:rsidR="00A21F26">
        <w:rPr>
          <w:rFonts w:cs="Times New Roman"/>
          <w:szCs w:val="24"/>
        </w:rPr>
        <w:t>OKIK</w:t>
      </w:r>
      <w:r w:rsidRPr="00876F82">
        <w:rPr>
          <w:rFonts w:cs="Times New Roman"/>
          <w:szCs w:val="24"/>
        </w:rPr>
        <w:t xml:space="preserve"> prowadzą też liczne prelekcje edukacyjne dla konsumentów we współpracy</w:t>
      </w:r>
      <w:r w:rsidR="00C4765A">
        <w:rPr>
          <w:rFonts w:cs="Times New Roman"/>
          <w:szCs w:val="24"/>
        </w:rPr>
        <w:t xml:space="preserve"> </w:t>
      </w:r>
      <w:r w:rsidRPr="00876F82">
        <w:rPr>
          <w:rFonts w:cs="Times New Roman"/>
          <w:szCs w:val="24"/>
        </w:rPr>
        <w:t>z samorządami, parafiami, Policją czy Uniwersytetami Trzeciego Wieku. W ramach</w:t>
      </w:r>
      <w:r w:rsidR="00C4765A">
        <w:rPr>
          <w:rFonts w:cs="Times New Roman"/>
          <w:szCs w:val="24"/>
        </w:rPr>
        <w:t xml:space="preserve"> </w:t>
      </w:r>
      <w:r w:rsidRPr="00876F82">
        <w:rPr>
          <w:rFonts w:cs="Times New Roman"/>
          <w:szCs w:val="24"/>
        </w:rPr>
        <w:t>przykładu wskazać można na następujące prelekcje, warsztaty, konferencje i wykłady,</w:t>
      </w:r>
      <w:r w:rsidR="00C4765A">
        <w:rPr>
          <w:rFonts w:cs="Times New Roman"/>
          <w:szCs w:val="24"/>
        </w:rPr>
        <w:t xml:space="preserve"> </w:t>
      </w:r>
      <w:r w:rsidRPr="00876F82">
        <w:rPr>
          <w:rFonts w:cs="Times New Roman"/>
          <w:szCs w:val="24"/>
        </w:rPr>
        <w:t>w których uczestniczyli pracownicy Urz</w:t>
      </w:r>
      <w:r>
        <w:rPr>
          <w:rFonts w:cs="Times New Roman"/>
          <w:szCs w:val="24"/>
        </w:rPr>
        <w:t>ędu.</w:t>
      </w:r>
    </w:p>
    <w:p w14:paraId="7EA3EF9F" w14:textId="77777777" w:rsidR="00876F82" w:rsidRDefault="00876F82" w:rsidP="00876F82">
      <w:pPr>
        <w:autoSpaceDE w:val="0"/>
        <w:autoSpaceDN w:val="0"/>
        <w:adjustRightInd w:val="0"/>
        <w:rPr>
          <w:rFonts w:cs="Times New Roman"/>
          <w:szCs w:val="24"/>
        </w:rPr>
      </w:pPr>
    </w:p>
    <w:p w14:paraId="722CAF47" w14:textId="58A93F5C" w:rsidR="00876F82" w:rsidRDefault="00876F82" w:rsidP="00876F82">
      <w:pPr>
        <w:pStyle w:val="Nagwek3"/>
      </w:pPr>
      <w:r>
        <w:t xml:space="preserve"> </w:t>
      </w:r>
      <w:bookmarkStart w:id="119" w:name="_Toc77513942"/>
      <w:bookmarkStart w:id="120" w:name="_Toc80523097"/>
      <w:r w:rsidR="00745C20">
        <w:t>Projekty informacyjno-edukacyjne</w:t>
      </w:r>
      <w:bookmarkEnd w:id="119"/>
      <w:bookmarkEnd w:id="120"/>
    </w:p>
    <w:p w14:paraId="6FF090E6" w14:textId="77777777" w:rsidR="00745C20" w:rsidRPr="00745C20" w:rsidRDefault="00745C20" w:rsidP="00745C20"/>
    <w:p w14:paraId="3A701178" w14:textId="77777777" w:rsidR="00745C20" w:rsidRDefault="00876F82" w:rsidP="00876F82">
      <w:pPr>
        <w:autoSpaceDE w:val="0"/>
        <w:autoSpaceDN w:val="0"/>
        <w:adjustRightInd w:val="0"/>
        <w:rPr>
          <w:rFonts w:cs="Times New Roman"/>
          <w:b/>
          <w:szCs w:val="24"/>
        </w:rPr>
      </w:pPr>
      <w:proofErr w:type="spellStart"/>
      <w:r w:rsidRPr="00876F82">
        <w:rPr>
          <w:rFonts w:cs="Times New Roman"/>
          <w:b/>
          <w:szCs w:val="24"/>
        </w:rPr>
        <w:t>Koronawirus</w:t>
      </w:r>
      <w:proofErr w:type="spellEnd"/>
      <w:r w:rsidRPr="00876F82">
        <w:rPr>
          <w:rFonts w:cs="Times New Roman"/>
          <w:b/>
          <w:szCs w:val="24"/>
        </w:rPr>
        <w:t xml:space="preserve"> – pakiet informacji dla konsumentów</w:t>
      </w:r>
      <w:r w:rsidR="00745C20">
        <w:rPr>
          <w:rFonts w:cs="Times New Roman"/>
          <w:b/>
          <w:szCs w:val="24"/>
        </w:rPr>
        <w:t xml:space="preserve"> </w:t>
      </w:r>
    </w:p>
    <w:p w14:paraId="02A75289" w14:textId="6114F47E" w:rsidR="00876F82" w:rsidRPr="00745C20" w:rsidRDefault="00876F82" w:rsidP="00876F82">
      <w:pPr>
        <w:autoSpaceDE w:val="0"/>
        <w:autoSpaceDN w:val="0"/>
        <w:adjustRightInd w:val="0"/>
        <w:rPr>
          <w:rFonts w:cs="Times New Roman"/>
          <w:b/>
          <w:szCs w:val="24"/>
        </w:rPr>
      </w:pPr>
      <w:r w:rsidRPr="00876F82">
        <w:rPr>
          <w:rFonts w:cs="Times New Roman"/>
          <w:szCs w:val="24"/>
        </w:rPr>
        <w:t>W marcu 2020 r. UOKiK przygotował dla konsumentów specjalny pakiet informacji na</w:t>
      </w:r>
      <w:r w:rsidR="00745C20">
        <w:rPr>
          <w:rFonts w:cs="Times New Roman"/>
          <w:b/>
          <w:szCs w:val="24"/>
        </w:rPr>
        <w:t xml:space="preserve"> </w:t>
      </w:r>
      <w:r w:rsidRPr="00876F82">
        <w:rPr>
          <w:rFonts w:cs="Times New Roman"/>
          <w:szCs w:val="24"/>
        </w:rPr>
        <w:t>stronie www.uokik.gov.pl. W serwisie https://www.uokik.gov.pl/koronawirus na bieżąco</w:t>
      </w:r>
      <w:r w:rsidR="00745C20">
        <w:rPr>
          <w:rFonts w:cs="Times New Roman"/>
          <w:b/>
          <w:szCs w:val="24"/>
        </w:rPr>
        <w:t xml:space="preserve"> </w:t>
      </w:r>
      <w:r w:rsidRPr="00876F82">
        <w:rPr>
          <w:rFonts w:cs="Times New Roman"/>
          <w:szCs w:val="24"/>
        </w:rPr>
        <w:t>publikowane są porady i odpowiedzi na najczęściej zadawane pytania dotyczące tematów</w:t>
      </w:r>
      <w:r w:rsidR="00745C20">
        <w:rPr>
          <w:rFonts w:cs="Times New Roman"/>
          <w:b/>
          <w:szCs w:val="24"/>
        </w:rPr>
        <w:t xml:space="preserve"> </w:t>
      </w:r>
      <w:r w:rsidRPr="00876F82">
        <w:rPr>
          <w:rFonts w:cs="Times New Roman"/>
          <w:szCs w:val="24"/>
        </w:rPr>
        <w:t>takich jak: „Usługi turystyczne”, „Hotele”, „Transport”, „Sprzedaż”, "Usługi finansowe",</w:t>
      </w:r>
      <w:r w:rsidR="00745C20">
        <w:rPr>
          <w:rFonts w:cs="Times New Roman"/>
          <w:b/>
          <w:szCs w:val="24"/>
        </w:rPr>
        <w:t xml:space="preserve"> </w:t>
      </w:r>
      <w:r w:rsidRPr="00876F82">
        <w:rPr>
          <w:rFonts w:cs="Times New Roman"/>
          <w:szCs w:val="24"/>
        </w:rPr>
        <w:t>„Usługi”, „Ochrona konsumentów”. Sprawy dotyczące seniorów poruszane są</w:t>
      </w:r>
      <w:r w:rsidR="00745C20">
        <w:rPr>
          <w:rFonts w:cs="Times New Roman"/>
          <w:szCs w:val="24"/>
        </w:rPr>
        <w:t xml:space="preserve"> </w:t>
      </w:r>
      <w:r w:rsidRPr="00876F82">
        <w:rPr>
          <w:rFonts w:cs="Times New Roman"/>
          <w:szCs w:val="24"/>
        </w:rPr>
        <w:t>w szczególności w części pn.</w:t>
      </w:r>
      <w:r w:rsidR="00FE113A">
        <w:rPr>
          <w:rFonts w:cs="Times New Roman"/>
          <w:szCs w:val="24"/>
        </w:rPr>
        <w:t> </w:t>
      </w:r>
      <w:r w:rsidRPr="00876F82">
        <w:rPr>
          <w:rFonts w:cs="Times New Roman"/>
          <w:szCs w:val="24"/>
        </w:rPr>
        <w:t>„Sprzedaż”, gdzie mowa jest m.in. o sprzedaży lekarstw</w:t>
      </w:r>
      <w:r w:rsidR="00745C20">
        <w:rPr>
          <w:rFonts w:cs="Times New Roman"/>
          <w:szCs w:val="24"/>
        </w:rPr>
        <w:t xml:space="preserve"> </w:t>
      </w:r>
      <w:r w:rsidRPr="00876F82">
        <w:rPr>
          <w:rFonts w:cs="Times New Roman"/>
          <w:szCs w:val="24"/>
        </w:rPr>
        <w:t>przeciw COVID-19.</w:t>
      </w:r>
    </w:p>
    <w:p w14:paraId="634AE4D0" w14:textId="77777777" w:rsidR="00745C20" w:rsidRPr="00876F82" w:rsidRDefault="00745C20" w:rsidP="00876F82">
      <w:pPr>
        <w:autoSpaceDE w:val="0"/>
        <w:autoSpaceDN w:val="0"/>
        <w:adjustRightInd w:val="0"/>
        <w:rPr>
          <w:rFonts w:cs="Times New Roman"/>
          <w:szCs w:val="24"/>
        </w:rPr>
      </w:pPr>
    </w:p>
    <w:p w14:paraId="3A556CA0" w14:textId="77777777" w:rsidR="00745C20" w:rsidRDefault="00876F82" w:rsidP="00876F82">
      <w:pPr>
        <w:autoSpaceDE w:val="0"/>
        <w:autoSpaceDN w:val="0"/>
        <w:adjustRightInd w:val="0"/>
        <w:rPr>
          <w:rFonts w:cs="Times New Roman"/>
          <w:b/>
          <w:szCs w:val="24"/>
        </w:rPr>
      </w:pPr>
      <w:r w:rsidRPr="00876F82">
        <w:rPr>
          <w:rFonts w:cs="Times New Roman"/>
          <w:b/>
          <w:szCs w:val="24"/>
        </w:rPr>
        <w:t>Kampania społeczna „Sprawdzaj, czytaj, pytaj!” – ogłoszenie Prezesa UOKiK</w:t>
      </w:r>
      <w:r w:rsidR="00745C20">
        <w:rPr>
          <w:rFonts w:cs="Times New Roman"/>
          <w:b/>
          <w:szCs w:val="24"/>
        </w:rPr>
        <w:t xml:space="preserve"> </w:t>
      </w:r>
    </w:p>
    <w:p w14:paraId="3741EEE4" w14:textId="2A896CB6" w:rsidR="00876F82" w:rsidRPr="00745C20" w:rsidRDefault="00876F82" w:rsidP="00876F82">
      <w:pPr>
        <w:autoSpaceDE w:val="0"/>
        <w:autoSpaceDN w:val="0"/>
        <w:adjustRightInd w:val="0"/>
        <w:rPr>
          <w:rFonts w:cs="Times New Roman"/>
          <w:b/>
          <w:szCs w:val="24"/>
        </w:rPr>
      </w:pPr>
      <w:r w:rsidRPr="00876F82">
        <w:rPr>
          <w:rFonts w:cs="Times New Roman"/>
          <w:szCs w:val="24"/>
        </w:rPr>
        <w:t>W związku z nasilającymi się zagrożeniami spowodowanymi nieuczciwymi praktykami</w:t>
      </w:r>
      <w:r w:rsidR="00745C20">
        <w:rPr>
          <w:rFonts w:cs="Times New Roman"/>
          <w:b/>
          <w:szCs w:val="24"/>
        </w:rPr>
        <w:t xml:space="preserve"> </w:t>
      </w:r>
      <w:r w:rsidRPr="00876F82">
        <w:rPr>
          <w:rFonts w:cs="Times New Roman"/>
          <w:szCs w:val="24"/>
        </w:rPr>
        <w:t>rynkowymi i oszustwami, Prezes UOKiK zainicjował w lipcu 2020 r. kampanię społeczną</w:t>
      </w:r>
      <w:r w:rsidR="00745C20">
        <w:rPr>
          <w:rFonts w:cs="Times New Roman"/>
          <w:b/>
          <w:szCs w:val="24"/>
        </w:rPr>
        <w:t xml:space="preserve"> </w:t>
      </w:r>
      <w:r w:rsidRPr="00876F82">
        <w:rPr>
          <w:rFonts w:cs="Times New Roman"/>
          <w:szCs w:val="24"/>
        </w:rPr>
        <w:t>pn. „Sprawdzaj, czytaj, pytaj!”. Kampania zakończyła się 31 grudnia 2020 r. Jej celem</w:t>
      </w:r>
      <w:r w:rsidR="00745C20">
        <w:rPr>
          <w:rFonts w:cs="Times New Roman"/>
          <w:b/>
          <w:szCs w:val="24"/>
        </w:rPr>
        <w:t xml:space="preserve"> </w:t>
      </w:r>
      <w:r w:rsidRPr="00876F82">
        <w:rPr>
          <w:rFonts w:cs="Times New Roman"/>
          <w:szCs w:val="24"/>
        </w:rPr>
        <w:t>było zwiększenie świadomości i bezpieczeństwa konsumentów, w tym w szczególności</w:t>
      </w:r>
      <w:r w:rsidR="00745C20">
        <w:rPr>
          <w:rFonts w:cs="Times New Roman"/>
          <w:b/>
          <w:szCs w:val="24"/>
        </w:rPr>
        <w:t xml:space="preserve"> </w:t>
      </w:r>
      <w:r w:rsidRPr="00876F82">
        <w:rPr>
          <w:rFonts w:cs="Times New Roman"/>
          <w:szCs w:val="24"/>
        </w:rPr>
        <w:t>seniorów.</w:t>
      </w:r>
    </w:p>
    <w:p w14:paraId="5BC15A85" w14:textId="77777777" w:rsidR="00745C20" w:rsidRDefault="00745C20" w:rsidP="00876F82">
      <w:pPr>
        <w:autoSpaceDE w:val="0"/>
        <w:autoSpaceDN w:val="0"/>
        <w:adjustRightInd w:val="0"/>
        <w:rPr>
          <w:rFonts w:cs="Times New Roman"/>
          <w:szCs w:val="24"/>
        </w:rPr>
      </w:pPr>
    </w:p>
    <w:p w14:paraId="56758D78" w14:textId="6A366DE8" w:rsidR="00876F82" w:rsidRDefault="00876F82" w:rsidP="00876F82">
      <w:pPr>
        <w:autoSpaceDE w:val="0"/>
        <w:autoSpaceDN w:val="0"/>
        <w:adjustRightInd w:val="0"/>
        <w:rPr>
          <w:rFonts w:cs="Times New Roman"/>
          <w:szCs w:val="24"/>
        </w:rPr>
      </w:pPr>
      <w:r w:rsidRPr="00876F82">
        <w:rPr>
          <w:rFonts w:cs="Times New Roman"/>
          <w:szCs w:val="24"/>
        </w:rPr>
        <w:t>UOKiK przygotował dwa 30-sekundowe komunikaty – jeden z nich skierowany był</w:t>
      </w:r>
      <w:r w:rsidR="00745C20">
        <w:rPr>
          <w:rFonts w:cs="Times New Roman"/>
          <w:szCs w:val="24"/>
        </w:rPr>
        <w:t xml:space="preserve"> </w:t>
      </w:r>
      <w:r w:rsidRPr="00876F82">
        <w:rPr>
          <w:rFonts w:cs="Times New Roman"/>
          <w:szCs w:val="24"/>
        </w:rPr>
        <w:t>bezpośrednio do seniorów. Urząd ostrzegał w nich przed fałszywymi ofertami produktów</w:t>
      </w:r>
      <w:r w:rsidR="00745C20">
        <w:rPr>
          <w:rFonts w:cs="Times New Roman"/>
          <w:szCs w:val="24"/>
        </w:rPr>
        <w:t xml:space="preserve"> </w:t>
      </w:r>
      <w:r w:rsidRPr="00876F82">
        <w:rPr>
          <w:rFonts w:cs="Times New Roman"/>
          <w:szCs w:val="24"/>
        </w:rPr>
        <w:t>i</w:t>
      </w:r>
      <w:r w:rsidR="00FE113A">
        <w:rPr>
          <w:rFonts w:cs="Times New Roman"/>
          <w:szCs w:val="24"/>
        </w:rPr>
        <w:t> </w:t>
      </w:r>
      <w:r w:rsidRPr="00876F82">
        <w:rPr>
          <w:rFonts w:cs="Times New Roman"/>
          <w:szCs w:val="24"/>
        </w:rPr>
        <w:t>usług, m.in. leczniczych.</w:t>
      </w:r>
      <w:r w:rsidR="00745C20">
        <w:rPr>
          <w:rFonts w:cs="Times New Roman"/>
          <w:szCs w:val="24"/>
        </w:rPr>
        <w:t xml:space="preserve"> </w:t>
      </w:r>
      <w:r w:rsidRPr="00876F82">
        <w:rPr>
          <w:rFonts w:cs="Times New Roman"/>
          <w:szCs w:val="24"/>
        </w:rPr>
        <w:t>Urząd skupił uwagę na najbardziej wrażliwych na oszustwa seniorach, ponieważ to oni</w:t>
      </w:r>
      <w:r w:rsidR="00745C20">
        <w:rPr>
          <w:rFonts w:cs="Times New Roman"/>
          <w:szCs w:val="24"/>
        </w:rPr>
        <w:t xml:space="preserve"> </w:t>
      </w:r>
      <w:r w:rsidRPr="00876F82">
        <w:rPr>
          <w:rFonts w:cs="Times New Roman"/>
          <w:szCs w:val="24"/>
        </w:rPr>
        <w:t>najczęściej nakłaniani są do zakupu produktów i usług, które fałszywie obiecują ochronę</w:t>
      </w:r>
      <w:r w:rsidR="00745C20">
        <w:rPr>
          <w:rFonts w:cs="Times New Roman"/>
          <w:szCs w:val="24"/>
        </w:rPr>
        <w:t xml:space="preserve"> z</w:t>
      </w:r>
      <w:r w:rsidRPr="00876F82">
        <w:rPr>
          <w:rFonts w:cs="Times New Roman"/>
          <w:szCs w:val="24"/>
        </w:rPr>
        <w:t>drowia lub leczenie, np. dzięki działaniu rzekomych leków czy urządzeń. W kampanii</w:t>
      </w:r>
      <w:r w:rsidR="00FE113A">
        <w:rPr>
          <w:rFonts w:cs="Times New Roman"/>
          <w:szCs w:val="24"/>
        </w:rPr>
        <w:t> </w:t>
      </w:r>
      <w:r w:rsidRPr="00876F82">
        <w:rPr>
          <w:rFonts w:cs="Times New Roman"/>
          <w:szCs w:val="24"/>
        </w:rPr>
        <w:t>UOKiK apelował o ostrożność i ograniczone zaufanie do naciągaczy podszywających się pod</w:t>
      </w:r>
      <w:r w:rsidR="00745C20">
        <w:rPr>
          <w:rFonts w:cs="Times New Roman"/>
          <w:szCs w:val="24"/>
        </w:rPr>
        <w:t xml:space="preserve"> </w:t>
      </w:r>
      <w:r w:rsidRPr="00876F82">
        <w:rPr>
          <w:rFonts w:cs="Times New Roman"/>
          <w:szCs w:val="24"/>
        </w:rPr>
        <w:t>lekarzy, ekspertów, renomowane instytuty badawcze czy osoby „uzdrowione”.</w:t>
      </w:r>
      <w:r w:rsidR="00745C20">
        <w:rPr>
          <w:rFonts w:cs="Times New Roman"/>
          <w:szCs w:val="24"/>
        </w:rPr>
        <w:t xml:space="preserve"> </w:t>
      </w:r>
      <w:r w:rsidRPr="00876F82">
        <w:rPr>
          <w:rFonts w:cs="Times New Roman"/>
          <w:szCs w:val="24"/>
        </w:rPr>
        <w:t>Przypomniał, że oszuści stosują sztuczki i manipulacje, na które najbardziej podatni są</w:t>
      </w:r>
      <w:r w:rsidR="00745C20">
        <w:rPr>
          <w:rFonts w:cs="Times New Roman"/>
          <w:szCs w:val="24"/>
        </w:rPr>
        <w:t xml:space="preserve"> </w:t>
      </w:r>
      <w:r w:rsidRPr="00876F82">
        <w:rPr>
          <w:rFonts w:cs="Times New Roman"/>
          <w:szCs w:val="24"/>
        </w:rPr>
        <w:t>nasi rodzice, dziadkowie, starsi sąsiedzi: złudzenie wyjątkowej okazji, fałszywy dług</w:t>
      </w:r>
      <w:r w:rsidR="00745C20">
        <w:rPr>
          <w:rFonts w:cs="Times New Roman"/>
          <w:szCs w:val="24"/>
        </w:rPr>
        <w:t xml:space="preserve"> </w:t>
      </w:r>
      <w:r w:rsidRPr="00876F82">
        <w:rPr>
          <w:rFonts w:cs="Times New Roman"/>
          <w:szCs w:val="24"/>
        </w:rPr>
        <w:t>wdzięczności, zwodnicze wzbudzanie sympatii, rzekome rabaty i gratisy czy konieczność</w:t>
      </w:r>
      <w:r w:rsidR="00745C20">
        <w:rPr>
          <w:rFonts w:cs="Times New Roman"/>
          <w:szCs w:val="24"/>
        </w:rPr>
        <w:t xml:space="preserve"> </w:t>
      </w:r>
      <w:r w:rsidRPr="00876F82">
        <w:rPr>
          <w:rFonts w:cs="Times New Roman"/>
          <w:szCs w:val="24"/>
        </w:rPr>
        <w:t>podjęcia decyzji „tu i teraz”.</w:t>
      </w:r>
      <w:r w:rsidR="00745C20">
        <w:rPr>
          <w:rFonts w:cs="Times New Roman"/>
          <w:szCs w:val="24"/>
        </w:rPr>
        <w:t xml:space="preserve"> </w:t>
      </w:r>
      <w:r w:rsidRPr="00876F82">
        <w:rPr>
          <w:rFonts w:cs="Times New Roman"/>
          <w:szCs w:val="24"/>
        </w:rPr>
        <w:t>W obu spotach UOKiK przypomniał konsumentom o bezpłatnych poradach</w:t>
      </w:r>
      <w:r w:rsidR="00745C20">
        <w:rPr>
          <w:rFonts w:cs="Times New Roman"/>
          <w:szCs w:val="24"/>
        </w:rPr>
        <w:t xml:space="preserve"> </w:t>
      </w:r>
      <w:r w:rsidRPr="00876F82">
        <w:rPr>
          <w:rFonts w:cs="Times New Roman"/>
          <w:szCs w:val="24"/>
        </w:rPr>
        <w:t>udzielanych na</w:t>
      </w:r>
      <w:r w:rsidR="00745C20">
        <w:rPr>
          <w:rFonts w:cs="Times New Roman"/>
          <w:szCs w:val="24"/>
        </w:rPr>
        <w:t xml:space="preserve"> </w:t>
      </w:r>
      <w:r w:rsidRPr="00876F82">
        <w:rPr>
          <w:rFonts w:cs="Times New Roman"/>
          <w:szCs w:val="24"/>
        </w:rPr>
        <w:t xml:space="preserve">Infolinii Konsumenckiej, finansowanej ze środków </w:t>
      </w:r>
      <w:r w:rsidR="00A21F26">
        <w:rPr>
          <w:rFonts w:cs="Times New Roman"/>
          <w:szCs w:val="24"/>
        </w:rPr>
        <w:t>UOKIK.</w:t>
      </w:r>
    </w:p>
    <w:p w14:paraId="48BBE26F" w14:textId="77777777" w:rsidR="00745C20" w:rsidRPr="00876F82" w:rsidRDefault="00745C20" w:rsidP="00876F82">
      <w:pPr>
        <w:autoSpaceDE w:val="0"/>
        <w:autoSpaceDN w:val="0"/>
        <w:adjustRightInd w:val="0"/>
        <w:rPr>
          <w:rFonts w:cs="Times New Roman"/>
          <w:szCs w:val="24"/>
        </w:rPr>
      </w:pPr>
    </w:p>
    <w:p w14:paraId="26A25522" w14:textId="66F59DFB" w:rsidR="00876F82" w:rsidRPr="00745C20" w:rsidRDefault="00876F82" w:rsidP="00876F82">
      <w:pPr>
        <w:autoSpaceDE w:val="0"/>
        <w:autoSpaceDN w:val="0"/>
        <w:adjustRightInd w:val="0"/>
        <w:rPr>
          <w:rFonts w:cs="Times New Roman"/>
          <w:szCs w:val="24"/>
        </w:rPr>
      </w:pPr>
      <w:r w:rsidRPr="00876F82">
        <w:rPr>
          <w:rFonts w:cs="Times New Roman"/>
          <w:szCs w:val="24"/>
        </w:rPr>
        <w:t>W kampanię, na zasadach niekomercyjnych licznie włączyły się media publiczne</w:t>
      </w:r>
      <w:r w:rsidR="00745C20">
        <w:rPr>
          <w:rFonts w:cs="Times New Roman"/>
          <w:szCs w:val="24"/>
        </w:rPr>
        <w:t xml:space="preserve"> </w:t>
      </w:r>
      <w:r w:rsidRPr="00876F82">
        <w:rPr>
          <w:rFonts w:cs="Times New Roman"/>
          <w:szCs w:val="24"/>
        </w:rPr>
        <w:t>i komercyjne</w:t>
      </w:r>
      <w:r w:rsidR="00745C20">
        <w:rPr>
          <w:rFonts w:cs="Times New Roman"/>
          <w:szCs w:val="24"/>
        </w:rPr>
        <w:t xml:space="preserve"> </w:t>
      </w:r>
      <w:r w:rsidRPr="00876F82">
        <w:rPr>
          <w:rFonts w:cs="Times New Roman"/>
          <w:szCs w:val="24"/>
        </w:rPr>
        <w:t>(54 anteny telewizyjne i 27 rozgłośni radiowych), instytucje administracji</w:t>
      </w:r>
      <w:r w:rsidR="00745C20">
        <w:rPr>
          <w:rFonts w:cs="Times New Roman"/>
          <w:szCs w:val="24"/>
        </w:rPr>
        <w:t xml:space="preserve"> </w:t>
      </w:r>
      <w:r w:rsidRPr="00876F82">
        <w:rPr>
          <w:rFonts w:cs="Times New Roman"/>
          <w:szCs w:val="24"/>
        </w:rPr>
        <w:t>państwowej i</w:t>
      </w:r>
      <w:r w:rsidR="00FE113A">
        <w:rPr>
          <w:rFonts w:cs="Times New Roman"/>
          <w:szCs w:val="24"/>
        </w:rPr>
        <w:t> </w:t>
      </w:r>
      <w:r w:rsidRPr="00876F82">
        <w:rPr>
          <w:rFonts w:cs="Times New Roman"/>
          <w:szCs w:val="24"/>
        </w:rPr>
        <w:t>samorządowej (35 podmiotów) oraz przedsiębiorstwa publiczne i firmy</w:t>
      </w:r>
      <w:r w:rsidR="00745C20">
        <w:rPr>
          <w:rFonts w:cs="Times New Roman"/>
          <w:szCs w:val="24"/>
        </w:rPr>
        <w:t xml:space="preserve"> </w:t>
      </w:r>
      <w:r w:rsidRPr="00876F82">
        <w:rPr>
          <w:rFonts w:cs="Times New Roman"/>
          <w:szCs w:val="24"/>
        </w:rPr>
        <w:t>prywatne.</w:t>
      </w:r>
      <w:r w:rsidRPr="00876F82">
        <w:t xml:space="preserve"> </w:t>
      </w:r>
    </w:p>
    <w:p w14:paraId="3CA8C840" w14:textId="77777777" w:rsidR="00876F82" w:rsidRDefault="00876F82" w:rsidP="00876F82">
      <w:pPr>
        <w:autoSpaceDE w:val="0"/>
        <w:autoSpaceDN w:val="0"/>
        <w:adjustRightInd w:val="0"/>
      </w:pPr>
    </w:p>
    <w:p w14:paraId="3217235B" w14:textId="77777777" w:rsidR="00876F82" w:rsidRPr="00876F82" w:rsidRDefault="00876F82" w:rsidP="00876F82">
      <w:pPr>
        <w:autoSpaceDE w:val="0"/>
        <w:autoSpaceDN w:val="0"/>
        <w:adjustRightInd w:val="0"/>
        <w:rPr>
          <w:rFonts w:cs="Times New Roman"/>
          <w:b/>
          <w:szCs w:val="24"/>
        </w:rPr>
      </w:pPr>
      <w:r w:rsidRPr="00876F82">
        <w:rPr>
          <w:rFonts w:cs="Times New Roman"/>
          <w:b/>
          <w:szCs w:val="24"/>
        </w:rPr>
        <w:t>Akcja „Dzień Seniora”</w:t>
      </w:r>
    </w:p>
    <w:p w14:paraId="50B05D03" w14:textId="45233C4A" w:rsidR="00876F82" w:rsidRDefault="00876F82" w:rsidP="00876F82">
      <w:pPr>
        <w:autoSpaceDE w:val="0"/>
        <w:autoSpaceDN w:val="0"/>
        <w:adjustRightInd w:val="0"/>
        <w:rPr>
          <w:rFonts w:cs="Times New Roman"/>
          <w:szCs w:val="24"/>
        </w:rPr>
      </w:pPr>
      <w:r w:rsidRPr="00876F82">
        <w:rPr>
          <w:rFonts w:cs="Times New Roman"/>
          <w:szCs w:val="24"/>
        </w:rPr>
        <w:t>W 2020 r. UOKiK po raz kolejny przystąpił do akcji „Dzień Seniora”, organizowanej przez</w:t>
      </w:r>
      <w:r w:rsidR="00FE113A">
        <w:rPr>
          <w:rFonts w:cs="Times New Roman"/>
          <w:szCs w:val="24"/>
        </w:rPr>
        <w:t xml:space="preserve"> </w:t>
      </w:r>
      <w:r w:rsidRPr="00876F82">
        <w:rPr>
          <w:rFonts w:cs="Times New Roman"/>
          <w:szCs w:val="24"/>
        </w:rPr>
        <w:t>ZUS i Polski Związek Emerytów, Rencistów i Inwalidów. Partnerzy inicjatywy – UOKiK, NFZ,</w:t>
      </w:r>
      <w:r w:rsidR="00745C20">
        <w:rPr>
          <w:rFonts w:cs="Times New Roman"/>
          <w:szCs w:val="24"/>
        </w:rPr>
        <w:t xml:space="preserve"> </w:t>
      </w:r>
      <w:r w:rsidRPr="00876F82">
        <w:rPr>
          <w:rFonts w:cs="Times New Roman"/>
          <w:szCs w:val="24"/>
        </w:rPr>
        <w:t>PFRON, RPP, RPO – wspólnie przygotowali dla seniorów porady opublikowane w</w:t>
      </w:r>
      <w:r w:rsidR="00FE113A">
        <w:rPr>
          <w:rFonts w:cs="Times New Roman"/>
          <w:szCs w:val="24"/>
        </w:rPr>
        <w:t> </w:t>
      </w:r>
      <w:r w:rsidRPr="00876F82">
        <w:rPr>
          <w:rFonts w:cs="Times New Roman"/>
          <w:szCs w:val="24"/>
        </w:rPr>
        <w:t>magazynie</w:t>
      </w:r>
      <w:r w:rsidR="00745C20">
        <w:rPr>
          <w:rFonts w:cs="Times New Roman"/>
          <w:szCs w:val="24"/>
        </w:rPr>
        <w:t xml:space="preserve"> </w:t>
      </w:r>
      <w:r w:rsidRPr="00876F82">
        <w:rPr>
          <w:rFonts w:cs="Times New Roman"/>
          <w:szCs w:val="24"/>
        </w:rPr>
        <w:t>ZUS dla Seniora. Do części nakładu dołączony był magnes z poradą konsumencką od UOKiK.</w:t>
      </w:r>
      <w:r w:rsidR="00745C20">
        <w:rPr>
          <w:rFonts w:cs="Times New Roman"/>
          <w:szCs w:val="24"/>
        </w:rPr>
        <w:t xml:space="preserve"> </w:t>
      </w:r>
      <w:r w:rsidRPr="00876F82">
        <w:rPr>
          <w:rFonts w:cs="Times New Roman"/>
          <w:szCs w:val="24"/>
        </w:rPr>
        <w:t>Delegatura UOKiK w Krakowie kontynuowała akcję "Poznaj swojego</w:t>
      </w:r>
      <w:r w:rsidR="00745C20">
        <w:rPr>
          <w:rFonts w:cs="Times New Roman"/>
          <w:szCs w:val="24"/>
        </w:rPr>
        <w:t xml:space="preserve"> </w:t>
      </w:r>
      <w:r w:rsidRPr="00876F82">
        <w:rPr>
          <w:rFonts w:cs="Times New Roman"/>
          <w:szCs w:val="24"/>
        </w:rPr>
        <w:t>kontrahenta", która</w:t>
      </w:r>
      <w:r w:rsidR="00745C20">
        <w:rPr>
          <w:rFonts w:cs="Times New Roman"/>
          <w:szCs w:val="24"/>
        </w:rPr>
        <w:t xml:space="preserve"> </w:t>
      </w:r>
      <w:r w:rsidRPr="00876F82">
        <w:rPr>
          <w:rFonts w:cs="Times New Roman"/>
          <w:szCs w:val="24"/>
        </w:rPr>
        <w:t>polega na wystosowywaniu specjalnych pism do przedsiębiorców, prowadzących lokale</w:t>
      </w:r>
      <w:r w:rsidR="00745C20">
        <w:rPr>
          <w:rFonts w:cs="Times New Roman"/>
          <w:szCs w:val="24"/>
        </w:rPr>
        <w:t xml:space="preserve"> </w:t>
      </w:r>
      <w:r w:rsidRPr="00876F82">
        <w:rPr>
          <w:rFonts w:cs="Times New Roman"/>
          <w:szCs w:val="24"/>
        </w:rPr>
        <w:t>wynajmowane na prowadzenie tzw. "pokazów". W pismach tych zwracamy uwagę na</w:t>
      </w:r>
      <w:r w:rsidR="00745C20">
        <w:rPr>
          <w:rFonts w:cs="Times New Roman"/>
          <w:szCs w:val="24"/>
        </w:rPr>
        <w:t xml:space="preserve"> </w:t>
      </w:r>
      <w:r w:rsidRPr="00876F82">
        <w:rPr>
          <w:rFonts w:cs="Times New Roman"/>
          <w:szCs w:val="24"/>
        </w:rPr>
        <w:t>możliwe pośrednie uczestniczenie właściciela/dzierżawcy lokalu w</w:t>
      </w:r>
      <w:r w:rsidR="00FE113A">
        <w:rPr>
          <w:rFonts w:cs="Times New Roman"/>
          <w:szCs w:val="24"/>
        </w:rPr>
        <w:t> </w:t>
      </w:r>
      <w:r w:rsidRPr="00876F82">
        <w:rPr>
          <w:rFonts w:cs="Times New Roman"/>
          <w:szCs w:val="24"/>
        </w:rPr>
        <w:t>nieetycznym</w:t>
      </w:r>
      <w:r w:rsidR="00745C20">
        <w:rPr>
          <w:rFonts w:cs="Times New Roman"/>
          <w:szCs w:val="24"/>
        </w:rPr>
        <w:t xml:space="preserve"> </w:t>
      </w:r>
      <w:r w:rsidRPr="00876F82">
        <w:rPr>
          <w:rFonts w:cs="Times New Roman"/>
          <w:szCs w:val="24"/>
        </w:rPr>
        <w:t>procederze organizowania wydarzeń o charakterze handlowym, które są</w:t>
      </w:r>
      <w:r w:rsidR="00FE113A">
        <w:rPr>
          <w:rFonts w:cs="Times New Roman"/>
          <w:szCs w:val="24"/>
        </w:rPr>
        <w:t> </w:t>
      </w:r>
      <w:r w:rsidRPr="00876F82">
        <w:rPr>
          <w:rFonts w:cs="Times New Roman"/>
          <w:szCs w:val="24"/>
        </w:rPr>
        <w:t>bezpośrednio</w:t>
      </w:r>
      <w:r w:rsidR="00745C20">
        <w:rPr>
          <w:rFonts w:cs="Times New Roman"/>
          <w:szCs w:val="24"/>
        </w:rPr>
        <w:t xml:space="preserve"> </w:t>
      </w:r>
      <w:r w:rsidRPr="00876F82">
        <w:rPr>
          <w:rFonts w:cs="Times New Roman"/>
          <w:szCs w:val="24"/>
        </w:rPr>
        <w:t>zorientowane na zawieranie umów sprzedaży poza lokalem przedsiębiorstwa. W 2020</w:t>
      </w:r>
      <w:r w:rsidR="00745C20">
        <w:rPr>
          <w:rFonts w:cs="Times New Roman"/>
          <w:szCs w:val="24"/>
        </w:rPr>
        <w:t xml:space="preserve"> </w:t>
      </w:r>
      <w:r w:rsidR="004D289B">
        <w:rPr>
          <w:rFonts w:cs="Times New Roman"/>
          <w:szCs w:val="24"/>
        </w:rPr>
        <w:t xml:space="preserve">r. </w:t>
      </w:r>
      <w:r w:rsidRPr="00876F82">
        <w:rPr>
          <w:rFonts w:cs="Times New Roman"/>
          <w:szCs w:val="24"/>
        </w:rPr>
        <w:t>wystosowaliśmy 7 takich pism.</w:t>
      </w:r>
    </w:p>
    <w:p w14:paraId="18ED122F" w14:textId="77777777" w:rsidR="00876F82" w:rsidRDefault="00876F82" w:rsidP="00876F82">
      <w:pPr>
        <w:autoSpaceDE w:val="0"/>
        <w:autoSpaceDN w:val="0"/>
        <w:adjustRightInd w:val="0"/>
        <w:rPr>
          <w:rFonts w:cs="Times New Roman"/>
          <w:szCs w:val="24"/>
        </w:rPr>
      </w:pPr>
    </w:p>
    <w:p w14:paraId="59DF6399" w14:textId="1ADAAD10" w:rsidR="00876F82" w:rsidRDefault="00745C20" w:rsidP="00876F82">
      <w:pPr>
        <w:pStyle w:val="Nagwek3"/>
      </w:pPr>
      <w:bookmarkStart w:id="121" w:name="_Toc77513943"/>
      <w:bookmarkStart w:id="122" w:name="_Toc80523098"/>
      <w:r>
        <w:t>Realizacja działań władczych na rzecz osób starszych</w:t>
      </w:r>
      <w:bookmarkEnd w:id="121"/>
      <w:bookmarkEnd w:id="122"/>
    </w:p>
    <w:p w14:paraId="47DFF09D" w14:textId="77777777" w:rsidR="00745C20" w:rsidRDefault="00745C20" w:rsidP="00876F82">
      <w:pPr>
        <w:rPr>
          <w:rFonts w:cs="Times New Roman"/>
          <w:szCs w:val="24"/>
        </w:rPr>
      </w:pPr>
    </w:p>
    <w:p w14:paraId="47D21516" w14:textId="77777777" w:rsidR="00FE113A" w:rsidRDefault="00876F82" w:rsidP="00876F82">
      <w:pPr>
        <w:rPr>
          <w:rFonts w:cs="Times New Roman"/>
          <w:szCs w:val="24"/>
        </w:rPr>
      </w:pPr>
      <w:r w:rsidRPr="00876F82">
        <w:rPr>
          <w:rFonts w:cs="Times New Roman"/>
          <w:szCs w:val="24"/>
        </w:rPr>
        <w:t>Należy wskazać, że celem działań podejmowanych przez Pre</w:t>
      </w:r>
      <w:r>
        <w:rPr>
          <w:rFonts w:cs="Times New Roman"/>
          <w:szCs w:val="24"/>
        </w:rPr>
        <w:t>zesa UOKiK jest ochrona</w:t>
      </w:r>
      <w:r w:rsidR="00A07764">
        <w:rPr>
          <w:rFonts w:cs="Times New Roman"/>
          <w:szCs w:val="24"/>
        </w:rPr>
        <w:t xml:space="preserve"> </w:t>
      </w:r>
      <w:r w:rsidRPr="00876F82">
        <w:rPr>
          <w:rFonts w:cs="Times New Roman"/>
          <w:szCs w:val="24"/>
        </w:rPr>
        <w:t>wszystkich nieprofesjonalnych uczestników obrotu g</w:t>
      </w:r>
      <w:r>
        <w:rPr>
          <w:rFonts w:cs="Times New Roman"/>
          <w:szCs w:val="24"/>
        </w:rPr>
        <w:t>ospodarczego, bez faworyzowania</w:t>
      </w:r>
      <w:r w:rsidR="00745C20">
        <w:rPr>
          <w:rFonts w:cs="Times New Roman"/>
          <w:szCs w:val="24"/>
        </w:rPr>
        <w:t xml:space="preserve"> </w:t>
      </w:r>
      <w:r w:rsidRPr="00876F82">
        <w:rPr>
          <w:rFonts w:cs="Times New Roman"/>
          <w:szCs w:val="24"/>
        </w:rPr>
        <w:t>wybranej grupy konsumentów. Niezależnie od powyższego, Prezes UOKiK ma na uwadze</w:t>
      </w:r>
      <w:r w:rsidR="00745C20">
        <w:rPr>
          <w:rFonts w:cs="Times New Roman"/>
          <w:szCs w:val="24"/>
        </w:rPr>
        <w:t xml:space="preserve"> </w:t>
      </w:r>
      <w:r w:rsidRPr="00876F82">
        <w:rPr>
          <w:rFonts w:cs="Times New Roman"/>
          <w:szCs w:val="24"/>
        </w:rPr>
        <w:t>fakt, że do grupy szczególnie narażonej na negatywne oddziaływanie zakazanych praktyk</w:t>
      </w:r>
      <w:r w:rsidR="00745C20">
        <w:rPr>
          <w:rFonts w:cs="Times New Roman"/>
          <w:szCs w:val="24"/>
        </w:rPr>
        <w:t xml:space="preserve"> </w:t>
      </w:r>
      <w:r w:rsidRPr="00876F82">
        <w:rPr>
          <w:rFonts w:cs="Times New Roman"/>
          <w:szCs w:val="24"/>
        </w:rPr>
        <w:t>handlowych, stosowanych przez przedsiębiorców, należą osoby starsze. Istotnym</w:t>
      </w:r>
      <w:r w:rsidR="00745C20">
        <w:rPr>
          <w:rFonts w:cs="Times New Roman"/>
          <w:szCs w:val="24"/>
        </w:rPr>
        <w:t xml:space="preserve"> </w:t>
      </w:r>
      <w:r w:rsidRPr="00876F82">
        <w:rPr>
          <w:rFonts w:cs="Times New Roman"/>
          <w:szCs w:val="24"/>
        </w:rPr>
        <w:t>problemem identyfikowanym przez Prezesa Urzędu pozostają nieuczciwe praktyki</w:t>
      </w:r>
      <w:r w:rsidR="00745C20">
        <w:rPr>
          <w:rFonts w:cs="Times New Roman"/>
          <w:szCs w:val="24"/>
        </w:rPr>
        <w:t xml:space="preserve"> </w:t>
      </w:r>
      <w:r w:rsidRPr="00876F82">
        <w:rPr>
          <w:rFonts w:cs="Times New Roman"/>
          <w:szCs w:val="24"/>
        </w:rPr>
        <w:t>stosowane przez przedsiębiorców działających na rynku sprzedaży bezpośredniej, czyli</w:t>
      </w:r>
      <w:r w:rsidR="00745C20">
        <w:rPr>
          <w:rFonts w:cs="Times New Roman"/>
          <w:szCs w:val="24"/>
        </w:rPr>
        <w:t xml:space="preserve"> </w:t>
      </w:r>
      <w:r w:rsidRPr="00876F82">
        <w:rPr>
          <w:rFonts w:cs="Times New Roman"/>
          <w:szCs w:val="24"/>
        </w:rPr>
        <w:t xml:space="preserve">zajmujących się </w:t>
      </w:r>
      <w:r w:rsidRPr="00876F82">
        <w:rPr>
          <w:rFonts w:cs="Times New Roman"/>
          <w:szCs w:val="24"/>
        </w:rPr>
        <w:lastRenderedPageBreak/>
        <w:t>sprzedażą towarów i usług poza lokalem przedsiębiorstwa (podczas</w:t>
      </w:r>
      <w:r w:rsidR="00745C20">
        <w:rPr>
          <w:rFonts w:cs="Times New Roman"/>
          <w:szCs w:val="24"/>
        </w:rPr>
        <w:t xml:space="preserve"> </w:t>
      </w:r>
      <w:r w:rsidRPr="00876F82">
        <w:rPr>
          <w:rFonts w:cs="Times New Roman"/>
          <w:szCs w:val="24"/>
        </w:rPr>
        <w:t>pokazów, prezentacji, wykładów, pielgrzymek, wycieczek, pobytów w sanatoriach).</w:t>
      </w:r>
    </w:p>
    <w:p w14:paraId="7F93D8AF" w14:textId="77777777" w:rsidR="00FE113A" w:rsidRDefault="00FE113A" w:rsidP="00876F82">
      <w:pPr>
        <w:rPr>
          <w:rFonts w:cs="Times New Roman"/>
          <w:szCs w:val="24"/>
        </w:rPr>
      </w:pPr>
    </w:p>
    <w:p w14:paraId="5F43D816" w14:textId="77777777" w:rsidR="00FE113A" w:rsidRDefault="00876F82" w:rsidP="00876F82">
      <w:r w:rsidRPr="00876F82">
        <w:rPr>
          <w:rFonts w:cs="Times New Roman"/>
          <w:szCs w:val="24"/>
        </w:rPr>
        <w:t>Praktyki te, w głównej mierze dotykają właśnie seniorów. Przedsiębiorcy, wykorzystując</w:t>
      </w:r>
      <w:r w:rsidR="00FE113A">
        <w:rPr>
          <w:rFonts w:cs="Times New Roman"/>
          <w:szCs w:val="24"/>
        </w:rPr>
        <w:t xml:space="preserve"> </w:t>
      </w:r>
      <w:r w:rsidRPr="00876F82">
        <w:rPr>
          <w:rFonts w:cs="Times New Roman"/>
          <w:szCs w:val="24"/>
        </w:rPr>
        <w:t>wiek konsumentów, jak również sytuację rodzinną potencjalnych nabywców oferowanych</w:t>
      </w:r>
      <w:r w:rsidR="00FE113A">
        <w:rPr>
          <w:rFonts w:cs="Times New Roman"/>
          <w:szCs w:val="24"/>
        </w:rPr>
        <w:t xml:space="preserve"> </w:t>
      </w:r>
      <w:r w:rsidRPr="00876F82">
        <w:rPr>
          <w:rFonts w:cs="Times New Roman"/>
          <w:szCs w:val="24"/>
        </w:rPr>
        <w:t>przez nich towarów, często prowadzą działalność na pograniczu prawa, naganną etycznie</w:t>
      </w:r>
      <w:r w:rsidR="00FE113A">
        <w:rPr>
          <w:rFonts w:cs="Times New Roman"/>
          <w:szCs w:val="24"/>
        </w:rPr>
        <w:t xml:space="preserve"> </w:t>
      </w:r>
      <w:r w:rsidRPr="00876F82">
        <w:rPr>
          <w:rFonts w:cs="Times New Roman"/>
          <w:szCs w:val="24"/>
        </w:rPr>
        <w:t>lub wręcz przestępczą. W rezultacie konsumenci nabywają rzeczy wątpliwej jakości</w:t>
      </w:r>
      <w:r w:rsidR="00FE113A">
        <w:rPr>
          <w:rFonts w:cs="Times New Roman"/>
          <w:szCs w:val="24"/>
        </w:rPr>
        <w:t xml:space="preserve"> </w:t>
      </w:r>
      <w:r w:rsidRPr="00876F82">
        <w:rPr>
          <w:rFonts w:cs="Times New Roman"/>
          <w:szCs w:val="24"/>
        </w:rPr>
        <w:t>i skuteczności, zazwyczaj za cenę znacznie wyższą od ich obiektywnej wartości rynkowej,</w:t>
      </w:r>
      <w:r w:rsidR="00FE113A">
        <w:rPr>
          <w:rFonts w:cs="Times New Roman"/>
          <w:szCs w:val="24"/>
        </w:rPr>
        <w:t xml:space="preserve"> </w:t>
      </w:r>
      <w:r w:rsidRPr="00876F82">
        <w:rPr>
          <w:rFonts w:cs="Times New Roman"/>
          <w:szCs w:val="24"/>
        </w:rPr>
        <w:t>często zaciągając</w:t>
      </w:r>
      <w:r w:rsidR="00FE113A">
        <w:rPr>
          <w:rFonts w:cs="Times New Roman"/>
          <w:szCs w:val="24"/>
        </w:rPr>
        <w:t xml:space="preserve"> </w:t>
      </w:r>
      <w:r w:rsidRPr="00876F82">
        <w:rPr>
          <w:rFonts w:cs="Times New Roman"/>
          <w:szCs w:val="24"/>
        </w:rPr>
        <w:t>na ten cel wieloletnie zobowiązania kredytowe. Istotny jest również</w:t>
      </w:r>
      <w:r w:rsidR="00FE113A">
        <w:rPr>
          <w:rFonts w:cs="Times New Roman"/>
          <w:szCs w:val="24"/>
        </w:rPr>
        <w:t xml:space="preserve"> </w:t>
      </w:r>
      <w:r w:rsidRPr="00876F82">
        <w:rPr>
          <w:rFonts w:cs="Times New Roman"/>
          <w:szCs w:val="24"/>
        </w:rPr>
        <w:t>fakt, że niejednokrotnie</w:t>
      </w:r>
      <w:r w:rsidR="00FE113A">
        <w:rPr>
          <w:rFonts w:cs="Times New Roman"/>
          <w:szCs w:val="24"/>
        </w:rPr>
        <w:t xml:space="preserve"> </w:t>
      </w:r>
      <w:r w:rsidRPr="00876F82">
        <w:rPr>
          <w:rFonts w:cs="Times New Roman"/>
          <w:szCs w:val="24"/>
        </w:rPr>
        <w:t>bardzo trudno jest zidentyfikować przedsiębiorcę</w:t>
      </w:r>
      <w:r w:rsidR="00FE113A">
        <w:rPr>
          <w:rFonts w:cs="Times New Roman"/>
          <w:szCs w:val="24"/>
        </w:rPr>
        <w:t xml:space="preserve"> </w:t>
      </w:r>
      <w:r w:rsidRPr="00876F82">
        <w:rPr>
          <w:rFonts w:cs="Times New Roman"/>
          <w:szCs w:val="24"/>
        </w:rPr>
        <w:t>odpowiedzialnego za realizację umowy, bowiem w całym procesie sprzedaży najczęściej</w:t>
      </w:r>
      <w:r w:rsidR="00FE113A">
        <w:rPr>
          <w:rFonts w:cs="Times New Roman"/>
          <w:szCs w:val="24"/>
        </w:rPr>
        <w:t xml:space="preserve"> </w:t>
      </w:r>
      <w:r w:rsidRPr="00876F82">
        <w:rPr>
          <w:rFonts w:cs="Times New Roman"/>
          <w:szCs w:val="24"/>
        </w:rPr>
        <w:t>uczestniczy kilka podmiotów – jeden podmiot kontaktuje się telefonicznie z konsumentem,</w:t>
      </w:r>
      <w:r w:rsidR="00FE113A">
        <w:rPr>
          <w:rFonts w:cs="Times New Roman"/>
          <w:szCs w:val="24"/>
        </w:rPr>
        <w:t xml:space="preserve"> </w:t>
      </w:r>
      <w:r w:rsidRPr="00876F82">
        <w:rPr>
          <w:rFonts w:cs="Times New Roman"/>
          <w:szCs w:val="24"/>
        </w:rPr>
        <w:t>inny udostępnia przestrzeń, jeszcze inny prowadzi prezentację na pokazie, a ostatecznie</w:t>
      </w:r>
      <w:r w:rsidR="00FE113A">
        <w:rPr>
          <w:rFonts w:cs="Times New Roman"/>
          <w:szCs w:val="24"/>
        </w:rPr>
        <w:t xml:space="preserve"> </w:t>
      </w:r>
      <w:r w:rsidRPr="00876F82">
        <w:rPr>
          <w:rFonts w:cs="Times New Roman"/>
          <w:szCs w:val="24"/>
        </w:rPr>
        <w:t>zupełnie inny podmiot znajduje się na umowie sprzedaży zawartej z konsumentem.</w:t>
      </w:r>
      <w:r w:rsidRPr="00876F82">
        <w:t xml:space="preserve"> </w:t>
      </w:r>
    </w:p>
    <w:p w14:paraId="5FC08C00" w14:textId="77777777" w:rsidR="00FE113A" w:rsidRDefault="00FE113A" w:rsidP="00876F82"/>
    <w:p w14:paraId="4761E30D" w14:textId="135DC515" w:rsidR="00876F82" w:rsidRDefault="00876F82" w:rsidP="00876F82">
      <w:pPr>
        <w:rPr>
          <w:rFonts w:cs="Times New Roman"/>
          <w:szCs w:val="24"/>
        </w:rPr>
      </w:pPr>
      <w:r w:rsidRPr="00876F82">
        <w:rPr>
          <w:rFonts w:cs="Times New Roman"/>
          <w:szCs w:val="24"/>
        </w:rPr>
        <w:t xml:space="preserve">Inną formą sprzedaży poza lokalem przedsiębiorstwa jest tzw. sprzedaż </w:t>
      </w:r>
      <w:proofErr w:type="spellStart"/>
      <w:r w:rsidRPr="00876F82">
        <w:rPr>
          <w:rFonts w:cs="Times New Roman"/>
          <w:szCs w:val="24"/>
        </w:rPr>
        <w:t>door</w:t>
      </w:r>
      <w:proofErr w:type="spellEnd"/>
      <w:r w:rsidRPr="00876F82">
        <w:rPr>
          <w:rFonts w:cs="Times New Roman"/>
          <w:szCs w:val="24"/>
        </w:rPr>
        <w:t>-to-</w:t>
      </w:r>
      <w:proofErr w:type="spellStart"/>
      <w:r w:rsidRPr="00876F82">
        <w:rPr>
          <w:rFonts w:cs="Times New Roman"/>
          <w:szCs w:val="24"/>
        </w:rPr>
        <w:t>door</w:t>
      </w:r>
      <w:proofErr w:type="spellEnd"/>
      <w:r w:rsidRPr="00876F82">
        <w:rPr>
          <w:rFonts w:cs="Times New Roman"/>
          <w:szCs w:val="24"/>
        </w:rPr>
        <w:t>,</w:t>
      </w:r>
      <w:r w:rsidR="00FE113A">
        <w:rPr>
          <w:rFonts w:cs="Times New Roman"/>
          <w:szCs w:val="24"/>
        </w:rPr>
        <w:t xml:space="preserve"> </w:t>
      </w:r>
      <w:r w:rsidRPr="00876F82">
        <w:rPr>
          <w:rFonts w:cs="Times New Roman"/>
          <w:szCs w:val="24"/>
        </w:rPr>
        <w:t>w ramach</w:t>
      </w:r>
      <w:r w:rsidR="00FE113A">
        <w:rPr>
          <w:rFonts w:cs="Times New Roman"/>
          <w:szCs w:val="24"/>
        </w:rPr>
        <w:t xml:space="preserve"> </w:t>
      </w:r>
      <w:r w:rsidRPr="00876F82">
        <w:rPr>
          <w:rFonts w:cs="Times New Roman"/>
          <w:szCs w:val="24"/>
        </w:rPr>
        <w:t>której przedsiębiorcy, w trakcie wizyt składanych konsumentom w ich miejscach</w:t>
      </w:r>
      <w:r w:rsidR="00FE113A">
        <w:rPr>
          <w:rFonts w:cs="Times New Roman"/>
          <w:szCs w:val="24"/>
        </w:rPr>
        <w:t xml:space="preserve"> </w:t>
      </w:r>
      <w:r w:rsidRPr="00876F82">
        <w:rPr>
          <w:rFonts w:cs="Times New Roman"/>
          <w:szCs w:val="24"/>
        </w:rPr>
        <w:t>zamieszkania, częstokroć udzielają im nieprawdziwych lub wprowadzających w błąd</w:t>
      </w:r>
      <w:r w:rsidR="00FE113A">
        <w:rPr>
          <w:rFonts w:cs="Times New Roman"/>
          <w:szCs w:val="24"/>
        </w:rPr>
        <w:t xml:space="preserve"> </w:t>
      </w:r>
      <w:r w:rsidRPr="00876F82">
        <w:rPr>
          <w:rFonts w:cs="Times New Roman"/>
          <w:szCs w:val="24"/>
        </w:rPr>
        <w:t>informacji dotyczących oferty. Konsumenci, w tym w również osoby starsze, są</w:t>
      </w:r>
      <w:r w:rsidR="00FE113A">
        <w:rPr>
          <w:rFonts w:cs="Times New Roman"/>
          <w:szCs w:val="24"/>
        </w:rPr>
        <w:t xml:space="preserve"> </w:t>
      </w:r>
      <w:r w:rsidRPr="00876F82">
        <w:rPr>
          <w:rFonts w:cs="Times New Roman"/>
          <w:szCs w:val="24"/>
        </w:rPr>
        <w:t>wprowadzani przez przedstawicieli przedsiębiorców w błąd, m.in. co do tożsamości</w:t>
      </w:r>
      <w:r w:rsidR="00FE113A">
        <w:rPr>
          <w:rFonts w:cs="Times New Roman"/>
          <w:szCs w:val="24"/>
        </w:rPr>
        <w:t xml:space="preserve"> </w:t>
      </w:r>
      <w:r w:rsidRPr="00876F82">
        <w:rPr>
          <w:rFonts w:cs="Times New Roman"/>
          <w:szCs w:val="24"/>
        </w:rPr>
        <w:t>przedsiębiorcy, z którym zawierana jest umowa. Kolejnym naruszeniem jest niespełnienie</w:t>
      </w:r>
      <w:r w:rsidR="00FE113A">
        <w:rPr>
          <w:rFonts w:cs="Times New Roman"/>
          <w:szCs w:val="24"/>
        </w:rPr>
        <w:t xml:space="preserve"> </w:t>
      </w:r>
      <w:r w:rsidRPr="00876F82">
        <w:rPr>
          <w:rFonts w:cs="Times New Roman"/>
          <w:szCs w:val="24"/>
        </w:rPr>
        <w:t>wymogów informacyjnych z ustawy z dnia 30 maja 2014 r. o prawach konsumenta</w:t>
      </w:r>
      <w:r w:rsidR="00FE113A">
        <w:rPr>
          <w:rFonts w:cs="Times New Roman"/>
          <w:szCs w:val="24"/>
        </w:rPr>
        <w:t xml:space="preserve"> </w:t>
      </w:r>
      <w:r w:rsidRPr="00876F82">
        <w:rPr>
          <w:rFonts w:cs="Times New Roman"/>
          <w:szCs w:val="24"/>
        </w:rPr>
        <w:t>(</w:t>
      </w:r>
      <w:proofErr w:type="spellStart"/>
      <w:r w:rsidRPr="00876F82">
        <w:rPr>
          <w:rFonts w:cs="Times New Roman"/>
          <w:szCs w:val="24"/>
        </w:rPr>
        <w:t>tDz.U</w:t>
      </w:r>
      <w:proofErr w:type="spellEnd"/>
      <w:r w:rsidRPr="00876F82">
        <w:rPr>
          <w:rFonts w:cs="Times New Roman"/>
          <w:szCs w:val="24"/>
        </w:rPr>
        <w:t>. z 20</w:t>
      </w:r>
      <w:r w:rsidR="00A21F26">
        <w:rPr>
          <w:rFonts w:cs="Times New Roman"/>
          <w:szCs w:val="24"/>
        </w:rPr>
        <w:t>20</w:t>
      </w:r>
      <w:r w:rsidRPr="00876F82">
        <w:rPr>
          <w:rFonts w:cs="Times New Roman"/>
          <w:szCs w:val="24"/>
        </w:rPr>
        <w:t xml:space="preserve"> r. poz. </w:t>
      </w:r>
      <w:r w:rsidR="00A21F26">
        <w:rPr>
          <w:rFonts w:cs="Times New Roman"/>
          <w:szCs w:val="24"/>
        </w:rPr>
        <w:t>287),</w:t>
      </w:r>
      <w:r w:rsidRPr="00876F82">
        <w:rPr>
          <w:rFonts w:cs="Times New Roman"/>
          <w:szCs w:val="24"/>
        </w:rPr>
        <w:t xml:space="preserve"> dalej: „ustawa o prawach konsumenta” lub „</w:t>
      </w:r>
      <w:proofErr w:type="spellStart"/>
      <w:r w:rsidRPr="00876F82">
        <w:rPr>
          <w:rFonts w:cs="Times New Roman"/>
          <w:szCs w:val="24"/>
        </w:rPr>
        <w:t>upk</w:t>
      </w:r>
      <w:proofErr w:type="spellEnd"/>
      <w:r w:rsidRPr="00876F82">
        <w:rPr>
          <w:rFonts w:cs="Times New Roman"/>
          <w:szCs w:val="24"/>
        </w:rPr>
        <w:t>”) oraz</w:t>
      </w:r>
      <w:r w:rsidR="00FE113A">
        <w:rPr>
          <w:rFonts w:cs="Times New Roman"/>
          <w:szCs w:val="24"/>
        </w:rPr>
        <w:t xml:space="preserve"> </w:t>
      </w:r>
      <w:r w:rsidRPr="00876F82">
        <w:rPr>
          <w:rFonts w:cs="Times New Roman"/>
          <w:szCs w:val="24"/>
        </w:rPr>
        <w:t>utrudnianie konsumentom skorzystania z prawa odstąpienia od umowy przejawiające się</w:t>
      </w:r>
      <w:r w:rsidR="00FE113A">
        <w:rPr>
          <w:rFonts w:cs="Times New Roman"/>
          <w:szCs w:val="24"/>
        </w:rPr>
        <w:t xml:space="preserve"> </w:t>
      </w:r>
      <w:r w:rsidRPr="00876F82">
        <w:rPr>
          <w:rFonts w:cs="Times New Roman"/>
          <w:szCs w:val="24"/>
        </w:rPr>
        <w:t>m.in. nieinformowaniem konsumentów o przysługującym im prawie do odstąpienia od</w:t>
      </w:r>
      <w:r w:rsidR="00FE113A">
        <w:rPr>
          <w:rFonts w:cs="Times New Roman"/>
          <w:szCs w:val="24"/>
        </w:rPr>
        <w:t xml:space="preserve"> </w:t>
      </w:r>
      <w:r w:rsidRPr="00876F82">
        <w:rPr>
          <w:rFonts w:cs="Times New Roman"/>
          <w:szCs w:val="24"/>
        </w:rPr>
        <w:t>umowy, niewydawaniem im wzoru oświadczenia lub formularza odstąpienia od umowy, czy</w:t>
      </w:r>
      <w:r w:rsidR="00FE113A">
        <w:rPr>
          <w:rFonts w:cs="Times New Roman"/>
          <w:szCs w:val="24"/>
        </w:rPr>
        <w:t xml:space="preserve"> </w:t>
      </w:r>
      <w:r w:rsidRPr="00876F82">
        <w:rPr>
          <w:rFonts w:cs="Times New Roman"/>
          <w:szCs w:val="24"/>
        </w:rPr>
        <w:t>kierowaniem do konsumentów rachunków i wezwań do zapłaty zaległych faktur lub kary</w:t>
      </w:r>
      <w:r w:rsidR="00FE113A">
        <w:rPr>
          <w:rFonts w:cs="Times New Roman"/>
          <w:szCs w:val="24"/>
        </w:rPr>
        <w:t xml:space="preserve"> </w:t>
      </w:r>
      <w:r w:rsidRPr="00876F82">
        <w:rPr>
          <w:rFonts w:cs="Times New Roman"/>
          <w:szCs w:val="24"/>
        </w:rPr>
        <w:t>umownej, mimo złożenia przez nabywcę oświadczenia o odstąpieniu od umowy. Powyższe</w:t>
      </w:r>
      <w:r w:rsidR="00FE113A">
        <w:rPr>
          <w:rFonts w:cs="Times New Roman"/>
          <w:szCs w:val="24"/>
        </w:rPr>
        <w:t xml:space="preserve"> </w:t>
      </w:r>
      <w:r w:rsidRPr="00876F82">
        <w:rPr>
          <w:rFonts w:cs="Times New Roman"/>
          <w:szCs w:val="24"/>
        </w:rPr>
        <w:t>praktyki są nagminnie stosowane przede wszystkim na rynku usług energetycznych</w:t>
      </w:r>
      <w:r w:rsidR="00FE113A">
        <w:rPr>
          <w:rFonts w:cs="Times New Roman"/>
          <w:szCs w:val="24"/>
        </w:rPr>
        <w:t xml:space="preserve"> </w:t>
      </w:r>
      <w:r w:rsidRPr="00876F82">
        <w:rPr>
          <w:rFonts w:cs="Times New Roman"/>
          <w:szCs w:val="24"/>
        </w:rPr>
        <w:t>i telekomunikacyjnych.</w:t>
      </w:r>
    </w:p>
    <w:p w14:paraId="705B5016" w14:textId="77777777" w:rsidR="00FE113A" w:rsidRPr="00876F82" w:rsidRDefault="00FE113A" w:rsidP="00876F82">
      <w:pPr>
        <w:rPr>
          <w:rFonts w:cs="Times New Roman"/>
          <w:szCs w:val="24"/>
        </w:rPr>
      </w:pPr>
    </w:p>
    <w:p w14:paraId="11503BC6" w14:textId="77777777" w:rsidR="00876F82" w:rsidRPr="00876F82" w:rsidRDefault="00876F82" w:rsidP="00876F82">
      <w:pPr>
        <w:rPr>
          <w:rFonts w:cs="Times New Roman"/>
          <w:szCs w:val="24"/>
        </w:rPr>
      </w:pPr>
      <w:r w:rsidRPr="00876F82">
        <w:rPr>
          <w:rFonts w:cs="Times New Roman"/>
          <w:szCs w:val="24"/>
        </w:rPr>
        <w:t>W związku z powyższym, w celu zapewnienia należytej ochrony konsumentów, w tym osób</w:t>
      </w:r>
    </w:p>
    <w:p w14:paraId="4E11CA6F" w14:textId="77777777" w:rsidR="00876F82" w:rsidRPr="00FE113A" w:rsidRDefault="00876F82" w:rsidP="00876F82">
      <w:pPr>
        <w:rPr>
          <w:rFonts w:cs="Times New Roman"/>
          <w:b/>
          <w:bCs/>
          <w:szCs w:val="24"/>
        </w:rPr>
      </w:pPr>
      <w:r w:rsidRPr="00876F82">
        <w:rPr>
          <w:rFonts w:cs="Times New Roman"/>
          <w:szCs w:val="24"/>
        </w:rPr>
        <w:t xml:space="preserve">starszych, Prezes Urzędu podejmuje w zakresie swoich ustawowych kompetencji </w:t>
      </w:r>
      <w:r w:rsidRPr="00FE113A">
        <w:rPr>
          <w:rFonts w:cs="Times New Roman"/>
          <w:b/>
          <w:bCs/>
          <w:szCs w:val="24"/>
        </w:rPr>
        <w:t>działania</w:t>
      </w:r>
    </w:p>
    <w:p w14:paraId="1A9E59F0" w14:textId="77777777" w:rsidR="00FE113A" w:rsidRDefault="00876F82" w:rsidP="00876F82">
      <w:pPr>
        <w:rPr>
          <w:rFonts w:cs="Times New Roman"/>
          <w:szCs w:val="24"/>
        </w:rPr>
      </w:pPr>
      <w:r w:rsidRPr="00FE113A">
        <w:rPr>
          <w:rFonts w:cs="Times New Roman"/>
          <w:b/>
          <w:bCs/>
          <w:szCs w:val="24"/>
        </w:rPr>
        <w:t>o charakterze władczym</w:t>
      </w:r>
      <w:r w:rsidRPr="00876F82">
        <w:rPr>
          <w:rFonts w:cs="Times New Roman"/>
          <w:szCs w:val="24"/>
        </w:rPr>
        <w:t>.</w:t>
      </w:r>
    </w:p>
    <w:p w14:paraId="6B41011B" w14:textId="77777777" w:rsidR="00FE113A" w:rsidRDefault="00FE113A" w:rsidP="00876F82">
      <w:pPr>
        <w:rPr>
          <w:rFonts w:cs="Times New Roman"/>
          <w:szCs w:val="24"/>
        </w:rPr>
      </w:pPr>
    </w:p>
    <w:p w14:paraId="42065A95" w14:textId="32EE6CEE" w:rsidR="00FE113A" w:rsidRDefault="00876F82" w:rsidP="00876F82">
      <w:pPr>
        <w:rPr>
          <w:rFonts w:cs="Times New Roman"/>
          <w:szCs w:val="24"/>
        </w:rPr>
      </w:pPr>
      <w:r w:rsidRPr="00876F82">
        <w:rPr>
          <w:rFonts w:cs="Times New Roman"/>
          <w:szCs w:val="24"/>
        </w:rPr>
        <w:t>Zgodnie przepisami ustawy z dnia 16 lutego 2007 r. o ochronie konkurencji i konsumentów</w:t>
      </w:r>
      <w:r w:rsidR="00FE113A">
        <w:rPr>
          <w:rFonts w:cs="Times New Roman"/>
          <w:szCs w:val="24"/>
        </w:rPr>
        <w:t xml:space="preserve"> </w:t>
      </w:r>
      <w:r w:rsidRPr="00876F82">
        <w:rPr>
          <w:rFonts w:cs="Times New Roman"/>
          <w:szCs w:val="24"/>
        </w:rPr>
        <w:t>(Dz. U. z 2021 r. poz. 275</w:t>
      </w:r>
      <w:r w:rsidR="00A21F26">
        <w:rPr>
          <w:rFonts w:cs="Times New Roman"/>
          <w:szCs w:val="24"/>
        </w:rPr>
        <w:t>),</w:t>
      </w:r>
      <w:r w:rsidRPr="00876F82">
        <w:rPr>
          <w:rFonts w:cs="Times New Roman"/>
          <w:szCs w:val="24"/>
        </w:rPr>
        <w:t xml:space="preserve"> dalej: „ustawa o ochronie konkurencji i konsumentów” lub</w:t>
      </w:r>
      <w:r w:rsidR="00FE113A">
        <w:rPr>
          <w:rFonts w:cs="Times New Roman"/>
          <w:szCs w:val="24"/>
        </w:rPr>
        <w:t xml:space="preserve"> </w:t>
      </w:r>
      <w:r w:rsidRPr="00876F82">
        <w:rPr>
          <w:rFonts w:cs="Times New Roman"/>
          <w:szCs w:val="24"/>
        </w:rPr>
        <w:t>„</w:t>
      </w:r>
      <w:proofErr w:type="spellStart"/>
      <w:r w:rsidRPr="00876F82">
        <w:rPr>
          <w:rFonts w:cs="Times New Roman"/>
          <w:szCs w:val="24"/>
        </w:rPr>
        <w:t>uokik</w:t>
      </w:r>
      <w:proofErr w:type="spellEnd"/>
      <w:r w:rsidRPr="00876F82">
        <w:rPr>
          <w:rFonts w:cs="Times New Roman"/>
          <w:szCs w:val="24"/>
        </w:rPr>
        <w:t>”), Prezes UOKiK posiada kompetencje m.in. do prowadzenia postępowań</w:t>
      </w:r>
      <w:r w:rsidR="00FE113A">
        <w:rPr>
          <w:rFonts w:cs="Times New Roman"/>
          <w:szCs w:val="24"/>
        </w:rPr>
        <w:t xml:space="preserve"> </w:t>
      </w:r>
      <w:r w:rsidRPr="00876F82">
        <w:rPr>
          <w:rFonts w:cs="Times New Roman"/>
          <w:szCs w:val="24"/>
        </w:rPr>
        <w:t>administracyjnych w sprawach praktyk naruszających zbiorowe interes</w:t>
      </w:r>
      <w:r w:rsidR="00FE113A">
        <w:rPr>
          <w:rFonts w:cs="Times New Roman"/>
          <w:szCs w:val="24"/>
        </w:rPr>
        <w:t xml:space="preserve"> </w:t>
      </w:r>
      <w:r w:rsidRPr="00876F82">
        <w:rPr>
          <w:rFonts w:cs="Times New Roman"/>
          <w:szCs w:val="24"/>
        </w:rPr>
        <w:t>konsumentów.</w:t>
      </w:r>
      <w:r w:rsidR="00FE113A">
        <w:rPr>
          <w:rFonts w:cs="Times New Roman"/>
          <w:szCs w:val="24"/>
        </w:rPr>
        <w:t xml:space="preserve"> </w:t>
      </w:r>
      <w:r w:rsidRPr="00876F82">
        <w:rPr>
          <w:rFonts w:cs="Times New Roman"/>
          <w:szCs w:val="24"/>
        </w:rPr>
        <w:t xml:space="preserve">W myśl art. 24 ust. 2 </w:t>
      </w:r>
      <w:proofErr w:type="spellStart"/>
      <w:r w:rsidRPr="00876F82">
        <w:rPr>
          <w:rFonts w:cs="Times New Roman"/>
          <w:szCs w:val="24"/>
        </w:rPr>
        <w:t>uokik</w:t>
      </w:r>
      <w:proofErr w:type="spellEnd"/>
      <w:r w:rsidRPr="00876F82">
        <w:rPr>
          <w:rFonts w:cs="Times New Roman"/>
          <w:szCs w:val="24"/>
        </w:rPr>
        <w:t>, przez praktyki naruszające zbiorowe interesy konsumentów</w:t>
      </w:r>
      <w:r w:rsidR="00FE113A">
        <w:rPr>
          <w:rFonts w:cs="Times New Roman"/>
          <w:szCs w:val="24"/>
        </w:rPr>
        <w:t xml:space="preserve"> </w:t>
      </w:r>
      <w:r w:rsidRPr="00876F82">
        <w:rPr>
          <w:rFonts w:cs="Times New Roman"/>
          <w:szCs w:val="24"/>
        </w:rPr>
        <w:t>rozumie się</w:t>
      </w:r>
      <w:r w:rsidR="00FE113A">
        <w:rPr>
          <w:rFonts w:cs="Times New Roman"/>
          <w:szCs w:val="24"/>
        </w:rPr>
        <w:t xml:space="preserve"> </w:t>
      </w:r>
      <w:r w:rsidRPr="00876F82">
        <w:rPr>
          <w:rFonts w:cs="Times New Roman"/>
          <w:szCs w:val="24"/>
        </w:rPr>
        <w:t>godzące w nie bezprawne działania przedsiębiorcy, w szczególności:</w:t>
      </w:r>
    </w:p>
    <w:p w14:paraId="54E10C54" w14:textId="77777777" w:rsidR="00FE113A" w:rsidRDefault="00876F82" w:rsidP="00FE70E3">
      <w:pPr>
        <w:pStyle w:val="Akapitzlist"/>
        <w:numPr>
          <w:ilvl w:val="0"/>
          <w:numId w:val="106"/>
        </w:numPr>
        <w:rPr>
          <w:rFonts w:cs="Times New Roman"/>
          <w:szCs w:val="24"/>
        </w:rPr>
      </w:pPr>
      <w:r w:rsidRPr="00FE113A">
        <w:rPr>
          <w:rFonts w:cs="Times New Roman"/>
          <w:szCs w:val="24"/>
        </w:rPr>
        <w:t>naruszanie obowiązku udzielania konsumentom rzetelnej, prawdziwej i pełnej</w:t>
      </w:r>
      <w:r w:rsidR="00FE113A">
        <w:rPr>
          <w:rFonts w:cs="Times New Roman"/>
          <w:szCs w:val="24"/>
        </w:rPr>
        <w:t xml:space="preserve"> </w:t>
      </w:r>
      <w:r w:rsidRPr="00FE113A">
        <w:rPr>
          <w:rFonts w:cs="Times New Roman"/>
          <w:szCs w:val="24"/>
        </w:rPr>
        <w:t>informacji;</w:t>
      </w:r>
    </w:p>
    <w:p w14:paraId="7DAD602B" w14:textId="77777777" w:rsidR="00FE113A" w:rsidRDefault="00876F82" w:rsidP="00FE70E3">
      <w:pPr>
        <w:pStyle w:val="Akapitzlist"/>
        <w:numPr>
          <w:ilvl w:val="0"/>
          <w:numId w:val="106"/>
        </w:numPr>
        <w:rPr>
          <w:rFonts w:cs="Times New Roman"/>
          <w:szCs w:val="24"/>
        </w:rPr>
      </w:pPr>
      <w:r w:rsidRPr="00FE113A">
        <w:rPr>
          <w:rFonts w:cs="Times New Roman"/>
          <w:szCs w:val="24"/>
        </w:rPr>
        <w:lastRenderedPageBreak/>
        <w:t>nieuczciwe praktyki rynkowe lub czyny nieuczciwej konkurencji;</w:t>
      </w:r>
    </w:p>
    <w:p w14:paraId="0F1356AA" w14:textId="023CC408" w:rsidR="00876F82" w:rsidRPr="00FE113A" w:rsidRDefault="00876F82" w:rsidP="00FE70E3">
      <w:pPr>
        <w:pStyle w:val="Akapitzlist"/>
        <w:numPr>
          <w:ilvl w:val="0"/>
          <w:numId w:val="106"/>
        </w:numPr>
        <w:rPr>
          <w:rFonts w:cs="Times New Roman"/>
          <w:szCs w:val="24"/>
        </w:rPr>
      </w:pPr>
      <w:r w:rsidRPr="00FE113A">
        <w:rPr>
          <w:rFonts w:cs="Times New Roman"/>
          <w:szCs w:val="24"/>
        </w:rPr>
        <w:t>proponowanie konsumentom nabycia usług finansowych, które nie odpowiadają ich</w:t>
      </w:r>
      <w:r w:rsidR="00FE113A">
        <w:rPr>
          <w:rFonts w:cs="Times New Roman"/>
          <w:szCs w:val="24"/>
        </w:rPr>
        <w:t xml:space="preserve"> </w:t>
      </w:r>
      <w:r w:rsidRPr="00FE113A">
        <w:rPr>
          <w:rFonts w:cs="Times New Roman"/>
          <w:szCs w:val="24"/>
        </w:rPr>
        <w:t>potrzebom ustalonym z uwzględnieniem dostępnych przedsiębiorcy informacji</w:t>
      </w:r>
      <w:r w:rsidR="00FE113A">
        <w:rPr>
          <w:rFonts w:cs="Times New Roman"/>
          <w:szCs w:val="24"/>
        </w:rPr>
        <w:t xml:space="preserve"> </w:t>
      </w:r>
      <w:r w:rsidRPr="00FE113A">
        <w:rPr>
          <w:rFonts w:cs="Times New Roman"/>
          <w:szCs w:val="24"/>
        </w:rPr>
        <w:t>w zakresie cech tych konsumentów lub proponowanie nabycia tych usług w sposób</w:t>
      </w:r>
      <w:r w:rsidR="00FE113A">
        <w:rPr>
          <w:rFonts w:cs="Times New Roman"/>
          <w:szCs w:val="24"/>
        </w:rPr>
        <w:t xml:space="preserve"> </w:t>
      </w:r>
      <w:r w:rsidRPr="00FE113A">
        <w:rPr>
          <w:rFonts w:cs="Times New Roman"/>
          <w:szCs w:val="24"/>
        </w:rPr>
        <w:t>nieadekwatny do ich charakteru.</w:t>
      </w:r>
    </w:p>
    <w:p w14:paraId="3D51AFFA" w14:textId="77777777" w:rsidR="00340F91" w:rsidRDefault="00340F91" w:rsidP="00876F82">
      <w:pPr>
        <w:rPr>
          <w:rFonts w:cs="Times New Roman"/>
          <w:szCs w:val="24"/>
        </w:rPr>
      </w:pPr>
    </w:p>
    <w:p w14:paraId="5B4E2F22" w14:textId="4EFF905A" w:rsidR="00876F82" w:rsidRDefault="00876F82" w:rsidP="00876F82">
      <w:pPr>
        <w:rPr>
          <w:rFonts w:cs="Times New Roman"/>
          <w:szCs w:val="24"/>
        </w:rPr>
      </w:pPr>
      <w:r w:rsidRPr="00876F82">
        <w:rPr>
          <w:rFonts w:cs="Times New Roman"/>
          <w:szCs w:val="24"/>
        </w:rPr>
        <w:t xml:space="preserve">Natomiast zgodnie z art. 23a </w:t>
      </w:r>
      <w:proofErr w:type="spellStart"/>
      <w:r w:rsidRPr="00876F82">
        <w:rPr>
          <w:rFonts w:cs="Times New Roman"/>
          <w:szCs w:val="24"/>
        </w:rPr>
        <w:t>uokik</w:t>
      </w:r>
      <w:proofErr w:type="spellEnd"/>
      <w:r w:rsidRPr="00876F82">
        <w:rPr>
          <w:rFonts w:cs="Times New Roman"/>
          <w:szCs w:val="24"/>
        </w:rPr>
        <w:t xml:space="preserve"> zakazane jest stosowanie we wzorcach umów</w:t>
      </w:r>
      <w:r w:rsidR="00FE113A">
        <w:rPr>
          <w:rFonts w:cs="Times New Roman"/>
          <w:szCs w:val="24"/>
        </w:rPr>
        <w:t xml:space="preserve"> </w:t>
      </w:r>
      <w:r w:rsidRPr="00876F82">
        <w:rPr>
          <w:rFonts w:cs="Times New Roman"/>
          <w:szCs w:val="24"/>
        </w:rPr>
        <w:t>zawieranych z konsumentami niedozwolonych postanowień umownych, o których mowa</w:t>
      </w:r>
      <w:r w:rsidR="00FE113A">
        <w:rPr>
          <w:rFonts w:cs="Times New Roman"/>
          <w:szCs w:val="24"/>
        </w:rPr>
        <w:t xml:space="preserve"> </w:t>
      </w:r>
      <w:r w:rsidRPr="00876F82">
        <w:rPr>
          <w:rFonts w:cs="Times New Roman"/>
          <w:szCs w:val="24"/>
        </w:rPr>
        <w:t>w art. 3851 § 1</w:t>
      </w:r>
      <w:r w:rsidR="00FE113A">
        <w:rPr>
          <w:rFonts w:cs="Times New Roman"/>
          <w:szCs w:val="24"/>
        </w:rPr>
        <w:t xml:space="preserve"> </w:t>
      </w:r>
      <w:r w:rsidR="007E0920">
        <w:rPr>
          <w:rFonts w:cs="Times New Roman"/>
          <w:szCs w:val="24"/>
        </w:rPr>
        <w:t xml:space="preserve">ustawy z dnia 23 kwietnia 1964 r. - </w:t>
      </w:r>
      <w:r w:rsidRPr="00876F82">
        <w:rPr>
          <w:rFonts w:cs="Times New Roman"/>
          <w:szCs w:val="24"/>
        </w:rPr>
        <w:t>Kodeks cywiln</w:t>
      </w:r>
      <w:r w:rsidR="007E0920">
        <w:rPr>
          <w:rFonts w:cs="Times New Roman"/>
          <w:szCs w:val="24"/>
        </w:rPr>
        <w:t>y</w:t>
      </w:r>
      <w:r w:rsidRPr="00876F82">
        <w:rPr>
          <w:rFonts w:cs="Times New Roman"/>
          <w:szCs w:val="24"/>
        </w:rPr>
        <w:t xml:space="preserve"> (Dz. U. z 2020 r., poz. 1740</w:t>
      </w:r>
      <w:r w:rsidR="007E0920">
        <w:rPr>
          <w:rFonts w:cs="Times New Roman"/>
          <w:szCs w:val="24"/>
        </w:rPr>
        <w:t xml:space="preserve">, z </w:t>
      </w:r>
      <w:proofErr w:type="spellStart"/>
      <w:r w:rsidR="007E0920">
        <w:rPr>
          <w:rFonts w:cs="Times New Roman"/>
          <w:szCs w:val="24"/>
        </w:rPr>
        <w:t>późn</w:t>
      </w:r>
      <w:proofErr w:type="spellEnd"/>
      <w:r w:rsidR="007E0920">
        <w:rPr>
          <w:rFonts w:cs="Times New Roman"/>
          <w:szCs w:val="24"/>
        </w:rPr>
        <w:t>. zm.</w:t>
      </w:r>
      <w:r w:rsidR="003E5F57">
        <w:rPr>
          <w:rFonts w:cs="Times New Roman"/>
          <w:szCs w:val="24"/>
        </w:rPr>
        <w:t>),</w:t>
      </w:r>
      <w:r w:rsidRPr="00876F82">
        <w:rPr>
          <w:rFonts w:cs="Times New Roman"/>
          <w:szCs w:val="24"/>
        </w:rPr>
        <w:t xml:space="preserve"> dalej: „</w:t>
      </w:r>
      <w:proofErr w:type="spellStart"/>
      <w:r w:rsidRPr="00876F82">
        <w:rPr>
          <w:rFonts w:cs="Times New Roman"/>
          <w:szCs w:val="24"/>
        </w:rPr>
        <w:t>kc</w:t>
      </w:r>
      <w:proofErr w:type="spellEnd"/>
      <w:r w:rsidRPr="00876F82">
        <w:rPr>
          <w:rFonts w:cs="Times New Roman"/>
          <w:szCs w:val="24"/>
        </w:rPr>
        <w:t>”.</w:t>
      </w:r>
    </w:p>
    <w:p w14:paraId="0A21D3A5" w14:textId="77777777" w:rsidR="00FE113A" w:rsidRPr="00876F82" w:rsidRDefault="00FE113A" w:rsidP="00876F82">
      <w:pPr>
        <w:rPr>
          <w:rFonts w:cs="Times New Roman"/>
          <w:szCs w:val="24"/>
        </w:rPr>
      </w:pPr>
    </w:p>
    <w:p w14:paraId="5F396512" w14:textId="049ACC4E" w:rsidR="00876F82" w:rsidRPr="00876F82" w:rsidRDefault="00876F82" w:rsidP="00876F82">
      <w:pPr>
        <w:rPr>
          <w:rFonts w:cs="Times New Roman"/>
          <w:szCs w:val="24"/>
        </w:rPr>
      </w:pPr>
      <w:r w:rsidRPr="00876F82">
        <w:rPr>
          <w:rFonts w:cs="Times New Roman"/>
          <w:szCs w:val="24"/>
        </w:rPr>
        <w:t>W ramach swoich ustawowych kompetencji, Prezes UOKiK, w związku z praktykami</w:t>
      </w:r>
      <w:r w:rsidR="00FE113A">
        <w:rPr>
          <w:rFonts w:cs="Times New Roman"/>
          <w:szCs w:val="24"/>
        </w:rPr>
        <w:t xml:space="preserve"> </w:t>
      </w:r>
      <w:r w:rsidRPr="00876F82">
        <w:rPr>
          <w:rFonts w:cs="Times New Roman"/>
          <w:szCs w:val="24"/>
        </w:rPr>
        <w:t>przedsiębiorców prowadzących działalność w zakresie sprzedaży na pokazach lub poza</w:t>
      </w:r>
      <w:r w:rsidR="00FE113A">
        <w:rPr>
          <w:rFonts w:cs="Times New Roman"/>
          <w:szCs w:val="24"/>
        </w:rPr>
        <w:t xml:space="preserve"> </w:t>
      </w:r>
      <w:r w:rsidRPr="00876F82">
        <w:rPr>
          <w:rFonts w:cs="Times New Roman"/>
          <w:szCs w:val="24"/>
        </w:rPr>
        <w:t>lokalem przedsiębiorstwa, podejmuje szereg działań władczych w ramach</w:t>
      </w:r>
      <w:r w:rsidR="00FE113A">
        <w:rPr>
          <w:rFonts w:cs="Times New Roman"/>
          <w:szCs w:val="24"/>
        </w:rPr>
        <w:t xml:space="preserve"> </w:t>
      </w:r>
      <w:r w:rsidRPr="00876F82">
        <w:rPr>
          <w:rFonts w:cs="Times New Roman"/>
          <w:szCs w:val="24"/>
        </w:rPr>
        <w:t>przysługujących</w:t>
      </w:r>
      <w:r w:rsidR="00FE113A">
        <w:rPr>
          <w:rFonts w:cs="Times New Roman"/>
          <w:szCs w:val="24"/>
        </w:rPr>
        <w:t xml:space="preserve"> </w:t>
      </w:r>
      <w:r w:rsidRPr="00876F82">
        <w:rPr>
          <w:rFonts w:cs="Times New Roman"/>
          <w:szCs w:val="24"/>
        </w:rPr>
        <w:t>kompetencji, tj. wszczyna postępowania wyjaśniające, postępowania</w:t>
      </w:r>
      <w:r w:rsidR="00FE113A">
        <w:rPr>
          <w:rFonts w:cs="Times New Roman"/>
          <w:szCs w:val="24"/>
        </w:rPr>
        <w:t xml:space="preserve"> </w:t>
      </w:r>
      <w:r w:rsidRPr="00876F82">
        <w:rPr>
          <w:rFonts w:cs="Times New Roman"/>
          <w:szCs w:val="24"/>
        </w:rPr>
        <w:t>w sprawie praktyk naruszających zbiorowe interesy konsumentów, postępowania</w:t>
      </w:r>
      <w:r w:rsidR="00FE113A">
        <w:rPr>
          <w:rFonts w:cs="Times New Roman"/>
          <w:szCs w:val="24"/>
        </w:rPr>
        <w:t xml:space="preserve"> </w:t>
      </w:r>
      <w:r w:rsidRPr="00876F82">
        <w:rPr>
          <w:rFonts w:cs="Times New Roman"/>
          <w:szCs w:val="24"/>
        </w:rPr>
        <w:t>w sprawie o uznanie</w:t>
      </w:r>
      <w:r w:rsidR="00FE113A">
        <w:rPr>
          <w:rFonts w:cs="Times New Roman"/>
          <w:szCs w:val="24"/>
        </w:rPr>
        <w:t xml:space="preserve"> </w:t>
      </w:r>
      <w:r w:rsidRPr="00876F82">
        <w:rPr>
          <w:rFonts w:cs="Times New Roman"/>
          <w:szCs w:val="24"/>
        </w:rPr>
        <w:t>postanowień wzorca umowy za niedozwolone, kieruje do</w:t>
      </w:r>
      <w:r w:rsidR="00FE113A">
        <w:rPr>
          <w:rFonts w:cs="Times New Roman"/>
          <w:szCs w:val="24"/>
        </w:rPr>
        <w:t xml:space="preserve"> </w:t>
      </w:r>
      <w:r w:rsidRPr="00876F82">
        <w:rPr>
          <w:rFonts w:cs="Times New Roman"/>
          <w:szCs w:val="24"/>
        </w:rPr>
        <w:t>przedsiębiorców wystąpienia na</w:t>
      </w:r>
      <w:r w:rsidR="00FE113A">
        <w:rPr>
          <w:rFonts w:cs="Times New Roman"/>
          <w:szCs w:val="24"/>
        </w:rPr>
        <w:t xml:space="preserve"> </w:t>
      </w:r>
      <w:r w:rsidRPr="00876F82">
        <w:rPr>
          <w:rFonts w:cs="Times New Roman"/>
          <w:szCs w:val="24"/>
        </w:rPr>
        <w:t xml:space="preserve">podstawie art. 49a </w:t>
      </w:r>
      <w:proofErr w:type="spellStart"/>
      <w:r w:rsidRPr="00876F82">
        <w:rPr>
          <w:rFonts w:cs="Times New Roman"/>
          <w:szCs w:val="24"/>
        </w:rPr>
        <w:t>uokik</w:t>
      </w:r>
      <w:proofErr w:type="spellEnd"/>
      <w:r w:rsidRPr="00876F82">
        <w:rPr>
          <w:rFonts w:cs="Times New Roman"/>
          <w:szCs w:val="24"/>
        </w:rPr>
        <w:t>, a także wydaje decyzje,</w:t>
      </w:r>
      <w:r w:rsidR="00FE113A">
        <w:rPr>
          <w:rFonts w:cs="Times New Roman"/>
          <w:szCs w:val="24"/>
        </w:rPr>
        <w:t xml:space="preserve"> </w:t>
      </w:r>
      <w:r w:rsidRPr="00876F82">
        <w:rPr>
          <w:rFonts w:cs="Times New Roman"/>
          <w:szCs w:val="24"/>
        </w:rPr>
        <w:t>o których mowa w art. 23b - 23d, art. 26, art.</w:t>
      </w:r>
      <w:r w:rsidR="00FE113A">
        <w:rPr>
          <w:rFonts w:cs="Times New Roman"/>
          <w:szCs w:val="24"/>
        </w:rPr>
        <w:t xml:space="preserve"> </w:t>
      </w:r>
      <w:r w:rsidRPr="00876F82">
        <w:rPr>
          <w:rFonts w:cs="Times New Roman"/>
          <w:szCs w:val="24"/>
        </w:rPr>
        <w:t xml:space="preserve">27 i art. 28 </w:t>
      </w:r>
      <w:proofErr w:type="spellStart"/>
      <w:r w:rsidRPr="00876F82">
        <w:rPr>
          <w:rFonts w:cs="Times New Roman"/>
          <w:szCs w:val="24"/>
        </w:rPr>
        <w:t>uokik</w:t>
      </w:r>
      <w:proofErr w:type="spellEnd"/>
      <w:r w:rsidRPr="00876F82">
        <w:rPr>
          <w:rFonts w:cs="Times New Roman"/>
          <w:szCs w:val="24"/>
        </w:rPr>
        <w:t>.</w:t>
      </w:r>
      <w:r w:rsidRPr="00876F82">
        <w:t xml:space="preserve"> </w:t>
      </w:r>
    </w:p>
    <w:p w14:paraId="0F7369C5" w14:textId="77777777" w:rsidR="00FE113A" w:rsidRDefault="00FE113A" w:rsidP="00876F82">
      <w:pPr>
        <w:rPr>
          <w:rFonts w:cs="Times New Roman"/>
          <w:szCs w:val="24"/>
        </w:rPr>
      </w:pPr>
    </w:p>
    <w:p w14:paraId="24056889" w14:textId="77777777" w:rsidR="00FE113A" w:rsidRDefault="00876F82" w:rsidP="00876F82">
      <w:pPr>
        <w:rPr>
          <w:rFonts w:cs="Times New Roman"/>
          <w:szCs w:val="24"/>
        </w:rPr>
      </w:pPr>
      <w:r w:rsidRPr="00876F82">
        <w:rPr>
          <w:rFonts w:cs="Times New Roman"/>
          <w:szCs w:val="24"/>
        </w:rPr>
        <w:t>W związku z praktykami przedsiębiorców prowadzących działalność w zakresie sprzedaży</w:t>
      </w:r>
      <w:r w:rsidR="00FE113A">
        <w:rPr>
          <w:rFonts w:cs="Times New Roman"/>
          <w:szCs w:val="24"/>
        </w:rPr>
        <w:t xml:space="preserve"> </w:t>
      </w:r>
      <w:r w:rsidRPr="00876F82">
        <w:rPr>
          <w:rFonts w:cs="Times New Roman"/>
          <w:szCs w:val="24"/>
        </w:rPr>
        <w:t>na pokazach, Prezes UOKiK, w ramach swoich ustawowych kompetencji, podejmował</w:t>
      </w:r>
      <w:r w:rsidR="00FE113A">
        <w:rPr>
          <w:rFonts w:cs="Times New Roman"/>
          <w:szCs w:val="24"/>
        </w:rPr>
        <w:t xml:space="preserve"> </w:t>
      </w:r>
      <w:r w:rsidRPr="00876F82">
        <w:rPr>
          <w:rFonts w:cs="Times New Roman"/>
          <w:szCs w:val="24"/>
        </w:rPr>
        <w:t>szereg działań władczych, polegających na prowadzeniu postępowań wyjaśniających oraz</w:t>
      </w:r>
      <w:r w:rsidR="00FE113A">
        <w:rPr>
          <w:rFonts w:cs="Times New Roman"/>
          <w:szCs w:val="24"/>
        </w:rPr>
        <w:t xml:space="preserve"> </w:t>
      </w:r>
      <w:r w:rsidRPr="00876F82">
        <w:rPr>
          <w:rFonts w:cs="Times New Roman"/>
          <w:szCs w:val="24"/>
        </w:rPr>
        <w:t>postępowań</w:t>
      </w:r>
      <w:r w:rsidR="00FE113A">
        <w:rPr>
          <w:rFonts w:cs="Times New Roman"/>
          <w:szCs w:val="24"/>
        </w:rPr>
        <w:t xml:space="preserve"> </w:t>
      </w:r>
      <w:r w:rsidRPr="00876F82">
        <w:rPr>
          <w:rFonts w:cs="Times New Roman"/>
          <w:szCs w:val="24"/>
        </w:rPr>
        <w:t>w sprawie praktyk naruszających zbiorowe interesy konsumentów, mających</w:t>
      </w:r>
      <w:r w:rsidR="00FE113A">
        <w:rPr>
          <w:rFonts w:cs="Times New Roman"/>
          <w:szCs w:val="24"/>
        </w:rPr>
        <w:t xml:space="preserve"> </w:t>
      </w:r>
      <w:r w:rsidRPr="00876F82">
        <w:rPr>
          <w:rFonts w:cs="Times New Roman"/>
          <w:szCs w:val="24"/>
        </w:rPr>
        <w:t>na celu wyeliminowanie stwierdzonych nieprawidłowości. Większość ww. postępowań</w:t>
      </w:r>
      <w:r w:rsidR="00FE113A">
        <w:rPr>
          <w:rFonts w:cs="Times New Roman"/>
          <w:szCs w:val="24"/>
        </w:rPr>
        <w:t xml:space="preserve"> </w:t>
      </w:r>
      <w:r w:rsidRPr="00876F82">
        <w:rPr>
          <w:rFonts w:cs="Times New Roman"/>
          <w:szCs w:val="24"/>
        </w:rPr>
        <w:t>została</w:t>
      </w:r>
      <w:r w:rsidR="00FE113A">
        <w:rPr>
          <w:rFonts w:cs="Times New Roman"/>
          <w:szCs w:val="24"/>
        </w:rPr>
        <w:t xml:space="preserve"> </w:t>
      </w:r>
      <w:r w:rsidRPr="00876F82">
        <w:rPr>
          <w:rFonts w:cs="Times New Roman"/>
          <w:szCs w:val="24"/>
        </w:rPr>
        <w:t>zakończona wydaniem decyzji stwierdzającej stosowanie praktyk naruszających</w:t>
      </w:r>
      <w:r w:rsidR="00FE113A">
        <w:rPr>
          <w:rFonts w:cs="Times New Roman"/>
          <w:szCs w:val="24"/>
        </w:rPr>
        <w:t xml:space="preserve"> </w:t>
      </w:r>
      <w:r w:rsidRPr="00876F82">
        <w:rPr>
          <w:rFonts w:cs="Times New Roman"/>
          <w:szCs w:val="24"/>
        </w:rPr>
        <w:t>zbiorowe interesy konsumentów, w tym m. in.:</w:t>
      </w:r>
    </w:p>
    <w:p w14:paraId="34E908C9" w14:textId="2C8C987A" w:rsidR="00FE113A" w:rsidRDefault="00876F82" w:rsidP="00FE70E3">
      <w:pPr>
        <w:pStyle w:val="Akapitzlist"/>
        <w:numPr>
          <w:ilvl w:val="0"/>
          <w:numId w:val="107"/>
        </w:numPr>
        <w:rPr>
          <w:rFonts w:cs="Times New Roman"/>
          <w:szCs w:val="24"/>
        </w:rPr>
      </w:pPr>
      <w:r w:rsidRPr="00FE113A">
        <w:rPr>
          <w:rFonts w:cs="Times New Roman"/>
          <w:szCs w:val="24"/>
        </w:rPr>
        <w:t xml:space="preserve">decyzji nr RBG 2/2020 wydanej wobec przedsiębiorcy </w:t>
      </w:r>
      <w:proofErr w:type="spellStart"/>
      <w:r w:rsidRPr="00FE113A">
        <w:rPr>
          <w:rFonts w:cs="Times New Roman"/>
          <w:szCs w:val="24"/>
        </w:rPr>
        <w:t>Topmed</w:t>
      </w:r>
      <w:proofErr w:type="spellEnd"/>
      <w:r w:rsidRPr="00FE113A">
        <w:rPr>
          <w:rFonts w:cs="Times New Roman"/>
          <w:szCs w:val="24"/>
        </w:rPr>
        <w:t xml:space="preserve"> Plus sp. z o.o. sp. k.</w:t>
      </w:r>
      <w:r w:rsidR="00FE113A">
        <w:rPr>
          <w:rFonts w:cs="Times New Roman"/>
          <w:szCs w:val="24"/>
        </w:rPr>
        <w:t xml:space="preserve"> </w:t>
      </w:r>
      <w:r w:rsidRPr="00FE113A">
        <w:rPr>
          <w:rFonts w:cs="Times New Roman"/>
          <w:szCs w:val="24"/>
        </w:rPr>
        <w:t>z</w:t>
      </w:r>
      <w:r w:rsidR="00FE113A">
        <w:rPr>
          <w:rFonts w:cs="Times New Roman"/>
          <w:szCs w:val="24"/>
        </w:rPr>
        <w:t> </w:t>
      </w:r>
      <w:r w:rsidRPr="00FE113A">
        <w:rPr>
          <w:rFonts w:cs="Times New Roman"/>
          <w:szCs w:val="24"/>
        </w:rPr>
        <w:t>siedzibą w Poznaniu. Spółka sugerowała konsumentom w trakcie organizowanych</w:t>
      </w:r>
      <w:r w:rsidR="00FE113A">
        <w:rPr>
          <w:rFonts w:cs="Times New Roman"/>
          <w:szCs w:val="24"/>
        </w:rPr>
        <w:t xml:space="preserve"> </w:t>
      </w:r>
      <w:r w:rsidRPr="00FE113A">
        <w:rPr>
          <w:rFonts w:cs="Times New Roman"/>
          <w:szCs w:val="24"/>
        </w:rPr>
        <w:t xml:space="preserve">pokazów handlowych, że nabywają oni oferowane przez </w:t>
      </w:r>
      <w:proofErr w:type="spellStart"/>
      <w:r w:rsidRPr="00FE113A">
        <w:rPr>
          <w:rFonts w:cs="Times New Roman"/>
          <w:szCs w:val="24"/>
        </w:rPr>
        <w:t>Topmed</w:t>
      </w:r>
      <w:proofErr w:type="spellEnd"/>
      <w:r w:rsidRPr="00FE113A">
        <w:rPr>
          <w:rFonts w:cs="Times New Roman"/>
          <w:szCs w:val="24"/>
        </w:rPr>
        <w:t xml:space="preserve"> Plus spółkę</w:t>
      </w:r>
      <w:r w:rsidR="00FE113A">
        <w:rPr>
          <w:rFonts w:cs="Times New Roman"/>
          <w:szCs w:val="24"/>
        </w:rPr>
        <w:t xml:space="preserve"> </w:t>
      </w:r>
      <w:r w:rsidRPr="00FE113A">
        <w:rPr>
          <w:rFonts w:cs="Times New Roman"/>
          <w:szCs w:val="24"/>
        </w:rPr>
        <w:t>z ograniczoną odpowiedzialnością spółkę komandytową z siedzibą w Poznaniu zestawy</w:t>
      </w:r>
      <w:r w:rsidR="00FE113A">
        <w:rPr>
          <w:rFonts w:cs="Times New Roman"/>
          <w:szCs w:val="24"/>
        </w:rPr>
        <w:t xml:space="preserve"> </w:t>
      </w:r>
      <w:r w:rsidRPr="00FE113A">
        <w:rPr>
          <w:rFonts w:cs="Times New Roman"/>
          <w:szCs w:val="24"/>
        </w:rPr>
        <w:t>produktów po cenie uwzględniającej upust w sytuacji, gdy sprzedaż następuje</w:t>
      </w:r>
      <w:r w:rsidR="00FE113A">
        <w:rPr>
          <w:rFonts w:cs="Times New Roman"/>
          <w:szCs w:val="24"/>
        </w:rPr>
        <w:t xml:space="preserve"> </w:t>
      </w:r>
      <w:r w:rsidRPr="00FE113A">
        <w:rPr>
          <w:rFonts w:cs="Times New Roman"/>
          <w:szCs w:val="24"/>
        </w:rPr>
        <w:t>w ramach standardowej oferty ww. przedsiębiorcy, co może sugerować konsumentom</w:t>
      </w:r>
      <w:r w:rsidR="00FE113A">
        <w:rPr>
          <w:rFonts w:cs="Times New Roman"/>
          <w:szCs w:val="24"/>
        </w:rPr>
        <w:t xml:space="preserve"> </w:t>
      </w:r>
      <w:r w:rsidRPr="00FE113A">
        <w:rPr>
          <w:rFonts w:cs="Times New Roman"/>
          <w:szCs w:val="24"/>
        </w:rPr>
        <w:t>istnienie szczególnej korzyści cenowej i stanowi nieuczciwą praktykę rynkową</w:t>
      </w:r>
      <w:r w:rsidR="00FE113A">
        <w:rPr>
          <w:rFonts w:cs="Times New Roman"/>
          <w:szCs w:val="24"/>
        </w:rPr>
        <w:t xml:space="preserve"> </w:t>
      </w:r>
      <w:r w:rsidRPr="00FE113A">
        <w:rPr>
          <w:rFonts w:cs="Times New Roman"/>
          <w:szCs w:val="24"/>
        </w:rPr>
        <w:t>określoną w art. 5 ust. 3 pkt 5 w zw. z art. 5 ust. 1 i ust. 2 pkt 1 i art. 4 ust. 2 ustawy</w:t>
      </w:r>
      <w:r w:rsidR="00FE113A">
        <w:rPr>
          <w:rFonts w:cs="Times New Roman"/>
          <w:szCs w:val="24"/>
        </w:rPr>
        <w:t xml:space="preserve"> </w:t>
      </w:r>
      <w:r w:rsidRPr="00FE113A">
        <w:rPr>
          <w:rFonts w:cs="Times New Roman"/>
          <w:szCs w:val="24"/>
        </w:rPr>
        <w:t>z dnia 23 sierpnia 2007 r. o przeciwdziałaniu nieuczciwym praktykom rynkowym (Dz. U.</w:t>
      </w:r>
      <w:r w:rsidR="00FE113A">
        <w:rPr>
          <w:rFonts w:cs="Times New Roman"/>
          <w:szCs w:val="24"/>
        </w:rPr>
        <w:t xml:space="preserve"> </w:t>
      </w:r>
      <w:r w:rsidRPr="00FE113A">
        <w:rPr>
          <w:rFonts w:cs="Times New Roman"/>
          <w:szCs w:val="24"/>
        </w:rPr>
        <w:t>z 2017 r., poz. 2070</w:t>
      </w:r>
      <w:r w:rsidR="007E0920">
        <w:rPr>
          <w:rFonts w:cs="Times New Roman"/>
          <w:szCs w:val="24"/>
        </w:rPr>
        <w:t>),</w:t>
      </w:r>
      <w:r w:rsidRPr="00FE113A">
        <w:rPr>
          <w:rFonts w:cs="Times New Roman"/>
          <w:szCs w:val="24"/>
        </w:rPr>
        <w:t xml:space="preserve"> dalej „ustawa o przeciwdziałaniu nieuczciwym praktykom</w:t>
      </w:r>
      <w:r w:rsidR="00FE113A">
        <w:rPr>
          <w:rFonts w:cs="Times New Roman"/>
          <w:szCs w:val="24"/>
        </w:rPr>
        <w:t xml:space="preserve"> </w:t>
      </w:r>
      <w:r w:rsidRPr="00FE113A">
        <w:rPr>
          <w:rFonts w:cs="Times New Roman"/>
          <w:szCs w:val="24"/>
        </w:rPr>
        <w:t>rynkowym” lub</w:t>
      </w:r>
      <w:r w:rsidR="00FE113A">
        <w:rPr>
          <w:rFonts w:cs="Times New Roman"/>
          <w:szCs w:val="24"/>
        </w:rPr>
        <w:t xml:space="preserve"> </w:t>
      </w:r>
      <w:r w:rsidRPr="00FE113A">
        <w:rPr>
          <w:rFonts w:cs="Times New Roman"/>
          <w:szCs w:val="24"/>
        </w:rPr>
        <w:t>„</w:t>
      </w:r>
      <w:proofErr w:type="spellStart"/>
      <w:r w:rsidRPr="00FE113A">
        <w:rPr>
          <w:rFonts w:cs="Times New Roman"/>
          <w:szCs w:val="24"/>
        </w:rPr>
        <w:t>upnpr</w:t>
      </w:r>
      <w:proofErr w:type="spellEnd"/>
      <w:r w:rsidRPr="00FE113A">
        <w:rPr>
          <w:rFonts w:cs="Times New Roman"/>
          <w:szCs w:val="24"/>
        </w:rPr>
        <w:t>”, co w konsekwencji narusza art. 24 ust. 1 i 2 pkt 3 ustawy</w:t>
      </w:r>
      <w:r w:rsidR="00FE113A">
        <w:rPr>
          <w:rFonts w:cs="Times New Roman"/>
          <w:szCs w:val="24"/>
        </w:rPr>
        <w:t xml:space="preserve"> </w:t>
      </w:r>
      <w:r w:rsidRPr="00FE113A">
        <w:rPr>
          <w:rFonts w:cs="Times New Roman"/>
          <w:szCs w:val="24"/>
        </w:rPr>
        <w:t>o ochronie konkurencji i konsumentów.</w:t>
      </w:r>
    </w:p>
    <w:p w14:paraId="3C223016" w14:textId="77777777" w:rsidR="00FE113A" w:rsidRDefault="00876F82" w:rsidP="00FE70E3">
      <w:pPr>
        <w:pStyle w:val="Akapitzlist"/>
        <w:numPr>
          <w:ilvl w:val="0"/>
          <w:numId w:val="107"/>
        </w:numPr>
        <w:rPr>
          <w:rFonts w:cs="Times New Roman"/>
          <w:szCs w:val="24"/>
        </w:rPr>
      </w:pPr>
      <w:r w:rsidRPr="00FE113A">
        <w:rPr>
          <w:rFonts w:cs="Times New Roman"/>
          <w:szCs w:val="24"/>
        </w:rPr>
        <w:t>decyzji nr RBG 12/2020 wydanej wobec przedsiębiorców: Pauliny Jaworskiej</w:t>
      </w:r>
      <w:r w:rsidR="00FE113A">
        <w:rPr>
          <w:rFonts w:cs="Times New Roman"/>
          <w:szCs w:val="24"/>
        </w:rPr>
        <w:t xml:space="preserve"> </w:t>
      </w:r>
      <w:r w:rsidRPr="00FE113A">
        <w:rPr>
          <w:rFonts w:cs="Times New Roman"/>
          <w:szCs w:val="24"/>
        </w:rPr>
        <w:t>prowadzącej działalność gospodarczą pod firmą GRAYS w Bolewicach i Dawidowi</w:t>
      </w:r>
      <w:r w:rsidR="00FE113A">
        <w:rPr>
          <w:rFonts w:cs="Times New Roman"/>
          <w:szCs w:val="24"/>
        </w:rPr>
        <w:t xml:space="preserve"> </w:t>
      </w:r>
      <w:r w:rsidRPr="00FE113A">
        <w:rPr>
          <w:rFonts w:cs="Times New Roman"/>
          <w:szCs w:val="24"/>
        </w:rPr>
        <w:t>Kubis prowadzącemu działalność gospodarczą pod firmą Firma Handlowo Usługowa</w:t>
      </w:r>
      <w:r w:rsidR="00FE113A">
        <w:rPr>
          <w:rFonts w:cs="Times New Roman"/>
          <w:szCs w:val="24"/>
        </w:rPr>
        <w:t xml:space="preserve"> </w:t>
      </w:r>
      <w:r w:rsidRPr="00FE113A">
        <w:rPr>
          <w:rFonts w:cs="Times New Roman"/>
          <w:szCs w:val="24"/>
        </w:rPr>
        <w:t xml:space="preserve">w </w:t>
      </w:r>
      <w:r w:rsidRPr="00FE113A">
        <w:rPr>
          <w:rFonts w:cs="Times New Roman"/>
          <w:szCs w:val="24"/>
        </w:rPr>
        <w:lastRenderedPageBreak/>
        <w:t>Grodzisku Wielkopolskim – wspólnikom spółki cywilnej PREMIUM GROUP</w:t>
      </w:r>
      <w:r w:rsidR="00FE113A">
        <w:rPr>
          <w:rFonts w:cs="Times New Roman"/>
          <w:szCs w:val="24"/>
        </w:rPr>
        <w:t xml:space="preserve"> </w:t>
      </w:r>
      <w:r w:rsidRPr="00FE113A">
        <w:rPr>
          <w:rFonts w:cs="Times New Roman"/>
          <w:szCs w:val="24"/>
        </w:rPr>
        <w:t>w Bolewicach. W wydanej decyzji Prezes Urzędu uznał za praktykę naruszającą</w:t>
      </w:r>
      <w:r w:rsidR="00FE113A">
        <w:rPr>
          <w:rFonts w:cs="Times New Roman"/>
          <w:szCs w:val="24"/>
        </w:rPr>
        <w:t xml:space="preserve"> </w:t>
      </w:r>
      <w:r w:rsidRPr="00FE113A">
        <w:rPr>
          <w:rFonts w:cs="Times New Roman"/>
          <w:szCs w:val="24"/>
        </w:rPr>
        <w:t>zbiorowe interesy konsumentów polegające na:</w:t>
      </w:r>
    </w:p>
    <w:p w14:paraId="7D18B103" w14:textId="77777777" w:rsidR="00FE113A" w:rsidRDefault="00876F82" w:rsidP="00FE70E3">
      <w:pPr>
        <w:pStyle w:val="Akapitzlist"/>
        <w:numPr>
          <w:ilvl w:val="1"/>
          <w:numId w:val="107"/>
        </w:numPr>
        <w:rPr>
          <w:rFonts w:cs="Times New Roman"/>
          <w:szCs w:val="24"/>
        </w:rPr>
      </w:pPr>
      <w:r w:rsidRPr="00FE113A">
        <w:rPr>
          <w:rFonts w:cs="Times New Roman"/>
          <w:szCs w:val="24"/>
        </w:rPr>
        <w:t>stosowaniu w umowach sprzedaży zawieranych z konsumentami postanowień, które</w:t>
      </w:r>
      <w:r w:rsidR="00FE113A">
        <w:rPr>
          <w:rFonts w:cs="Times New Roman"/>
          <w:szCs w:val="24"/>
        </w:rPr>
        <w:t xml:space="preserve"> </w:t>
      </w:r>
      <w:r w:rsidRPr="00FE113A">
        <w:rPr>
          <w:rFonts w:cs="Times New Roman"/>
          <w:szCs w:val="24"/>
        </w:rPr>
        <w:t>skracają ustawowy czas na zgłoszenie wady z tytułu rękojmi, co jest niezgodne</w:t>
      </w:r>
      <w:r w:rsidR="00FE113A">
        <w:rPr>
          <w:rFonts w:cs="Times New Roman"/>
          <w:szCs w:val="24"/>
        </w:rPr>
        <w:t xml:space="preserve"> </w:t>
      </w:r>
      <w:r w:rsidRPr="00FE113A">
        <w:rPr>
          <w:rFonts w:cs="Times New Roman"/>
          <w:szCs w:val="24"/>
        </w:rPr>
        <w:t>z art. 558 § 1 oraz z art. 568 § 2 w zw. z art. 568 § 1 ustawy z dnia 23 kwietnia</w:t>
      </w:r>
      <w:r w:rsidR="00FE113A">
        <w:rPr>
          <w:rFonts w:cs="Times New Roman"/>
          <w:szCs w:val="24"/>
        </w:rPr>
        <w:t xml:space="preserve"> </w:t>
      </w:r>
      <w:r w:rsidRPr="00FE113A">
        <w:rPr>
          <w:rFonts w:cs="Times New Roman"/>
          <w:szCs w:val="24"/>
        </w:rPr>
        <w:t xml:space="preserve">1964r. </w:t>
      </w:r>
      <w:proofErr w:type="spellStart"/>
      <w:r w:rsidRPr="00FE113A">
        <w:rPr>
          <w:rFonts w:cs="Times New Roman"/>
          <w:szCs w:val="24"/>
        </w:rPr>
        <w:t>kc</w:t>
      </w:r>
      <w:proofErr w:type="spellEnd"/>
      <w:r w:rsidRPr="00FE113A">
        <w:rPr>
          <w:rFonts w:cs="Times New Roman"/>
          <w:szCs w:val="24"/>
        </w:rPr>
        <w:t>;</w:t>
      </w:r>
    </w:p>
    <w:p w14:paraId="4D85EE85" w14:textId="77777777" w:rsidR="00FE113A" w:rsidRDefault="00876F82" w:rsidP="00FE70E3">
      <w:pPr>
        <w:pStyle w:val="Akapitzlist"/>
        <w:numPr>
          <w:ilvl w:val="1"/>
          <w:numId w:val="107"/>
        </w:numPr>
        <w:rPr>
          <w:rFonts w:cs="Times New Roman"/>
          <w:szCs w:val="24"/>
        </w:rPr>
      </w:pPr>
      <w:r w:rsidRPr="00FE113A">
        <w:rPr>
          <w:rFonts w:cs="Times New Roman"/>
          <w:szCs w:val="24"/>
        </w:rPr>
        <w:t>stosowaniu w umowach sprzedaży zawieranych z konsumentami postanowień, które</w:t>
      </w:r>
      <w:r w:rsidR="00FE113A">
        <w:rPr>
          <w:rFonts w:cs="Times New Roman"/>
          <w:szCs w:val="24"/>
        </w:rPr>
        <w:t xml:space="preserve"> </w:t>
      </w:r>
      <w:r w:rsidRPr="00FE113A">
        <w:rPr>
          <w:rFonts w:cs="Times New Roman"/>
          <w:szCs w:val="24"/>
        </w:rPr>
        <w:t>wyłączały odpowiedzialność sprzedawcy z tytuły rękojmi za rzeczy uszkodzone lub</w:t>
      </w:r>
      <w:r w:rsidR="00FE113A">
        <w:rPr>
          <w:rFonts w:cs="Times New Roman"/>
          <w:szCs w:val="24"/>
        </w:rPr>
        <w:t xml:space="preserve"> </w:t>
      </w:r>
      <w:r w:rsidRPr="00FE113A">
        <w:rPr>
          <w:rFonts w:cs="Times New Roman"/>
          <w:szCs w:val="24"/>
        </w:rPr>
        <w:t xml:space="preserve">używane, co jest niezgodne z art. 557 § 1 w zw. z art. 558 § </w:t>
      </w:r>
      <w:proofErr w:type="spellStart"/>
      <w:r w:rsidRPr="00FE113A">
        <w:rPr>
          <w:rFonts w:cs="Times New Roman"/>
          <w:szCs w:val="24"/>
        </w:rPr>
        <w:t>kc</w:t>
      </w:r>
      <w:proofErr w:type="spellEnd"/>
      <w:r w:rsidRPr="00FE113A">
        <w:rPr>
          <w:rFonts w:cs="Times New Roman"/>
          <w:szCs w:val="24"/>
        </w:rPr>
        <w:t>;</w:t>
      </w:r>
    </w:p>
    <w:p w14:paraId="27FB42DA" w14:textId="3072B6F4" w:rsidR="00FE113A" w:rsidRDefault="00876F82" w:rsidP="00FE70E3">
      <w:pPr>
        <w:pStyle w:val="Akapitzlist"/>
        <w:numPr>
          <w:ilvl w:val="1"/>
          <w:numId w:val="107"/>
        </w:numPr>
        <w:rPr>
          <w:rFonts w:cs="Times New Roman"/>
          <w:szCs w:val="24"/>
        </w:rPr>
      </w:pPr>
      <w:r w:rsidRPr="00FE113A">
        <w:rPr>
          <w:rFonts w:cs="Times New Roman"/>
          <w:szCs w:val="24"/>
        </w:rPr>
        <w:t>stosowaniu w umowach sprzedaży zawieranych z konsumentami postanowienia,</w:t>
      </w:r>
      <w:r w:rsidR="00FE113A">
        <w:rPr>
          <w:rFonts w:cs="Times New Roman"/>
          <w:szCs w:val="24"/>
        </w:rPr>
        <w:t xml:space="preserve"> </w:t>
      </w:r>
      <w:r w:rsidRPr="00FE113A">
        <w:rPr>
          <w:rFonts w:cs="Times New Roman"/>
          <w:szCs w:val="24"/>
        </w:rPr>
        <w:t>które to postanowienie nakazuje konsumentom – przy odstąpieniu od umowy</w:t>
      </w:r>
      <w:r w:rsidR="00FE113A">
        <w:rPr>
          <w:rFonts w:cs="Times New Roman"/>
          <w:szCs w:val="24"/>
        </w:rPr>
        <w:t xml:space="preserve"> </w:t>
      </w:r>
      <w:r w:rsidRPr="00FE113A">
        <w:rPr>
          <w:rFonts w:cs="Times New Roman"/>
          <w:szCs w:val="24"/>
        </w:rPr>
        <w:t>zawartej poza lokalem przedsiębiorstwa - dokonanie zwrotu upominków, które</w:t>
      </w:r>
      <w:r w:rsidR="00FE113A">
        <w:rPr>
          <w:rFonts w:cs="Times New Roman"/>
          <w:szCs w:val="24"/>
        </w:rPr>
        <w:t xml:space="preserve"> </w:t>
      </w:r>
      <w:r w:rsidRPr="00FE113A">
        <w:rPr>
          <w:rFonts w:cs="Times New Roman"/>
          <w:szCs w:val="24"/>
        </w:rPr>
        <w:t>otrzymali w związku z udziałem w pokazie, a także uzależnia skuteczność</w:t>
      </w:r>
      <w:r w:rsidR="00FE113A">
        <w:rPr>
          <w:rFonts w:cs="Times New Roman"/>
          <w:szCs w:val="24"/>
        </w:rPr>
        <w:t xml:space="preserve"> </w:t>
      </w:r>
      <w:r w:rsidRPr="00FE113A">
        <w:rPr>
          <w:rFonts w:cs="Times New Roman"/>
          <w:szCs w:val="24"/>
        </w:rPr>
        <w:t>odstąpienia od umowy lub zwrotu świadczeń od zwrotu paragonu fiskalnego, co jest</w:t>
      </w:r>
      <w:r w:rsidR="00FE113A">
        <w:rPr>
          <w:rFonts w:cs="Times New Roman"/>
          <w:szCs w:val="24"/>
        </w:rPr>
        <w:t xml:space="preserve"> </w:t>
      </w:r>
      <w:r w:rsidRPr="00FE113A">
        <w:rPr>
          <w:rFonts w:cs="Times New Roman"/>
          <w:szCs w:val="24"/>
        </w:rPr>
        <w:t>niezgodne z art. 34 ust. 1 w zw. z art. 27 w zw. z art. 7 ustawy z dnia 30 maja</w:t>
      </w:r>
      <w:r w:rsidR="00FE113A">
        <w:rPr>
          <w:rFonts w:cs="Times New Roman"/>
          <w:szCs w:val="24"/>
        </w:rPr>
        <w:t xml:space="preserve"> </w:t>
      </w:r>
      <w:r w:rsidRPr="00FE113A">
        <w:rPr>
          <w:rFonts w:cs="Times New Roman"/>
          <w:szCs w:val="24"/>
        </w:rPr>
        <w:t>2014r. o prawach konsumenta (Dz.</w:t>
      </w:r>
      <w:r w:rsidR="007E0920">
        <w:rPr>
          <w:rFonts w:cs="Times New Roman"/>
          <w:szCs w:val="24"/>
        </w:rPr>
        <w:t xml:space="preserve"> </w:t>
      </w:r>
      <w:r w:rsidRPr="00FE113A">
        <w:rPr>
          <w:rFonts w:cs="Times New Roman"/>
          <w:szCs w:val="24"/>
        </w:rPr>
        <w:t>U. z 2020 r., poz. 287</w:t>
      </w:r>
      <w:r w:rsidR="007E0920">
        <w:rPr>
          <w:rFonts w:cs="Times New Roman"/>
          <w:szCs w:val="24"/>
        </w:rPr>
        <w:t>)</w:t>
      </w:r>
      <w:r w:rsidRPr="00FE113A">
        <w:rPr>
          <w:rFonts w:cs="Times New Roman"/>
          <w:szCs w:val="24"/>
        </w:rPr>
        <w:t>; dalej: „ustawa</w:t>
      </w:r>
      <w:r w:rsidR="00FE113A">
        <w:rPr>
          <w:rFonts w:cs="Times New Roman"/>
          <w:szCs w:val="24"/>
        </w:rPr>
        <w:t xml:space="preserve"> </w:t>
      </w:r>
      <w:r w:rsidRPr="00FE113A">
        <w:rPr>
          <w:rFonts w:cs="Times New Roman"/>
          <w:szCs w:val="24"/>
        </w:rPr>
        <w:t>o prawach konsumenta” lub „</w:t>
      </w:r>
      <w:proofErr w:type="spellStart"/>
      <w:r w:rsidRPr="00FE113A">
        <w:rPr>
          <w:rFonts w:cs="Times New Roman"/>
          <w:szCs w:val="24"/>
        </w:rPr>
        <w:t>upk</w:t>
      </w:r>
      <w:proofErr w:type="spellEnd"/>
      <w:r w:rsidRPr="00FE113A">
        <w:rPr>
          <w:rFonts w:cs="Times New Roman"/>
          <w:szCs w:val="24"/>
        </w:rPr>
        <w:t>”;</w:t>
      </w:r>
    </w:p>
    <w:p w14:paraId="2A9EDA51" w14:textId="77777777" w:rsidR="00FE113A" w:rsidRDefault="00876F82" w:rsidP="00FE70E3">
      <w:pPr>
        <w:pStyle w:val="Akapitzlist"/>
        <w:numPr>
          <w:ilvl w:val="1"/>
          <w:numId w:val="107"/>
        </w:numPr>
        <w:rPr>
          <w:rFonts w:cs="Times New Roman"/>
          <w:szCs w:val="24"/>
        </w:rPr>
      </w:pPr>
      <w:r w:rsidRPr="00FE113A">
        <w:rPr>
          <w:rFonts w:cs="Times New Roman"/>
          <w:szCs w:val="24"/>
        </w:rPr>
        <w:t>stosowaniu w umowach sprzedaży zawieranych z konsumentami postanowienia,</w:t>
      </w:r>
      <w:r w:rsidR="00FE113A">
        <w:rPr>
          <w:rFonts w:cs="Times New Roman"/>
          <w:szCs w:val="24"/>
        </w:rPr>
        <w:t xml:space="preserve"> </w:t>
      </w:r>
      <w:r w:rsidRPr="00FE113A">
        <w:rPr>
          <w:rFonts w:cs="Times New Roman"/>
          <w:szCs w:val="24"/>
        </w:rPr>
        <w:t>które to postanowienie nakłada na konsumentów obowiązek zapłaty z tytułu odstąpienia od umowy zawartej poza lokalem przedsiębiorstwa w sposób niezgodny</w:t>
      </w:r>
      <w:r w:rsidR="00FE113A">
        <w:rPr>
          <w:rFonts w:cs="Times New Roman"/>
          <w:szCs w:val="24"/>
        </w:rPr>
        <w:t xml:space="preserve"> </w:t>
      </w:r>
      <w:r w:rsidRPr="00FE113A">
        <w:rPr>
          <w:rFonts w:cs="Times New Roman"/>
          <w:szCs w:val="24"/>
        </w:rPr>
        <w:t xml:space="preserve">z art. 34 ust. 1 w zw. z art. 27, a także art. 34 ust. 4 w zw. z art. 7 </w:t>
      </w:r>
      <w:proofErr w:type="spellStart"/>
      <w:r w:rsidRPr="00FE113A">
        <w:rPr>
          <w:rFonts w:cs="Times New Roman"/>
          <w:szCs w:val="24"/>
        </w:rPr>
        <w:t>upk</w:t>
      </w:r>
      <w:proofErr w:type="spellEnd"/>
      <w:r w:rsidRPr="00FE113A">
        <w:rPr>
          <w:rFonts w:cs="Times New Roman"/>
          <w:szCs w:val="24"/>
        </w:rPr>
        <w:t>;</w:t>
      </w:r>
    </w:p>
    <w:p w14:paraId="72489E09" w14:textId="77777777" w:rsidR="00FE113A" w:rsidRDefault="00876F82" w:rsidP="00FE70E3">
      <w:pPr>
        <w:pStyle w:val="Akapitzlist"/>
        <w:numPr>
          <w:ilvl w:val="1"/>
          <w:numId w:val="107"/>
        </w:numPr>
        <w:rPr>
          <w:rFonts w:cs="Times New Roman"/>
          <w:szCs w:val="24"/>
        </w:rPr>
      </w:pPr>
      <w:r w:rsidRPr="00FE113A">
        <w:rPr>
          <w:rFonts w:cs="Times New Roman"/>
          <w:szCs w:val="24"/>
        </w:rPr>
        <w:t>nie wykonywaniu obowiązku zwrotu konsumentom niezwłocznie, nie później niż</w:t>
      </w:r>
      <w:r w:rsidR="00FE113A">
        <w:rPr>
          <w:rFonts w:cs="Times New Roman"/>
          <w:szCs w:val="24"/>
        </w:rPr>
        <w:t xml:space="preserve"> </w:t>
      </w:r>
      <w:r w:rsidRPr="00FE113A">
        <w:rPr>
          <w:rFonts w:cs="Times New Roman"/>
          <w:szCs w:val="24"/>
        </w:rPr>
        <w:t>w terminie 14 dni od dnia otrzymania oświadczenia konsumenta o odstąpieniu od</w:t>
      </w:r>
      <w:r w:rsidR="00FE113A">
        <w:rPr>
          <w:rFonts w:cs="Times New Roman"/>
          <w:szCs w:val="24"/>
        </w:rPr>
        <w:t xml:space="preserve"> </w:t>
      </w:r>
      <w:r w:rsidRPr="00FE113A">
        <w:rPr>
          <w:rFonts w:cs="Times New Roman"/>
          <w:szCs w:val="24"/>
        </w:rPr>
        <w:t>umowy, o którym mowa w art. 30 ustawy z dnia 30 maja 2014 r. o prawach</w:t>
      </w:r>
      <w:r w:rsidR="00FE113A">
        <w:rPr>
          <w:rFonts w:cs="Times New Roman"/>
          <w:szCs w:val="24"/>
        </w:rPr>
        <w:t xml:space="preserve"> </w:t>
      </w:r>
      <w:r w:rsidRPr="00FE113A">
        <w:rPr>
          <w:rFonts w:cs="Times New Roman"/>
          <w:szCs w:val="24"/>
        </w:rPr>
        <w:t>konsumenta, wszystkich dokonanych przez nich płatności, w tym kosztów</w:t>
      </w:r>
      <w:r w:rsidR="00FE113A">
        <w:rPr>
          <w:rFonts w:cs="Times New Roman"/>
          <w:szCs w:val="24"/>
        </w:rPr>
        <w:t xml:space="preserve"> </w:t>
      </w:r>
      <w:r w:rsidRPr="00FE113A">
        <w:rPr>
          <w:rFonts w:cs="Times New Roman"/>
          <w:szCs w:val="24"/>
        </w:rPr>
        <w:t xml:space="preserve">dostarczenia rzeczy, co stanowi naruszenie art. 32 ust. 1 </w:t>
      </w:r>
      <w:proofErr w:type="spellStart"/>
      <w:r w:rsidRPr="00FE113A">
        <w:rPr>
          <w:rFonts w:cs="Times New Roman"/>
          <w:szCs w:val="24"/>
        </w:rPr>
        <w:t>upk</w:t>
      </w:r>
      <w:proofErr w:type="spellEnd"/>
      <w:r w:rsidRPr="00FE113A">
        <w:rPr>
          <w:rFonts w:cs="Times New Roman"/>
          <w:szCs w:val="24"/>
        </w:rPr>
        <w:t>.</w:t>
      </w:r>
    </w:p>
    <w:p w14:paraId="312149E2" w14:textId="77777777" w:rsidR="00FE113A" w:rsidRDefault="00876F82" w:rsidP="00FE70E3">
      <w:pPr>
        <w:pStyle w:val="Akapitzlist"/>
        <w:numPr>
          <w:ilvl w:val="0"/>
          <w:numId w:val="107"/>
        </w:numPr>
        <w:rPr>
          <w:rFonts w:cs="Times New Roman"/>
          <w:szCs w:val="24"/>
        </w:rPr>
      </w:pPr>
      <w:r w:rsidRPr="00FE113A">
        <w:rPr>
          <w:rFonts w:cs="Times New Roman"/>
          <w:szCs w:val="24"/>
        </w:rPr>
        <w:t>decyzji nr DOZIK 5/2020 wydanej wobec przedsiębiorcy Centrum Medyczne</w:t>
      </w:r>
      <w:r w:rsidR="00FE113A">
        <w:rPr>
          <w:rFonts w:cs="Times New Roman"/>
          <w:szCs w:val="24"/>
        </w:rPr>
        <w:t xml:space="preserve"> </w:t>
      </w:r>
      <w:r w:rsidRPr="00FE113A">
        <w:rPr>
          <w:rFonts w:cs="Times New Roman"/>
          <w:szCs w:val="24"/>
        </w:rPr>
        <w:t>Rehabilitacji i Fizjoterapii sp. z o.o. z/s w Warszawie stwierdzającą zaniechanie</w:t>
      </w:r>
      <w:r w:rsidR="00FE113A">
        <w:rPr>
          <w:rFonts w:cs="Times New Roman"/>
          <w:szCs w:val="24"/>
        </w:rPr>
        <w:t xml:space="preserve"> </w:t>
      </w:r>
      <w:r w:rsidRPr="00FE113A">
        <w:rPr>
          <w:rFonts w:cs="Times New Roman"/>
          <w:szCs w:val="24"/>
        </w:rPr>
        <w:t>stosowanych praktyk.</w:t>
      </w:r>
      <w:r w:rsidR="00FE113A">
        <w:rPr>
          <w:rFonts w:cs="Times New Roman"/>
          <w:szCs w:val="24"/>
        </w:rPr>
        <w:t xml:space="preserve"> </w:t>
      </w:r>
      <w:r w:rsidRPr="00FE113A">
        <w:rPr>
          <w:rFonts w:cs="Times New Roman"/>
          <w:szCs w:val="24"/>
        </w:rPr>
        <w:t>Zarzucane przedsiębiorcy praktyki polegały na:</w:t>
      </w:r>
    </w:p>
    <w:p w14:paraId="7650A394" w14:textId="77777777" w:rsidR="00FE113A" w:rsidRDefault="00876F82" w:rsidP="00FE70E3">
      <w:pPr>
        <w:pStyle w:val="Akapitzlist"/>
        <w:numPr>
          <w:ilvl w:val="1"/>
          <w:numId w:val="107"/>
        </w:numPr>
        <w:rPr>
          <w:rFonts w:cs="Times New Roman"/>
          <w:szCs w:val="24"/>
        </w:rPr>
      </w:pPr>
      <w:r w:rsidRPr="00FE113A">
        <w:rPr>
          <w:rFonts w:cs="Times New Roman"/>
          <w:szCs w:val="24"/>
        </w:rPr>
        <w:t>wprowadzaniu konsumentów w błąd poprzez nieinformowanie w telefonicznych oraz</w:t>
      </w:r>
      <w:r w:rsidR="00FE113A">
        <w:rPr>
          <w:rFonts w:cs="Times New Roman"/>
          <w:szCs w:val="24"/>
        </w:rPr>
        <w:t xml:space="preserve"> </w:t>
      </w:r>
      <w:r w:rsidRPr="00FE113A">
        <w:rPr>
          <w:rFonts w:cs="Times New Roman"/>
          <w:szCs w:val="24"/>
        </w:rPr>
        <w:t>pisemnych zaproszeniach na spotkania organizowane przez przedsiębiorcę</w:t>
      </w:r>
      <w:r w:rsidR="00FE113A">
        <w:rPr>
          <w:rFonts w:cs="Times New Roman"/>
          <w:szCs w:val="24"/>
        </w:rPr>
        <w:t xml:space="preserve"> </w:t>
      </w:r>
      <w:r w:rsidRPr="00FE113A">
        <w:rPr>
          <w:rFonts w:cs="Times New Roman"/>
          <w:szCs w:val="24"/>
        </w:rPr>
        <w:t>o handlowym celu praktyki, tj. możliwości zawarcia na zorganizowanym spotkaniu</w:t>
      </w:r>
      <w:r w:rsidR="00FE113A">
        <w:rPr>
          <w:rFonts w:cs="Times New Roman"/>
          <w:szCs w:val="24"/>
        </w:rPr>
        <w:t xml:space="preserve"> </w:t>
      </w:r>
      <w:r w:rsidRPr="00FE113A">
        <w:rPr>
          <w:rFonts w:cs="Times New Roman"/>
          <w:szCs w:val="24"/>
        </w:rPr>
        <w:t>umowy sprzedaży pakietu medycznego oferowanego przez przedsiębiorcę, co może</w:t>
      </w:r>
      <w:r w:rsidR="00FE113A">
        <w:rPr>
          <w:rFonts w:cs="Times New Roman"/>
          <w:szCs w:val="24"/>
        </w:rPr>
        <w:t xml:space="preserve"> </w:t>
      </w:r>
      <w:r w:rsidRPr="00FE113A">
        <w:rPr>
          <w:rFonts w:cs="Times New Roman"/>
          <w:szCs w:val="24"/>
        </w:rPr>
        <w:t>stanowić nieuczciwą praktykę rynkową, o której mowa w art. 6 ust. 1 w zw. z art.</w:t>
      </w:r>
      <w:r w:rsidR="00FE113A">
        <w:rPr>
          <w:rFonts w:cs="Times New Roman"/>
          <w:szCs w:val="24"/>
        </w:rPr>
        <w:t xml:space="preserve"> </w:t>
      </w:r>
      <w:r w:rsidRPr="00FE113A">
        <w:rPr>
          <w:rFonts w:cs="Times New Roman"/>
          <w:szCs w:val="24"/>
        </w:rPr>
        <w:t>6 ust. 3 pkt 2 ustawy o przeciwdziałaniu nieuczciwym praktykom rynkowym;</w:t>
      </w:r>
    </w:p>
    <w:p w14:paraId="3F0A489F" w14:textId="77777777" w:rsidR="00FE113A" w:rsidRDefault="00876F82" w:rsidP="00FE70E3">
      <w:pPr>
        <w:pStyle w:val="Akapitzlist"/>
        <w:numPr>
          <w:ilvl w:val="1"/>
          <w:numId w:val="107"/>
        </w:numPr>
        <w:rPr>
          <w:rFonts w:cs="Times New Roman"/>
          <w:szCs w:val="24"/>
        </w:rPr>
      </w:pPr>
      <w:r w:rsidRPr="00FE113A">
        <w:rPr>
          <w:rFonts w:cs="Times New Roman"/>
          <w:szCs w:val="24"/>
        </w:rPr>
        <w:t>wprowadzaniu konsumentów w błąd, poprzez informowanie, przed przedstawieniem</w:t>
      </w:r>
      <w:r w:rsidR="00FE113A">
        <w:rPr>
          <w:rFonts w:cs="Times New Roman"/>
          <w:szCs w:val="24"/>
        </w:rPr>
        <w:t xml:space="preserve"> </w:t>
      </w:r>
      <w:r w:rsidRPr="00FE113A">
        <w:rPr>
          <w:rFonts w:cs="Times New Roman"/>
          <w:szCs w:val="24"/>
        </w:rPr>
        <w:t>im oferty sprzedaży pakietu medycznego, o ich złym stanie zdrowia w oparciu</w:t>
      </w:r>
      <w:r w:rsidR="00FE113A">
        <w:rPr>
          <w:rFonts w:cs="Times New Roman"/>
          <w:szCs w:val="24"/>
        </w:rPr>
        <w:t xml:space="preserve"> </w:t>
      </w:r>
      <w:r w:rsidRPr="00FE113A">
        <w:rPr>
          <w:rFonts w:cs="Times New Roman"/>
          <w:szCs w:val="24"/>
        </w:rPr>
        <w:t xml:space="preserve">o wyniki uzyskane metodą badań o nazwie </w:t>
      </w:r>
      <w:proofErr w:type="spellStart"/>
      <w:r w:rsidRPr="00FE113A">
        <w:rPr>
          <w:rFonts w:cs="Times New Roman"/>
          <w:szCs w:val="24"/>
        </w:rPr>
        <w:t>pulsoksymetria</w:t>
      </w:r>
      <w:proofErr w:type="spellEnd"/>
      <w:r w:rsidRPr="00FE113A">
        <w:rPr>
          <w:rFonts w:cs="Times New Roman"/>
          <w:szCs w:val="24"/>
        </w:rPr>
        <w:t xml:space="preserve"> HRS, na podstawie</w:t>
      </w:r>
      <w:r w:rsidR="00FE113A">
        <w:rPr>
          <w:rFonts w:cs="Times New Roman"/>
          <w:szCs w:val="24"/>
        </w:rPr>
        <w:t xml:space="preserve"> </w:t>
      </w:r>
      <w:r w:rsidRPr="00FE113A">
        <w:rPr>
          <w:rFonts w:cs="Times New Roman"/>
          <w:szCs w:val="24"/>
        </w:rPr>
        <w:t>których nie można jednoznacznie stwierdzić przyczyn odchyleń od norm</w:t>
      </w:r>
      <w:r w:rsidR="00FE113A">
        <w:rPr>
          <w:rFonts w:cs="Times New Roman"/>
          <w:szCs w:val="24"/>
        </w:rPr>
        <w:t xml:space="preserve"> </w:t>
      </w:r>
      <w:r w:rsidRPr="00FE113A">
        <w:rPr>
          <w:rFonts w:cs="Times New Roman"/>
          <w:szCs w:val="24"/>
        </w:rPr>
        <w:t>wskazanych w tych wynikach, a tym samym dokonać oceny stanu zdrowia</w:t>
      </w:r>
      <w:r w:rsidR="00FE113A">
        <w:rPr>
          <w:rFonts w:cs="Times New Roman"/>
          <w:szCs w:val="24"/>
        </w:rPr>
        <w:t xml:space="preserve"> </w:t>
      </w:r>
      <w:r w:rsidRPr="00FE113A">
        <w:rPr>
          <w:rFonts w:cs="Times New Roman"/>
          <w:szCs w:val="24"/>
        </w:rPr>
        <w:lastRenderedPageBreak/>
        <w:t>konsumenta, co może stanowić nieuczciwą praktykę rynkową, o której mowa</w:t>
      </w:r>
      <w:r w:rsidR="00FE113A">
        <w:rPr>
          <w:rFonts w:cs="Times New Roman"/>
          <w:szCs w:val="24"/>
        </w:rPr>
        <w:t xml:space="preserve"> </w:t>
      </w:r>
      <w:r w:rsidRPr="00FE113A">
        <w:rPr>
          <w:rFonts w:cs="Times New Roman"/>
          <w:szCs w:val="24"/>
        </w:rPr>
        <w:t>w art. 5 ust. 1 ustawy o przeciwdziałaniu nieuczciwym praktykom rynkowym;</w:t>
      </w:r>
    </w:p>
    <w:p w14:paraId="130AC30F" w14:textId="77777777" w:rsidR="00FE113A" w:rsidRDefault="00876F82" w:rsidP="00FE70E3">
      <w:pPr>
        <w:pStyle w:val="Akapitzlist"/>
        <w:numPr>
          <w:ilvl w:val="1"/>
          <w:numId w:val="107"/>
        </w:numPr>
        <w:rPr>
          <w:rFonts w:cs="Times New Roman"/>
          <w:szCs w:val="24"/>
        </w:rPr>
      </w:pPr>
      <w:r w:rsidRPr="00FE113A">
        <w:rPr>
          <w:rFonts w:cs="Times New Roman"/>
          <w:szCs w:val="24"/>
        </w:rPr>
        <w:t>stosowaniu wobec konsumentów przy zawieraniu umowy sprzedaży pakietu</w:t>
      </w:r>
      <w:r w:rsidR="00FE113A">
        <w:rPr>
          <w:rFonts w:cs="Times New Roman"/>
          <w:szCs w:val="24"/>
        </w:rPr>
        <w:t xml:space="preserve"> </w:t>
      </w:r>
      <w:r w:rsidRPr="00FE113A">
        <w:rPr>
          <w:rFonts w:cs="Times New Roman"/>
          <w:szCs w:val="24"/>
        </w:rPr>
        <w:t>medycznego oferowanego przez przedsiębiorcę niedopuszczalnego nacisku</w:t>
      </w:r>
      <w:r w:rsidR="00FE113A">
        <w:rPr>
          <w:rFonts w:cs="Times New Roman"/>
          <w:szCs w:val="24"/>
        </w:rPr>
        <w:t xml:space="preserve"> </w:t>
      </w:r>
      <w:r w:rsidRPr="00FE113A">
        <w:rPr>
          <w:rFonts w:cs="Times New Roman"/>
          <w:szCs w:val="24"/>
        </w:rPr>
        <w:t>polegającego na ponaglaniu konsumentów w podpisywaniu ww. umowy oraz</w:t>
      </w:r>
      <w:r w:rsidR="00FE113A">
        <w:rPr>
          <w:rFonts w:cs="Times New Roman"/>
          <w:szCs w:val="24"/>
        </w:rPr>
        <w:t xml:space="preserve"> </w:t>
      </w:r>
      <w:r w:rsidRPr="00FE113A">
        <w:rPr>
          <w:rFonts w:cs="Times New Roman"/>
          <w:szCs w:val="24"/>
        </w:rPr>
        <w:t>stwarzaniu warunków uniemożliwiających im zapoznanie się z jej treścią, co może</w:t>
      </w:r>
      <w:r w:rsidR="00FE113A">
        <w:rPr>
          <w:rFonts w:cs="Times New Roman"/>
          <w:szCs w:val="24"/>
        </w:rPr>
        <w:t xml:space="preserve"> </w:t>
      </w:r>
      <w:r w:rsidRPr="00FE113A">
        <w:rPr>
          <w:rFonts w:cs="Times New Roman"/>
          <w:szCs w:val="24"/>
        </w:rPr>
        <w:t>ograniczać zdolność konsumenta do podjęcia świadomej decyzji dotyczącej</w:t>
      </w:r>
      <w:r w:rsidR="00FE113A">
        <w:rPr>
          <w:rFonts w:cs="Times New Roman"/>
          <w:szCs w:val="24"/>
        </w:rPr>
        <w:t xml:space="preserve"> </w:t>
      </w:r>
      <w:r w:rsidRPr="00FE113A">
        <w:rPr>
          <w:rFonts w:cs="Times New Roman"/>
          <w:szCs w:val="24"/>
        </w:rPr>
        <w:t>zawieranej umowy, a przez to może stanowić agresywną praktykę rynkową</w:t>
      </w:r>
      <w:r w:rsidR="00FE113A">
        <w:rPr>
          <w:rFonts w:cs="Times New Roman"/>
          <w:szCs w:val="24"/>
        </w:rPr>
        <w:t xml:space="preserve"> </w:t>
      </w:r>
      <w:r w:rsidRPr="00FE113A">
        <w:rPr>
          <w:rFonts w:cs="Times New Roman"/>
          <w:szCs w:val="24"/>
        </w:rPr>
        <w:t>w rozumieniu art. 8 ust. 1 w zw. z art. 8 ust. 2 ustawy o przeciwdziałaniu</w:t>
      </w:r>
      <w:r w:rsidR="00FE113A">
        <w:rPr>
          <w:rFonts w:cs="Times New Roman"/>
          <w:szCs w:val="24"/>
        </w:rPr>
        <w:t xml:space="preserve"> </w:t>
      </w:r>
      <w:r w:rsidRPr="00FE113A">
        <w:rPr>
          <w:rFonts w:cs="Times New Roman"/>
          <w:szCs w:val="24"/>
        </w:rPr>
        <w:t>nieuczciwym praktykom rynkowym;</w:t>
      </w:r>
    </w:p>
    <w:p w14:paraId="3570CD7B" w14:textId="3BE18CD3" w:rsidR="00FE113A" w:rsidRDefault="00876F82" w:rsidP="00FE70E3">
      <w:pPr>
        <w:pStyle w:val="Akapitzlist"/>
        <w:numPr>
          <w:ilvl w:val="1"/>
          <w:numId w:val="107"/>
        </w:numPr>
        <w:rPr>
          <w:rFonts w:cs="Times New Roman"/>
          <w:szCs w:val="24"/>
        </w:rPr>
      </w:pPr>
      <w:r w:rsidRPr="00FE113A">
        <w:rPr>
          <w:rFonts w:cs="Times New Roman"/>
          <w:szCs w:val="24"/>
        </w:rPr>
        <w:t>zawarciu w umowie sprzedaży pakietu medycznego pouczenia wskazującego na brak</w:t>
      </w:r>
      <w:r w:rsidR="00FE113A">
        <w:rPr>
          <w:rFonts w:cs="Times New Roman"/>
          <w:szCs w:val="24"/>
        </w:rPr>
        <w:t xml:space="preserve"> </w:t>
      </w:r>
      <w:r w:rsidRPr="00FE113A">
        <w:rPr>
          <w:rFonts w:cs="Times New Roman"/>
          <w:szCs w:val="24"/>
        </w:rPr>
        <w:t>prawa odstąpienia od tej umowy w związku z treścią art. 38 pkt 1 ustawy z dnia 30</w:t>
      </w:r>
      <w:r w:rsidR="00FE113A">
        <w:rPr>
          <w:rFonts w:cs="Times New Roman"/>
          <w:szCs w:val="24"/>
        </w:rPr>
        <w:t xml:space="preserve"> </w:t>
      </w:r>
      <w:r w:rsidRPr="00FE113A">
        <w:rPr>
          <w:rFonts w:cs="Times New Roman"/>
          <w:szCs w:val="24"/>
        </w:rPr>
        <w:t>maja 2014 r. o prawach konsumenta, podczas gdy przepis ten nie znajduje</w:t>
      </w:r>
      <w:r w:rsidR="00FE113A">
        <w:rPr>
          <w:rFonts w:cs="Times New Roman"/>
          <w:szCs w:val="24"/>
        </w:rPr>
        <w:t xml:space="preserve"> </w:t>
      </w:r>
      <w:r w:rsidRPr="00FE113A">
        <w:rPr>
          <w:rFonts w:cs="Times New Roman"/>
          <w:szCs w:val="24"/>
        </w:rPr>
        <w:t>zastosowania do oferowanej przez przedsiębiorcę umowy o zakup pakietu</w:t>
      </w:r>
      <w:r w:rsidR="00FE113A">
        <w:rPr>
          <w:rFonts w:cs="Times New Roman"/>
          <w:szCs w:val="24"/>
        </w:rPr>
        <w:t xml:space="preserve"> </w:t>
      </w:r>
      <w:r w:rsidRPr="00FE113A">
        <w:rPr>
          <w:rFonts w:cs="Times New Roman"/>
          <w:szCs w:val="24"/>
        </w:rPr>
        <w:t>medycznego, co może naruszać art. 27 ustawy z dnia 30 maja 2014 r. o prawach</w:t>
      </w:r>
      <w:r w:rsidR="00FE113A">
        <w:rPr>
          <w:rFonts w:cs="Times New Roman"/>
          <w:szCs w:val="24"/>
        </w:rPr>
        <w:t xml:space="preserve"> </w:t>
      </w:r>
      <w:r w:rsidRPr="00FE113A">
        <w:rPr>
          <w:rFonts w:cs="Times New Roman"/>
          <w:szCs w:val="24"/>
        </w:rPr>
        <w:t>konsumenta</w:t>
      </w:r>
      <w:r w:rsidR="007E0920">
        <w:rPr>
          <w:rFonts w:cs="Times New Roman"/>
          <w:szCs w:val="24"/>
        </w:rPr>
        <w:t>.</w:t>
      </w:r>
      <w:r w:rsidRPr="00FE113A">
        <w:rPr>
          <w:rFonts w:cs="Times New Roman"/>
          <w:szCs w:val="24"/>
        </w:rPr>
        <w:t xml:space="preserve"> </w:t>
      </w:r>
    </w:p>
    <w:p w14:paraId="5CF1935D" w14:textId="77777777" w:rsidR="00FE113A" w:rsidRDefault="00876F82" w:rsidP="00FE70E3">
      <w:pPr>
        <w:pStyle w:val="Akapitzlist"/>
        <w:numPr>
          <w:ilvl w:val="0"/>
          <w:numId w:val="107"/>
        </w:numPr>
        <w:rPr>
          <w:rFonts w:cs="Times New Roman"/>
          <w:szCs w:val="24"/>
        </w:rPr>
      </w:pPr>
      <w:r w:rsidRPr="00FE113A">
        <w:rPr>
          <w:rFonts w:cs="Times New Roman"/>
          <w:szCs w:val="24"/>
        </w:rPr>
        <w:t>decyzji nr DOZIK 11/2020 wydanej wobec przedsiębiorcy Nova Call Center sp. z o.o.</w:t>
      </w:r>
      <w:r w:rsidR="00FE113A">
        <w:rPr>
          <w:rFonts w:cs="Times New Roman"/>
          <w:szCs w:val="24"/>
        </w:rPr>
        <w:t xml:space="preserve"> </w:t>
      </w:r>
      <w:r w:rsidRPr="00FE113A">
        <w:rPr>
          <w:rFonts w:cs="Times New Roman"/>
          <w:szCs w:val="24"/>
        </w:rPr>
        <w:t>z/s w Warszawie wzywającą do zaniechania stosowanych praktyk. Prezes Urzędu uznał</w:t>
      </w:r>
      <w:r w:rsidR="00FE113A">
        <w:rPr>
          <w:rFonts w:cs="Times New Roman"/>
          <w:szCs w:val="24"/>
        </w:rPr>
        <w:t xml:space="preserve"> </w:t>
      </w:r>
      <w:r w:rsidRPr="00FE113A">
        <w:rPr>
          <w:rFonts w:cs="Times New Roman"/>
          <w:szCs w:val="24"/>
        </w:rPr>
        <w:t>za</w:t>
      </w:r>
      <w:r w:rsidR="00FE113A">
        <w:rPr>
          <w:rFonts w:cs="Times New Roman"/>
          <w:szCs w:val="24"/>
        </w:rPr>
        <w:t> </w:t>
      </w:r>
      <w:r w:rsidRPr="00FE113A">
        <w:rPr>
          <w:rFonts w:cs="Times New Roman"/>
          <w:szCs w:val="24"/>
        </w:rPr>
        <w:t>praktykę naruszającą zbiorowe interesy konsumentów, działania przedsiębiorcy</w:t>
      </w:r>
      <w:r w:rsidR="00FE113A">
        <w:rPr>
          <w:rFonts w:cs="Times New Roman"/>
          <w:szCs w:val="24"/>
        </w:rPr>
        <w:t xml:space="preserve"> </w:t>
      </w:r>
      <w:r w:rsidRPr="00FE113A">
        <w:rPr>
          <w:rFonts w:cs="Times New Roman"/>
          <w:szCs w:val="24"/>
        </w:rPr>
        <w:t>polegające na:</w:t>
      </w:r>
    </w:p>
    <w:p w14:paraId="0F61595B" w14:textId="77777777" w:rsidR="00FE113A" w:rsidRDefault="00876F82" w:rsidP="00FE70E3">
      <w:pPr>
        <w:pStyle w:val="Akapitzlist"/>
        <w:numPr>
          <w:ilvl w:val="1"/>
          <w:numId w:val="107"/>
        </w:numPr>
        <w:rPr>
          <w:rFonts w:cs="Times New Roman"/>
          <w:szCs w:val="24"/>
        </w:rPr>
      </w:pPr>
      <w:r w:rsidRPr="00FE113A">
        <w:rPr>
          <w:rFonts w:cs="Times New Roman"/>
          <w:szCs w:val="24"/>
        </w:rPr>
        <w:t>wprowadzaniu konsumentów w błąd poprzez nieinformowanie w telefonicznych</w:t>
      </w:r>
      <w:r w:rsidR="00FE113A">
        <w:rPr>
          <w:rFonts w:cs="Times New Roman"/>
          <w:szCs w:val="24"/>
        </w:rPr>
        <w:t xml:space="preserve"> </w:t>
      </w:r>
      <w:r w:rsidRPr="00FE113A">
        <w:rPr>
          <w:rFonts w:cs="Times New Roman"/>
          <w:szCs w:val="24"/>
        </w:rPr>
        <w:t>zaproszeniach na spotkania organizowane przez przedsiębiorcę o handlowym celu</w:t>
      </w:r>
      <w:r w:rsidR="00FE113A">
        <w:rPr>
          <w:rFonts w:cs="Times New Roman"/>
          <w:szCs w:val="24"/>
        </w:rPr>
        <w:t xml:space="preserve"> </w:t>
      </w:r>
      <w:r w:rsidRPr="00FE113A">
        <w:rPr>
          <w:rFonts w:cs="Times New Roman"/>
          <w:szCs w:val="24"/>
        </w:rPr>
        <w:t>praktyki, tj. możliwości zawarcia, bezpośrednio po zorganizowanym przez przedsiębiorcę spotkaniu, umowy sprzedaży której przedmiotem są pościel SILVER</w:t>
      </w:r>
      <w:r w:rsidR="00FE113A">
        <w:rPr>
          <w:rFonts w:cs="Times New Roman"/>
          <w:szCs w:val="24"/>
        </w:rPr>
        <w:t xml:space="preserve"> </w:t>
      </w:r>
      <w:r w:rsidRPr="00FE113A">
        <w:rPr>
          <w:rFonts w:cs="Times New Roman"/>
          <w:szCs w:val="24"/>
        </w:rPr>
        <w:t>MEDIC, woda ze srebrem oraz pakiet medyczny, co stanowi nieuczciwą praktykę</w:t>
      </w:r>
      <w:r w:rsidR="00FE113A">
        <w:rPr>
          <w:rFonts w:cs="Times New Roman"/>
          <w:szCs w:val="24"/>
        </w:rPr>
        <w:t xml:space="preserve"> </w:t>
      </w:r>
      <w:r w:rsidRPr="00FE113A">
        <w:rPr>
          <w:rFonts w:cs="Times New Roman"/>
          <w:szCs w:val="24"/>
        </w:rPr>
        <w:t xml:space="preserve">rynkową, o której mowa w art. 6 ust. 1 w związku z art. 6 ust. 3 pkt 2 </w:t>
      </w:r>
      <w:proofErr w:type="spellStart"/>
      <w:r w:rsidRPr="00FE113A">
        <w:rPr>
          <w:rFonts w:cs="Times New Roman"/>
          <w:szCs w:val="24"/>
        </w:rPr>
        <w:t>upnpr</w:t>
      </w:r>
      <w:proofErr w:type="spellEnd"/>
      <w:r w:rsidRPr="00FE113A">
        <w:rPr>
          <w:rFonts w:cs="Times New Roman"/>
          <w:szCs w:val="24"/>
        </w:rPr>
        <w:t>;</w:t>
      </w:r>
    </w:p>
    <w:p w14:paraId="487B2E67" w14:textId="77777777" w:rsidR="00FE113A" w:rsidRDefault="00876F82" w:rsidP="00FE70E3">
      <w:pPr>
        <w:pStyle w:val="Akapitzlist"/>
        <w:numPr>
          <w:ilvl w:val="1"/>
          <w:numId w:val="107"/>
        </w:numPr>
        <w:rPr>
          <w:rFonts w:cs="Times New Roman"/>
          <w:szCs w:val="24"/>
        </w:rPr>
      </w:pPr>
      <w:r w:rsidRPr="00FE113A">
        <w:rPr>
          <w:rFonts w:cs="Times New Roman"/>
          <w:szCs w:val="24"/>
        </w:rPr>
        <w:t>rozpowszechnianiu nieprawdziwych informacji dotyczących oznaczeń</w:t>
      </w:r>
      <w:r w:rsidR="00FE113A">
        <w:rPr>
          <w:rFonts w:cs="Times New Roman"/>
          <w:szCs w:val="24"/>
        </w:rPr>
        <w:t xml:space="preserve"> </w:t>
      </w:r>
      <w:r w:rsidRPr="00FE113A">
        <w:rPr>
          <w:rFonts w:cs="Times New Roman"/>
          <w:szCs w:val="24"/>
        </w:rPr>
        <w:t>identyfikujących przedsiębiorcę lub jego produkty poprzez posługiwanie się przez</w:t>
      </w:r>
      <w:r w:rsidR="00FE113A">
        <w:rPr>
          <w:rFonts w:cs="Times New Roman"/>
          <w:szCs w:val="24"/>
        </w:rPr>
        <w:t xml:space="preserve"> </w:t>
      </w:r>
      <w:r w:rsidRPr="00FE113A">
        <w:rPr>
          <w:rFonts w:cs="Times New Roman"/>
          <w:szCs w:val="24"/>
        </w:rPr>
        <w:t xml:space="preserve">Spółkę w telefonicznych zaproszeniach na bezpłatne badania nazwą „Silver </w:t>
      </w:r>
      <w:proofErr w:type="spellStart"/>
      <w:r w:rsidRPr="00FE113A">
        <w:rPr>
          <w:rFonts w:cs="Times New Roman"/>
          <w:szCs w:val="24"/>
        </w:rPr>
        <w:t>Medic</w:t>
      </w:r>
      <w:proofErr w:type="spellEnd"/>
      <w:r w:rsidRPr="00FE113A">
        <w:rPr>
          <w:rFonts w:cs="Times New Roman"/>
          <w:szCs w:val="24"/>
        </w:rPr>
        <w:t>”</w:t>
      </w:r>
      <w:r w:rsidR="00FE113A">
        <w:rPr>
          <w:rFonts w:cs="Times New Roman"/>
          <w:szCs w:val="24"/>
        </w:rPr>
        <w:t xml:space="preserve"> </w:t>
      </w:r>
      <w:r w:rsidRPr="00FE113A">
        <w:rPr>
          <w:rFonts w:cs="Times New Roman"/>
          <w:szCs w:val="24"/>
        </w:rPr>
        <w:t xml:space="preserve">oraz „przychodnia Silver </w:t>
      </w:r>
      <w:proofErr w:type="spellStart"/>
      <w:r w:rsidRPr="00FE113A">
        <w:rPr>
          <w:rFonts w:cs="Times New Roman"/>
          <w:szCs w:val="24"/>
        </w:rPr>
        <w:t>Medic</w:t>
      </w:r>
      <w:proofErr w:type="spellEnd"/>
      <w:r w:rsidRPr="00FE113A">
        <w:rPr>
          <w:rFonts w:cs="Times New Roman"/>
          <w:szCs w:val="24"/>
        </w:rPr>
        <w:t>”, co stanowi nieuczciwą praktykę rynkową, o której</w:t>
      </w:r>
      <w:r w:rsidR="00FE113A">
        <w:rPr>
          <w:rFonts w:cs="Times New Roman"/>
          <w:szCs w:val="24"/>
        </w:rPr>
        <w:t xml:space="preserve"> </w:t>
      </w:r>
      <w:r w:rsidRPr="00FE113A">
        <w:rPr>
          <w:rFonts w:cs="Times New Roman"/>
          <w:szCs w:val="24"/>
        </w:rPr>
        <w:t xml:space="preserve">mowa w art. 5 ust. 1 w związku z art. 5 ust. 2 pkt 3 </w:t>
      </w:r>
      <w:proofErr w:type="spellStart"/>
      <w:r w:rsidRPr="00FE113A">
        <w:rPr>
          <w:rFonts w:cs="Times New Roman"/>
          <w:szCs w:val="24"/>
        </w:rPr>
        <w:t>upnpr</w:t>
      </w:r>
      <w:proofErr w:type="spellEnd"/>
      <w:r w:rsidRPr="00FE113A">
        <w:rPr>
          <w:rFonts w:cs="Times New Roman"/>
          <w:szCs w:val="24"/>
        </w:rPr>
        <w:t>;</w:t>
      </w:r>
    </w:p>
    <w:p w14:paraId="5DBC6B2C" w14:textId="77777777" w:rsidR="00FE113A" w:rsidRDefault="00876F82" w:rsidP="00FE70E3">
      <w:pPr>
        <w:pStyle w:val="Akapitzlist"/>
        <w:numPr>
          <w:ilvl w:val="1"/>
          <w:numId w:val="107"/>
        </w:numPr>
        <w:rPr>
          <w:rFonts w:cs="Times New Roman"/>
          <w:szCs w:val="24"/>
        </w:rPr>
      </w:pPr>
      <w:r w:rsidRPr="00FE113A">
        <w:rPr>
          <w:rFonts w:cs="Times New Roman"/>
          <w:szCs w:val="24"/>
        </w:rPr>
        <w:t>wprowadzaniu konsumentów w błąd poprzez wskazywanie w komparycji umowy</w:t>
      </w:r>
      <w:r w:rsidR="00FE113A">
        <w:rPr>
          <w:rFonts w:cs="Times New Roman"/>
          <w:szCs w:val="24"/>
        </w:rPr>
        <w:t xml:space="preserve"> </w:t>
      </w:r>
      <w:r w:rsidRPr="00FE113A">
        <w:rPr>
          <w:rFonts w:cs="Times New Roman"/>
          <w:szCs w:val="24"/>
        </w:rPr>
        <w:t>sprzedaży jako sprzedawcy przedsiębiorcy o nazwie „SILVER MEDIC sp. z o.o.” albo</w:t>
      </w:r>
      <w:r w:rsidR="00FE113A">
        <w:rPr>
          <w:rFonts w:cs="Times New Roman"/>
          <w:szCs w:val="24"/>
        </w:rPr>
        <w:t xml:space="preserve"> </w:t>
      </w:r>
      <w:r w:rsidRPr="00FE113A">
        <w:rPr>
          <w:rFonts w:cs="Times New Roman"/>
          <w:szCs w:val="24"/>
        </w:rPr>
        <w:t>„SILVER MEDIC Grupa Gamma Nova sp. z o.o.” oraz poprzez wskazywanie</w:t>
      </w:r>
      <w:r w:rsidR="00FE113A">
        <w:rPr>
          <w:rFonts w:cs="Times New Roman"/>
          <w:szCs w:val="24"/>
        </w:rPr>
        <w:t xml:space="preserve"> </w:t>
      </w:r>
      <w:r w:rsidRPr="00FE113A">
        <w:rPr>
          <w:rFonts w:cs="Times New Roman"/>
          <w:szCs w:val="24"/>
        </w:rPr>
        <w:t>w „Warunkach Sprzedaży” przedsiębiorcy o nazwie „SILVER MEDIC”, podczas gdy</w:t>
      </w:r>
      <w:r w:rsidR="00FE113A">
        <w:rPr>
          <w:rFonts w:cs="Times New Roman"/>
          <w:szCs w:val="24"/>
        </w:rPr>
        <w:t xml:space="preserve"> </w:t>
      </w:r>
      <w:r w:rsidRPr="00FE113A">
        <w:rPr>
          <w:rFonts w:cs="Times New Roman"/>
          <w:szCs w:val="24"/>
        </w:rPr>
        <w:t>podmiotem, z którym konsumenci zawierają umowę sprzedaży jest wyżej</w:t>
      </w:r>
      <w:r w:rsidR="00FE113A">
        <w:rPr>
          <w:rFonts w:cs="Times New Roman"/>
          <w:szCs w:val="24"/>
        </w:rPr>
        <w:t xml:space="preserve"> </w:t>
      </w:r>
      <w:r w:rsidRPr="00FE113A">
        <w:rPr>
          <w:rFonts w:cs="Times New Roman"/>
          <w:szCs w:val="24"/>
        </w:rPr>
        <w:t>wymieniona spółka, co narusza art. 8 pkt 2 ustawy o prawach konsumenta.</w:t>
      </w:r>
    </w:p>
    <w:p w14:paraId="4395575E" w14:textId="77777777" w:rsidR="00FE113A" w:rsidRDefault="00876F82" w:rsidP="00FE70E3">
      <w:pPr>
        <w:pStyle w:val="Akapitzlist"/>
        <w:numPr>
          <w:ilvl w:val="0"/>
          <w:numId w:val="107"/>
        </w:numPr>
        <w:rPr>
          <w:rFonts w:cs="Times New Roman"/>
          <w:szCs w:val="24"/>
        </w:rPr>
      </w:pPr>
      <w:r w:rsidRPr="00FE113A">
        <w:rPr>
          <w:rFonts w:cs="Times New Roman"/>
          <w:szCs w:val="24"/>
        </w:rPr>
        <w:t xml:space="preserve">decyzji nr RŁO 2/2020 wydanej wobec przedsiębiorcy </w:t>
      </w:r>
      <w:proofErr w:type="spellStart"/>
      <w:r w:rsidRPr="00FE113A">
        <w:rPr>
          <w:rFonts w:cs="Times New Roman"/>
          <w:szCs w:val="24"/>
        </w:rPr>
        <w:t>Quantumlive</w:t>
      </w:r>
      <w:proofErr w:type="spellEnd"/>
      <w:r w:rsidRPr="00FE113A">
        <w:rPr>
          <w:rFonts w:cs="Times New Roman"/>
          <w:szCs w:val="24"/>
        </w:rPr>
        <w:t xml:space="preserve"> sp. z o .o.</w:t>
      </w:r>
      <w:r w:rsidR="00FE113A">
        <w:rPr>
          <w:rFonts w:cs="Times New Roman"/>
          <w:szCs w:val="24"/>
        </w:rPr>
        <w:t xml:space="preserve"> </w:t>
      </w:r>
      <w:r w:rsidRPr="00FE113A">
        <w:rPr>
          <w:rFonts w:cs="Times New Roman"/>
          <w:szCs w:val="24"/>
        </w:rPr>
        <w:t>w Buku, w której stwierdzono praktykę naruszającą zbiorowe interesy konsumentów</w:t>
      </w:r>
      <w:r w:rsidR="00FE113A">
        <w:rPr>
          <w:rFonts w:cs="Times New Roman"/>
          <w:szCs w:val="24"/>
        </w:rPr>
        <w:t xml:space="preserve"> </w:t>
      </w:r>
      <w:r w:rsidRPr="00FE113A">
        <w:rPr>
          <w:rFonts w:cs="Times New Roman"/>
          <w:szCs w:val="24"/>
        </w:rPr>
        <w:t>polegającą na wprowadzaniu konsumentów w błąd podczas składanych telefonicznie</w:t>
      </w:r>
      <w:r w:rsidR="00FE113A">
        <w:rPr>
          <w:rFonts w:cs="Times New Roman"/>
          <w:szCs w:val="24"/>
        </w:rPr>
        <w:t xml:space="preserve"> </w:t>
      </w:r>
      <w:r w:rsidRPr="00FE113A">
        <w:rPr>
          <w:rFonts w:cs="Times New Roman"/>
          <w:szCs w:val="24"/>
        </w:rPr>
        <w:t xml:space="preserve">zaproszeń na spotkania organizowane przez </w:t>
      </w:r>
      <w:proofErr w:type="spellStart"/>
      <w:r w:rsidRPr="00FE113A">
        <w:rPr>
          <w:rFonts w:cs="Times New Roman"/>
          <w:szCs w:val="24"/>
        </w:rPr>
        <w:t>Quantumlive</w:t>
      </w:r>
      <w:proofErr w:type="spellEnd"/>
      <w:r w:rsidRPr="00FE113A">
        <w:rPr>
          <w:rFonts w:cs="Times New Roman"/>
          <w:szCs w:val="24"/>
        </w:rPr>
        <w:t xml:space="preserve"> Sp. z o.o. z siedzibą w Buku,</w:t>
      </w:r>
      <w:r w:rsidR="00FE113A">
        <w:rPr>
          <w:rFonts w:cs="Times New Roman"/>
          <w:szCs w:val="24"/>
        </w:rPr>
        <w:t xml:space="preserve"> </w:t>
      </w:r>
      <w:r w:rsidRPr="00FE113A">
        <w:rPr>
          <w:rFonts w:cs="Times New Roman"/>
          <w:szCs w:val="24"/>
        </w:rPr>
        <w:t xml:space="preserve">poprzez </w:t>
      </w:r>
      <w:r w:rsidRPr="00FE113A">
        <w:rPr>
          <w:rFonts w:cs="Times New Roman"/>
          <w:szCs w:val="24"/>
        </w:rPr>
        <w:lastRenderedPageBreak/>
        <w:t>informowanie o przeprowadzanych podczas spotkania badaniach</w:t>
      </w:r>
      <w:r w:rsidR="00FE113A">
        <w:rPr>
          <w:rFonts w:cs="Times New Roman"/>
          <w:szCs w:val="24"/>
        </w:rPr>
        <w:t xml:space="preserve"> </w:t>
      </w:r>
      <w:r w:rsidRPr="00FE113A">
        <w:rPr>
          <w:rFonts w:cs="Times New Roman"/>
          <w:szCs w:val="24"/>
        </w:rPr>
        <w:t>diagnostycznych dla mieszkańców „danej miejscowości” metodą elektro-termalną na</w:t>
      </w:r>
      <w:r w:rsidR="00FE113A">
        <w:rPr>
          <w:rFonts w:cs="Times New Roman"/>
          <w:szCs w:val="24"/>
        </w:rPr>
        <w:t xml:space="preserve"> </w:t>
      </w:r>
      <w:r w:rsidRPr="00FE113A">
        <w:rPr>
          <w:rFonts w:cs="Times New Roman"/>
          <w:szCs w:val="24"/>
        </w:rPr>
        <w:t xml:space="preserve">urządzeniu AM </w:t>
      </w:r>
      <w:proofErr w:type="spellStart"/>
      <w:r w:rsidRPr="00FE113A">
        <w:rPr>
          <w:rFonts w:cs="Times New Roman"/>
          <w:szCs w:val="24"/>
        </w:rPr>
        <w:t>scan</w:t>
      </w:r>
      <w:proofErr w:type="spellEnd"/>
      <w:r w:rsidRPr="00FE113A">
        <w:rPr>
          <w:rFonts w:cs="Times New Roman"/>
          <w:szCs w:val="24"/>
        </w:rPr>
        <w:t xml:space="preserve"> lub badaniach metodą </w:t>
      </w:r>
      <w:proofErr w:type="spellStart"/>
      <w:r w:rsidRPr="00FE113A">
        <w:rPr>
          <w:rFonts w:cs="Times New Roman"/>
          <w:szCs w:val="24"/>
        </w:rPr>
        <w:t>Reinhrda</w:t>
      </w:r>
      <w:proofErr w:type="spellEnd"/>
      <w:r w:rsidRPr="00FE113A">
        <w:rPr>
          <w:rFonts w:cs="Times New Roman"/>
          <w:szCs w:val="24"/>
        </w:rPr>
        <w:t xml:space="preserve"> </w:t>
      </w:r>
      <w:proofErr w:type="spellStart"/>
      <w:r w:rsidRPr="00FE113A">
        <w:rPr>
          <w:rFonts w:cs="Times New Roman"/>
          <w:szCs w:val="24"/>
        </w:rPr>
        <w:t>Volla</w:t>
      </w:r>
      <w:proofErr w:type="spellEnd"/>
      <w:r w:rsidRPr="00FE113A">
        <w:rPr>
          <w:rFonts w:cs="Times New Roman"/>
          <w:szCs w:val="24"/>
        </w:rPr>
        <w:t>, w ramach których</w:t>
      </w:r>
      <w:r w:rsidR="00FE113A">
        <w:rPr>
          <w:rFonts w:cs="Times New Roman"/>
          <w:szCs w:val="24"/>
        </w:rPr>
        <w:t xml:space="preserve"> </w:t>
      </w:r>
      <w:r w:rsidRPr="00FE113A">
        <w:rPr>
          <w:rFonts w:cs="Times New Roman"/>
          <w:szCs w:val="24"/>
        </w:rPr>
        <w:t>konsumenci otrzymają informacje na temat stanu zdrowia, i które uwzględniają</w:t>
      </w:r>
      <w:r w:rsidR="00FE113A">
        <w:rPr>
          <w:rFonts w:cs="Times New Roman"/>
          <w:szCs w:val="24"/>
        </w:rPr>
        <w:t xml:space="preserve"> </w:t>
      </w:r>
      <w:r w:rsidRPr="00FE113A">
        <w:rPr>
          <w:rFonts w:cs="Times New Roman"/>
          <w:szCs w:val="24"/>
        </w:rPr>
        <w:t>profilaktykę przeciwnowotworową, a także przyczyny wielu schorzeń jak np.</w:t>
      </w:r>
      <w:r w:rsidR="00FE113A">
        <w:rPr>
          <w:rFonts w:cs="Times New Roman"/>
          <w:szCs w:val="24"/>
        </w:rPr>
        <w:t xml:space="preserve"> </w:t>
      </w:r>
      <w:r w:rsidRPr="00FE113A">
        <w:rPr>
          <w:rFonts w:cs="Times New Roman"/>
          <w:szCs w:val="24"/>
        </w:rPr>
        <w:t>Alzhaimer, astma, cukrzyca, ciśnienie tętnicze, w sytuacji, kiedy do tychże badań</w:t>
      </w:r>
      <w:r w:rsidR="00FE113A">
        <w:rPr>
          <w:rFonts w:cs="Times New Roman"/>
          <w:szCs w:val="24"/>
        </w:rPr>
        <w:t xml:space="preserve"> </w:t>
      </w:r>
      <w:r w:rsidRPr="00FE113A">
        <w:rPr>
          <w:rFonts w:cs="Times New Roman"/>
          <w:szCs w:val="24"/>
        </w:rPr>
        <w:t>wykorzystuje się urządzenia, które nie są zarejestrowane jako wyroby medyczne</w:t>
      </w:r>
      <w:r w:rsidR="00FE113A">
        <w:rPr>
          <w:rFonts w:cs="Times New Roman"/>
          <w:szCs w:val="24"/>
        </w:rPr>
        <w:t xml:space="preserve"> </w:t>
      </w:r>
      <w:r w:rsidRPr="00FE113A">
        <w:rPr>
          <w:rFonts w:cs="Times New Roman"/>
          <w:szCs w:val="24"/>
        </w:rPr>
        <w:t>i obsługujące je osoby nie mają uprawnień do przeprowadzania</w:t>
      </w:r>
      <w:r w:rsidR="00FE113A">
        <w:rPr>
          <w:rFonts w:cs="Times New Roman"/>
          <w:szCs w:val="24"/>
        </w:rPr>
        <w:t xml:space="preserve"> </w:t>
      </w:r>
      <w:r w:rsidRPr="00FE113A">
        <w:rPr>
          <w:rFonts w:cs="Times New Roman"/>
          <w:szCs w:val="24"/>
        </w:rPr>
        <w:t>badań, w tym badań</w:t>
      </w:r>
      <w:r w:rsidR="00FE113A">
        <w:rPr>
          <w:rFonts w:cs="Times New Roman"/>
          <w:szCs w:val="24"/>
        </w:rPr>
        <w:t xml:space="preserve"> </w:t>
      </w:r>
      <w:r w:rsidRPr="00FE113A">
        <w:rPr>
          <w:rFonts w:cs="Times New Roman"/>
          <w:szCs w:val="24"/>
        </w:rPr>
        <w:t xml:space="preserve">diagnostycznych, a </w:t>
      </w:r>
      <w:proofErr w:type="spellStart"/>
      <w:r w:rsidRPr="00FE113A">
        <w:rPr>
          <w:rFonts w:cs="Times New Roman"/>
          <w:szCs w:val="24"/>
        </w:rPr>
        <w:t>Quantumlive</w:t>
      </w:r>
      <w:proofErr w:type="spellEnd"/>
      <w:r w:rsidRPr="00FE113A">
        <w:rPr>
          <w:rFonts w:cs="Times New Roman"/>
          <w:szCs w:val="24"/>
        </w:rPr>
        <w:t xml:space="preserve"> Sp. z o.o. z siedzibą w Buku nie jest podmiotem</w:t>
      </w:r>
      <w:r w:rsidR="00FE113A">
        <w:rPr>
          <w:rFonts w:cs="Times New Roman"/>
          <w:szCs w:val="24"/>
        </w:rPr>
        <w:t xml:space="preserve"> </w:t>
      </w:r>
      <w:r w:rsidRPr="00FE113A">
        <w:rPr>
          <w:rFonts w:cs="Times New Roman"/>
          <w:szCs w:val="24"/>
        </w:rPr>
        <w:t>leczniczym.</w:t>
      </w:r>
    </w:p>
    <w:p w14:paraId="124A66B0" w14:textId="77777777" w:rsidR="00551359" w:rsidRDefault="00876F82" w:rsidP="00FE70E3">
      <w:pPr>
        <w:pStyle w:val="Akapitzlist"/>
        <w:numPr>
          <w:ilvl w:val="0"/>
          <w:numId w:val="107"/>
        </w:numPr>
        <w:rPr>
          <w:rFonts w:cs="Times New Roman"/>
          <w:szCs w:val="24"/>
        </w:rPr>
      </w:pPr>
      <w:r w:rsidRPr="00FE113A">
        <w:rPr>
          <w:rFonts w:cs="Times New Roman"/>
          <w:szCs w:val="24"/>
        </w:rPr>
        <w:t xml:space="preserve">decyzji nr RŁO12/2020 wydanej wobec przedsiębiorcy SMED Sp. z </w:t>
      </w:r>
      <w:proofErr w:type="spellStart"/>
      <w:r w:rsidRPr="00FE113A">
        <w:rPr>
          <w:rFonts w:cs="Times New Roman"/>
          <w:szCs w:val="24"/>
        </w:rPr>
        <w:t>o.o</w:t>
      </w:r>
      <w:proofErr w:type="spellEnd"/>
      <w:r w:rsidRPr="00FE113A">
        <w:rPr>
          <w:rFonts w:cs="Times New Roman"/>
          <w:szCs w:val="24"/>
        </w:rPr>
        <w:t xml:space="preserve"> z Bydgoszczy;</w:t>
      </w:r>
      <w:r w:rsidR="00FE113A">
        <w:rPr>
          <w:rFonts w:cs="Times New Roman"/>
          <w:szCs w:val="24"/>
        </w:rPr>
        <w:t xml:space="preserve"> </w:t>
      </w:r>
      <w:r w:rsidRPr="00FE113A">
        <w:rPr>
          <w:rFonts w:cs="Times New Roman"/>
          <w:szCs w:val="24"/>
        </w:rPr>
        <w:t>na mocy ww. decyzji uznano za praktyki naruszające zbiorowe interesy konsumentów</w:t>
      </w:r>
      <w:r w:rsidR="00FE113A">
        <w:rPr>
          <w:rFonts w:cs="Times New Roman"/>
          <w:szCs w:val="24"/>
        </w:rPr>
        <w:t xml:space="preserve"> </w:t>
      </w:r>
      <w:r w:rsidRPr="00FE113A">
        <w:rPr>
          <w:rFonts w:cs="Times New Roman"/>
          <w:szCs w:val="24"/>
        </w:rPr>
        <w:t>działania przedsiębiorcy polegające na:</w:t>
      </w:r>
    </w:p>
    <w:p w14:paraId="383B86B3" w14:textId="77777777" w:rsidR="00551359" w:rsidRDefault="00876F82" w:rsidP="00FE70E3">
      <w:pPr>
        <w:pStyle w:val="Akapitzlist"/>
        <w:numPr>
          <w:ilvl w:val="1"/>
          <w:numId w:val="107"/>
        </w:numPr>
        <w:rPr>
          <w:rFonts w:cs="Times New Roman"/>
          <w:szCs w:val="24"/>
        </w:rPr>
      </w:pPr>
      <w:r w:rsidRPr="00551359">
        <w:rPr>
          <w:rFonts w:cs="Times New Roman"/>
          <w:szCs w:val="24"/>
        </w:rPr>
        <w:t>sugerowaniu konsumentom w kierowanych do nich ulotkach, dostarczanych</w:t>
      </w:r>
      <w:r w:rsidR="00551359">
        <w:rPr>
          <w:rFonts w:cs="Times New Roman"/>
          <w:szCs w:val="24"/>
        </w:rPr>
        <w:t xml:space="preserve"> </w:t>
      </w:r>
      <w:r w:rsidRPr="00551359">
        <w:rPr>
          <w:rFonts w:cs="Times New Roman"/>
          <w:szCs w:val="24"/>
        </w:rPr>
        <w:t>w formie druku bezadresowego, że głównym celem organizowanych spotkań są</w:t>
      </w:r>
      <w:r w:rsidR="00551359">
        <w:rPr>
          <w:rFonts w:cs="Times New Roman"/>
          <w:szCs w:val="24"/>
        </w:rPr>
        <w:t xml:space="preserve"> </w:t>
      </w:r>
      <w:r w:rsidRPr="00551359">
        <w:rPr>
          <w:rFonts w:cs="Times New Roman"/>
          <w:szCs w:val="24"/>
        </w:rPr>
        <w:t xml:space="preserve">bezpłatne badania metodą opracowaną przez dra Reinharda </w:t>
      </w:r>
      <w:proofErr w:type="spellStart"/>
      <w:r w:rsidRPr="00551359">
        <w:rPr>
          <w:rFonts w:cs="Times New Roman"/>
          <w:szCs w:val="24"/>
        </w:rPr>
        <w:t>Volla</w:t>
      </w:r>
      <w:proofErr w:type="spellEnd"/>
      <w:r w:rsidRPr="00551359">
        <w:rPr>
          <w:rFonts w:cs="Times New Roman"/>
          <w:szCs w:val="24"/>
        </w:rPr>
        <w:t>, wykonywane pod</w:t>
      </w:r>
      <w:r w:rsidR="00551359">
        <w:rPr>
          <w:rFonts w:cs="Times New Roman"/>
          <w:szCs w:val="24"/>
        </w:rPr>
        <w:t xml:space="preserve"> </w:t>
      </w:r>
      <w:r w:rsidRPr="00551359">
        <w:rPr>
          <w:rFonts w:cs="Times New Roman"/>
          <w:szCs w:val="24"/>
        </w:rPr>
        <w:t>kątem wskazanych w ulotkach układów i narządów człowieka, w sytuacji, gdy</w:t>
      </w:r>
      <w:r w:rsidR="00551359">
        <w:rPr>
          <w:rFonts w:cs="Times New Roman"/>
          <w:szCs w:val="24"/>
        </w:rPr>
        <w:t xml:space="preserve"> </w:t>
      </w:r>
      <w:r w:rsidRPr="00551359">
        <w:rPr>
          <w:rFonts w:cs="Times New Roman"/>
          <w:szCs w:val="24"/>
        </w:rPr>
        <w:t>głównym ich celem jest sprzedaż przez ww. przedsiębiorcę zestawu do terapii</w:t>
      </w:r>
      <w:r w:rsidR="00551359">
        <w:rPr>
          <w:rFonts w:cs="Times New Roman"/>
          <w:szCs w:val="24"/>
        </w:rPr>
        <w:t xml:space="preserve"> </w:t>
      </w:r>
      <w:r w:rsidRPr="00551359">
        <w:rPr>
          <w:rFonts w:cs="Times New Roman"/>
          <w:szCs w:val="24"/>
        </w:rPr>
        <w:t xml:space="preserve">polem magnetycznym </w:t>
      </w:r>
      <w:proofErr w:type="spellStart"/>
      <w:r w:rsidRPr="00551359">
        <w:rPr>
          <w:rFonts w:cs="Times New Roman"/>
          <w:szCs w:val="24"/>
        </w:rPr>
        <w:t>Biomag</w:t>
      </w:r>
      <w:proofErr w:type="spellEnd"/>
      <w:r w:rsidRPr="00551359">
        <w:rPr>
          <w:rFonts w:cs="Times New Roman"/>
          <w:szCs w:val="24"/>
        </w:rPr>
        <w:t xml:space="preserve"> </w:t>
      </w:r>
      <w:proofErr w:type="spellStart"/>
      <w:r w:rsidRPr="00551359">
        <w:rPr>
          <w:rFonts w:cs="Times New Roman"/>
          <w:szCs w:val="24"/>
        </w:rPr>
        <w:t>Lumio</w:t>
      </w:r>
      <w:proofErr w:type="spellEnd"/>
      <w:r w:rsidRPr="00551359">
        <w:rPr>
          <w:rFonts w:cs="Times New Roman"/>
          <w:szCs w:val="24"/>
        </w:rPr>
        <w:t xml:space="preserve"> - co stanowi nieuczciwą praktykę rynkową</w:t>
      </w:r>
      <w:r w:rsidR="00551359">
        <w:rPr>
          <w:rFonts w:cs="Times New Roman"/>
          <w:szCs w:val="24"/>
        </w:rPr>
        <w:t xml:space="preserve"> </w:t>
      </w:r>
      <w:r w:rsidRPr="00551359">
        <w:rPr>
          <w:rFonts w:cs="Times New Roman"/>
          <w:szCs w:val="24"/>
        </w:rPr>
        <w:t xml:space="preserve">w rozumieniu art. 5 ust. 2 pkt 1 i ust. 3 pkt 6w zw. z art. 5 ust. 1 </w:t>
      </w:r>
      <w:proofErr w:type="spellStart"/>
      <w:r w:rsidRPr="00551359">
        <w:rPr>
          <w:rFonts w:cs="Times New Roman"/>
          <w:szCs w:val="24"/>
        </w:rPr>
        <w:t>upnpr</w:t>
      </w:r>
      <w:proofErr w:type="spellEnd"/>
      <w:r w:rsidRPr="00551359">
        <w:rPr>
          <w:rFonts w:cs="Times New Roman"/>
          <w:szCs w:val="24"/>
        </w:rPr>
        <w:t>;</w:t>
      </w:r>
    </w:p>
    <w:p w14:paraId="7E4766F9" w14:textId="77777777" w:rsidR="00551359" w:rsidRDefault="00876F82" w:rsidP="00FE70E3">
      <w:pPr>
        <w:pStyle w:val="Akapitzlist"/>
        <w:numPr>
          <w:ilvl w:val="1"/>
          <w:numId w:val="107"/>
        </w:numPr>
        <w:rPr>
          <w:rFonts w:cs="Times New Roman"/>
          <w:szCs w:val="24"/>
        </w:rPr>
      </w:pPr>
      <w:r w:rsidRPr="00551359">
        <w:rPr>
          <w:rFonts w:cs="Times New Roman"/>
          <w:szCs w:val="24"/>
        </w:rPr>
        <w:t>zamieszczaniu w umowach zawieranych z konsumentami postanowienia o treści:</w:t>
      </w:r>
      <w:r w:rsidR="00551359">
        <w:rPr>
          <w:rFonts w:cs="Times New Roman"/>
          <w:szCs w:val="24"/>
        </w:rPr>
        <w:t xml:space="preserve"> </w:t>
      </w:r>
      <w:r w:rsidRPr="00551359">
        <w:rPr>
          <w:rFonts w:cs="Times New Roman"/>
          <w:szCs w:val="24"/>
        </w:rPr>
        <w:t>„Zgodnie z ustawą z dnia 30 maja 2014 r. o prawach konsumenta Kupujący będący</w:t>
      </w:r>
      <w:r w:rsidR="00551359">
        <w:rPr>
          <w:rFonts w:cs="Times New Roman"/>
          <w:szCs w:val="24"/>
        </w:rPr>
        <w:t xml:space="preserve"> </w:t>
      </w:r>
      <w:r w:rsidRPr="00551359">
        <w:rPr>
          <w:rFonts w:cs="Times New Roman"/>
          <w:szCs w:val="24"/>
        </w:rPr>
        <w:t>Konsumentem ma prawo do odstąpienia od umowy sprzedaży bez podania przyczyn,</w:t>
      </w:r>
      <w:r w:rsidR="00551359">
        <w:rPr>
          <w:rFonts w:cs="Times New Roman"/>
          <w:szCs w:val="24"/>
        </w:rPr>
        <w:t xml:space="preserve"> </w:t>
      </w:r>
      <w:r w:rsidRPr="00551359">
        <w:rPr>
          <w:rFonts w:cs="Times New Roman"/>
          <w:szCs w:val="24"/>
        </w:rPr>
        <w:t>w terminie 14 dni od dnia, w którym wszedł w posiadanie towaru lub, w którym</w:t>
      </w:r>
      <w:r w:rsidR="00551359">
        <w:rPr>
          <w:rFonts w:cs="Times New Roman"/>
          <w:szCs w:val="24"/>
        </w:rPr>
        <w:t xml:space="preserve"> </w:t>
      </w:r>
      <w:r w:rsidRPr="00551359">
        <w:rPr>
          <w:rFonts w:cs="Times New Roman"/>
          <w:szCs w:val="24"/>
        </w:rPr>
        <w:t>osoba trzecia inna niż przewoźnik i wskazana przez konsumenta weszła</w:t>
      </w:r>
      <w:r w:rsidR="00551359">
        <w:rPr>
          <w:rFonts w:cs="Times New Roman"/>
          <w:szCs w:val="24"/>
        </w:rPr>
        <w:t xml:space="preserve"> </w:t>
      </w:r>
      <w:r w:rsidRPr="00551359">
        <w:rPr>
          <w:rFonts w:cs="Times New Roman"/>
          <w:szCs w:val="24"/>
        </w:rPr>
        <w:t>w posiadanie towaru. Do zachowania terminu wystarczy wysłanie pisemnego</w:t>
      </w:r>
      <w:r w:rsidR="00551359">
        <w:rPr>
          <w:rFonts w:cs="Times New Roman"/>
          <w:szCs w:val="24"/>
        </w:rPr>
        <w:t xml:space="preserve"> </w:t>
      </w:r>
      <w:r w:rsidRPr="00551359">
        <w:rPr>
          <w:rFonts w:cs="Times New Roman"/>
          <w:szCs w:val="24"/>
        </w:rPr>
        <w:t>oświadczenia na adres (…) przed upływem terminu. Konsument może odstąpić</w:t>
      </w:r>
      <w:r w:rsidR="00551359">
        <w:rPr>
          <w:rFonts w:cs="Times New Roman"/>
          <w:szCs w:val="24"/>
        </w:rPr>
        <w:t xml:space="preserve"> </w:t>
      </w:r>
      <w:r w:rsidRPr="00551359">
        <w:rPr>
          <w:rFonts w:cs="Times New Roman"/>
          <w:szCs w:val="24"/>
        </w:rPr>
        <w:t>tylko</w:t>
      </w:r>
      <w:r w:rsidR="00551359">
        <w:rPr>
          <w:rFonts w:cs="Times New Roman"/>
          <w:szCs w:val="24"/>
        </w:rPr>
        <w:t xml:space="preserve"> </w:t>
      </w:r>
      <w:r w:rsidRPr="00551359">
        <w:rPr>
          <w:rFonts w:cs="Times New Roman"/>
          <w:szCs w:val="24"/>
        </w:rPr>
        <w:t>od zakupu urządzenia do magnetoterapii. Usługa szkolenie w kwocie 500 zł jest</w:t>
      </w:r>
      <w:r w:rsidR="00551359">
        <w:rPr>
          <w:rFonts w:cs="Times New Roman"/>
          <w:szCs w:val="24"/>
        </w:rPr>
        <w:t xml:space="preserve"> </w:t>
      </w:r>
      <w:r w:rsidRPr="00551359">
        <w:rPr>
          <w:rFonts w:cs="Times New Roman"/>
          <w:szCs w:val="24"/>
        </w:rPr>
        <w:t>uznana za wykonaną i nie podlega zwrotowi”;</w:t>
      </w:r>
      <w:r w:rsidR="00551359">
        <w:rPr>
          <w:rFonts w:cs="Times New Roman"/>
          <w:szCs w:val="24"/>
        </w:rPr>
        <w:t xml:space="preserve"> </w:t>
      </w:r>
      <w:r w:rsidRPr="00551359">
        <w:rPr>
          <w:rFonts w:cs="Times New Roman"/>
          <w:szCs w:val="24"/>
        </w:rPr>
        <w:t>- co jest naruszeniem art. 27 ustawy o prawach konsumenta, ogranicza bowiem</w:t>
      </w:r>
      <w:r w:rsidR="00551359">
        <w:rPr>
          <w:rFonts w:cs="Times New Roman"/>
          <w:szCs w:val="24"/>
        </w:rPr>
        <w:t xml:space="preserve"> </w:t>
      </w:r>
      <w:r w:rsidRPr="00551359">
        <w:rPr>
          <w:rFonts w:cs="Times New Roman"/>
          <w:szCs w:val="24"/>
        </w:rPr>
        <w:t>prawo konsumentów do odstąpienia od umowy zawartej poza lokalem</w:t>
      </w:r>
      <w:r w:rsidR="00551359">
        <w:rPr>
          <w:rFonts w:cs="Times New Roman"/>
          <w:szCs w:val="24"/>
        </w:rPr>
        <w:t xml:space="preserve"> </w:t>
      </w:r>
      <w:r w:rsidRPr="00551359">
        <w:rPr>
          <w:rFonts w:cs="Times New Roman"/>
          <w:szCs w:val="24"/>
        </w:rPr>
        <w:t>przedsiębiorstwa bez ponoszenia kosztów i stanowi nieuczciwą praktykę rynkową</w:t>
      </w:r>
      <w:r w:rsidR="00551359">
        <w:rPr>
          <w:rFonts w:cs="Times New Roman"/>
          <w:szCs w:val="24"/>
        </w:rPr>
        <w:t xml:space="preserve"> </w:t>
      </w:r>
      <w:r w:rsidRPr="00551359">
        <w:rPr>
          <w:rFonts w:cs="Times New Roman"/>
          <w:szCs w:val="24"/>
        </w:rPr>
        <w:t xml:space="preserve">w rozumieniu art. 5 ust. 2 pkt 1 i ust. 3 pkt 4 w zw. z art. 5 ust. 1 </w:t>
      </w:r>
      <w:proofErr w:type="spellStart"/>
      <w:r w:rsidRPr="00551359">
        <w:rPr>
          <w:rFonts w:cs="Times New Roman"/>
          <w:szCs w:val="24"/>
        </w:rPr>
        <w:t>upnpr</w:t>
      </w:r>
      <w:proofErr w:type="spellEnd"/>
      <w:r w:rsidRPr="00551359">
        <w:rPr>
          <w:rFonts w:cs="Times New Roman"/>
          <w:szCs w:val="24"/>
        </w:rPr>
        <w:t>.</w:t>
      </w:r>
    </w:p>
    <w:p w14:paraId="5921910F" w14:textId="77777777" w:rsidR="00551359" w:rsidRDefault="00876F82" w:rsidP="00FE70E3">
      <w:pPr>
        <w:pStyle w:val="Akapitzlist"/>
        <w:numPr>
          <w:ilvl w:val="0"/>
          <w:numId w:val="107"/>
        </w:numPr>
        <w:rPr>
          <w:rFonts w:cs="Times New Roman"/>
          <w:szCs w:val="24"/>
        </w:rPr>
      </w:pPr>
      <w:r w:rsidRPr="00551359">
        <w:rPr>
          <w:rFonts w:cs="Times New Roman"/>
          <w:szCs w:val="24"/>
        </w:rPr>
        <w:t xml:space="preserve">decyzji nr RPZ 4/2020 wydanej wobec przedsiębiorcy Comfort </w:t>
      </w:r>
      <w:proofErr w:type="spellStart"/>
      <w:r w:rsidRPr="00551359">
        <w:rPr>
          <w:rFonts w:cs="Times New Roman"/>
          <w:szCs w:val="24"/>
        </w:rPr>
        <w:t>Med</w:t>
      </w:r>
      <w:proofErr w:type="spellEnd"/>
      <w:r w:rsidRPr="00551359">
        <w:rPr>
          <w:rFonts w:cs="Times New Roman"/>
          <w:szCs w:val="24"/>
        </w:rPr>
        <w:t xml:space="preserve"> + sp. z o.o.</w:t>
      </w:r>
      <w:r w:rsidR="00551359">
        <w:rPr>
          <w:rFonts w:cs="Times New Roman"/>
          <w:szCs w:val="24"/>
        </w:rPr>
        <w:t xml:space="preserve"> </w:t>
      </w:r>
      <w:r w:rsidRPr="00551359">
        <w:rPr>
          <w:rFonts w:cs="Times New Roman"/>
          <w:szCs w:val="24"/>
        </w:rPr>
        <w:t>z siedzibą</w:t>
      </w:r>
      <w:r w:rsidR="00551359">
        <w:rPr>
          <w:rFonts w:cs="Times New Roman"/>
          <w:szCs w:val="24"/>
        </w:rPr>
        <w:t xml:space="preserve"> </w:t>
      </w:r>
      <w:r w:rsidRPr="00551359">
        <w:rPr>
          <w:rFonts w:cs="Times New Roman"/>
          <w:szCs w:val="24"/>
        </w:rPr>
        <w:t>w Wysogotowie, w związku z:</w:t>
      </w:r>
    </w:p>
    <w:p w14:paraId="6D2C87CC" w14:textId="77777777" w:rsidR="00551359" w:rsidRDefault="00876F82" w:rsidP="00FE70E3">
      <w:pPr>
        <w:pStyle w:val="Akapitzlist"/>
        <w:numPr>
          <w:ilvl w:val="1"/>
          <w:numId w:val="107"/>
        </w:numPr>
        <w:rPr>
          <w:rFonts w:cs="Times New Roman"/>
          <w:szCs w:val="24"/>
        </w:rPr>
      </w:pPr>
      <w:r w:rsidRPr="00551359">
        <w:rPr>
          <w:rFonts w:cs="Times New Roman"/>
          <w:szCs w:val="24"/>
        </w:rPr>
        <w:t>obciążaniem konsumentów, którzy zawarli z przedsiębiorcą umowy poza lokalem</w:t>
      </w:r>
      <w:r w:rsidR="00551359">
        <w:rPr>
          <w:rFonts w:cs="Times New Roman"/>
          <w:szCs w:val="24"/>
        </w:rPr>
        <w:t xml:space="preserve"> </w:t>
      </w:r>
      <w:r w:rsidRPr="00551359">
        <w:rPr>
          <w:rFonts w:cs="Times New Roman"/>
          <w:szCs w:val="24"/>
        </w:rPr>
        <w:t>przedsiębiorstwa, a następnie odstąpili od nich, kosztami zmniejszenia wartości</w:t>
      </w:r>
      <w:r w:rsidR="00551359">
        <w:rPr>
          <w:rFonts w:cs="Times New Roman"/>
          <w:szCs w:val="24"/>
        </w:rPr>
        <w:t xml:space="preserve"> </w:t>
      </w:r>
      <w:r w:rsidRPr="00551359">
        <w:rPr>
          <w:rFonts w:cs="Times New Roman"/>
          <w:szCs w:val="24"/>
        </w:rPr>
        <w:t>rzeczy za korzystanie ze zwracanego towaru w sposób wykraczający poza konieczny</w:t>
      </w:r>
      <w:r w:rsidR="00551359">
        <w:rPr>
          <w:rFonts w:cs="Times New Roman"/>
          <w:szCs w:val="24"/>
        </w:rPr>
        <w:t xml:space="preserve"> </w:t>
      </w:r>
      <w:r w:rsidRPr="00551359">
        <w:rPr>
          <w:rFonts w:cs="Times New Roman"/>
          <w:szCs w:val="24"/>
        </w:rPr>
        <w:t>do stwierdzenia jego charakteru, cech i funkcjonowania w standardowej wysokości,</w:t>
      </w:r>
      <w:r w:rsidR="00551359">
        <w:rPr>
          <w:rFonts w:cs="Times New Roman"/>
          <w:szCs w:val="24"/>
        </w:rPr>
        <w:t xml:space="preserve"> </w:t>
      </w:r>
      <w:r w:rsidRPr="00551359">
        <w:rPr>
          <w:rFonts w:cs="Times New Roman"/>
          <w:szCs w:val="24"/>
        </w:rPr>
        <w:t>pozostającej bez związku z rzeczywistym stanem tych rzeczy;</w:t>
      </w:r>
    </w:p>
    <w:p w14:paraId="1AC03730" w14:textId="77777777" w:rsidR="00551359" w:rsidRDefault="00876F82" w:rsidP="00FE70E3">
      <w:pPr>
        <w:pStyle w:val="Akapitzlist"/>
        <w:numPr>
          <w:ilvl w:val="1"/>
          <w:numId w:val="107"/>
        </w:numPr>
        <w:rPr>
          <w:rFonts w:cs="Times New Roman"/>
          <w:szCs w:val="24"/>
        </w:rPr>
      </w:pPr>
      <w:r w:rsidRPr="00551359">
        <w:rPr>
          <w:rFonts w:cs="Times New Roman"/>
          <w:szCs w:val="24"/>
        </w:rPr>
        <w:t>wprowadzanie w błąd konsumentów, którzy zawarli z przedsiębiorcą umowy poza</w:t>
      </w:r>
      <w:r w:rsidR="00551359">
        <w:rPr>
          <w:rFonts w:cs="Times New Roman"/>
          <w:szCs w:val="24"/>
        </w:rPr>
        <w:t xml:space="preserve"> </w:t>
      </w:r>
      <w:r w:rsidRPr="00551359">
        <w:rPr>
          <w:rFonts w:cs="Times New Roman"/>
          <w:szCs w:val="24"/>
        </w:rPr>
        <w:t>lokalem przedsiębiorstwa, a następnie telefonicznie próbowali uzyskać informację</w:t>
      </w:r>
      <w:r w:rsidR="00551359">
        <w:rPr>
          <w:rFonts w:cs="Times New Roman"/>
          <w:szCs w:val="24"/>
        </w:rPr>
        <w:t xml:space="preserve"> </w:t>
      </w:r>
      <w:r w:rsidRPr="00551359">
        <w:rPr>
          <w:rFonts w:cs="Times New Roman"/>
          <w:szCs w:val="24"/>
        </w:rPr>
        <w:lastRenderedPageBreak/>
        <w:t>o odstąpieniu od umowy, poprzez przekazywanie im nieprawdziwych informacji</w:t>
      </w:r>
      <w:r w:rsidR="00551359">
        <w:rPr>
          <w:rFonts w:cs="Times New Roman"/>
          <w:szCs w:val="24"/>
        </w:rPr>
        <w:t xml:space="preserve"> </w:t>
      </w:r>
      <w:r w:rsidRPr="00551359">
        <w:rPr>
          <w:rFonts w:cs="Times New Roman"/>
          <w:szCs w:val="24"/>
        </w:rPr>
        <w:t>o braku prawa do odstąpienia od umowy lub o konieczności poniesienia kosztów</w:t>
      </w:r>
      <w:r w:rsidR="00551359">
        <w:rPr>
          <w:rFonts w:cs="Times New Roman"/>
          <w:szCs w:val="24"/>
        </w:rPr>
        <w:t xml:space="preserve"> </w:t>
      </w:r>
      <w:r w:rsidRPr="00551359">
        <w:rPr>
          <w:rFonts w:cs="Times New Roman"/>
          <w:szCs w:val="24"/>
        </w:rPr>
        <w:t>z tym związanych;</w:t>
      </w:r>
    </w:p>
    <w:p w14:paraId="7DF19118" w14:textId="77777777" w:rsidR="00551359" w:rsidRDefault="00876F82" w:rsidP="00FE70E3">
      <w:pPr>
        <w:pStyle w:val="Akapitzlist"/>
        <w:numPr>
          <w:ilvl w:val="1"/>
          <w:numId w:val="107"/>
        </w:numPr>
        <w:rPr>
          <w:rFonts w:cs="Times New Roman"/>
          <w:szCs w:val="24"/>
        </w:rPr>
      </w:pPr>
      <w:r w:rsidRPr="00551359">
        <w:rPr>
          <w:rFonts w:cs="Times New Roman"/>
          <w:szCs w:val="24"/>
        </w:rPr>
        <w:t>udzielanie konsumentom przez przedsiębiorcę w toku organizowanych pokazów</w:t>
      </w:r>
      <w:r w:rsidR="00551359">
        <w:rPr>
          <w:rFonts w:cs="Times New Roman"/>
          <w:szCs w:val="24"/>
        </w:rPr>
        <w:t xml:space="preserve"> </w:t>
      </w:r>
      <w:r w:rsidRPr="00551359">
        <w:rPr>
          <w:rFonts w:cs="Times New Roman"/>
          <w:szCs w:val="24"/>
        </w:rPr>
        <w:t>nieprawdziwej informacji, że spotkania oraz upominki są finansowane przez</w:t>
      </w:r>
      <w:r w:rsidR="00551359">
        <w:rPr>
          <w:rFonts w:cs="Times New Roman"/>
          <w:szCs w:val="24"/>
        </w:rPr>
        <w:t xml:space="preserve"> </w:t>
      </w:r>
      <w:r w:rsidRPr="00551359">
        <w:rPr>
          <w:rFonts w:cs="Times New Roman"/>
          <w:szCs w:val="24"/>
        </w:rPr>
        <w:t>sponsora, z którym przedsiębiorca zawarł umowę;</w:t>
      </w:r>
    </w:p>
    <w:p w14:paraId="1EBD0C17" w14:textId="77777777" w:rsidR="00551359" w:rsidRDefault="00876F82" w:rsidP="00FE70E3">
      <w:pPr>
        <w:pStyle w:val="Akapitzlist"/>
        <w:numPr>
          <w:ilvl w:val="1"/>
          <w:numId w:val="107"/>
        </w:numPr>
        <w:rPr>
          <w:rFonts w:cs="Times New Roman"/>
          <w:szCs w:val="24"/>
        </w:rPr>
      </w:pPr>
      <w:r w:rsidRPr="00551359">
        <w:rPr>
          <w:rFonts w:cs="Times New Roman"/>
          <w:szCs w:val="24"/>
        </w:rPr>
        <w:t>udzielanie konsumentom w ramach zaproszeń kierowanych do nich podczas rozmów</w:t>
      </w:r>
      <w:r w:rsidR="00551359">
        <w:rPr>
          <w:rFonts w:cs="Times New Roman"/>
          <w:szCs w:val="24"/>
        </w:rPr>
        <w:t xml:space="preserve"> </w:t>
      </w:r>
      <w:r w:rsidRPr="00551359">
        <w:rPr>
          <w:rFonts w:cs="Times New Roman"/>
          <w:szCs w:val="24"/>
        </w:rPr>
        <w:t>telefonicznych, nieprawdziwych informacji sugerujących, że głównym celem</w:t>
      </w:r>
      <w:r w:rsidR="00551359">
        <w:rPr>
          <w:rFonts w:cs="Times New Roman"/>
          <w:szCs w:val="24"/>
        </w:rPr>
        <w:t xml:space="preserve"> </w:t>
      </w:r>
      <w:r w:rsidRPr="00551359">
        <w:rPr>
          <w:rFonts w:cs="Times New Roman"/>
          <w:szCs w:val="24"/>
        </w:rPr>
        <w:t>organizowanych przez przedsiębiorcę spotkań są wykłady dotyczące „promocji</w:t>
      </w:r>
      <w:r w:rsidR="00551359">
        <w:rPr>
          <w:rFonts w:cs="Times New Roman"/>
          <w:szCs w:val="24"/>
        </w:rPr>
        <w:t xml:space="preserve"> </w:t>
      </w:r>
      <w:r w:rsidRPr="00551359">
        <w:rPr>
          <w:rFonts w:cs="Times New Roman"/>
          <w:szCs w:val="24"/>
        </w:rPr>
        <w:t>nowej sieci sklepów RTV i AGD (….)”, lub „zdrowego trybu życia i problemów</w:t>
      </w:r>
      <w:r w:rsidR="00551359">
        <w:rPr>
          <w:rFonts w:cs="Times New Roman"/>
          <w:szCs w:val="24"/>
        </w:rPr>
        <w:t xml:space="preserve"> </w:t>
      </w:r>
      <w:r w:rsidRPr="00551359">
        <w:rPr>
          <w:rFonts w:cs="Times New Roman"/>
          <w:szCs w:val="24"/>
        </w:rPr>
        <w:t>z alergią (…)” lub „ogólnopolskiej akcji promocyjnej (…)”, w sytuacji gdy głównym</w:t>
      </w:r>
      <w:r w:rsidR="00551359">
        <w:rPr>
          <w:rFonts w:cs="Times New Roman"/>
          <w:szCs w:val="24"/>
        </w:rPr>
        <w:t xml:space="preserve"> </w:t>
      </w:r>
      <w:r w:rsidRPr="00551359">
        <w:rPr>
          <w:rFonts w:cs="Times New Roman"/>
          <w:szCs w:val="24"/>
        </w:rPr>
        <w:t>ich celem jest zaprezentowanie jej oferty handlowej.</w:t>
      </w:r>
    </w:p>
    <w:p w14:paraId="091B7D06" w14:textId="77777777" w:rsidR="00551359" w:rsidRDefault="00876F82" w:rsidP="00FE70E3">
      <w:pPr>
        <w:pStyle w:val="Akapitzlist"/>
        <w:numPr>
          <w:ilvl w:val="0"/>
          <w:numId w:val="107"/>
        </w:numPr>
        <w:rPr>
          <w:rFonts w:cs="Times New Roman"/>
          <w:szCs w:val="24"/>
        </w:rPr>
      </w:pPr>
      <w:r w:rsidRPr="00551359">
        <w:rPr>
          <w:rFonts w:cs="Times New Roman"/>
          <w:szCs w:val="24"/>
        </w:rPr>
        <w:t>decyzji nr RPZ 6/2020 wydanej wobec przedsiębiorcy SWISS-MED sp. z o.o. sp. k.</w:t>
      </w:r>
      <w:r w:rsidR="00551359">
        <w:rPr>
          <w:rFonts w:cs="Times New Roman"/>
          <w:szCs w:val="24"/>
        </w:rPr>
        <w:t xml:space="preserve"> </w:t>
      </w:r>
      <w:r w:rsidRPr="00551359">
        <w:rPr>
          <w:rFonts w:cs="Times New Roman"/>
          <w:szCs w:val="24"/>
        </w:rPr>
        <w:t>z siedzibą w Stęszewie, w której stwierdzono praktyki naruszającą zbiorowe interesy</w:t>
      </w:r>
      <w:r w:rsidR="00551359">
        <w:rPr>
          <w:rFonts w:cs="Times New Roman"/>
          <w:szCs w:val="24"/>
        </w:rPr>
        <w:t xml:space="preserve"> </w:t>
      </w:r>
      <w:r w:rsidRPr="00551359">
        <w:rPr>
          <w:rFonts w:cs="Times New Roman"/>
          <w:szCs w:val="24"/>
        </w:rPr>
        <w:t>konsumentów polegające na</w:t>
      </w:r>
      <w:r w:rsidR="00551359" w:rsidRPr="00551359">
        <w:rPr>
          <w:rFonts w:cs="Times New Roman"/>
          <w:szCs w:val="24"/>
        </w:rPr>
        <w:t>:</w:t>
      </w:r>
    </w:p>
    <w:p w14:paraId="1946C7CA" w14:textId="77777777" w:rsidR="00551359" w:rsidRDefault="00876F82" w:rsidP="00FE70E3">
      <w:pPr>
        <w:pStyle w:val="Akapitzlist"/>
        <w:numPr>
          <w:ilvl w:val="1"/>
          <w:numId w:val="107"/>
        </w:numPr>
        <w:rPr>
          <w:rFonts w:cs="Times New Roman"/>
          <w:szCs w:val="24"/>
        </w:rPr>
      </w:pPr>
      <w:r w:rsidRPr="00551359">
        <w:rPr>
          <w:rFonts w:cs="Times New Roman"/>
          <w:szCs w:val="24"/>
        </w:rPr>
        <w:t>przekazywaniu przez telemarketerów - działających w ramach kampanii</w:t>
      </w:r>
      <w:r w:rsidR="00551359">
        <w:rPr>
          <w:rFonts w:cs="Times New Roman"/>
          <w:szCs w:val="24"/>
        </w:rPr>
        <w:t xml:space="preserve"> </w:t>
      </w:r>
      <w:r w:rsidRPr="00551359">
        <w:rPr>
          <w:rFonts w:cs="Times New Roman"/>
          <w:szCs w:val="24"/>
        </w:rPr>
        <w:t>telemarketingowych zlecanych przez przedsiębiorcę i w oparciu o akceptowane</w:t>
      </w:r>
      <w:r w:rsidR="00551359">
        <w:rPr>
          <w:rFonts w:cs="Times New Roman"/>
          <w:szCs w:val="24"/>
        </w:rPr>
        <w:t xml:space="preserve"> </w:t>
      </w:r>
      <w:r w:rsidRPr="00551359">
        <w:rPr>
          <w:rFonts w:cs="Times New Roman"/>
          <w:szCs w:val="24"/>
        </w:rPr>
        <w:t>przez nią scenariusze rozmów telefonicznych - konsumentom w kierowanych do</w:t>
      </w:r>
      <w:r w:rsidR="00551359">
        <w:rPr>
          <w:rFonts w:cs="Times New Roman"/>
          <w:szCs w:val="24"/>
        </w:rPr>
        <w:t xml:space="preserve"> </w:t>
      </w:r>
      <w:r w:rsidRPr="00551359">
        <w:rPr>
          <w:rFonts w:cs="Times New Roman"/>
          <w:szCs w:val="24"/>
        </w:rPr>
        <w:t>nich zaproszeniach na organizowane przez przedsiębiorcę pokazy handlowe</w:t>
      </w:r>
      <w:r w:rsidR="00551359">
        <w:rPr>
          <w:rFonts w:cs="Times New Roman"/>
          <w:szCs w:val="24"/>
        </w:rPr>
        <w:t xml:space="preserve"> </w:t>
      </w:r>
      <w:r w:rsidRPr="00551359">
        <w:rPr>
          <w:rFonts w:cs="Times New Roman"/>
          <w:szCs w:val="24"/>
        </w:rPr>
        <w:t>nieprawdziwych informacji, że głównym przedmiotem tych spotkań jest</w:t>
      </w:r>
      <w:r w:rsidR="00551359">
        <w:rPr>
          <w:rFonts w:cs="Times New Roman"/>
          <w:szCs w:val="24"/>
        </w:rPr>
        <w:t xml:space="preserve"> </w:t>
      </w:r>
      <w:r w:rsidRPr="00551359">
        <w:rPr>
          <w:rFonts w:cs="Times New Roman"/>
          <w:szCs w:val="24"/>
        </w:rPr>
        <w:t>ogólnopolska debata na temat zdrowego stylu życia, ogólnopolska reklama</w:t>
      </w:r>
      <w:r w:rsidR="00551359">
        <w:rPr>
          <w:rFonts w:cs="Times New Roman"/>
          <w:szCs w:val="24"/>
        </w:rPr>
        <w:t xml:space="preserve"> </w:t>
      </w:r>
      <w:r w:rsidRPr="00551359">
        <w:rPr>
          <w:rFonts w:cs="Times New Roman"/>
          <w:szCs w:val="24"/>
        </w:rPr>
        <w:t>najnowocześniejszych sprzętów niemieckiego producenta, w ramach której</w:t>
      </w:r>
      <w:r w:rsidR="00551359">
        <w:rPr>
          <w:rFonts w:cs="Times New Roman"/>
          <w:szCs w:val="24"/>
        </w:rPr>
        <w:t xml:space="preserve"> </w:t>
      </w:r>
      <w:r w:rsidRPr="00551359">
        <w:rPr>
          <w:rFonts w:cs="Times New Roman"/>
          <w:szCs w:val="24"/>
        </w:rPr>
        <w:t>prowadzi on badanie rynku polskiego lub promocja nowej sieci sklepów, podczas</w:t>
      </w:r>
      <w:r w:rsidR="00551359">
        <w:rPr>
          <w:rFonts w:cs="Times New Roman"/>
          <w:szCs w:val="24"/>
        </w:rPr>
        <w:t xml:space="preserve"> </w:t>
      </w:r>
      <w:r w:rsidRPr="00551359">
        <w:rPr>
          <w:rFonts w:cs="Times New Roman"/>
          <w:szCs w:val="24"/>
        </w:rPr>
        <w:t>gdy rzeczywistym ich celem jest zaprezentowanie oferty handlowej przedsiębiorcy;</w:t>
      </w:r>
    </w:p>
    <w:p w14:paraId="33147095" w14:textId="77777777" w:rsidR="00551359" w:rsidRPr="00551359" w:rsidRDefault="00876F82" w:rsidP="00FE70E3">
      <w:pPr>
        <w:pStyle w:val="Akapitzlist"/>
        <w:numPr>
          <w:ilvl w:val="1"/>
          <w:numId w:val="107"/>
        </w:numPr>
        <w:rPr>
          <w:rFonts w:cs="Times New Roman"/>
          <w:szCs w:val="24"/>
        </w:rPr>
      </w:pPr>
      <w:r w:rsidRPr="00551359">
        <w:rPr>
          <w:rFonts w:cs="Times New Roman"/>
          <w:szCs w:val="24"/>
        </w:rPr>
        <w:t>wywoływaniu przez przedsiębiorcę wrażenia, że za sam udział w prezentacji</w:t>
      </w:r>
      <w:r w:rsidR="00551359">
        <w:rPr>
          <w:rFonts w:cs="Times New Roman"/>
          <w:szCs w:val="24"/>
        </w:rPr>
        <w:t xml:space="preserve"> </w:t>
      </w:r>
      <w:r w:rsidRPr="00551359">
        <w:rPr>
          <w:rFonts w:cs="Times New Roman"/>
          <w:szCs w:val="24"/>
        </w:rPr>
        <w:t>oferowanych towarów każda para przybywająca na spotkanie otrzyma</w:t>
      </w:r>
      <w:r w:rsidR="00551359">
        <w:rPr>
          <w:rFonts w:cs="Times New Roman"/>
          <w:szCs w:val="24"/>
        </w:rPr>
        <w:t xml:space="preserve"> </w:t>
      </w:r>
      <w:r w:rsidRPr="00551359">
        <w:rPr>
          <w:rFonts w:cs="Times New Roman"/>
          <w:szCs w:val="24"/>
        </w:rPr>
        <w:t>wielofunkcyjny automatyczny ekspres do kawy, w sytuacji gdy pary uczestniczące</w:t>
      </w:r>
      <w:r w:rsidR="00551359">
        <w:rPr>
          <w:rFonts w:cs="Times New Roman"/>
          <w:szCs w:val="24"/>
        </w:rPr>
        <w:t xml:space="preserve"> </w:t>
      </w:r>
      <w:r w:rsidRPr="00551359">
        <w:rPr>
          <w:rFonts w:cs="Times New Roman"/>
          <w:szCs w:val="24"/>
        </w:rPr>
        <w:t>w pokazie mogą otrzymać jedynie kawiarkę lub ekspres przelewowy;</w:t>
      </w:r>
    </w:p>
    <w:p w14:paraId="7B872DDC" w14:textId="77777777" w:rsidR="00551359" w:rsidRDefault="00876F82" w:rsidP="00FE70E3">
      <w:pPr>
        <w:pStyle w:val="Akapitzlist"/>
        <w:numPr>
          <w:ilvl w:val="1"/>
          <w:numId w:val="107"/>
        </w:numPr>
        <w:rPr>
          <w:rFonts w:cs="Times New Roman"/>
          <w:szCs w:val="24"/>
        </w:rPr>
      </w:pPr>
      <w:r w:rsidRPr="00551359">
        <w:rPr>
          <w:rFonts w:cs="Times New Roman"/>
          <w:szCs w:val="24"/>
        </w:rPr>
        <w:t>przekazywaniu przez przedsiębiorcę konsumentom nieprawdziwych informacji</w:t>
      </w:r>
      <w:r w:rsidR="00551359">
        <w:rPr>
          <w:rFonts w:cs="Times New Roman"/>
          <w:szCs w:val="24"/>
        </w:rPr>
        <w:t xml:space="preserve"> </w:t>
      </w:r>
      <w:r w:rsidRPr="00551359">
        <w:rPr>
          <w:rFonts w:cs="Times New Roman"/>
          <w:szCs w:val="24"/>
        </w:rPr>
        <w:t>sugerujących, że zakup w trakcie organizowanych przez nią pokazów handlowych</w:t>
      </w:r>
      <w:r w:rsidR="00551359">
        <w:rPr>
          <w:rFonts w:cs="Times New Roman"/>
          <w:szCs w:val="24"/>
        </w:rPr>
        <w:t xml:space="preserve"> </w:t>
      </w:r>
      <w:r w:rsidRPr="00551359">
        <w:rPr>
          <w:rFonts w:cs="Times New Roman"/>
          <w:szCs w:val="24"/>
        </w:rPr>
        <w:t>możliwy jest w ramach oferty specjalnej, obejmującej wyjątkowe zestawy</w:t>
      </w:r>
      <w:r w:rsidR="00551359">
        <w:rPr>
          <w:rFonts w:cs="Times New Roman"/>
          <w:szCs w:val="24"/>
        </w:rPr>
        <w:t xml:space="preserve"> </w:t>
      </w:r>
      <w:r w:rsidRPr="00551359">
        <w:rPr>
          <w:rFonts w:cs="Times New Roman"/>
          <w:szCs w:val="24"/>
        </w:rPr>
        <w:t>oferowanych towarów w korzystnej cenie, znacznie niższej od sumy rzekomych</w:t>
      </w:r>
      <w:r w:rsidR="00551359">
        <w:rPr>
          <w:rFonts w:cs="Times New Roman"/>
          <w:szCs w:val="24"/>
        </w:rPr>
        <w:t xml:space="preserve"> </w:t>
      </w:r>
      <w:r w:rsidRPr="00551359">
        <w:rPr>
          <w:rFonts w:cs="Times New Roman"/>
          <w:szCs w:val="24"/>
        </w:rPr>
        <w:t>detalicznych cen sprzedaży poszczególnych towarów, w sytuacji gdy przedsiębiorca</w:t>
      </w:r>
      <w:r w:rsidR="00551359">
        <w:rPr>
          <w:rFonts w:cs="Times New Roman"/>
          <w:szCs w:val="24"/>
        </w:rPr>
        <w:t xml:space="preserve"> </w:t>
      </w:r>
      <w:r w:rsidRPr="00551359">
        <w:rPr>
          <w:rFonts w:cs="Times New Roman"/>
          <w:szCs w:val="24"/>
        </w:rPr>
        <w:t>w rzeczywistości w ogóle nie stosuje cen określanych przez niego jako ceny</w:t>
      </w:r>
      <w:r w:rsidR="00551359">
        <w:rPr>
          <w:rFonts w:cs="Times New Roman"/>
          <w:szCs w:val="24"/>
        </w:rPr>
        <w:t xml:space="preserve"> </w:t>
      </w:r>
      <w:r w:rsidRPr="00551359">
        <w:rPr>
          <w:rFonts w:cs="Times New Roman"/>
          <w:szCs w:val="24"/>
        </w:rPr>
        <w:t>detaliczne, prowadzi sprzedaż wyłącznie na organizowanych pokazach w ramach</w:t>
      </w:r>
      <w:r w:rsidR="00551359">
        <w:rPr>
          <w:rFonts w:cs="Times New Roman"/>
          <w:szCs w:val="24"/>
        </w:rPr>
        <w:t xml:space="preserve"> </w:t>
      </w:r>
      <w:r w:rsidRPr="00551359">
        <w:rPr>
          <w:rFonts w:cs="Times New Roman"/>
          <w:szCs w:val="24"/>
        </w:rPr>
        <w:t>standardowej oferty, obejmującej sprzedaż towarów w z góry określonych</w:t>
      </w:r>
      <w:r w:rsidR="00551359">
        <w:rPr>
          <w:rFonts w:cs="Times New Roman"/>
          <w:szCs w:val="24"/>
        </w:rPr>
        <w:t xml:space="preserve"> </w:t>
      </w:r>
      <w:r w:rsidRPr="00551359">
        <w:rPr>
          <w:rFonts w:cs="Times New Roman"/>
          <w:szCs w:val="24"/>
        </w:rPr>
        <w:t>zestawach i po cenach, co do zasady, sztywno określonych przez przedsiębiorcę</w:t>
      </w:r>
      <w:r w:rsidR="00551359">
        <w:rPr>
          <w:rFonts w:cs="Times New Roman"/>
          <w:szCs w:val="24"/>
        </w:rPr>
        <w:t xml:space="preserve"> </w:t>
      </w:r>
      <w:r w:rsidRPr="00551359">
        <w:rPr>
          <w:rFonts w:cs="Times New Roman"/>
          <w:szCs w:val="24"/>
        </w:rPr>
        <w:t>w stosowanych przez niego cennikach.</w:t>
      </w:r>
    </w:p>
    <w:p w14:paraId="2CC466C3" w14:textId="77777777" w:rsidR="00551359" w:rsidRDefault="00876F82" w:rsidP="00FE70E3">
      <w:pPr>
        <w:pStyle w:val="Akapitzlist"/>
        <w:numPr>
          <w:ilvl w:val="0"/>
          <w:numId w:val="107"/>
        </w:numPr>
        <w:rPr>
          <w:rFonts w:cs="Times New Roman"/>
          <w:szCs w:val="24"/>
        </w:rPr>
      </w:pPr>
      <w:r w:rsidRPr="00551359">
        <w:rPr>
          <w:rFonts w:cs="Times New Roman"/>
          <w:szCs w:val="24"/>
        </w:rPr>
        <w:t>decyzji nr RPZ 7/2020 wydanej wobec przedsiębiorcy KIDDY ISLAND POLSKA</w:t>
      </w:r>
      <w:r w:rsidR="00551359">
        <w:rPr>
          <w:rFonts w:cs="Times New Roman"/>
          <w:szCs w:val="24"/>
        </w:rPr>
        <w:t xml:space="preserve"> </w:t>
      </w:r>
      <w:r w:rsidRPr="00551359">
        <w:rPr>
          <w:rFonts w:cs="Times New Roman"/>
          <w:szCs w:val="24"/>
        </w:rPr>
        <w:t>Sp. z o.o. Sp.k. z siedzibą w Poznaniu w związku z:</w:t>
      </w:r>
    </w:p>
    <w:p w14:paraId="4A6DDAC7" w14:textId="77777777" w:rsidR="00551359" w:rsidRDefault="00876F82" w:rsidP="00FE70E3">
      <w:pPr>
        <w:pStyle w:val="Akapitzlist"/>
        <w:numPr>
          <w:ilvl w:val="1"/>
          <w:numId w:val="107"/>
        </w:numPr>
        <w:rPr>
          <w:rFonts w:cs="Times New Roman"/>
          <w:szCs w:val="24"/>
        </w:rPr>
      </w:pPr>
      <w:r w:rsidRPr="00551359">
        <w:rPr>
          <w:rFonts w:cs="Times New Roman"/>
          <w:szCs w:val="24"/>
        </w:rPr>
        <w:lastRenderedPageBreak/>
        <w:t>przekazywaniem przez telemarketerów - działających w ramach kampanii</w:t>
      </w:r>
      <w:r w:rsidR="00551359">
        <w:rPr>
          <w:rFonts w:cs="Times New Roman"/>
          <w:szCs w:val="24"/>
        </w:rPr>
        <w:t xml:space="preserve"> </w:t>
      </w:r>
      <w:r w:rsidRPr="00551359">
        <w:rPr>
          <w:rFonts w:cs="Times New Roman"/>
          <w:szCs w:val="24"/>
        </w:rPr>
        <w:t>telemarketingowych zlecanych przez przedsiębiorcę i w oparciu o akceptowane</w:t>
      </w:r>
      <w:r w:rsidR="00551359">
        <w:rPr>
          <w:rFonts w:cs="Times New Roman"/>
          <w:szCs w:val="24"/>
        </w:rPr>
        <w:t xml:space="preserve"> </w:t>
      </w:r>
      <w:r w:rsidRPr="00551359">
        <w:rPr>
          <w:rFonts w:cs="Times New Roman"/>
          <w:szCs w:val="24"/>
        </w:rPr>
        <w:t>przez niego scenariusze rozmów telefonicznych - konsumentom w kierowanych do</w:t>
      </w:r>
      <w:r w:rsidR="00551359">
        <w:rPr>
          <w:rFonts w:cs="Times New Roman"/>
          <w:szCs w:val="24"/>
        </w:rPr>
        <w:t xml:space="preserve"> </w:t>
      </w:r>
      <w:r w:rsidRPr="00551359">
        <w:rPr>
          <w:rFonts w:cs="Times New Roman"/>
          <w:szCs w:val="24"/>
        </w:rPr>
        <w:t>nich zaproszeniach na organizowane przez przedsiębiorcę pokazy handlowe</w:t>
      </w:r>
      <w:r w:rsidR="00551359">
        <w:rPr>
          <w:rFonts w:cs="Times New Roman"/>
          <w:szCs w:val="24"/>
        </w:rPr>
        <w:t xml:space="preserve"> </w:t>
      </w:r>
      <w:r w:rsidRPr="00551359">
        <w:rPr>
          <w:rFonts w:cs="Times New Roman"/>
          <w:szCs w:val="24"/>
        </w:rPr>
        <w:t>nieprawdziwych informacji, że głównym przedmiotem tych spotkań jest</w:t>
      </w:r>
      <w:r w:rsidR="00551359">
        <w:rPr>
          <w:rFonts w:cs="Times New Roman"/>
          <w:szCs w:val="24"/>
        </w:rPr>
        <w:t xml:space="preserve"> </w:t>
      </w:r>
      <w:r w:rsidRPr="00551359">
        <w:rPr>
          <w:rFonts w:cs="Times New Roman"/>
          <w:szCs w:val="24"/>
        </w:rPr>
        <w:t>ogólnopolska reklama firmy, ogólnopolska reklama najnowocześniejszych</w:t>
      </w:r>
      <w:r w:rsidR="00551359">
        <w:rPr>
          <w:rFonts w:cs="Times New Roman"/>
          <w:szCs w:val="24"/>
        </w:rPr>
        <w:t xml:space="preserve"> </w:t>
      </w:r>
      <w:r w:rsidRPr="00551359">
        <w:rPr>
          <w:rFonts w:cs="Times New Roman"/>
          <w:szCs w:val="24"/>
        </w:rPr>
        <w:t>sprzętów</w:t>
      </w:r>
      <w:r w:rsidR="00551359">
        <w:rPr>
          <w:rFonts w:cs="Times New Roman"/>
          <w:szCs w:val="24"/>
        </w:rPr>
        <w:t xml:space="preserve"> </w:t>
      </w:r>
      <w:r w:rsidRPr="00551359">
        <w:rPr>
          <w:rFonts w:cs="Times New Roman"/>
          <w:szCs w:val="24"/>
        </w:rPr>
        <w:t>niemieckiego producenta, w ramach której prowadzi on badanie rynku polskiego,</w:t>
      </w:r>
      <w:r w:rsidR="00551359">
        <w:rPr>
          <w:rFonts w:cs="Times New Roman"/>
          <w:szCs w:val="24"/>
        </w:rPr>
        <w:t xml:space="preserve"> </w:t>
      </w:r>
      <w:r w:rsidRPr="00551359">
        <w:rPr>
          <w:rFonts w:cs="Times New Roman"/>
          <w:szCs w:val="24"/>
        </w:rPr>
        <w:t>podczas gdy rzeczywistym ich celem jest zaprezentowanie oferty handlowej</w:t>
      </w:r>
      <w:r w:rsidR="00551359">
        <w:rPr>
          <w:rFonts w:cs="Times New Roman"/>
          <w:szCs w:val="24"/>
        </w:rPr>
        <w:t xml:space="preserve"> </w:t>
      </w:r>
      <w:r w:rsidRPr="00551359">
        <w:rPr>
          <w:rFonts w:cs="Times New Roman"/>
          <w:szCs w:val="24"/>
        </w:rPr>
        <w:t>przedsiębiorcy;</w:t>
      </w:r>
    </w:p>
    <w:p w14:paraId="24931B6D" w14:textId="77777777" w:rsidR="00551359" w:rsidRDefault="00876F82" w:rsidP="00FE70E3">
      <w:pPr>
        <w:pStyle w:val="Akapitzlist"/>
        <w:numPr>
          <w:ilvl w:val="1"/>
          <w:numId w:val="107"/>
        </w:numPr>
        <w:rPr>
          <w:rFonts w:cs="Times New Roman"/>
          <w:szCs w:val="24"/>
        </w:rPr>
      </w:pPr>
      <w:r w:rsidRPr="00551359">
        <w:rPr>
          <w:rFonts w:cs="Times New Roman"/>
          <w:szCs w:val="24"/>
        </w:rPr>
        <w:t>udzielaniem konsumentom przez przedsiębiorcę w toku organizowanych pokazów</w:t>
      </w:r>
      <w:r w:rsidR="00551359">
        <w:rPr>
          <w:rFonts w:cs="Times New Roman"/>
          <w:szCs w:val="24"/>
        </w:rPr>
        <w:t xml:space="preserve"> </w:t>
      </w:r>
      <w:r w:rsidRPr="00551359">
        <w:rPr>
          <w:rFonts w:cs="Times New Roman"/>
          <w:szCs w:val="24"/>
        </w:rPr>
        <w:t>nieprawdziwych informacji, że spotkania i prezenty za udział w spotkaniu są</w:t>
      </w:r>
      <w:r w:rsidR="00551359">
        <w:rPr>
          <w:rFonts w:cs="Times New Roman"/>
          <w:szCs w:val="24"/>
        </w:rPr>
        <w:t xml:space="preserve"> </w:t>
      </w:r>
      <w:r w:rsidRPr="00551359">
        <w:rPr>
          <w:rFonts w:cs="Times New Roman"/>
          <w:szCs w:val="24"/>
        </w:rPr>
        <w:t>finansowane przez sponsora;</w:t>
      </w:r>
    </w:p>
    <w:p w14:paraId="3D504373" w14:textId="77777777" w:rsidR="00551359" w:rsidRDefault="00876F82" w:rsidP="00FE70E3">
      <w:pPr>
        <w:pStyle w:val="Akapitzlist"/>
        <w:numPr>
          <w:ilvl w:val="1"/>
          <w:numId w:val="107"/>
        </w:numPr>
        <w:rPr>
          <w:rFonts w:cs="Times New Roman"/>
          <w:szCs w:val="24"/>
        </w:rPr>
      </w:pPr>
      <w:r w:rsidRPr="00551359">
        <w:rPr>
          <w:rFonts w:cs="Times New Roman"/>
          <w:szCs w:val="24"/>
        </w:rPr>
        <w:t>udzielaniem konsumentom przez przedsiębiorcę w toku organizowanych pokazów</w:t>
      </w:r>
      <w:r w:rsidR="00551359">
        <w:rPr>
          <w:rFonts w:cs="Times New Roman"/>
          <w:szCs w:val="24"/>
        </w:rPr>
        <w:t xml:space="preserve"> </w:t>
      </w:r>
      <w:r w:rsidRPr="00551359">
        <w:rPr>
          <w:rFonts w:cs="Times New Roman"/>
          <w:szCs w:val="24"/>
        </w:rPr>
        <w:t>nieprawdziwych informacji co do zasad, przebiegu i wyników przeprowadzanego</w:t>
      </w:r>
      <w:r w:rsidR="00551359">
        <w:rPr>
          <w:rFonts w:cs="Times New Roman"/>
          <w:szCs w:val="24"/>
        </w:rPr>
        <w:t xml:space="preserve"> </w:t>
      </w:r>
      <w:r w:rsidRPr="00551359">
        <w:rPr>
          <w:rFonts w:cs="Times New Roman"/>
          <w:szCs w:val="24"/>
        </w:rPr>
        <w:t>w trakcie pokazu losowania systemowego.</w:t>
      </w:r>
    </w:p>
    <w:p w14:paraId="7143EEE3" w14:textId="56E460DA" w:rsidR="00551359" w:rsidRDefault="00876F82" w:rsidP="00FE70E3">
      <w:pPr>
        <w:pStyle w:val="Akapitzlist"/>
        <w:numPr>
          <w:ilvl w:val="0"/>
          <w:numId w:val="107"/>
        </w:numPr>
        <w:rPr>
          <w:rFonts w:cs="Times New Roman"/>
          <w:szCs w:val="24"/>
        </w:rPr>
      </w:pPr>
      <w:r w:rsidRPr="00551359">
        <w:rPr>
          <w:rFonts w:cs="Times New Roman"/>
          <w:szCs w:val="24"/>
        </w:rPr>
        <w:t xml:space="preserve">decyzji nr RPZ 9/2020 wydanej wobec przedsiębiorcy </w:t>
      </w:r>
      <w:proofErr w:type="spellStart"/>
      <w:r w:rsidRPr="00551359">
        <w:rPr>
          <w:rFonts w:cs="Times New Roman"/>
          <w:szCs w:val="24"/>
        </w:rPr>
        <w:t>Rademenes</w:t>
      </w:r>
      <w:proofErr w:type="spellEnd"/>
      <w:r w:rsidRPr="00551359">
        <w:rPr>
          <w:rFonts w:cs="Times New Roman"/>
          <w:szCs w:val="24"/>
        </w:rPr>
        <w:t xml:space="preserve"> Pro Sp. z o.o.</w:t>
      </w:r>
      <w:r w:rsidR="00551359">
        <w:rPr>
          <w:rFonts w:cs="Times New Roman"/>
          <w:szCs w:val="24"/>
        </w:rPr>
        <w:t xml:space="preserve"> </w:t>
      </w:r>
      <w:r w:rsidRPr="00551359">
        <w:rPr>
          <w:rFonts w:cs="Times New Roman"/>
          <w:szCs w:val="24"/>
        </w:rPr>
        <w:t>z siedzibą w Mrowinie; zarzucane przedsiębiorcy działania dotyczyły przekazywania</w:t>
      </w:r>
      <w:r w:rsidR="00551359">
        <w:rPr>
          <w:rFonts w:cs="Times New Roman"/>
          <w:szCs w:val="24"/>
        </w:rPr>
        <w:t xml:space="preserve"> </w:t>
      </w:r>
      <w:r w:rsidRPr="00551359">
        <w:rPr>
          <w:rFonts w:cs="Times New Roman"/>
          <w:szCs w:val="24"/>
        </w:rPr>
        <w:t>konsumentom w trakcie organizowanych przez przedsiębiorcę pokazów handlowych</w:t>
      </w:r>
      <w:r w:rsidR="00551359">
        <w:rPr>
          <w:rFonts w:cs="Times New Roman"/>
          <w:szCs w:val="24"/>
        </w:rPr>
        <w:t xml:space="preserve"> </w:t>
      </w:r>
      <w:r w:rsidRPr="00551359">
        <w:rPr>
          <w:rFonts w:cs="Times New Roman"/>
          <w:szCs w:val="24"/>
        </w:rPr>
        <w:t>nieprawdziwych informacji sugerujących, że w ich trakcie standardowo nie jest</w:t>
      </w:r>
      <w:r w:rsidR="00551359">
        <w:rPr>
          <w:rFonts w:cs="Times New Roman"/>
          <w:szCs w:val="24"/>
        </w:rPr>
        <w:t xml:space="preserve"> </w:t>
      </w:r>
      <w:r w:rsidRPr="00551359">
        <w:rPr>
          <w:rFonts w:cs="Times New Roman"/>
          <w:szCs w:val="24"/>
        </w:rPr>
        <w:t>prowadzona sprzedaż prezentowanych produktów, a ich zakup możliwy jest jedynie</w:t>
      </w:r>
      <w:r w:rsidR="00551359">
        <w:rPr>
          <w:rFonts w:cs="Times New Roman"/>
          <w:szCs w:val="24"/>
        </w:rPr>
        <w:t xml:space="preserve"> </w:t>
      </w:r>
      <w:r w:rsidRPr="00551359">
        <w:rPr>
          <w:rFonts w:cs="Times New Roman"/>
          <w:szCs w:val="24"/>
        </w:rPr>
        <w:t>w ramach oferty specjalnej, której przedmiotem jest możliwość zakupu wyjątkowego</w:t>
      </w:r>
      <w:r w:rsidR="00551359">
        <w:rPr>
          <w:rFonts w:cs="Times New Roman"/>
          <w:szCs w:val="24"/>
        </w:rPr>
        <w:t xml:space="preserve"> </w:t>
      </w:r>
      <w:r w:rsidRPr="00551359">
        <w:rPr>
          <w:rFonts w:cs="Times New Roman"/>
          <w:szCs w:val="24"/>
        </w:rPr>
        <w:t xml:space="preserve">zestawu prezentowanych produktów w okazyjnej cenie (dużo niższej </w:t>
      </w:r>
      <w:r w:rsidR="007E0920">
        <w:rPr>
          <w:rFonts w:cs="Times New Roman"/>
          <w:szCs w:val="24"/>
        </w:rPr>
        <w:t>niż</w:t>
      </w:r>
      <w:r w:rsidRPr="00551359">
        <w:rPr>
          <w:rFonts w:cs="Times New Roman"/>
          <w:szCs w:val="24"/>
        </w:rPr>
        <w:t xml:space="preserve"> suma cen</w:t>
      </w:r>
      <w:r w:rsidR="00551359">
        <w:rPr>
          <w:rFonts w:cs="Times New Roman"/>
          <w:szCs w:val="24"/>
        </w:rPr>
        <w:t xml:space="preserve"> </w:t>
      </w:r>
      <w:r w:rsidRPr="00551359">
        <w:rPr>
          <w:rFonts w:cs="Times New Roman"/>
          <w:szCs w:val="24"/>
        </w:rPr>
        <w:t>określanych przez przedsiębiorcę jako ceny detaliczne) i do skorzystania z której</w:t>
      </w:r>
      <w:r w:rsidR="00551359">
        <w:rPr>
          <w:rFonts w:cs="Times New Roman"/>
          <w:szCs w:val="24"/>
        </w:rPr>
        <w:t xml:space="preserve"> </w:t>
      </w:r>
      <w:r w:rsidRPr="00551359">
        <w:rPr>
          <w:rFonts w:cs="Times New Roman"/>
          <w:szCs w:val="24"/>
        </w:rPr>
        <w:t>uprawnione są wyłącznie nieliczne osoby wylosowane spośród uczestników wielu</w:t>
      </w:r>
      <w:r w:rsidR="00551359">
        <w:rPr>
          <w:rFonts w:cs="Times New Roman"/>
          <w:szCs w:val="24"/>
        </w:rPr>
        <w:t xml:space="preserve"> </w:t>
      </w:r>
      <w:r w:rsidRPr="00551359">
        <w:rPr>
          <w:rFonts w:cs="Times New Roman"/>
          <w:szCs w:val="24"/>
        </w:rPr>
        <w:t>spotkań reklamowych organizowanych w tym samym czasie na terenie całego kraju.</w:t>
      </w:r>
    </w:p>
    <w:p w14:paraId="0BC0AD86" w14:textId="77777777" w:rsidR="00551359" w:rsidRPr="00551359" w:rsidRDefault="00876F82" w:rsidP="00FE70E3">
      <w:pPr>
        <w:pStyle w:val="Akapitzlist"/>
        <w:numPr>
          <w:ilvl w:val="0"/>
          <w:numId w:val="107"/>
        </w:numPr>
        <w:rPr>
          <w:rFonts w:cs="Times New Roman"/>
          <w:szCs w:val="24"/>
        </w:rPr>
      </w:pPr>
      <w:r w:rsidRPr="00551359">
        <w:rPr>
          <w:rFonts w:cs="Times New Roman"/>
          <w:szCs w:val="24"/>
        </w:rPr>
        <w:t>decyzji nr RPZ 11/2020 wydanej wobec przedsiębiorców: Hanna Ludwikowska</w:t>
      </w:r>
      <w:r w:rsidR="00551359">
        <w:rPr>
          <w:rFonts w:cs="Times New Roman"/>
          <w:szCs w:val="24"/>
        </w:rPr>
        <w:t xml:space="preserve"> </w:t>
      </w:r>
      <w:proofErr w:type="spellStart"/>
      <w:r w:rsidRPr="00551359">
        <w:rPr>
          <w:rFonts w:cs="Times New Roman"/>
          <w:szCs w:val="24"/>
        </w:rPr>
        <w:t>Remeso</w:t>
      </w:r>
      <w:proofErr w:type="spellEnd"/>
      <w:r w:rsidR="00551359">
        <w:rPr>
          <w:rFonts w:cs="Times New Roman"/>
          <w:szCs w:val="24"/>
        </w:rPr>
        <w:t xml:space="preserve"> </w:t>
      </w:r>
      <w:r w:rsidRPr="00551359">
        <w:rPr>
          <w:rFonts w:cs="Times New Roman"/>
          <w:szCs w:val="24"/>
        </w:rPr>
        <w:t xml:space="preserve">Life w Nowym Tomyślu - wspólnik w spółce cywilnej </w:t>
      </w:r>
      <w:proofErr w:type="spellStart"/>
      <w:r w:rsidRPr="00551359">
        <w:rPr>
          <w:rFonts w:cs="Times New Roman"/>
          <w:szCs w:val="24"/>
        </w:rPr>
        <w:t>Remeso</w:t>
      </w:r>
      <w:proofErr w:type="spellEnd"/>
      <w:r w:rsidRPr="00551359">
        <w:rPr>
          <w:rFonts w:cs="Times New Roman"/>
          <w:szCs w:val="24"/>
        </w:rPr>
        <w:t xml:space="preserve"> Life Paweł</w:t>
      </w:r>
      <w:r w:rsidR="00551359">
        <w:rPr>
          <w:rFonts w:cs="Times New Roman"/>
          <w:szCs w:val="24"/>
        </w:rPr>
        <w:t xml:space="preserve"> </w:t>
      </w:r>
      <w:r w:rsidRPr="00551359">
        <w:rPr>
          <w:rFonts w:cs="Times New Roman"/>
          <w:szCs w:val="24"/>
        </w:rPr>
        <w:t>Piechowiak</w:t>
      </w:r>
      <w:r w:rsidR="00551359">
        <w:rPr>
          <w:rFonts w:cs="Times New Roman"/>
          <w:szCs w:val="24"/>
        </w:rPr>
        <w:t xml:space="preserve"> </w:t>
      </w:r>
      <w:proofErr w:type="spellStart"/>
      <w:r w:rsidRPr="00551359">
        <w:rPr>
          <w:rFonts w:cs="Times New Roman"/>
          <w:szCs w:val="24"/>
        </w:rPr>
        <w:t>Remeso</w:t>
      </w:r>
      <w:proofErr w:type="spellEnd"/>
      <w:r w:rsidRPr="00551359">
        <w:rPr>
          <w:rFonts w:cs="Times New Roman"/>
          <w:szCs w:val="24"/>
        </w:rPr>
        <w:t xml:space="preserve"> Life w Nowym Tomyślu - wspólnik w spółce cywilnej </w:t>
      </w:r>
      <w:proofErr w:type="spellStart"/>
      <w:r w:rsidRPr="00551359">
        <w:rPr>
          <w:rFonts w:cs="Times New Roman"/>
          <w:szCs w:val="24"/>
        </w:rPr>
        <w:t>Remeso</w:t>
      </w:r>
      <w:proofErr w:type="spellEnd"/>
      <w:r w:rsidR="00551359">
        <w:rPr>
          <w:rFonts w:cs="Times New Roman"/>
          <w:szCs w:val="24"/>
        </w:rPr>
        <w:t xml:space="preserve"> </w:t>
      </w:r>
      <w:r w:rsidRPr="00551359">
        <w:rPr>
          <w:rFonts w:cs="Times New Roman"/>
          <w:szCs w:val="24"/>
        </w:rPr>
        <w:t>Life; stwierdzone</w:t>
      </w:r>
      <w:r w:rsidR="00551359">
        <w:rPr>
          <w:rFonts w:cs="Times New Roman"/>
          <w:szCs w:val="24"/>
        </w:rPr>
        <w:t xml:space="preserve"> </w:t>
      </w:r>
      <w:r w:rsidRPr="00551359">
        <w:rPr>
          <w:rFonts w:cs="Times New Roman"/>
          <w:szCs w:val="24"/>
        </w:rPr>
        <w:t>w decyzji praktyki dotyczyły:</w:t>
      </w:r>
    </w:p>
    <w:p w14:paraId="6F86243F" w14:textId="77777777" w:rsidR="00551359" w:rsidRDefault="00876F82" w:rsidP="00FE70E3">
      <w:pPr>
        <w:pStyle w:val="Akapitzlist"/>
        <w:numPr>
          <w:ilvl w:val="1"/>
          <w:numId w:val="107"/>
        </w:numPr>
        <w:rPr>
          <w:rFonts w:cs="Times New Roman"/>
          <w:szCs w:val="24"/>
        </w:rPr>
      </w:pPr>
      <w:r w:rsidRPr="00551359">
        <w:rPr>
          <w:rFonts w:cs="Times New Roman"/>
          <w:szCs w:val="24"/>
        </w:rPr>
        <w:t>wprowadzania konsumentów w błąd w trakcie rozmów telefonicznych</w:t>
      </w:r>
      <w:r w:rsidR="00551359">
        <w:rPr>
          <w:rFonts w:cs="Times New Roman"/>
          <w:szCs w:val="24"/>
        </w:rPr>
        <w:t xml:space="preserve"> </w:t>
      </w:r>
      <w:r w:rsidRPr="00551359">
        <w:rPr>
          <w:rFonts w:cs="Times New Roman"/>
          <w:szCs w:val="24"/>
        </w:rPr>
        <w:t>wykonywanych na zlecenie przedsiębiorców co do powodów organizacji spotkań</w:t>
      </w:r>
      <w:r w:rsidR="00551359">
        <w:rPr>
          <w:rFonts w:cs="Times New Roman"/>
          <w:szCs w:val="24"/>
        </w:rPr>
        <w:t xml:space="preserve"> </w:t>
      </w:r>
      <w:r w:rsidRPr="00551359">
        <w:rPr>
          <w:rFonts w:cs="Times New Roman"/>
          <w:szCs w:val="24"/>
        </w:rPr>
        <w:t>z konsumentami;</w:t>
      </w:r>
    </w:p>
    <w:p w14:paraId="4C432A95" w14:textId="77777777" w:rsidR="00551359" w:rsidRDefault="00876F82" w:rsidP="00FE70E3">
      <w:pPr>
        <w:pStyle w:val="Akapitzlist"/>
        <w:numPr>
          <w:ilvl w:val="1"/>
          <w:numId w:val="107"/>
        </w:numPr>
        <w:rPr>
          <w:rFonts w:cs="Times New Roman"/>
          <w:szCs w:val="24"/>
        </w:rPr>
      </w:pPr>
      <w:r w:rsidRPr="00551359">
        <w:rPr>
          <w:rFonts w:cs="Times New Roman"/>
          <w:szCs w:val="24"/>
        </w:rPr>
        <w:t>wywoływania nieprawdziwego wrażenia, że za sam udział w prezentacji</w:t>
      </w:r>
      <w:r w:rsidR="00551359">
        <w:rPr>
          <w:rFonts w:cs="Times New Roman"/>
          <w:szCs w:val="24"/>
        </w:rPr>
        <w:t xml:space="preserve"> </w:t>
      </w:r>
      <w:r w:rsidRPr="00551359">
        <w:rPr>
          <w:rFonts w:cs="Times New Roman"/>
          <w:szCs w:val="24"/>
        </w:rPr>
        <w:t>oferowanych towarów, konsument ma możliwość otrzymania wielofunkcyjnego</w:t>
      </w:r>
      <w:r w:rsidR="00551359">
        <w:rPr>
          <w:rFonts w:cs="Times New Roman"/>
          <w:szCs w:val="24"/>
        </w:rPr>
        <w:t xml:space="preserve"> </w:t>
      </w:r>
      <w:r w:rsidRPr="00551359">
        <w:rPr>
          <w:rFonts w:cs="Times New Roman"/>
          <w:szCs w:val="24"/>
        </w:rPr>
        <w:t>robota kuchennego, odkurzacza parowego lub vouchera na pobyt w jednym z hoteli</w:t>
      </w:r>
      <w:r w:rsidR="00551359">
        <w:rPr>
          <w:rFonts w:cs="Times New Roman"/>
          <w:szCs w:val="24"/>
        </w:rPr>
        <w:t xml:space="preserve"> </w:t>
      </w:r>
      <w:r w:rsidRPr="00551359">
        <w:rPr>
          <w:rFonts w:cs="Times New Roman"/>
          <w:szCs w:val="24"/>
        </w:rPr>
        <w:t>lub uzdrowisk należących do przedsiębiorców;</w:t>
      </w:r>
    </w:p>
    <w:p w14:paraId="2C45D69E" w14:textId="77777777" w:rsidR="00551359" w:rsidRDefault="00876F82" w:rsidP="00FE70E3">
      <w:pPr>
        <w:pStyle w:val="Akapitzlist"/>
        <w:numPr>
          <w:ilvl w:val="1"/>
          <w:numId w:val="107"/>
        </w:numPr>
        <w:rPr>
          <w:rFonts w:cs="Times New Roman"/>
          <w:szCs w:val="24"/>
        </w:rPr>
      </w:pPr>
      <w:r w:rsidRPr="00551359">
        <w:rPr>
          <w:rFonts w:cs="Times New Roman"/>
          <w:szCs w:val="24"/>
        </w:rPr>
        <w:t>wprowadzania konsumentów w błąd co do ceny i istnienia szczególnej korzyści</w:t>
      </w:r>
      <w:r w:rsidR="00551359">
        <w:rPr>
          <w:rFonts w:cs="Times New Roman"/>
          <w:szCs w:val="24"/>
        </w:rPr>
        <w:t xml:space="preserve"> </w:t>
      </w:r>
      <w:r w:rsidRPr="00551359">
        <w:rPr>
          <w:rFonts w:cs="Times New Roman"/>
          <w:szCs w:val="24"/>
        </w:rPr>
        <w:t>cenowej w przypadku zakupów dokonywanych w trakcie organizowanych przez</w:t>
      </w:r>
      <w:r w:rsidR="00551359">
        <w:rPr>
          <w:rFonts w:cs="Times New Roman"/>
          <w:szCs w:val="24"/>
        </w:rPr>
        <w:t xml:space="preserve"> p</w:t>
      </w:r>
      <w:r w:rsidRPr="00551359">
        <w:rPr>
          <w:rFonts w:cs="Times New Roman"/>
          <w:szCs w:val="24"/>
        </w:rPr>
        <w:t>rzedsiębiorców pokazów handlowych;</w:t>
      </w:r>
    </w:p>
    <w:p w14:paraId="0E91E543" w14:textId="77777777" w:rsidR="00551359" w:rsidRDefault="00876F82" w:rsidP="00FE70E3">
      <w:pPr>
        <w:pStyle w:val="Akapitzlist"/>
        <w:numPr>
          <w:ilvl w:val="1"/>
          <w:numId w:val="107"/>
        </w:numPr>
        <w:rPr>
          <w:rFonts w:cs="Times New Roman"/>
          <w:szCs w:val="24"/>
        </w:rPr>
      </w:pPr>
      <w:r w:rsidRPr="00551359">
        <w:rPr>
          <w:rFonts w:cs="Times New Roman"/>
          <w:szCs w:val="24"/>
        </w:rPr>
        <w:t>wprowadzania konsumentów w błąd co do przysługującego im prawa do</w:t>
      </w:r>
      <w:r w:rsidR="00551359">
        <w:rPr>
          <w:rFonts w:cs="Times New Roman"/>
          <w:szCs w:val="24"/>
        </w:rPr>
        <w:t xml:space="preserve"> </w:t>
      </w:r>
      <w:r w:rsidRPr="00551359">
        <w:rPr>
          <w:rFonts w:cs="Times New Roman"/>
          <w:szCs w:val="24"/>
        </w:rPr>
        <w:t>odstąpienia</w:t>
      </w:r>
      <w:r w:rsidR="00551359">
        <w:rPr>
          <w:rFonts w:cs="Times New Roman"/>
          <w:szCs w:val="24"/>
        </w:rPr>
        <w:t xml:space="preserve"> </w:t>
      </w:r>
      <w:r w:rsidRPr="00551359">
        <w:rPr>
          <w:rFonts w:cs="Times New Roman"/>
          <w:szCs w:val="24"/>
        </w:rPr>
        <w:t>od umowy zawartej poza lokalem przedsiębiorstwa.</w:t>
      </w:r>
    </w:p>
    <w:p w14:paraId="6925C069" w14:textId="77777777" w:rsidR="00551359" w:rsidRDefault="00876F82" w:rsidP="00FE70E3">
      <w:pPr>
        <w:pStyle w:val="Akapitzlist"/>
        <w:numPr>
          <w:ilvl w:val="0"/>
          <w:numId w:val="107"/>
        </w:numPr>
        <w:rPr>
          <w:rFonts w:cs="Times New Roman"/>
          <w:szCs w:val="24"/>
        </w:rPr>
      </w:pPr>
      <w:r w:rsidRPr="00551359">
        <w:rPr>
          <w:rFonts w:cs="Times New Roman"/>
          <w:szCs w:val="24"/>
        </w:rPr>
        <w:lastRenderedPageBreak/>
        <w:t>decyzji nr RPZ 12/2020 wydanej wobec przedsiębiorcy Robert Dymkowski Farma Snu</w:t>
      </w:r>
      <w:r w:rsidR="00551359">
        <w:rPr>
          <w:rFonts w:cs="Times New Roman"/>
          <w:szCs w:val="24"/>
        </w:rPr>
        <w:t xml:space="preserve"> </w:t>
      </w:r>
      <w:r w:rsidRPr="00551359">
        <w:rPr>
          <w:rFonts w:cs="Times New Roman"/>
          <w:szCs w:val="24"/>
        </w:rPr>
        <w:t>w Wirach w związku z:</w:t>
      </w:r>
    </w:p>
    <w:p w14:paraId="7130CFEF" w14:textId="77777777" w:rsidR="00551359" w:rsidRDefault="00876F82" w:rsidP="00FE70E3">
      <w:pPr>
        <w:pStyle w:val="Akapitzlist"/>
        <w:numPr>
          <w:ilvl w:val="1"/>
          <w:numId w:val="107"/>
        </w:numPr>
        <w:rPr>
          <w:rFonts w:cs="Times New Roman"/>
          <w:szCs w:val="24"/>
        </w:rPr>
      </w:pPr>
      <w:r w:rsidRPr="00551359">
        <w:rPr>
          <w:rFonts w:cs="Times New Roman"/>
          <w:szCs w:val="24"/>
        </w:rPr>
        <w:t>przekazywaniem przez telemarketerów - działających w ramach kampanii</w:t>
      </w:r>
      <w:r w:rsidR="00551359">
        <w:rPr>
          <w:rFonts w:cs="Times New Roman"/>
          <w:szCs w:val="24"/>
        </w:rPr>
        <w:t xml:space="preserve"> </w:t>
      </w:r>
      <w:r w:rsidRPr="00551359">
        <w:rPr>
          <w:rFonts w:cs="Times New Roman"/>
          <w:szCs w:val="24"/>
        </w:rPr>
        <w:t>telemarketingowych zlecanych przez ww. przedsiębiorcę i w oparciu akceptowane</w:t>
      </w:r>
      <w:r w:rsidR="00551359">
        <w:rPr>
          <w:rFonts w:cs="Times New Roman"/>
          <w:szCs w:val="24"/>
        </w:rPr>
        <w:t xml:space="preserve"> </w:t>
      </w:r>
      <w:r w:rsidRPr="00551359">
        <w:rPr>
          <w:rFonts w:cs="Times New Roman"/>
          <w:szCs w:val="24"/>
        </w:rPr>
        <w:t>przez niego scenariusze rozmów telefonicznych – konsumentom, w kierowanych do</w:t>
      </w:r>
      <w:r w:rsidR="00551359">
        <w:rPr>
          <w:rFonts w:cs="Times New Roman"/>
          <w:szCs w:val="24"/>
        </w:rPr>
        <w:t xml:space="preserve"> </w:t>
      </w:r>
      <w:r w:rsidRPr="00551359">
        <w:rPr>
          <w:rFonts w:cs="Times New Roman"/>
          <w:szCs w:val="24"/>
        </w:rPr>
        <w:t>nich zaproszeniach na organizowane przez przedsiębiorcę pokazy handlowe,</w:t>
      </w:r>
      <w:r w:rsidR="00551359">
        <w:rPr>
          <w:rFonts w:cs="Times New Roman"/>
          <w:szCs w:val="24"/>
        </w:rPr>
        <w:t xml:space="preserve"> </w:t>
      </w:r>
      <w:r w:rsidRPr="00551359">
        <w:rPr>
          <w:rFonts w:cs="Times New Roman"/>
          <w:szCs w:val="24"/>
        </w:rPr>
        <w:t>nieprawdziwych informacji, że głównym przedmiotem tych spotkań jest:</w:t>
      </w:r>
      <w:r w:rsidR="00551359">
        <w:rPr>
          <w:rFonts w:cs="Times New Roman"/>
          <w:szCs w:val="24"/>
        </w:rPr>
        <w:t xml:space="preserve"> </w:t>
      </w:r>
      <w:r w:rsidRPr="00551359">
        <w:rPr>
          <w:rFonts w:cs="Times New Roman"/>
          <w:szCs w:val="24"/>
        </w:rPr>
        <w:t>ogólnopolska reklama najnowocześniejszych sprzętów niemieckiego</w:t>
      </w:r>
      <w:r w:rsidR="00551359">
        <w:rPr>
          <w:rFonts w:cs="Times New Roman"/>
          <w:szCs w:val="24"/>
        </w:rPr>
        <w:t xml:space="preserve"> </w:t>
      </w:r>
      <w:r w:rsidRPr="00551359">
        <w:rPr>
          <w:rFonts w:cs="Times New Roman"/>
          <w:szCs w:val="24"/>
        </w:rPr>
        <w:t>producenta, w ramach której prowadzi on badanie rynku polskiego lub</w:t>
      </w:r>
      <w:r w:rsidR="00551359">
        <w:rPr>
          <w:rFonts w:cs="Times New Roman"/>
          <w:szCs w:val="24"/>
        </w:rPr>
        <w:t xml:space="preserve"> </w:t>
      </w:r>
      <w:r w:rsidRPr="00551359">
        <w:rPr>
          <w:rFonts w:cs="Times New Roman"/>
          <w:szCs w:val="24"/>
        </w:rPr>
        <w:t>premiera nowości w</w:t>
      </w:r>
      <w:r w:rsidR="00551359">
        <w:rPr>
          <w:rFonts w:cs="Times New Roman"/>
          <w:szCs w:val="24"/>
        </w:rPr>
        <w:t xml:space="preserve"> </w:t>
      </w:r>
      <w:r w:rsidRPr="00551359">
        <w:rPr>
          <w:rFonts w:cs="Times New Roman"/>
          <w:szCs w:val="24"/>
        </w:rPr>
        <w:t>profilaktyce zdrowotnej (produktu wspomagającego</w:t>
      </w:r>
      <w:r w:rsidR="00551359">
        <w:rPr>
          <w:rFonts w:cs="Times New Roman"/>
          <w:szCs w:val="24"/>
        </w:rPr>
        <w:t xml:space="preserve"> </w:t>
      </w:r>
      <w:r w:rsidRPr="00551359">
        <w:rPr>
          <w:rFonts w:cs="Times New Roman"/>
          <w:szCs w:val="24"/>
        </w:rPr>
        <w:t>leczenie bólów kręgosłupa i stawów),</w:t>
      </w:r>
      <w:r w:rsidR="00551359">
        <w:rPr>
          <w:rFonts w:cs="Times New Roman"/>
          <w:szCs w:val="24"/>
        </w:rPr>
        <w:t xml:space="preserve"> </w:t>
      </w:r>
      <w:r w:rsidRPr="00551359">
        <w:rPr>
          <w:rFonts w:cs="Times New Roman"/>
          <w:szCs w:val="24"/>
        </w:rPr>
        <w:t>podczas gdy rzeczywistym ich celem jest zaprezentowanie stałej oferty handlowej</w:t>
      </w:r>
      <w:r w:rsidR="00551359">
        <w:rPr>
          <w:rFonts w:cs="Times New Roman"/>
          <w:szCs w:val="24"/>
        </w:rPr>
        <w:t xml:space="preserve"> </w:t>
      </w:r>
      <w:r w:rsidRPr="00551359">
        <w:rPr>
          <w:rFonts w:cs="Times New Roman"/>
          <w:szCs w:val="24"/>
        </w:rPr>
        <w:t>przedsiębiorcy;</w:t>
      </w:r>
    </w:p>
    <w:p w14:paraId="5135F74B" w14:textId="77777777" w:rsidR="00551359" w:rsidRDefault="00876F82" w:rsidP="00FE70E3">
      <w:pPr>
        <w:pStyle w:val="Akapitzlist"/>
        <w:numPr>
          <w:ilvl w:val="1"/>
          <w:numId w:val="107"/>
        </w:numPr>
        <w:rPr>
          <w:rFonts w:cs="Times New Roman"/>
          <w:szCs w:val="24"/>
        </w:rPr>
      </w:pPr>
      <w:r w:rsidRPr="00551359">
        <w:rPr>
          <w:rFonts w:cs="Times New Roman"/>
          <w:szCs w:val="24"/>
        </w:rPr>
        <w:t>wywoływaniem przez ww. przedsiębiorcę wrażenia, że za sam udział w prezentacji</w:t>
      </w:r>
      <w:r w:rsidR="00551359">
        <w:rPr>
          <w:rFonts w:cs="Times New Roman"/>
          <w:szCs w:val="24"/>
        </w:rPr>
        <w:t xml:space="preserve"> </w:t>
      </w:r>
      <w:r w:rsidRPr="00551359">
        <w:rPr>
          <w:rFonts w:cs="Times New Roman"/>
          <w:szCs w:val="24"/>
        </w:rPr>
        <w:t>oferowanych towarów konsument ma możliwość otrzymania wielofunkcyjnego</w:t>
      </w:r>
      <w:r w:rsidR="00551359">
        <w:rPr>
          <w:rFonts w:cs="Times New Roman"/>
          <w:szCs w:val="24"/>
        </w:rPr>
        <w:t xml:space="preserve"> </w:t>
      </w:r>
      <w:r w:rsidRPr="00551359">
        <w:rPr>
          <w:rFonts w:cs="Times New Roman"/>
          <w:szCs w:val="24"/>
        </w:rPr>
        <w:t>robota kuchennego, w sytuacji gdy prezenty otrzymywane przez konsumentów nie</w:t>
      </w:r>
      <w:r w:rsidR="00551359">
        <w:rPr>
          <w:rFonts w:cs="Times New Roman"/>
          <w:szCs w:val="24"/>
        </w:rPr>
        <w:t xml:space="preserve"> </w:t>
      </w:r>
      <w:r w:rsidRPr="00551359">
        <w:rPr>
          <w:rFonts w:cs="Times New Roman"/>
          <w:szCs w:val="24"/>
        </w:rPr>
        <w:t>odpowiadały pierwotnym zapewnieniom;</w:t>
      </w:r>
    </w:p>
    <w:p w14:paraId="1E4A9CB4" w14:textId="7D69B3A9" w:rsidR="00876F82" w:rsidRPr="00551359" w:rsidRDefault="00876F82" w:rsidP="00FE70E3">
      <w:pPr>
        <w:pStyle w:val="Akapitzlist"/>
        <w:numPr>
          <w:ilvl w:val="1"/>
          <w:numId w:val="107"/>
        </w:numPr>
        <w:rPr>
          <w:rFonts w:cs="Times New Roman"/>
          <w:szCs w:val="24"/>
        </w:rPr>
      </w:pPr>
      <w:r w:rsidRPr="00551359">
        <w:rPr>
          <w:rFonts w:cs="Times New Roman"/>
          <w:szCs w:val="24"/>
        </w:rPr>
        <w:t>zamieszczaniem w umowach zawieranych z konsumentami postanowienia o treści:</w:t>
      </w:r>
      <w:r w:rsidR="00551359">
        <w:rPr>
          <w:rFonts w:cs="Times New Roman"/>
          <w:szCs w:val="24"/>
        </w:rPr>
        <w:t xml:space="preserve"> </w:t>
      </w:r>
      <w:r w:rsidRPr="00551359">
        <w:rPr>
          <w:rFonts w:cs="Times New Roman"/>
          <w:szCs w:val="24"/>
        </w:rPr>
        <w:t>„Produkt dostarczany jest w zapieczętowanym opakowaniu, którego otwarcie</w:t>
      </w:r>
      <w:r w:rsidR="00551359">
        <w:rPr>
          <w:rFonts w:cs="Times New Roman"/>
          <w:szCs w:val="24"/>
        </w:rPr>
        <w:t xml:space="preserve"> </w:t>
      </w:r>
      <w:r w:rsidRPr="00551359">
        <w:rPr>
          <w:rFonts w:cs="Times New Roman"/>
          <w:szCs w:val="24"/>
        </w:rPr>
        <w:t>uniemożliwia zwrot towaru ze względów higienicznych. Zakupiony towar</w:t>
      </w:r>
      <w:r w:rsidR="00551359">
        <w:rPr>
          <w:rFonts w:cs="Times New Roman"/>
          <w:szCs w:val="24"/>
        </w:rPr>
        <w:t xml:space="preserve"> </w:t>
      </w:r>
      <w:r w:rsidRPr="00551359">
        <w:rPr>
          <w:rFonts w:cs="Times New Roman"/>
          <w:szCs w:val="24"/>
        </w:rPr>
        <w:t>stanowi przedmiot osobistego użytku nie podlegający zwrotowi po jego użyciu</w:t>
      </w:r>
      <w:r w:rsidR="00551359">
        <w:rPr>
          <w:rFonts w:cs="Times New Roman"/>
          <w:szCs w:val="24"/>
        </w:rPr>
        <w:t xml:space="preserve"> </w:t>
      </w:r>
      <w:r w:rsidRPr="00551359">
        <w:rPr>
          <w:rFonts w:cs="Times New Roman"/>
          <w:szCs w:val="24"/>
        </w:rPr>
        <w:t>z zastrzeżeniem wyjątków wskazanych w zdaniach poprzednich. Kupującemu</w:t>
      </w:r>
      <w:r w:rsidR="00551359">
        <w:rPr>
          <w:rFonts w:cs="Times New Roman"/>
          <w:szCs w:val="24"/>
        </w:rPr>
        <w:t xml:space="preserve"> </w:t>
      </w:r>
      <w:r w:rsidRPr="00551359">
        <w:rPr>
          <w:rFonts w:cs="Times New Roman"/>
          <w:szCs w:val="24"/>
        </w:rPr>
        <w:t>przysługuje prawo do odstąpienia od umowy w terminie 14 dni od daty zakupu</w:t>
      </w:r>
      <w:r w:rsidR="00551359">
        <w:rPr>
          <w:rFonts w:cs="Times New Roman"/>
          <w:szCs w:val="24"/>
        </w:rPr>
        <w:t xml:space="preserve"> </w:t>
      </w:r>
      <w:r w:rsidRPr="00551359">
        <w:rPr>
          <w:rFonts w:cs="Times New Roman"/>
          <w:szCs w:val="24"/>
        </w:rPr>
        <w:t>poprzez złożenie sprzedającemu pisemnego oświadczenia”,</w:t>
      </w:r>
      <w:r w:rsidR="00551359">
        <w:rPr>
          <w:rFonts w:cs="Times New Roman"/>
          <w:szCs w:val="24"/>
        </w:rPr>
        <w:t xml:space="preserve"> </w:t>
      </w:r>
      <w:r w:rsidRPr="00551359">
        <w:rPr>
          <w:rFonts w:cs="Times New Roman"/>
          <w:szCs w:val="24"/>
        </w:rPr>
        <w:t>w sytuacji, gdy do towarów znajdujących się w ofercie przedsiębiorcy nie znajduje</w:t>
      </w:r>
      <w:r w:rsidR="00551359">
        <w:rPr>
          <w:rFonts w:cs="Times New Roman"/>
          <w:szCs w:val="24"/>
        </w:rPr>
        <w:t xml:space="preserve"> </w:t>
      </w:r>
      <w:r w:rsidRPr="00551359">
        <w:rPr>
          <w:rFonts w:cs="Times New Roman"/>
          <w:szCs w:val="24"/>
        </w:rPr>
        <w:t>zastosowania wyłączenie prawa do odstąpienia od umowy określone w art. 38 pkt 5</w:t>
      </w:r>
      <w:r w:rsidR="00551359">
        <w:rPr>
          <w:rFonts w:cs="Times New Roman"/>
          <w:szCs w:val="24"/>
        </w:rPr>
        <w:t xml:space="preserve"> </w:t>
      </w:r>
      <w:r w:rsidRPr="00551359">
        <w:rPr>
          <w:rFonts w:cs="Times New Roman"/>
          <w:szCs w:val="24"/>
        </w:rPr>
        <w:t>ustawy o prawach konsumenta.</w:t>
      </w:r>
    </w:p>
    <w:p w14:paraId="02E8F4D5" w14:textId="77777777" w:rsidR="008F5941" w:rsidRPr="00876F82" w:rsidRDefault="008F5941" w:rsidP="00876F82">
      <w:pPr>
        <w:rPr>
          <w:rFonts w:cs="Times New Roman"/>
          <w:szCs w:val="24"/>
        </w:rPr>
      </w:pPr>
    </w:p>
    <w:p w14:paraId="49D3AFEC" w14:textId="77777777" w:rsidR="00551359" w:rsidRDefault="00876F82" w:rsidP="00876F82">
      <w:pPr>
        <w:rPr>
          <w:rFonts w:cs="Times New Roman"/>
          <w:szCs w:val="24"/>
        </w:rPr>
      </w:pPr>
      <w:r w:rsidRPr="00876F82">
        <w:rPr>
          <w:rFonts w:cs="Times New Roman"/>
          <w:szCs w:val="24"/>
        </w:rPr>
        <w:t>Ponadto Prezes Urzędu prowadził wobec przedsiębiorcy MILLENIUM MEDICA Sp. z o.o.</w:t>
      </w:r>
      <w:r w:rsidR="00551359">
        <w:rPr>
          <w:rFonts w:cs="Times New Roman"/>
          <w:szCs w:val="24"/>
        </w:rPr>
        <w:t xml:space="preserve"> </w:t>
      </w:r>
      <w:r w:rsidRPr="00876F82">
        <w:rPr>
          <w:rFonts w:cs="Times New Roman"/>
          <w:szCs w:val="24"/>
        </w:rPr>
        <w:t>z</w:t>
      </w:r>
      <w:r w:rsidR="00551359">
        <w:rPr>
          <w:rFonts w:cs="Times New Roman"/>
          <w:szCs w:val="24"/>
        </w:rPr>
        <w:t> </w:t>
      </w:r>
      <w:r w:rsidRPr="00876F82">
        <w:rPr>
          <w:rFonts w:cs="Times New Roman"/>
          <w:szCs w:val="24"/>
        </w:rPr>
        <w:t>siedzibą w Ostrowie Wielkopolskim (dawniej Centrum Remedium spółka z ograniczoną</w:t>
      </w:r>
      <w:r w:rsidR="00551359">
        <w:rPr>
          <w:rFonts w:cs="Times New Roman"/>
          <w:szCs w:val="24"/>
        </w:rPr>
        <w:t xml:space="preserve"> </w:t>
      </w:r>
      <w:r w:rsidRPr="00876F82">
        <w:rPr>
          <w:rFonts w:cs="Times New Roman"/>
          <w:szCs w:val="24"/>
        </w:rPr>
        <w:t>odpowiedzialnością z siedzibą w Ostrowie Wielkopolskim) organizującego sprzedaż na</w:t>
      </w:r>
      <w:r w:rsidR="00551359">
        <w:rPr>
          <w:rFonts w:cs="Times New Roman"/>
          <w:szCs w:val="24"/>
        </w:rPr>
        <w:t xml:space="preserve"> </w:t>
      </w:r>
      <w:r w:rsidRPr="00876F82">
        <w:rPr>
          <w:rFonts w:cs="Times New Roman"/>
          <w:szCs w:val="24"/>
        </w:rPr>
        <w:t>pokazach, postępowanie w sprawie stosowania praktyk naruszających zbiorowe interesy</w:t>
      </w:r>
      <w:r w:rsidR="00551359">
        <w:rPr>
          <w:rFonts w:cs="Times New Roman"/>
          <w:szCs w:val="24"/>
        </w:rPr>
        <w:t xml:space="preserve"> </w:t>
      </w:r>
      <w:r w:rsidRPr="00876F82">
        <w:rPr>
          <w:rFonts w:cs="Times New Roman"/>
          <w:szCs w:val="24"/>
        </w:rPr>
        <w:t>konsumentów (które nie zostało zakończone do dnia 31 grudnia 2020 r.), polegających na:</w:t>
      </w:r>
      <w:r>
        <w:rPr>
          <w:rFonts w:cs="Times New Roman"/>
          <w:szCs w:val="24"/>
        </w:rPr>
        <w:t xml:space="preserve"> </w:t>
      </w:r>
    </w:p>
    <w:p w14:paraId="520C49A7" w14:textId="77777777" w:rsidR="00551359" w:rsidRDefault="00876F82" w:rsidP="00FE70E3">
      <w:pPr>
        <w:pStyle w:val="Akapitzlist"/>
        <w:numPr>
          <w:ilvl w:val="0"/>
          <w:numId w:val="108"/>
        </w:numPr>
        <w:rPr>
          <w:rFonts w:cs="Times New Roman"/>
          <w:szCs w:val="24"/>
        </w:rPr>
      </w:pPr>
      <w:r w:rsidRPr="00551359">
        <w:rPr>
          <w:rFonts w:cs="Times New Roman"/>
          <w:szCs w:val="24"/>
        </w:rPr>
        <w:t>sugerowaniu konsumentom w kierowanych do nich ulotkach, dostarczanych</w:t>
      </w:r>
      <w:r w:rsidR="00551359">
        <w:rPr>
          <w:rFonts w:cs="Times New Roman"/>
          <w:szCs w:val="24"/>
        </w:rPr>
        <w:t xml:space="preserve"> </w:t>
      </w:r>
      <w:r w:rsidRPr="00551359">
        <w:rPr>
          <w:rFonts w:cs="Times New Roman"/>
          <w:szCs w:val="24"/>
        </w:rPr>
        <w:t>w formie druku bezadresowego, że głównym celem organizowanych spotkań są</w:t>
      </w:r>
      <w:r w:rsidR="00551359">
        <w:rPr>
          <w:rFonts w:cs="Times New Roman"/>
          <w:szCs w:val="24"/>
        </w:rPr>
        <w:t xml:space="preserve"> </w:t>
      </w:r>
      <w:r w:rsidRPr="00551359">
        <w:rPr>
          <w:rFonts w:cs="Times New Roman"/>
          <w:szCs w:val="24"/>
        </w:rPr>
        <w:t>bezpłatne badania</w:t>
      </w:r>
      <w:r w:rsidR="00551359">
        <w:rPr>
          <w:rFonts w:cs="Times New Roman"/>
          <w:szCs w:val="24"/>
        </w:rPr>
        <w:t xml:space="preserve"> </w:t>
      </w:r>
      <w:r w:rsidRPr="00551359">
        <w:rPr>
          <w:rFonts w:cs="Times New Roman"/>
          <w:szCs w:val="24"/>
        </w:rPr>
        <w:t>bez skierowania obejmujące wszystkie układy i narządy, podczas</w:t>
      </w:r>
      <w:r w:rsidR="00551359">
        <w:rPr>
          <w:rFonts w:cs="Times New Roman"/>
          <w:szCs w:val="24"/>
        </w:rPr>
        <w:t xml:space="preserve"> </w:t>
      </w:r>
      <w:r w:rsidRPr="00551359">
        <w:rPr>
          <w:rFonts w:cs="Times New Roman"/>
          <w:szCs w:val="24"/>
        </w:rPr>
        <w:t>gdy rzeczywistym celem tych spotkań jest zaprezentowanie oferty handlowej</w:t>
      </w:r>
      <w:r w:rsidR="00551359">
        <w:rPr>
          <w:rFonts w:cs="Times New Roman"/>
          <w:szCs w:val="24"/>
        </w:rPr>
        <w:t xml:space="preserve"> </w:t>
      </w:r>
      <w:r w:rsidRPr="00551359">
        <w:rPr>
          <w:rFonts w:cs="Times New Roman"/>
          <w:szCs w:val="24"/>
        </w:rPr>
        <w:t>przedsiębiorcy, co może stanowić nieuczciwą praktykę rynkową;</w:t>
      </w:r>
    </w:p>
    <w:p w14:paraId="4C1F93B2" w14:textId="72C3A0A2" w:rsidR="00876F82" w:rsidRPr="00551359" w:rsidRDefault="00876F82" w:rsidP="00FE70E3">
      <w:pPr>
        <w:pStyle w:val="Akapitzlist"/>
        <w:numPr>
          <w:ilvl w:val="0"/>
          <w:numId w:val="108"/>
        </w:numPr>
        <w:rPr>
          <w:rFonts w:cs="Times New Roman"/>
          <w:szCs w:val="24"/>
        </w:rPr>
      </w:pPr>
      <w:r w:rsidRPr="00551359">
        <w:rPr>
          <w:rFonts w:cs="Times New Roman"/>
          <w:szCs w:val="24"/>
        </w:rPr>
        <w:t>przekazywaniu konsumentom wprowadzających w błąd informacji co do ich stanu</w:t>
      </w:r>
      <w:r w:rsidR="00551359">
        <w:rPr>
          <w:rFonts w:cs="Times New Roman"/>
          <w:szCs w:val="24"/>
        </w:rPr>
        <w:t xml:space="preserve"> </w:t>
      </w:r>
      <w:r w:rsidRPr="00551359">
        <w:rPr>
          <w:rFonts w:cs="Times New Roman"/>
          <w:szCs w:val="24"/>
        </w:rPr>
        <w:t>zdrowia, co mogło wpłynąć na decyzje konsumentów o zakupie oferowanych przez</w:t>
      </w:r>
      <w:r w:rsidR="00551359">
        <w:rPr>
          <w:rFonts w:cs="Times New Roman"/>
          <w:szCs w:val="24"/>
        </w:rPr>
        <w:t xml:space="preserve"> </w:t>
      </w:r>
      <w:r w:rsidRPr="00551359">
        <w:rPr>
          <w:rFonts w:cs="Times New Roman"/>
          <w:szCs w:val="24"/>
        </w:rPr>
        <w:t>przedsiębiorcę towarów, w sytuacji gdy przekazywane informacje o stanie zdrowia</w:t>
      </w:r>
      <w:r w:rsidR="00551359">
        <w:rPr>
          <w:rFonts w:cs="Times New Roman"/>
          <w:szCs w:val="24"/>
        </w:rPr>
        <w:t xml:space="preserve"> </w:t>
      </w:r>
      <w:r w:rsidRPr="00551359">
        <w:rPr>
          <w:rFonts w:cs="Times New Roman"/>
          <w:szCs w:val="24"/>
        </w:rPr>
        <w:t xml:space="preserve">osób uczestniczących </w:t>
      </w:r>
      <w:r w:rsidRPr="00551359">
        <w:rPr>
          <w:rFonts w:cs="Times New Roman"/>
          <w:szCs w:val="24"/>
        </w:rPr>
        <w:lastRenderedPageBreak/>
        <w:t>w pokazie ustalane są na podstawie badań wykonywanych</w:t>
      </w:r>
      <w:r w:rsidR="00551359">
        <w:rPr>
          <w:rFonts w:cs="Times New Roman"/>
          <w:szCs w:val="24"/>
        </w:rPr>
        <w:t xml:space="preserve"> </w:t>
      </w:r>
      <w:r w:rsidRPr="00551359">
        <w:rPr>
          <w:rFonts w:cs="Times New Roman"/>
          <w:szCs w:val="24"/>
        </w:rPr>
        <w:t>przy pomocy urządzenia nie będącego wyrobem medycznym, co może stanowić</w:t>
      </w:r>
      <w:r w:rsidR="00551359">
        <w:rPr>
          <w:rFonts w:cs="Times New Roman"/>
          <w:szCs w:val="24"/>
        </w:rPr>
        <w:t xml:space="preserve"> </w:t>
      </w:r>
      <w:r w:rsidRPr="00551359">
        <w:rPr>
          <w:rFonts w:cs="Times New Roman"/>
          <w:szCs w:val="24"/>
        </w:rPr>
        <w:t>nieuczciwą praktykę rynkową.</w:t>
      </w:r>
    </w:p>
    <w:p w14:paraId="4B4242A9" w14:textId="77777777" w:rsidR="00551359" w:rsidRPr="00876F82" w:rsidRDefault="00551359" w:rsidP="00876F82">
      <w:pPr>
        <w:rPr>
          <w:rFonts w:cs="Times New Roman"/>
          <w:szCs w:val="24"/>
        </w:rPr>
      </w:pPr>
    </w:p>
    <w:p w14:paraId="008027BD" w14:textId="18200FDE" w:rsidR="00876F82" w:rsidRDefault="00876F82" w:rsidP="00876F82">
      <w:pPr>
        <w:rPr>
          <w:rFonts w:cs="Times New Roman"/>
          <w:szCs w:val="24"/>
        </w:rPr>
      </w:pPr>
      <w:r w:rsidRPr="00876F82">
        <w:rPr>
          <w:rFonts w:cs="Times New Roman"/>
          <w:szCs w:val="24"/>
        </w:rPr>
        <w:t>Również w 2020 r. Prezes Urzędu prowadził postępowania wyjaśniające wobec</w:t>
      </w:r>
      <w:r w:rsidR="00551359">
        <w:rPr>
          <w:rFonts w:cs="Times New Roman"/>
          <w:szCs w:val="24"/>
        </w:rPr>
        <w:t xml:space="preserve"> </w:t>
      </w:r>
      <w:r w:rsidRPr="00876F82">
        <w:rPr>
          <w:rFonts w:cs="Times New Roman"/>
          <w:szCs w:val="24"/>
        </w:rPr>
        <w:t>przedsiębiorców organizujących sprzedaż na pokazach. Wskazać m.in. należy na</w:t>
      </w:r>
      <w:r w:rsidR="000E2C92">
        <w:rPr>
          <w:rFonts w:cs="Times New Roman"/>
          <w:szCs w:val="24"/>
        </w:rPr>
        <w:t xml:space="preserve"> </w:t>
      </w:r>
      <w:r w:rsidRPr="00876F82">
        <w:rPr>
          <w:rFonts w:cs="Times New Roman"/>
          <w:szCs w:val="24"/>
        </w:rPr>
        <w:t>postępowania wyjaśniające prowadzone w związku z działaniami ENEDA Sp. z o.o. sp.k.</w:t>
      </w:r>
      <w:r w:rsidR="000E2C92">
        <w:rPr>
          <w:rFonts w:cs="Times New Roman"/>
          <w:szCs w:val="24"/>
        </w:rPr>
        <w:t xml:space="preserve"> </w:t>
      </w:r>
      <w:r w:rsidRPr="00876F82">
        <w:rPr>
          <w:rFonts w:cs="Times New Roman"/>
          <w:szCs w:val="24"/>
        </w:rPr>
        <w:t>z Poznania, w celu wstępnego ustalenia, czy nastąpiło naruszenie uzasadniające wszczęcie</w:t>
      </w:r>
      <w:r w:rsidR="000E2C92">
        <w:rPr>
          <w:rFonts w:cs="Times New Roman"/>
          <w:szCs w:val="24"/>
        </w:rPr>
        <w:t xml:space="preserve"> </w:t>
      </w:r>
      <w:r w:rsidRPr="00876F82">
        <w:rPr>
          <w:rFonts w:cs="Times New Roman"/>
          <w:szCs w:val="24"/>
        </w:rPr>
        <w:t>postępowania w</w:t>
      </w:r>
      <w:r w:rsidR="000E2C92">
        <w:rPr>
          <w:rFonts w:cs="Times New Roman"/>
          <w:szCs w:val="24"/>
        </w:rPr>
        <w:t> </w:t>
      </w:r>
      <w:r w:rsidRPr="00876F82">
        <w:rPr>
          <w:rFonts w:cs="Times New Roman"/>
          <w:szCs w:val="24"/>
        </w:rPr>
        <w:t>sprawie praktyk naruszających zbiorowe interesy konsumentów w związku</w:t>
      </w:r>
      <w:r w:rsidR="000E2C92">
        <w:rPr>
          <w:rFonts w:cs="Times New Roman"/>
          <w:szCs w:val="24"/>
        </w:rPr>
        <w:t xml:space="preserve"> </w:t>
      </w:r>
      <w:r w:rsidRPr="00876F82">
        <w:rPr>
          <w:rFonts w:cs="Times New Roman"/>
          <w:szCs w:val="24"/>
        </w:rPr>
        <w:t>z działalnością prowadzoną przez ww. przedsiębiorcę lub podmioty z nim powiązane,</w:t>
      </w:r>
      <w:r w:rsidR="000E2C92">
        <w:rPr>
          <w:rFonts w:cs="Times New Roman"/>
          <w:szCs w:val="24"/>
        </w:rPr>
        <w:t xml:space="preserve"> </w:t>
      </w:r>
      <w:r w:rsidRPr="00876F82">
        <w:rPr>
          <w:rFonts w:cs="Times New Roman"/>
          <w:szCs w:val="24"/>
        </w:rPr>
        <w:t>a także postępowanie prowadzone w związku z działaniami przedsiębiorców Vita Lift</w:t>
      </w:r>
      <w:r w:rsidR="000E2C92">
        <w:rPr>
          <w:rFonts w:cs="Times New Roman"/>
          <w:szCs w:val="24"/>
        </w:rPr>
        <w:t xml:space="preserve"> </w:t>
      </w:r>
      <w:r w:rsidRPr="00876F82">
        <w:rPr>
          <w:rFonts w:cs="Times New Roman"/>
          <w:szCs w:val="24"/>
        </w:rPr>
        <w:t>sp. z o.o. oraz Vita Lift sp.</w:t>
      </w:r>
      <w:r w:rsidR="000E2C92">
        <w:rPr>
          <w:rFonts w:cs="Times New Roman"/>
          <w:szCs w:val="24"/>
        </w:rPr>
        <w:t> </w:t>
      </w:r>
      <w:r w:rsidRPr="00876F82">
        <w:rPr>
          <w:rFonts w:cs="Times New Roman"/>
          <w:szCs w:val="24"/>
        </w:rPr>
        <w:t>z</w:t>
      </w:r>
      <w:r w:rsidR="000E2C92">
        <w:rPr>
          <w:rFonts w:cs="Times New Roman"/>
          <w:szCs w:val="24"/>
        </w:rPr>
        <w:t> </w:t>
      </w:r>
      <w:r w:rsidRPr="00876F82">
        <w:rPr>
          <w:rFonts w:cs="Times New Roman"/>
          <w:szCs w:val="24"/>
        </w:rPr>
        <w:t>o.o. sp.k. z siedzibą w Poznaniu, mające na celu wstępne</w:t>
      </w:r>
      <w:r w:rsidR="000E2C92">
        <w:rPr>
          <w:rFonts w:cs="Times New Roman"/>
          <w:szCs w:val="24"/>
        </w:rPr>
        <w:t xml:space="preserve"> </w:t>
      </w:r>
      <w:r w:rsidRPr="00876F82">
        <w:rPr>
          <w:rFonts w:cs="Times New Roman"/>
          <w:szCs w:val="24"/>
        </w:rPr>
        <w:t>ustalenie, czy nastąpiło naruszenie</w:t>
      </w:r>
      <w:r w:rsidR="000E2C92">
        <w:rPr>
          <w:rFonts w:cs="Times New Roman"/>
          <w:szCs w:val="24"/>
        </w:rPr>
        <w:t xml:space="preserve"> </w:t>
      </w:r>
      <w:r w:rsidRPr="00876F82">
        <w:rPr>
          <w:rFonts w:cs="Times New Roman"/>
          <w:szCs w:val="24"/>
        </w:rPr>
        <w:t>uzasadniające wszczęcie postępowania w sprawie</w:t>
      </w:r>
      <w:r w:rsidR="000E2C92">
        <w:rPr>
          <w:rFonts w:cs="Times New Roman"/>
          <w:szCs w:val="24"/>
        </w:rPr>
        <w:t xml:space="preserve"> </w:t>
      </w:r>
      <w:r w:rsidRPr="00876F82">
        <w:rPr>
          <w:rFonts w:cs="Times New Roman"/>
          <w:szCs w:val="24"/>
        </w:rPr>
        <w:t>praktyk naruszających zbiorowe</w:t>
      </w:r>
      <w:r w:rsidR="000E2C92">
        <w:rPr>
          <w:rFonts w:cs="Times New Roman"/>
          <w:szCs w:val="24"/>
        </w:rPr>
        <w:t xml:space="preserve"> </w:t>
      </w:r>
      <w:r w:rsidRPr="00876F82">
        <w:rPr>
          <w:rFonts w:cs="Times New Roman"/>
          <w:szCs w:val="24"/>
        </w:rPr>
        <w:t>interesy w związku z działalnością prowadzoną przez</w:t>
      </w:r>
      <w:r w:rsidR="000E2C92">
        <w:rPr>
          <w:rFonts w:cs="Times New Roman"/>
          <w:szCs w:val="24"/>
        </w:rPr>
        <w:t xml:space="preserve"> </w:t>
      </w:r>
      <w:r w:rsidRPr="00876F82">
        <w:rPr>
          <w:rFonts w:cs="Times New Roman"/>
          <w:szCs w:val="24"/>
        </w:rPr>
        <w:t>ww. przedsiębiorców lub przez podmioty z nimi powiązane.</w:t>
      </w:r>
    </w:p>
    <w:p w14:paraId="6461A372" w14:textId="77777777" w:rsidR="00551359" w:rsidRPr="00876F82" w:rsidRDefault="00551359" w:rsidP="00876F82">
      <w:pPr>
        <w:rPr>
          <w:rFonts w:cs="Times New Roman"/>
          <w:szCs w:val="24"/>
        </w:rPr>
      </w:pPr>
    </w:p>
    <w:p w14:paraId="4F33D674" w14:textId="77777777" w:rsidR="00966F10" w:rsidRDefault="00876F82" w:rsidP="00876F82">
      <w:pPr>
        <w:rPr>
          <w:rFonts w:cs="Times New Roman"/>
          <w:szCs w:val="24"/>
        </w:rPr>
      </w:pPr>
      <w:r w:rsidRPr="00876F82">
        <w:rPr>
          <w:rFonts w:cs="Times New Roman"/>
          <w:szCs w:val="24"/>
        </w:rPr>
        <w:t>Prezes Urzędu skierował także wystąpienie z zakresu ochrony konsumentów, tj. na</w:t>
      </w:r>
      <w:r w:rsidR="00966F10">
        <w:rPr>
          <w:rFonts w:cs="Times New Roman"/>
          <w:szCs w:val="24"/>
        </w:rPr>
        <w:t xml:space="preserve"> </w:t>
      </w:r>
      <w:r w:rsidRPr="00876F82">
        <w:rPr>
          <w:rFonts w:cs="Times New Roman"/>
          <w:szCs w:val="24"/>
        </w:rPr>
        <w:t xml:space="preserve">podstawie art. 49a </w:t>
      </w:r>
      <w:proofErr w:type="spellStart"/>
      <w:r w:rsidRPr="00876F82">
        <w:rPr>
          <w:rFonts w:cs="Times New Roman"/>
          <w:szCs w:val="24"/>
        </w:rPr>
        <w:t>uokik</w:t>
      </w:r>
      <w:proofErr w:type="spellEnd"/>
      <w:r w:rsidRPr="00876F82">
        <w:rPr>
          <w:rFonts w:cs="Times New Roman"/>
          <w:szCs w:val="24"/>
        </w:rPr>
        <w:t xml:space="preserve">, do przedsiębiorcy pana Marka </w:t>
      </w:r>
      <w:proofErr w:type="spellStart"/>
      <w:r w:rsidRPr="00876F82">
        <w:rPr>
          <w:rFonts w:cs="Times New Roman"/>
          <w:szCs w:val="24"/>
        </w:rPr>
        <w:t>Tabora</w:t>
      </w:r>
      <w:proofErr w:type="spellEnd"/>
      <w:r w:rsidRPr="00876F82">
        <w:rPr>
          <w:rFonts w:cs="Times New Roman"/>
          <w:szCs w:val="24"/>
        </w:rPr>
        <w:t>, prowadzącego</w:t>
      </w:r>
      <w:r w:rsidR="00966F10">
        <w:rPr>
          <w:rFonts w:cs="Times New Roman"/>
          <w:szCs w:val="24"/>
        </w:rPr>
        <w:t xml:space="preserve"> </w:t>
      </w:r>
      <w:r w:rsidRPr="00876F82">
        <w:rPr>
          <w:rFonts w:cs="Times New Roman"/>
          <w:szCs w:val="24"/>
        </w:rPr>
        <w:t>działalność gospodarczą pod firmą Przedsiębiorstwo Handlowo Usługowe Marek</w:t>
      </w:r>
      <w:r w:rsidR="00966F10">
        <w:rPr>
          <w:rFonts w:cs="Times New Roman"/>
          <w:szCs w:val="24"/>
        </w:rPr>
        <w:t xml:space="preserve"> </w:t>
      </w:r>
      <w:r w:rsidRPr="00876F82">
        <w:rPr>
          <w:rFonts w:cs="Times New Roman"/>
          <w:szCs w:val="24"/>
        </w:rPr>
        <w:t>Tabor z/s w Dobrej m. in. w związku z naruszeniem zakazu stosowania niedozwolonych</w:t>
      </w:r>
      <w:r w:rsidR="00966F10">
        <w:rPr>
          <w:rFonts w:cs="Times New Roman"/>
          <w:szCs w:val="24"/>
        </w:rPr>
        <w:t xml:space="preserve"> </w:t>
      </w:r>
      <w:r w:rsidRPr="00876F82">
        <w:rPr>
          <w:rFonts w:cs="Times New Roman"/>
          <w:szCs w:val="24"/>
        </w:rPr>
        <w:t>postanowień umownych we wzorcach</w:t>
      </w:r>
      <w:r w:rsidR="00966F10">
        <w:rPr>
          <w:rFonts w:cs="Times New Roman"/>
          <w:szCs w:val="24"/>
        </w:rPr>
        <w:t xml:space="preserve"> </w:t>
      </w:r>
      <w:r w:rsidRPr="00876F82">
        <w:rPr>
          <w:rFonts w:cs="Times New Roman"/>
          <w:szCs w:val="24"/>
        </w:rPr>
        <w:t>umowy oraz naruszenie zakazu stosowania praktyk</w:t>
      </w:r>
      <w:r w:rsidR="00966F10">
        <w:rPr>
          <w:rFonts w:cs="Times New Roman"/>
          <w:szCs w:val="24"/>
        </w:rPr>
        <w:t xml:space="preserve"> </w:t>
      </w:r>
      <w:r w:rsidRPr="00876F82">
        <w:rPr>
          <w:rFonts w:cs="Times New Roman"/>
          <w:szCs w:val="24"/>
        </w:rPr>
        <w:t>naruszających zbiorowe interesy konsumentów w związku z nieudzielaniem konsumentom,</w:t>
      </w:r>
      <w:r w:rsidR="00966F10">
        <w:rPr>
          <w:rFonts w:cs="Times New Roman"/>
          <w:szCs w:val="24"/>
        </w:rPr>
        <w:t xml:space="preserve"> </w:t>
      </w:r>
      <w:r w:rsidRPr="00876F82">
        <w:rPr>
          <w:rFonts w:cs="Times New Roman"/>
          <w:szCs w:val="24"/>
        </w:rPr>
        <w:t>rzetelnej, prawdziwej i pełnej informacji w zakresie sposobu i terminu wykonania prawa</w:t>
      </w:r>
      <w:r w:rsidR="00966F10">
        <w:rPr>
          <w:rFonts w:cs="Times New Roman"/>
          <w:szCs w:val="24"/>
        </w:rPr>
        <w:t xml:space="preserve"> </w:t>
      </w:r>
      <w:r w:rsidRPr="00876F82">
        <w:rPr>
          <w:rFonts w:cs="Times New Roman"/>
          <w:szCs w:val="24"/>
        </w:rPr>
        <w:t>odstąpienia od umowy, a także niewywiązywaniem się z obowiązku przekazywania</w:t>
      </w:r>
      <w:r w:rsidR="00966F10">
        <w:rPr>
          <w:rFonts w:cs="Times New Roman"/>
          <w:szCs w:val="24"/>
        </w:rPr>
        <w:t xml:space="preserve"> </w:t>
      </w:r>
      <w:r w:rsidRPr="00876F82">
        <w:rPr>
          <w:rFonts w:cs="Times New Roman"/>
          <w:szCs w:val="24"/>
        </w:rPr>
        <w:t>kupującym wzoru formularza odstąpienia od umowy zawieranej poza lokalem</w:t>
      </w:r>
      <w:r w:rsidR="00966F10">
        <w:rPr>
          <w:rFonts w:cs="Times New Roman"/>
          <w:szCs w:val="24"/>
        </w:rPr>
        <w:t xml:space="preserve"> </w:t>
      </w:r>
      <w:r w:rsidRPr="00876F82">
        <w:rPr>
          <w:rFonts w:cs="Times New Roman"/>
          <w:szCs w:val="24"/>
        </w:rPr>
        <w:t>przedsiębiorstwa. Opisane zachowanie, w ocenie osoby</w:t>
      </w:r>
      <w:r w:rsidR="00966F10">
        <w:rPr>
          <w:rFonts w:cs="Times New Roman"/>
          <w:szCs w:val="24"/>
        </w:rPr>
        <w:t xml:space="preserve"> </w:t>
      </w:r>
      <w:r w:rsidRPr="00876F82">
        <w:rPr>
          <w:rFonts w:cs="Times New Roman"/>
          <w:szCs w:val="24"/>
        </w:rPr>
        <w:t>prowadzącej sprawę mogło</w:t>
      </w:r>
      <w:r w:rsidR="00966F10">
        <w:rPr>
          <w:rFonts w:cs="Times New Roman"/>
          <w:szCs w:val="24"/>
        </w:rPr>
        <w:t xml:space="preserve"> </w:t>
      </w:r>
      <w:r w:rsidRPr="00876F82">
        <w:rPr>
          <w:rFonts w:cs="Times New Roman"/>
          <w:szCs w:val="24"/>
        </w:rPr>
        <w:t>świadczyć o stosowaniu przez przedsiębiorcę nieuczciwych praktyk rynkowych określonych</w:t>
      </w:r>
      <w:r w:rsidR="00966F10">
        <w:rPr>
          <w:rFonts w:cs="Times New Roman"/>
          <w:szCs w:val="24"/>
        </w:rPr>
        <w:t xml:space="preserve"> </w:t>
      </w:r>
      <w:r w:rsidRPr="00876F82">
        <w:rPr>
          <w:rFonts w:cs="Times New Roman"/>
          <w:szCs w:val="24"/>
        </w:rPr>
        <w:t>w art. 4 ust. 1 ustawy o przeciwdziałaniu nieuczciwym</w:t>
      </w:r>
      <w:r w:rsidR="00966F10">
        <w:rPr>
          <w:rFonts w:cs="Times New Roman"/>
          <w:szCs w:val="24"/>
        </w:rPr>
        <w:t xml:space="preserve"> </w:t>
      </w:r>
      <w:r w:rsidRPr="00876F82">
        <w:rPr>
          <w:rFonts w:cs="Times New Roman"/>
          <w:szCs w:val="24"/>
        </w:rPr>
        <w:t>praktykom rynkowym. W toku</w:t>
      </w:r>
      <w:r w:rsidR="00966F10">
        <w:rPr>
          <w:rFonts w:cs="Times New Roman"/>
          <w:szCs w:val="24"/>
        </w:rPr>
        <w:t xml:space="preserve"> </w:t>
      </w:r>
      <w:r w:rsidRPr="00876F82">
        <w:rPr>
          <w:rFonts w:cs="Times New Roman"/>
          <w:szCs w:val="24"/>
        </w:rPr>
        <w:t>postępowania przedsiębiorca wyeliminował zakwestionowane postanowienia, natomiast nie</w:t>
      </w:r>
      <w:r w:rsidR="00966F10">
        <w:rPr>
          <w:rFonts w:cs="Times New Roman"/>
          <w:szCs w:val="24"/>
        </w:rPr>
        <w:t xml:space="preserve"> </w:t>
      </w:r>
      <w:r w:rsidRPr="00876F82">
        <w:rPr>
          <w:rFonts w:cs="Times New Roman"/>
          <w:szCs w:val="24"/>
        </w:rPr>
        <w:t>potwierdzono stosowania nieuczciwej praktyki rynkowej.</w:t>
      </w:r>
    </w:p>
    <w:p w14:paraId="141BFBC4" w14:textId="77777777" w:rsidR="00966F10" w:rsidRDefault="00966F10" w:rsidP="00876F82">
      <w:pPr>
        <w:rPr>
          <w:rFonts w:cs="Times New Roman"/>
          <w:szCs w:val="24"/>
        </w:rPr>
      </w:pPr>
    </w:p>
    <w:p w14:paraId="5B4DDE37" w14:textId="12B71136" w:rsidR="00876F82" w:rsidRPr="00966F10" w:rsidRDefault="00876F82" w:rsidP="00876F82">
      <w:pPr>
        <w:rPr>
          <w:rFonts w:cs="Times New Roman"/>
          <w:b/>
          <w:bCs/>
          <w:szCs w:val="24"/>
        </w:rPr>
      </w:pPr>
      <w:r w:rsidRPr="00966F10">
        <w:rPr>
          <w:rFonts w:cs="Times New Roman"/>
          <w:b/>
          <w:bCs/>
          <w:szCs w:val="24"/>
        </w:rPr>
        <w:t>Sprzedaż poza lokalem przedsiębiorstwa (</w:t>
      </w:r>
      <w:proofErr w:type="spellStart"/>
      <w:r w:rsidRPr="00966F10">
        <w:rPr>
          <w:rFonts w:cs="Times New Roman"/>
          <w:b/>
          <w:bCs/>
          <w:szCs w:val="24"/>
        </w:rPr>
        <w:t>door</w:t>
      </w:r>
      <w:proofErr w:type="spellEnd"/>
      <w:r w:rsidRPr="00966F10">
        <w:rPr>
          <w:rFonts w:cs="Times New Roman"/>
          <w:b/>
          <w:bCs/>
          <w:szCs w:val="24"/>
        </w:rPr>
        <w:t>-to-</w:t>
      </w:r>
      <w:proofErr w:type="spellStart"/>
      <w:r w:rsidRPr="00966F10">
        <w:rPr>
          <w:rFonts w:cs="Times New Roman"/>
          <w:b/>
          <w:bCs/>
          <w:szCs w:val="24"/>
        </w:rPr>
        <w:t>door</w:t>
      </w:r>
      <w:proofErr w:type="spellEnd"/>
      <w:r w:rsidRPr="00966F10">
        <w:rPr>
          <w:rFonts w:cs="Times New Roman"/>
          <w:b/>
          <w:bCs/>
          <w:szCs w:val="24"/>
        </w:rPr>
        <w:t>)</w:t>
      </w:r>
    </w:p>
    <w:p w14:paraId="449E3C6A" w14:textId="34E029C4" w:rsidR="00876F82" w:rsidRPr="00876F82" w:rsidRDefault="00876F82" w:rsidP="00876F82">
      <w:pPr>
        <w:rPr>
          <w:rFonts w:cs="Times New Roman"/>
          <w:szCs w:val="24"/>
        </w:rPr>
      </w:pPr>
      <w:r w:rsidRPr="00876F82">
        <w:rPr>
          <w:rFonts w:cs="Times New Roman"/>
          <w:szCs w:val="24"/>
        </w:rPr>
        <w:t>Mimo, iż działania władcze Prezesa UOKiK podejmowane wobec przedsiębiorców</w:t>
      </w:r>
      <w:r w:rsidR="00966F10">
        <w:rPr>
          <w:rFonts w:cs="Times New Roman"/>
          <w:szCs w:val="24"/>
        </w:rPr>
        <w:t xml:space="preserve"> </w:t>
      </w:r>
      <w:r w:rsidRPr="00876F82">
        <w:rPr>
          <w:rFonts w:cs="Times New Roman"/>
          <w:szCs w:val="24"/>
        </w:rPr>
        <w:t xml:space="preserve">prowadzących sprzedaż poza lokalem przedsiębiorstwa w tzw. modelu </w:t>
      </w:r>
      <w:proofErr w:type="spellStart"/>
      <w:r w:rsidRPr="00876F82">
        <w:rPr>
          <w:rFonts w:cs="Times New Roman"/>
          <w:szCs w:val="24"/>
        </w:rPr>
        <w:t>door</w:t>
      </w:r>
      <w:proofErr w:type="spellEnd"/>
      <w:r w:rsidRPr="00876F82">
        <w:rPr>
          <w:rFonts w:cs="Times New Roman"/>
          <w:szCs w:val="24"/>
        </w:rPr>
        <w:t>-to-</w:t>
      </w:r>
      <w:proofErr w:type="spellStart"/>
      <w:r w:rsidRPr="00876F82">
        <w:rPr>
          <w:rFonts w:cs="Times New Roman"/>
          <w:szCs w:val="24"/>
        </w:rPr>
        <w:t>door</w:t>
      </w:r>
      <w:proofErr w:type="spellEnd"/>
      <w:r w:rsidRPr="00876F82">
        <w:rPr>
          <w:rFonts w:cs="Times New Roman"/>
          <w:szCs w:val="24"/>
        </w:rPr>
        <w:t>, co do</w:t>
      </w:r>
      <w:r w:rsidR="00966F10">
        <w:rPr>
          <w:rFonts w:cs="Times New Roman"/>
          <w:szCs w:val="24"/>
        </w:rPr>
        <w:t xml:space="preserve"> </w:t>
      </w:r>
      <w:r w:rsidRPr="00876F82">
        <w:rPr>
          <w:rFonts w:cs="Times New Roman"/>
          <w:szCs w:val="24"/>
        </w:rPr>
        <w:t>zasady koncentrują się na ochronie wszystkich nieprofesjonalnych uczestników obrotu</w:t>
      </w:r>
      <w:r w:rsidR="00966F10">
        <w:rPr>
          <w:rFonts w:cs="Times New Roman"/>
          <w:szCs w:val="24"/>
        </w:rPr>
        <w:t xml:space="preserve"> </w:t>
      </w:r>
      <w:r w:rsidRPr="00876F82">
        <w:rPr>
          <w:rFonts w:cs="Times New Roman"/>
          <w:szCs w:val="24"/>
        </w:rPr>
        <w:t>gospodarczego, mogą mieć one jednak istotny wpływ na ochronę interesów osób</w:t>
      </w:r>
      <w:r w:rsidR="00966F10">
        <w:rPr>
          <w:rFonts w:cs="Times New Roman"/>
          <w:szCs w:val="24"/>
        </w:rPr>
        <w:t xml:space="preserve"> </w:t>
      </w:r>
      <w:r w:rsidRPr="00876F82">
        <w:rPr>
          <w:rFonts w:cs="Times New Roman"/>
          <w:szCs w:val="24"/>
        </w:rPr>
        <w:t xml:space="preserve">starszych z </w:t>
      </w:r>
      <w:r w:rsidR="00966F10">
        <w:rPr>
          <w:rFonts w:cs="Times New Roman"/>
          <w:szCs w:val="24"/>
        </w:rPr>
        <w:t xml:space="preserve"> </w:t>
      </w:r>
      <w:r w:rsidRPr="00876F82">
        <w:rPr>
          <w:rFonts w:cs="Times New Roman"/>
          <w:szCs w:val="24"/>
        </w:rPr>
        <w:t>wagi na okoliczność, iż znaczną część pokrzywdzonych konsumentów stanowią</w:t>
      </w:r>
      <w:r>
        <w:rPr>
          <w:rFonts w:cs="Times New Roman"/>
          <w:szCs w:val="24"/>
        </w:rPr>
        <w:t xml:space="preserve"> </w:t>
      </w:r>
      <w:r w:rsidRPr="00876F82">
        <w:rPr>
          <w:rFonts w:cs="Times New Roman"/>
          <w:szCs w:val="24"/>
        </w:rPr>
        <w:t>seniorzy.</w:t>
      </w:r>
      <w:r w:rsidR="00966F10">
        <w:rPr>
          <w:rFonts w:cs="Times New Roman"/>
          <w:szCs w:val="24"/>
        </w:rPr>
        <w:t xml:space="preserve"> </w:t>
      </w:r>
      <w:r w:rsidRPr="00876F82">
        <w:rPr>
          <w:rFonts w:cs="Times New Roman"/>
          <w:szCs w:val="24"/>
        </w:rPr>
        <w:t>Wskazać należy na następujące decyzje Prezes Urzędu wydane w 2020 r</w:t>
      </w:r>
      <w:r w:rsidR="004D289B">
        <w:rPr>
          <w:rFonts w:cs="Times New Roman"/>
          <w:szCs w:val="24"/>
        </w:rPr>
        <w:t>.</w:t>
      </w:r>
      <w:r w:rsidR="00966F10">
        <w:rPr>
          <w:rFonts w:cs="Times New Roman"/>
          <w:szCs w:val="24"/>
        </w:rPr>
        <w:t xml:space="preserve"> </w:t>
      </w:r>
      <w:r w:rsidRPr="00876F82">
        <w:rPr>
          <w:rFonts w:cs="Times New Roman"/>
          <w:szCs w:val="24"/>
        </w:rPr>
        <w:t>w powyższym zakresie:</w:t>
      </w:r>
    </w:p>
    <w:p w14:paraId="392BA4A0" w14:textId="77777777" w:rsidR="00966F10" w:rsidRDefault="00876F82" w:rsidP="00FE70E3">
      <w:pPr>
        <w:pStyle w:val="Akapitzlist"/>
        <w:numPr>
          <w:ilvl w:val="0"/>
          <w:numId w:val="109"/>
        </w:numPr>
        <w:rPr>
          <w:rFonts w:cs="Times New Roman"/>
          <w:szCs w:val="24"/>
        </w:rPr>
      </w:pPr>
      <w:r w:rsidRPr="00966F10">
        <w:rPr>
          <w:rFonts w:cs="Times New Roman"/>
          <w:szCs w:val="24"/>
        </w:rPr>
        <w:t>decyzję nr RKR 4/2020 wydanej wobec przedsiębiorcy NEW Telekom Sp. z o.o.</w:t>
      </w:r>
      <w:r w:rsidR="00966F10">
        <w:rPr>
          <w:rFonts w:cs="Times New Roman"/>
          <w:szCs w:val="24"/>
        </w:rPr>
        <w:t xml:space="preserve"> </w:t>
      </w:r>
      <w:r w:rsidRPr="00966F10">
        <w:rPr>
          <w:rFonts w:cs="Times New Roman"/>
          <w:szCs w:val="24"/>
        </w:rPr>
        <w:t>z siedzibą</w:t>
      </w:r>
      <w:r w:rsidR="00966F10">
        <w:rPr>
          <w:rFonts w:cs="Times New Roman"/>
          <w:szCs w:val="24"/>
        </w:rPr>
        <w:t xml:space="preserve"> </w:t>
      </w:r>
      <w:r w:rsidRPr="00966F10">
        <w:rPr>
          <w:rFonts w:cs="Times New Roman"/>
          <w:szCs w:val="24"/>
        </w:rPr>
        <w:t>w Warszawie; ww. spółka jest tzw. alternatywnym operatorem</w:t>
      </w:r>
      <w:r w:rsidR="00966F10">
        <w:rPr>
          <w:rFonts w:cs="Times New Roman"/>
          <w:szCs w:val="24"/>
        </w:rPr>
        <w:t xml:space="preserve"> </w:t>
      </w:r>
      <w:r w:rsidRPr="00966F10">
        <w:rPr>
          <w:rFonts w:cs="Times New Roman"/>
          <w:szCs w:val="24"/>
        </w:rPr>
        <w:t>telekomunikacyjnym; zarzuty wobec przedsiębiorcy oparte są na utrudnianiu</w:t>
      </w:r>
      <w:r w:rsidR="00966F10">
        <w:rPr>
          <w:rFonts w:cs="Times New Roman"/>
          <w:szCs w:val="24"/>
        </w:rPr>
        <w:t xml:space="preserve"> </w:t>
      </w:r>
      <w:r w:rsidRPr="00966F10">
        <w:rPr>
          <w:rFonts w:cs="Times New Roman"/>
          <w:szCs w:val="24"/>
        </w:rPr>
        <w:t>konsumentom skorzystania z prawa do odstąpienia od umowy zawartej ze</w:t>
      </w:r>
      <w:r w:rsidR="00966F10">
        <w:rPr>
          <w:rFonts w:cs="Times New Roman"/>
          <w:szCs w:val="24"/>
        </w:rPr>
        <w:t xml:space="preserve"> </w:t>
      </w:r>
      <w:r w:rsidRPr="00966F10">
        <w:rPr>
          <w:rFonts w:cs="Times New Roman"/>
          <w:szCs w:val="24"/>
        </w:rPr>
        <w:t xml:space="preserve">Spółką, wprowadzaniu konsumentów w błąd przez </w:t>
      </w:r>
      <w:r w:rsidRPr="00966F10">
        <w:rPr>
          <w:rFonts w:cs="Times New Roman"/>
          <w:szCs w:val="24"/>
        </w:rPr>
        <w:lastRenderedPageBreak/>
        <w:t>osoby reprezentujące NEW Telekom</w:t>
      </w:r>
      <w:r w:rsidR="00966F10">
        <w:rPr>
          <w:rFonts w:cs="Times New Roman"/>
          <w:szCs w:val="24"/>
        </w:rPr>
        <w:t xml:space="preserve"> </w:t>
      </w:r>
      <w:r w:rsidRPr="00966F10">
        <w:rPr>
          <w:rFonts w:cs="Times New Roman"/>
          <w:szCs w:val="24"/>
        </w:rPr>
        <w:t>co do tożsamości przedsiębiorcy, którego ofertę przedstawiają konsumentom oraz co</w:t>
      </w:r>
      <w:r w:rsidR="00966F10">
        <w:rPr>
          <w:rFonts w:cs="Times New Roman"/>
          <w:szCs w:val="24"/>
        </w:rPr>
        <w:t xml:space="preserve"> </w:t>
      </w:r>
      <w:r w:rsidRPr="00966F10">
        <w:rPr>
          <w:rFonts w:cs="Times New Roman"/>
          <w:szCs w:val="24"/>
        </w:rPr>
        <w:t>do przedmiotu oferowanej usługi lub rzeczywistego celu rozmowy (wizyty) przez</w:t>
      </w:r>
      <w:r w:rsidR="00966F10">
        <w:rPr>
          <w:rFonts w:cs="Times New Roman"/>
          <w:szCs w:val="24"/>
        </w:rPr>
        <w:t xml:space="preserve"> </w:t>
      </w:r>
      <w:r w:rsidRPr="00966F10">
        <w:rPr>
          <w:rFonts w:cs="Times New Roman"/>
          <w:szCs w:val="24"/>
        </w:rPr>
        <w:t>twierdzenia ww. osób, że dokumenty przedkładane</w:t>
      </w:r>
      <w:r w:rsidR="00966F10">
        <w:rPr>
          <w:rFonts w:cs="Times New Roman"/>
          <w:szCs w:val="24"/>
        </w:rPr>
        <w:t xml:space="preserve"> </w:t>
      </w:r>
      <w:r w:rsidRPr="00966F10">
        <w:rPr>
          <w:rFonts w:cs="Times New Roman"/>
          <w:szCs w:val="24"/>
        </w:rPr>
        <w:t>konsumentom do podpisu stanowią</w:t>
      </w:r>
      <w:r w:rsidR="00966F10">
        <w:rPr>
          <w:rFonts w:cs="Times New Roman"/>
          <w:szCs w:val="24"/>
        </w:rPr>
        <w:t xml:space="preserve"> </w:t>
      </w:r>
      <w:r w:rsidRPr="00966F10">
        <w:rPr>
          <w:rFonts w:cs="Times New Roman"/>
          <w:szCs w:val="24"/>
        </w:rPr>
        <w:t>zmianę warunków umów zawartych z dotychczasowym usługodawcą, podczas gdy</w:t>
      </w:r>
      <w:r w:rsidR="00966F10">
        <w:rPr>
          <w:rFonts w:cs="Times New Roman"/>
          <w:szCs w:val="24"/>
        </w:rPr>
        <w:t xml:space="preserve"> </w:t>
      </w:r>
      <w:r w:rsidRPr="00966F10">
        <w:rPr>
          <w:rFonts w:cs="Times New Roman"/>
          <w:szCs w:val="24"/>
        </w:rPr>
        <w:t>w rzeczywistości ich podpisanie skutkuje zawarciem nowej umowy o świadczenie usług</w:t>
      </w:r>
      <w:r w:rsidR="00966F10">
        <w:rPr>
          <w:rFonts w:cs="Times New Roman"/>
          <w:szCs w:val="24"/>
        </w:rPr>
        <w:t xml:space="preserve"> </w:t>
      </w:r>
      <w:r w:rsidRPr="00966F10">
        <w:rPr>
          <w:rFonts w:cs="Times New Roman"/>
          <w:szCs w:val="24"/>
        </w:rPr>
        <w:t>telekomunikacyjnych z ww. przedsiębiorcą i wiąże się ze</w:t>
      </w:r>
      <w:r w:rsidR="00966F10">
        <w:rPr>
          <w:rFonts w:cs="Times New Roman"/>
          <w:szCs w:val="24"/>
        </w:rPr>
        <w:t xml:space="preserve"> </w:t>
      </w:r>
      <w:r w:rsidRPr="00966F10">
        <w:rPr>
          <w:rFonts w:cs="Times New Roman"/>
          <w:szCs w:val="24"/>
        </w:rPr>
        <w:t>zmianą dostawcy usług</w:t>
      </w:r>
      <w:r w:rsidR="00966F10">
        <w:rPr>
          <w:rFonts w:cs="Times New Roman"/>
          <w:szCs w:val="24"/>
        </w:rPr>
        <w:t xml:space="preserve"> </w:t>
      </w:r>
      <w:r w:rsidRPr="00966F10">
        <w:rPr>
          <w:rFonts w:cs="Times New Roman"/>
          <w:szCs w:val="24"/>
        </w:rPr>
        <w:t>telekomunikacyjnych.</w:t>
      </w:r>
    </w:p>
    <w:p w14:paraId="6199248F" w14:textId="77777777" w:rsidR="00966F10" w:rsidRDefault="00876F82" w:rsidP="00FE70E3">
      <w:pPr>
        <w:pStyle w:val="Akapitzlist"/>
        <w:numPr>
          <w:ilvl w:val="0"/>
          <w:numId w:val="109"/>
        </w:numPr>
        <w:rPr>
          <w:rFonts w:cs="Times New Roman"/>
          <w:szCs w:val="24"/>
        </w:rPr>
      </w:pPr>
      <w:r w:rsidRPr="00966F10">
        <w:rPr>
          <w:rFonts w:cs="Times New Roman"/>
          <w:szCs w:val="24"/>
        </w:rPr>
        <w:t>decyzję nr RKR 6/2020 wydanej wobec przedsiębiorcy Twoja Telekomunikacja</w:t>
      </w:r>
      <w:r w:rsidR="00966F10">
        <w:rPr>
          <w:rFonts w:cs="Times New Roman"/>
          <w:szCs w:val="24"/>
        </w:rPr>
        <w:t xml:space="preserve"> </w:t>
      </w:r>
      <w:r w:rsidRPr="00966F10">
        <w:rPr>
          <w:rFonts w:cs="Times New Roman"/>
          <w:szCs w:val="24"/>
        </w:rPr>
        <w:t>Sp. z o.o.</w:t>
      </w:r>
      <w:r w:rsidR="00966F10">
        <w:rPr>
          <w:rFonts w:cs="Times New Roman"/>
          <w:szCs w:val="24"/>
        </w:rPr>
        <w:t xml:space="preserve"> </w:t>
      </w:r>
      <w:r w:rsidRPr="00966F10">
        <w:rPr>
          <w:rFonts w:cs="Times New Roman"/>
          <w:szCs w:val="24"/>
        </w:rPr>
        <w:t>z siedzibą w Warszawie - tzw. alternatywnego operatora</w:t>
      </w:r>
      <w:r w:rsidR="00966F10">
        <w:rPr>
          <w:rFonts w:cs="Times New Roman"/>
          <w:szCs w:val="24"/>
        </w:rPr>
        <w:t xml:space="preserve"> </w:t>
      </w:r>
      <w:r w:rsidRPr="00966F10">
        <w:rPr>
          <w:rFonts w:cs="Times New Roman"/>
          <w:szCs w:val="24"/>
        </w:rPr>
        <w:t>telekomunikacyjnego; Prezes Urzędu w niniejszej decyzji uznał za klauzule</w:t>
      </w:r>
      <w:r w:rsidR="00966F10">
        <w:rPr>
          <w:rFonts w:cs="Times New Roman"/>
          <w:szCs w:val="24"/>
        </w:rPr>
        <w:t xml:space="preserve"> </w:t>
      </w:r>
      <w:r w:rsidRPr="00966F10">
        <w:rPr>
          <w:rFonts w:cs="Times New Roman"/>
          <w:szCs w:val="24"/>
        </w:rPr>
        <w:t>niedozwolone postanowienia dotyczące</w:t>
      </w:r>
      <w:r w:rsidR="00966F10">
        <w:rPr>
          <w:rFonts w:cs="Times New Roman"/>
          <w:szCs w:val="24"/>
        </w:rPr>
        <w:t xml:space="preserve"> </w:t>
      </w:r>
      <w:r w:rsidRPr="00966F10">
        <w:rPr>
          <w:rFonts w:cs="Times New Roman"/>
          <w:szCs w:val="24"/>
        </w:rPr>
        <w:t>automatycznego przedłużania umowy zawartej</w:t>
      </w:r>
      <w:r w:rsidR="00966F10">
        <w:rPr>
          <w:rFonts w:cs="Times New Roman"/>
          <w:szCs w:val="24"/>
        </w:rPr>
        <w:t xml:space="preserve"> </w:t>
      </w:r>
      <w:r w:rsidRPr="00966F10">
        <w:rPr>
          <w:rFonts w:cs="Times New Roman"/>
          <w:szCs w:val="24"/>
        </w:rPr>
        <w:t>na czas określony na kolejny czas określony.</w:t>
      </w:r>
    </w:p>
    <w:p w14:paraId="2AE10A01" w14:textId="77777777" w:rsidR="00966F10" w:rsidRDefault="00876F82" w:rsidP="00FE70E3">
      <w:pPr>
        <w:pStyle w:val="Akapitzlist"/>
        <w:numPr>
          <w:ilvl w:val="0"/>
          <w:numId w:val="109"/>
        </w:numPr>
        <w:rPr>
          <w:rFonts w:cs="Times New Roman"/>
          <w:szCs w:val="24"/>
        </w:rPr>
      </w:pPr>
      <w:r w:rsidRPr="00966F10">
        <w:rPr>
          <w:rFonts w:cs="Times New Roman"/>
          <w:szCs w:val="24"/>
        </w:rPr>
        <w:t>decyzję nr RŁO 4/2020 wydanej wobec przedsiębiorcy Telekomunikacja Stacjonarna</w:t>
      </w:r>
      <w:r w:rsidR="00966F10">
        <w:rPr>
          <w:rFonts w:cs="Times New Roman"/>
          <w:szCs w:val="24"/>
        </w:rPr>
        <w:t xml:space="preserve"> </w:t>
      </w:r>
      <w:r w:rsidRPr="00966F10">
        <w:rPr>
          <w:rFonts w:cs="Times New Roman"/>
          <w:szCs w:val="24"/>
        </w:rPr>
        <w:t>Sp.</w:t>
      </w:r>
      <w:r w:rsidR="00966F10">
        <w:rPr>
          <w:rFonts w:cs="Times New Roman"/>
          <w:szCs w:val="24"/>
        </w:rPr>
        <w:t> z </w:t>
      </w:r>
      <w:r w:rsidRPr="00966F10">
        <w:rPr>
          <w:rFonts w:cs="Times New Roman"/>
          <w:szCs w:val="24"/>
        </w:rPr>
        <w:t>o.o. w likwidacji z siedzibą w Warszawie; zarzucane przedsiębiorcy działania</w:t>
      </w:r>
      <w:r w:rsidR="00966F10">
        <w:rPr>
          <w:rFonts w:cs="Times New Roman"/>
          <w:szCs w:val="24"/>
        </w:rPr>
        <w:t xml:space="preserve"> </w:t>
      </w:r>
      <w:r w:rsidRPr="00966F10">
        <w:rPr>
          <w:rFonts w:cs="Times New Roman"/>
          <w:szCs w:val="24"/>
        </w:rPr>
        <w:t>dotyczyły stosowania praktyk naruszających zbiorowe interesy konsumentów i polegały</w:t>
      </w:r>
      <w:r w:rsidR="00966F10">
        <w:rPr>
          <w:rFonts w:cs="Times New Roman"/>
          <w:szCs w:val="24"/>
        </w:rPr>
        <w:t xml:space="preserve"> </w:t>
      </w:r>
      <w:r w:rsidRPr="00966F10">
        <w:rPr>
          <w:rFonts w:cs="Times New Roman"/>
          <w:szCs w:val="24"/>
        </w:rPr>
        <w:t>na:</w:t>
      </w:r>
    </w:p>
    <w:p w14:paraId="24B119B2" w14:textId="77777777" w:rsidR="00966F10" w:rsidRDefault="00876F82" w:rsidP="00FE70E3">
      <w:pPr>
        <w:pStyle w:val="Akapitzlist"/>
        <w:numPr>
          <w:ilvl w:val="1"/>
          <w:numId w:val="109"/>
        </w:numPr>
        <w:rPr>
          <w:rFonts w:cs="Times New Roman"/>
          <w:szCs w:val="24"/>
        </w:rPr>
      </w:pPr>
      <w:r w:rsidRPr="00966F10">
        <w:rPr>
          <w:rFonts w:cs="Times New Roman"/>
          <w:szCs w:val="24"/>
        </w:rPr>
        <w:t>wprowadzającym w błąd informowaniu konsumentów, w związku ze składaniem</w:t>
      </w:r>
      <w:r w:rsidR="00966F10">
        <w:rPr>
          <w:rFonts w:cs="Times New Roman"/>
          <w:szCs w:val="24"/>
        </w:rPr>
        <w:t xml:space="preserve"> </w:t>
      </w:r>
      <w:r w:rsidRPr="00966F10">
        <w:rPr>
          <w:rFonts w:cs="Times New Roman"/>
          <w:szCs w:val="24"/>
        </w:rPr>
        <w:t>propozycji zawarcia umowy o świadczenie usług telekomunikacyjnych,</w:t>
      </w:r>
      <w:r w:rsidR="00966F10">
        <w:rPr>
          <w:rFonts w:cs="Times New Roman"/>
          <w:szCs w:val="24"/>
        </w:rPr>
        <w:t xml:space="preserve"> </w:t>
      </w:r>
      <w:r w:rsidRPr="00966F10">
        <w:rPr>
          <w:rFonts w:cs="Times New Roman"/>
          <w:szCs w:val="24"/>
        </w:rPr>
        <w:t>o</w:t>
      </w:r>
      <w:r w:rsidR="00966F10">
        <w:rPr>
          <w:rFonts w:cs="Times New Roman"/>
          <w:szCs w:val="24"/>
        </w:rPr>
        <w:t> </w:t>
      </w:r>
      <w:r w:rsidRPr="00966F10">
        <w:rPr>
          <w:rFonts w:cs="Times New Roman"/>
          <w:szCs w:val="24"/>
        </w:rPr>
        <w:t>przedmiocie oferowanej usługi i rzeczywistym celu rozmowy lub wizyty, przez</w:t>
      </w:r>
      <w:r w:rsidR="00966F10">
        <w:rPr>
          <w:rFonts w:cs="Times New Roman"/>
          <w:szCs w:val="24"/>
        </w:rPr>
        <w:t xml:space="preserve"> </w:t>
      </w:r>
      <w:r w:rsidRPr="00966F10">
        <w:rPr>
          <w:rFonts w:cs="Times New Roman"/>
          <w:szCs w:val="24"/>
        </w:rPr>
        <w:t>sugerowanie, że składana oferta i dokumenty przedkładane konsumentom dotyczą</w:t>
      </w:r>
      <w:r w:rsidR="00966F10">
        <w:rPr>
          <w:rFonts w:cs="Times New Roman"/>
          <w:szCs w:val="24"/>
        </w:rPr>
        <w:t xml:space="preserve"> </w:t>
      </w:r>
      <w:r w:rsidRPr="00966F10">
        <w:rPr>
          <w:rFonts w:cs="Times New Roman"/>
          <w:szCs w:val="24"/>
        </w:rPr>
        <w:t>zmiany warunków umowy zawartej z dotychczasowym usługodawcą, podczas gdy</w:t>
      </w:r>
      <w:r w:rsidR="00966F10">
        <w:rPr>
          <w:rFonts w:cs="Times New Roman"/>
          <w:szCs w:val="24"/>
        </w:rPr>
        <w:t xml:space="preserve"> </w:t>
      </w:r>
      <w:r w:rsidRPr="00966F10">
        <w:rPr>
          <w:rFonts w:cs="Times New Roman"/>
          <w:szCs w:val="24"/>
        </w:rPr>
        <w:t>w rzeczywistości dotyczą zawarcia nowej umowy o świadczenie usług</w:t>
      </w:r>
      <w:r w:rsidR="00966F10">
        <w:rPr>
          <w:rFonts w:cs="Times New Roman"/>
          <w:szCs w:val="24"/>
        </w:rPr>
        <w:t xml:space="preserve"> </w:t>
      </w:r>
      <w:r w:rsidRPr="00966F10">
        <w:rPr>
          <w:rFonts w:cs="Times New Roman"/>
          <w:szCs w:val="24"/>
        </w:rPr>
        <w:t>telekomunikacyjnych z ww. spółką, a tym samym zmiany usługodawcy, co stanowi</w:t>
      </w:r>
      <w:r w:rsidR="00966F10">
        <w:rPr>
          <w:rFonts w:cs="Times New Roman"/>
          <w:szCs w:val="24"/>
        </w:rPr>
        <w:t xml:space="preserve"> </w:t>
      </w:r>
      <w:r w:rsidRPr="00966F10">
        <w:rPr>
          <w:rFonts w:cs="Times New Roman"/>
          <w:szCs w:val="24"/>
        </w:rPr>
        <w:t>nieuczciwą praktykę rynkową, o której mowa w art. 5 ust. 1 i 2 pkt 1 w zw. z art. 4</w:t>
      </w:r>
      <w:r w:rsidR="00966F10">
        <w:rPr>
          <w:rFonts w:cs="Times New Roman"/>
          <w:szCs w:val="24"/>
        </w:rPr>
        <w:t xml:space="preserve"> </w:t>
      </w:r>
      <w:r w:rsidRPr="00966F10">
        <w:rPr>
          <w:rFonts w:cs="Times New Roman"/>
          <w:szCs w:val="24"/>
        </w:rPr>
        <w:t xml:space="preserve">ust. 2 </w:t>
      </w:r>
      <w:proofErr w:type="spellStart"/>
      <w:r w:rsidRPr="00966F10">
        <w:rPr>
          <w:rFonts w:cs="Times New Roman"/>
          <w:szCs w:val="24"/>
        </w:rPr>
        <w:t>upnpr</w:t>
      </w:r>
      <w:proofErr w:type="spellEnd"/>
      <w:r w:rsidRPr="00966F10">
        <w:rPr>
          <w:rFonts w:cs="Times New Roman"/>
          <w:szCs w:val="24"/>
        </w:rPr>
        <w:t>;</w:t>
      </w:r>
    </w:p>
    <w:p w14:paraId="107F7CEE" w14:textId="77777777" w:rsidR="00966F10" w:rsidRDefault="00876F82" w:rsidP="00FE70E3">
      <w:pPr>
        <w:pStyle w:val="Akapitzlist"/>
        <w:numPr>
          <w:ilvl w:val="1"/>
          <w:numId w:val="109"/>
        </w:numPr>
        <w:rPr>
          <w:rFonts w:cs="Times New Roman"/>
          <w:szCs w:val="24"/>
        </w:rPr>
      </w:pPr>
      <w:r w:rsidRPr="00966F10">
        <w:rPr>
          <w:rFonts w:cs="Times New Roman"/>
          <w:szCs w:val="24"/>
        </w:rPr>
        <w:t>niedoręczaniu konsumentom podczas zawierania umowy o świadczenie usług</w:t>
      </w:r>
      <w:r w:rsidR="00966F10">
        <w:rPr>
          <w:rFonts w:cs="Times New Roman"/>
          <w:szCs w:val="24"/>
        </w:rPr>
        <w:t xml:space="preserve"> </w:t>
      </w:r>
      <w:r w:rsidRPr="00966F10">
        <w:rPr>
          <w:rFonts w:cs="Times New Roman"/>
          <w:szCs w:val="24"/>
        </w:rPr>
        <w:t>telekomunikacyjnych pełnej dokumentacji umownej, co stanowi nieuczciwą</w:t>
      </w:r>
      <w:r w:rsidR="00966F10">
        <w:rPr>
          <w:rFonts w:cs="Times New Roman"/>
          <w:szCs w:val="24"/>
        </w:rPr>
        <w:t xml:space="preserve"> </w:t>
      </w:r>
      <w:r w:rsidRPr="00966F10">
        <w:rPr>
          <w:rFonts w:cs="Times New Roman"/>
          <w:szCs w:val="24"/>
        </w:rPr>
        <w:t>praktykę rynkową, o której mowa w art. 6 ust. 1 i 3 pkt 1 w zw. z art. 4 ust. 2</w:t>
      </w:r>
      <w:r w:rsidR="00966F10">
        <w:rPr>
          <w:rFonts w:cs="Times New Roman"/>
          <w:szCs w:val="24"/>
        </w:rPr>
        <w:t xml:space="preserve"> </w:t>
      </w:r>
      <w:proofErr w:type="spellStart"/>
      <w:r w:rsidRPr="00966F10">
        <w:rPr>
          <w:rFonts w:cs="Times New Roman"/>
          <w:szCs w:val="24"/>
        </w:rPr>
        <w:t>upnpr</w:t>
      </w:r>
      <w:proofErr w:type="spellEnd"/>
      <w:r w:rsidRPr="00966F10">
        <w:rPr>
          <w:rFonts w:cs="Times New Roman"/>
          <w:szCs w:val="24"/>
        </w:rPr>
        <w:t>;</w:t>
      </w:r>
    </w:p>
    <w:p w14:paraId="02D9A74D" w14:textId="77777777" w:rsidR="00966F10" w:rsidRDefault="00876F82" w:rsidP="00FE70E3">
      <w:pPr>
        <w:pStyle w:val="Akapitzlist"/>
        <w:numPr>
          <w:ilvl w:val="1"/>
          <w:numId w:val="109"/>
        </w:numPr>
        <w:rPr>
          <w:rFonts w:cs="Times New Roman"/>
          <w:szCs w:val="24"/>
        </w:rPr>
      </w:pPr>
      <w:r w:rsidRPr="00966F10">
        <w:rPr>
          <w:rFonts w:cs="Times New Roman"/>
          <w:szCs w:val="24"/>
        </w:rPr>
        <w:t>bezprawnym zastrzeganiu w umowie o świadczenie usług telekomunikacyjnych</w:t>
      </w:r>
      <w:r w:rsidR="00966F10">
        <w:rPr>
          <w:rFonts w:cs="Times New Roman"/>
          <w:szCs w:val="24"/>
        </w:rPr>
        <w:t xml:space="preserve"> </w:t>
      </w:r>
      <w:r w:rsidRPr="00966F10">
        <w:rPr>
          <w:rFonts w:cs="Times New Roman"/>
          <w:szCs w:val="24"/>
        </w:rPr>
        <w:t>i pobieraniu od konsumentów opłaty aktywacyjnej w sytuacji dokonania przez</w:t>
      </w:r>
      <w:r w:rsidR="00966F10">
        <w:rPr>
          <w:rFonts w:cs="Times New Roman"/>
          <w:szCs w:val="24"/>
        </w:rPr>
        <w:t xml:space="preserve"> </w:t>
      </w:r>
      <w:r w:rsidRPr="00966F10">
        <w:rPr>
          <w:rFonts w:cs="Times New Roman"/>
          <w:szCs w:val="24"/>
        </w:rPr>
        <w:t>konsumenta wyboru ww. przedsiębiorcy jako dostawcy publicznie dostępnych usług</w:t>
      </w:r>
      <w:r w:rsidR="00966F10">
        <w:rPr>
          <w:rFonts w:cs="Times New Roman"/>
          <w:szCs w:val="24"/>
        </w:rPr>
        <w:t xml:space="preserve"> </w:t>
      </w:r>
      <w:r w:rsidRPr="00966F10">
        <w:rPr>
          <w:rFonts w:cs="Times New Roman"/>
          <w:szCs w:val="24"/>
        </w:rPr>
        <w:t>telefonicznych przez numer dostępu, a następnie braku rozpoczęcia świadczenia</w:t>
      </w:r>
      <w:r w:rsidR="00966F10">
        <w:rPr>
          <w:rFonts w:cs="Times New Roman"/>
          <w:szCs w:val="24"/>
        </w:rPr>
        <w:t xml:space="preserve"> </w:t>
      </w:r>
      <w:r w:rsidRPr="00966F10">
        <w:rPr>
          <w:rFonts w:cs="Times New Roman"/>
          <w:szCs w:val="24"/>
        </w:rPr>
        <w:t>konsumentowi usługi Abonamentu Telefonicznego – WLR wobec wycofania lub</w:t>
      </w:r>
      <w:r w:rsidR="00966F10">
        <w:rPr>
          <w:rFonts w:cs="Times New Roman"/>
          <w:szCs w:val="24"/>
        </w:rPr>
        <w:t xml:space="preserve"> </w:t>
      </w:r>
      <w:r w:rsidRPr="00966F10">
        <w:rPr>
          <w:rFonts w:cs="Times New Roman"/>
          <w:szCs w:val="24"/>
        </w:rPr>
        <w:t>zmiany przez konsumenta zamówienia WLR, co narusza art. 72 ust. 2 i art. 57 ust. 5</w:t>
      </w:r>
      <w:r w:rsidR="00966F10">
        <w:rPr>
          <w:rFonts w:cs="Times New Roman"/>
          <w:szCs w:val="24"/>
        </w:rPr>
        <w:t xml:space="preserve"> </w:t>
      </w:r>
      <w:r w:rsidRPr="00966F10">
        <w:rPr>
          <w:rFonts w:cs="Times New Roman"/>
          <w:szCs w:val="24"/>
        </w:rPr>
        <w:t>Prawa telekomunikacyjnego;</w:t>
      </w:r>
    </w:p>
    <w:p w14:paraId="45E6F3F8" w14:textId="77777777" w:rsidR="00966F10" w:rsidRDefault="00876F82" w:rsidP="00FE70E3">
      <w:pPr>
        <w:pStyle w:val="Akapitzlist"/>
        <w:numPr>
          <w:ilvl w:val="1"/>
          <w:numId w:val="109"/>
        </w:numPr>
        <w:rPr>
          <w:rFonts w:cs="Times New Roman"/>
          <w:szCs w:val="24"/>
        </w:rPr>
      </w:pPr>
      <w:r w:rsidRPr="00966F10">
        <w:rPr>
          <w:rFonts w:cs="Times New Roman"/>
          <w:szCs w:val="24"/>
        </w:rPr>
        <w:t>bezprawnym zastrzeganiu w umowie o świadczenie usług telekomunikacyjnych</w:t>
      </w:r>
      <w:r w:rsidR="00966F10">
        <w:rPr>
          <w:rFonts w:cs="Times New Roman"/>
          <w:szCs w:val="24"/>
        </w:rPr>
        <w:t xml:space="preserve"> </w:t>
      </w:r>
      <w:r w:rsidRPr="00966F10">
        <w:rPr>
          <w:rFonts w:cs="Times New Roman"/>
          <w:szCs w:val="24"/>
        </w:rPr>
        <w:t>i pobieraniu od konsumentów opłaty wyrównawczej w sytuacji dokonania przez</w:t>
      </w:r>
      <w:r w:rsidR="00966F10">
        <w:rPr>
          <w:rFonts w:cs="Times New Roman"/>
          <w:szCs w:val="24"/>
        </w:rPr>
        <w:t xml:space="preserve"> </w:t>
      </w:r>
      <w:r w:rsidRPr="00966F10">
        <w:rPr>
          <w:rFonts w:cs="Times New Roman"/>
          <w:szCs w:val="24"/>
        </w:rPr>
        <w:t>konsumenta wyboru ww. przedsiębiorcy jako dostawcy publicznie dostępnych usług</w:t>
      </w:r>
      <w:r w:rsidR="00966F10">
        <w:rPr>
          <w:rFonts w:cs="Times New Roman"/>
          <w:szCs w:val="24"/>
        </w:rPr>
        <w:t xml:space="preserve"> </w:t>
      </w:r>
      <w:r w:rsidRPr="00966F10">
        <w:rPr>
          <w:rFonts w:cs="Times New Roman"/>
          <w:szCs w:val="24"/>
        </w:rPr>
        <w:t>telefonicznych przez numer dostępu, a następnie braku rozpoczęcia świadczenia</w:t>
      </w:r>
      <w:r w:rsidR="00966F10">
        <w:rPr>
          <w:rFonts w:cs="Times New Roman"/>
          <w:szCs w:val="24"/>
        </w:rPr>
        <w:t xml:space="preserve"> </w:t>
      </w:r>
      <w:r w:rsidRPr="00966F10">
        <w:rPr>
          <w:rFonts w:cs="Times New Roman"/>
          <w:szCs w:val="24"/>
        </w:rPr>
        <w:t>konsumentowi usługi Abonamentu Telefonicznego – WLR wobec wycofania lub</w:t>
      </w:r>
      <w:r w:rsidR="00966F10">
        <w:rPr>
          <w:rFonts w:cs="Times New Roman"/>
          <w:szCs w:val="24"/>
        </w:rPr>
        <w:t xml:space="preserve"> </w:t>
      </w:r>
      <w:r w:rsidRPr="00966F10">
        <w:rPr>
          <w:rFonts w:cs="Times New Roman"/>
          <w:szCs w:val="24"/>
        </w:rPr>
        <w:t>zmiany przez konsumenta zamówienia WLR, co narusza art. 72 ust. 2 i art. 57 ust. 5</w:t>
      </w:r>
      <w:r w:rsidR="00966F10">
        <w:rPr>
          <w:rFonts w:cs="Times New Roman"/>
          <w:szCs w:val="24"/>
        </w:rPr>
        <w:t xml:space="preserve"> </w:t>
      </w:r>
      <w:r w:rsidRPr="00966F10">
        <w:rPr>
          <w:rFonts w:cs="Times New Roman"/>
          <w:szCs w:val="24"/>
        </w:rPr>
        <w:t>w związku z art. 57 ust. 6 Prawa telekomunikacyjnego.</w:t>
      </w:r>
    </w:p>
    <w:p w14:paraId="6A98B616" w14:textId="77777777" w:rsidR="00966F10" w:rsidRDefault="00876F82" w:rsidP="00FE70E3">
      <w:pPr>
        <w:pStyle w:val="Akapitzlist"/>
        <w:numPr>
          <w:ilvl w:val="0"/>
          <w:numId w:val="109"/>
        </w:numPr>
        <w:rPr>
          <w:rFonts w:cs="Times New Roman"/>
          <w:szCs w:val="24"/>
        </w:rPr>
      </w:pPr>
      <w:r w:rsidRPr="00966F10">
        <w:rPr>
          <w:rFonts w:cs="Times New Roman"/>
          <w:szCs w:val="24"/>
        </w:rPr>
        <w:lastRenderedPageBreak/>
        <w:t>decyzję nr DOZIK 6/2020 wydanej wobec przedsiębiorcy Polski Prąd i Gaz o uznaniu</w:t>
      </w:r>
      <w:r w:rsidR="00966F10">
        <w:rPr>
          <w:rFonts w:cs="Times New Roman"/>
          <w:szCs w:val="24"/>
        </w:rPr>
        <w:t xml:space="preserve"> </w:t>
      </w:r>
      <w:r w:rsidRPr="00966F10">
        <w:rPr>
          <w:rFonts w:cs="Times New Roman"/>
          <w:szCs w:val="24"/>
        </w:rPr>
        <w:t>postanowień wzorców umów za niedozwolone, w związku ze stosowaniem we wzorcach</w:t>
      </w:r>
      <w:r w:rsidR="00966F10">
        <w:rPr>
          <w:rFonts w:cs="Times New Roman"/>
          <w:szCs w:val="24"/>
        </w:rPr>
        <w:t xml:space="preserve"> </w:t>
      </w:r>
      <w:r w:rsidRPr="00966F10">
        <w:rPr>
          <w:rFonts w:cs="Times New Roman"/>
          <w:szCs w:val="24"/>
        </w:rPr>
        <w:t>umów sprzedaży energii elektrycznej i kompleksowych dostarczania paliwa gazowego,</w:t>
      </w:r>
      <w:r w:rsidR="00966F10">
        <w:rPr>
          <w:rFonts w:cs="Times New Roman"/>
          <w:szCs w:val="24"/>
        </w:rPr>
        <w:t xml:space="preserve"> </w:t>
      </w:r>
      <w:r w:rsidRPr="00966F10">
        <w:rPr>
          <w:rFonts w:cs="Times New Roman"/>
          <w:szCs w:val="24"/>
        </w:rPr>
        <w:t>postanowień umownych:</w:t>
      </w:r>
    </w:p>
    <w:p w14:paraId="66B56E48" w14:textId="77777777" w:rsidR="00966F10" w:rsidRDefault="00876F82" w:rsidP="00FE70E3">
      <w:pPr>
        <w:pStyle w:val="Akapitzlist"/>
        <w:numPr>
          <w:ilvl w:val="1"/>
          <w:numId w:val="109"/>
        </w:numPr>
        <w:rPr>
          <w:rFonts w:cs="Times New Roman"/>
          <w:szCs w:val="24"/>
        </w:rPr>
      </w:pPr>
      <w:r w:rsidRPr="00966F10">
        <w:rPr>
          <w:rFonts w:cs="Times New Roman"/>
          <w:szCs w:val="24"/>
        </w:rPr>
        <w:t>przewidujących konieczność uiszczenia przez konsumenta Opłaty Jednorazowej</w:t>
      </w:r>
      <w:r w:rsidR="00966F10">
        <w:rPr>
          <w:rFonts w:cs="Times New Roman"/>
          <w:szCs w:val="24"/>
        </w:rPr>
        <w:t xml:space="preserve"> </w:t>
      </w:r>
      <w:r w:rsidRPr="00966F10">
        <w:rPr>
          <w:rFonts w:cs="Times New Roman"/>
          <w:szCs w:val="24"/>
        </w:rPr>
        <w:t>w związku przedterminowym rozwiązaniem umowy sprzedaży energii elektrycznej</w:t>
      </w:r>
      <w:r w:rsidR="00966F10">
        <w:rPr>
          <w:rFonts w:cs="Times New Roman"/>
          <w:szCs w:val="24"/>
        </w:rPr>
        <w:t xml:space="preserve"> </w:t>
      </w:r>
      <w:r w:rsidRPr="00966F10">
        <w:rPr>
          <w:rFonts w:cs="Times New Roman"/>
          <w:szCs w:val="24"/>
        </w:rPr>
        <w:t>lub kompleksowej umowy dostarczania paliwa gazowego, w razie zaistnienia</w:t>
      </w:r>
      <w:r w:rsidR="00966F10">
        <w:rPr>
          <w:rFonts w:cs="Times New Roman"/>
          <w:szCs w:val="24"/>
        </w:rPr>
        <w:t xml:space="preserve"> </w:t>
      </w:r>
      <w:r w:rsidRPr="00966F10">
        <w:rPr>
          <w:rFonts w:cs="Times New Roman"/>
          <w:szCs w:val="24"/>
        </w:rPr>
        <w:t>wskazanych w umowie okoliczności związanych wyłącznie z zachowaniem</w:t>
      </w:r>
      <w:r w:rsidR="00966F10">
        <w:rPr>
          <w:rFonts w:cs="Times New Roman"/>
          <w:szCs w:val="24"/>
        </w:rPr>
        <w:t xml:space="preserve"> </w:t>
      </w:r>
      <w:r w:rsidRPr="00966F10">
        <w:rPr>
          <w:rFonts w:cs="Times New Roman"/>
          <w:szCs w:val="24"/>
        </w:rPr>
        <w:t>konsumenta, a także</w:t>
      </w:r>
    </w:p>
    <w:p w14:paraId="7149E40B" w14:textId="77777777" w:rsidR="00D01620" w:rsidRDefault="00876F82" w:rsidP="00FE70E3">
      <w:pPr>
        <w:pStyle w:val="Akapitzlist"/>
        <w:numPr>
          <w:ilvl w:val="1"/>
          <w:numId w:val="109"/>
        </w:numPr>
        <w:rPr>
          <w:rFonts w:cs="Times New Roman"/>
          <w:szCs w:val="24"/>
        </w:rPr>
      </w:pPr>
      <w:r w:rsidRPr="00966F10">
        <w:rPr>
          <w:rFonts w:cs="Times New Roman"/>
          <w:szCs w:val="24"/>
        </w:rPr>
        <w:t>wprowadzających mechanizm automatycznego przekształcania umowy sprzedaży</w:t>
      </w:r>
      <w:r w:rsidR="00966F10">
        <w:rPr>
          <w:rFonts w:cs="Times New Roman"/>
          <w:szCs w:val="24"/>
        </w:rPr>
        <w:t xml:space="preserve"> </w:t>
      </w:r>
      <w:r w:rsidRPr="00966F10">
        <w:rPr>
          <w:rFonts w:cs="Times New Roman"/>
          <w:szCs w:val="24"/>
        </w:rPr>
        <w:t>energii elektrycznej w umowę na kolejny czas określony (oznaczony) po upływie</w:t>
      </w:r>
      <w:r w:rsidR="00966F10">
        <w:rPr>
          <w:rFonts w:cs="Times New Roman"/>
          <w:szCs w:val="24"/>
        </w:rPr>
        <w:t xml:space="preserve"> </w:t>
      </w:r>
      <w:r w:rsidRPr="00966F10">
        <w:rPr>
          <w:rFonts w:cs="Times New Roman"/>
          <w:szCs w:val="24"/>
        </w:rPr>
        <w:t>okresu jej obowiązywania.</w:t>
      </w:r>
    </w:p>
    <w:p w14:paraId="1B01BA33" w14:textId="77777777" w:rsidR="00D01620" w:rsidRDefault="00876F82" w:rsidP="00FE70E3">
      <w:pPr>
        <w:pStyle w:val="Akapitzlist"/>
        <w:numPr>
          <w:ilvl w:val="0"/>
          <w:numId w:val="109"/>
        </w:numPr>
        <w:rPr>
          <w:rFonts w:cs="Times New Roman"/>
          <w:szCs w:val="24"/>
        </w:rPr>
      </w:pPr>
      <w:r w:rsidRPr="00D01620">
        <w:rPr>
          <w:rFonts w:cs="Times New Roman"/>
          <w:szCs w:val="24"/>
        </w:rPr>
        <w:t xml:space="preserve">decyzję nr RŁO 7/2020 wydanej wobec przedsiębiorcy </w:t>
      </w:r>
      <w:proofErr w:type="spellStart"/>
      <w:r w:rsidRPr="00D01620">
        <w:rPr>
          <w:rFonts w:cs="Times New Roman"/>
          <w:szCs w:val="24"/>
        </w:rPr>
        <w:t>Novanet</w:t>
      </w:r>
      <w:proofErr w:type="spellEnd"/>
      <w:r w:rsidRPr="00D01620">
        <w:rPr>
          <w:rFonts w:cs="Times New Roman"/>
          <w:szCs w:val="24"/>
        </w:rPr>
        <w:t xml:space="preserve"> Sp. z </w:t>
      </w:r>
      <w:proofErr w:type="spellStart"/>
      <w:r w:rsidRPr="00D01620">
        <w:rPr>
          <w:rFonts w:cs="Times New Roman"/>
          <w:szCs w:val="24"/>
        </w:rPr>
        <w:t>o.o</w:t>
      </w:r>
      <w:proofErr w:type="spellEnd"/>
      <w:r w:rsidR="00D01620">
        <w:rPr>
          <w:rFonts w:cs="Times New Roman"/>
          <w:szCs w:val="24"/>
        </w:rPr>
        <w:t xml:space="preserve"> </w:t>
      </w:r>
      <w:r w:rsidRPr="00D01620">
        <w:rPr>
          <w:rFonts w:cs="Times New Roman"/>
          <w:szCs w:val="24"/>
        </w:rPr>
        <w:t>w Warszawie; praktyki stwierdzone w decyzji dotyczyły:</w:t>
      </w:r>
    </w:p>
    <w:p w14:paraId="4E18C40F" w14:textId="77777777" w:rsidR="00D01620" w:rsidRDefault="00876F82" w:rsidP="00FE70E3">
      <w:pPr>
        <w:pStyle w:val="Akapitzlist"/>
        <w:numPr>
          <w:ilvl w:val="1"/>
          <w:numId w:val="109"/>
        </w:numPr>
        <w:rPr>
          <w:rFonts w:cs="Times New Roman"/>
          <w:szCs w:val="24"/>
        </w:rPr>
      </w:pPr>
      <w:r w:rsidRPr="00D01620">
        <w:rPr>
          <w:rFonts w:cs="Times New Roman"/>
          <w:szCs w:val="24"/>
        </w:rPr>
        <w:t>wprowadzającego w błąd informowania konsumentów, w związku ze składaniem</w:t>
      </w:r>
      <w:r w:rsidR="00D01620">
        <w:rPr>
          <w:rFonts w:cs="Times New Roman"/>
          <w:szCs w:val="24"/>
        </w:rPr>
        <w:t xml:space="preserve"> </w:t>
      </w:r>
      <w:r w:rsidRPr="00D01620">
        <w:rPr>
          <w:rFonts w:cs="Times New Roman"/>
          <w:szCs w:val="24"/>
        </w:rPr>
        <w:t>propozycji zawarcia umowy o świadczenie usług telekomunikacyjnych,</w:t>
      </w:r>
      <w:r w:rsidR="00D01620">
        <w:rPr>
          <w:rFonts w:cs="Times New Roman"/>
          <w:szCs w:val="24"/>
        </w:rPr>
        <w:t xml:space="preserve"> </w:t>
      </w:r>
      <w:r w:rsidRPr="00D01620">
        <w:rPr>
          <w:rFonts w:cs="Times New Roman"/>
          <w:szCs w:val="24"/>
        </w:rPr>
        <w:t>o przedmiocie oferowanej usługi i rzeczywistym celu rozmowy lub wizyty, przez</w:t>
      </w:r>
      <w:r w:rsidR="00D01620">
        <w:rPr>
          <w:rFonts w:cs="Times New Roman"/>
          <w:szCs w:val="24"/>
        </w:rPr>
        <w:t xml:space="preserve"> </w:t>
      </w:r>
      <w:r w:rsidRPr="00D01620">
        <w:rPr>
          <w:rFonts w:cs="Times New Roman"/>
          <w:szCs w:val="24"/>
        </w:rPr>
        <w:t>sugerowanie, że składana oferta i dokumenty przedkładane konsumentom dotyczą</w:t>
      </w:r>
      <w:r w:rsidR="00D01620">
        <w:rPr>
          <w:rFonts w:cs="Times New Roman"/>
          <w:szCs w:val="24"/>
        </w:rPr>
        <w:t xml:space="preserve"> </w:t>
      </w:r>
      <w:r w:rsidRPr="00D01620">
        <w:rPr>
          <w:rFonts w:cs="Times New Roman"/>
          <w:szCs w:val="24"/>
        </w:rPr>
        <w:t>zmiany warunków umowy zawartej z dotychczasowym usługodawcą, podczas gdy</w:t>
      </w:r>
      <w:r w:rsidR="00D01620">
        <w:rPr>
          <w:rFonts w:cs="Times New Roman"/>
          <w:szCs w:val="24"/>
        </w:rPr>
        <w:t xml:space="preserve"> </w:t>
      </w:r>
      <w:r w:rsidRPr="00D01620">
        <w:rPr>
          <w:rFonts w:cs="Times New Roman"/>
          <w:szCs w:val="24"/>
        </w:rPr>
        <w:t>w rzeczywistości dotyczą zawarcia nowej umowy o świadczenie usług</w:t>
      </w:r>
      <w:r w:rsidR="00D01620">
        <w:rPr>
          <w:rFonts w:cs="Times New Roman"/>
          <w:szCs w:val="24"/>
        </w:rPr>
        <w:t xml:space="preserve"> </w:t>
      </w:r>
      <w:r w:rsidRPr="00D01620">
        <w:rPr>
          <w:rFonts w:cs="Times New Roman"/>
          <w:szCs w:val="24"/>
        </w:rPr>
        <w:t>telekomunikacyjnych z ww. przedsiębiorcą, a tym samym zmiany usługodawcy, co</w:t>
      </w:r>
      <w:r w:rsidR="00D01620">
        <w:rPr>
          <w:rFonts w:cs="Times New Roman"/>
          <w:szCs w:val="24"/>
        </w:rPr>
        <w:t xml:space="preserve"> </w:t>
      </w:r>
      <w:r w:rsidRPr="00D01620">
        <w:rPr>
          <w:rFonts w:cs="Times New Roman"/>
          <w:szCs w:val="24"/>
        </w:rPr>
        <w:t>może stanowić nieuczciwą praktykę rynkową, o której mowa w art. 5 ust. 1 i 2 pkt</w:t>
      </w:r>
      <w:r w:rsidR="00D01620">
        <w:rPr>
          <w:rFonts w:cs="Times New Roman"/>
          <w:szCs w:val="24"/>
        </w:rPr>
        <w:t xml:space="preserve"> </w:t>
      </w:r>
      <w:r w:rsidRPr="00D01620">
        <w:rPr>
          <w:rFonts w:cs="Times New Roman"/>
          <w:szCs w:val="24"/>
        </w:rPr>
        <w:t xml:space="preserve">1 w zw. z art. 4 ust. 2 </w:t>
      </w:r>
      <w:proofErr w:type="spellStart"/>
      <w:r w:rsidRPr="00D01620">
        <w:rPr>
          <w:rFonts w:cs="Times New Roman"/>
          <w:szCs w:val="24"/>
        </w:rPr>
        <w:t>upnpr</w:t>
      </w:r>
      <w:proofErr w:type="spellEnd"/>
      <w:r w:rsidRPr="00D01620">
        <w:rPr>
          <w:rFonts w:cs="Times New Roman"/>
          <w:szCs w:val="24"/>
        </w:rPr>
        <w:t>;</w:t>
      </w:r>
    </w:p>
    <w:p w14:paraId="63416BBA" w14:textId="5DD79CC3" w:rsidR="00876F82" w:rsidRDefault="00876F82" w:rsidP="00FE70E3">
      <w:pPr>
        <w:pStyle w:val="Akapitzlist"/>
        <w:numPr>
          <w:ilvl w:val="1"/>
          <w:numId w:val="109"/>
        </w:numPr>
        <w:rPr>
          <w:rFonts w:cs="Times New Roman"/>
          <w:szCs w:val="24"/>
        </w:rPr>
      </w:pPr>
      <w:r w:rsidRPr="00D01620">
        <w:rPr>
          <w:rFonts w:cs="Times New Roman"/>
          <w:szCs w:val="24"/>
        </w:rPr>
        <w:t>obciążania konsumentów dodatkową płatnością za usługi w postaci usługi</w:t>
      </w:r>
      <w:r w:rsidR="00D01620">
        <w:rPr>
          <w:rFonts w:cs="Times New Roman"/>
          <w:szCs w:val="24"/>
        </w:rPr>
        <w:t xml:space="preserve"> </w:t>
      </w:r>
      <w:r w:rsidRPr="00D01620">
        <w:rPr>
          <w:rFonts w:cs="Times New Roman"/>
          <w:szCs w:val="24"/>
        </w:rPr>
        <w:t>dodatkowej określonej w dziale III umowy o świadczenie usług</w:t>
      </w:r>
      <w:r w:rsidR="00D01620">
        <w:rPr>
          <w:rFonts w:cs="Times New Roman"/>
          <w:szCs w:val="24"/>
        </w:rPr>
        <w:t xml:space="preserve"> </w:t>
      </w:r>
      <w:r w:rsidRPr="00D01620">
        <w:rPr>
          <w:rFonts w:cs="Times New Roman"/>
          <w:szCs w:val="24"/>
        </w:rPr>
        <w:t>telekomunikacyjnych, prezentacji numeru CLIP i wykazu połączeń w formie</w:t>
      </w:r>
      <w:r w:rsidR="00D01620">
        <w:rPr>
          <w:rFonts w:cs="Times New Roman"/>
          <w:szCs w:val="24"/>
        </w:rPr>
        <w:t xml:space="preserve"> </w:t>
      </w:r>
      <w:r w:rsidRPr="00D01620">
        <w:rPr>
          <w:rFonts w:cs="Times New Roman"/>
          <w:szCs w:val="24"/>
        </w:rPr>
        <w:t>wydruku, wykraczającą poza uzgodnione wynagrodzenie za główne obowiązki</w:t>
      </w:r>
      <w:r w:rsidR="00D01620">
        <w:rPr>
          <w:rFonts w:cs="Times New Roman"/>
          <w:szCs w:val="24"/>
        </w:rPr>
        <w:t xml:space="preserve"> </w:t>
      </w:r>
      <w:r w:rsidRPr="00D01620">
        <w:rPr>
          <w:rFonts w:cs="Times New Roman"/>
          <w:szCs w:val="24"/>
        </w:rPr>
        <w:t>umowne przedsiębiorcy bez uzyskania wyraźnej zgody konsumenta, co może</w:t>
      </w:r>
      <w:r w:rsidR="00D01620">
        <w:rPr>
          <w:rFonts w:cs="Times New Roman"/>
          <w:szCs w:val="24"/>
        </w:rPr>
        <w:t xml:space="preserve"> </w:t>
      </w:r>
      <w:r w:rsidRPr="00D01620">
        <w:rPr>
          <w:rFonts w:cs="Times New Roman"/>
          <w:szCs w:val="24"/>
        </w:rPr>
        <w:t xml:space="preserve">naruszać art. 10 ust. 1 w związku z art. 25 </w:t>
      </w:r>
      <w:proofErr w:type="spellStart"/>
      <w:r w:rsidRPr="00D01620">
        <w:rPr>
          <w:rFonts w:cs="Times New Roman"/>
          <w:szCs w:val="24"/>
        </w:rPr>
        <w:t>upk</w:t>
      </w:r>
      <w:proofErr w:type="spellEnd"/>
      <w:r w:rsidRPr="00D01620">
        <w:rPr>
          <w:rFonts w:cs="Times New Roman"/>
          <w:szCs w:val="24"/>
        </w:rPr>
        <w:t>.</w:t>
      </w:r>
    </w:p>
    <w:p w14:paraId="33A5BF81" w14:textId="77777777" w:rsidR="00D01620" w:rsidRPr="00D01620" w:rsidRDefault="00D01620" w:rsidP="00D01620">
      <w:pPr>
        <w:rPr>
          <w:rFonts w:cs="Times New Roman"/>
          <w:szCs w:val="24"/>
        </w:rPr>
      </w:pPr>
    </w:p>
    <w:p w14:paraId="5D02FCDC" w14:textId="77777777" w:rsidR="00D01620" w:rsidRDefault="00876F82" w:rsidP="00876F82">
      <w:pPr>
        <w:rPr>
          <w:rFonts w:cs="Times New Roman"/>
          <w:szCs w:val="24"/>
        </w:rPr>
      </w:pPr>
      <w:r w:rsidRPr="00876F82">
        <w:rPr>
          <w:rFonts w:cs="Times New Roman"/>
          <w:szCs w:val="24"/>
        </w:rPr>
        <w:t>Prezes Urzędu w 2020 r. prowadził również postępowanie wobec przedsiębiorcy</w:t>
      </w:r>
      <w:r w:rsidR="00D01620">
        <w:rPr>
          <w:rFonts w:cs="Times New Roman"/>
          <w:szCs w:val="24"/>
        </w:rPr>
        <w:t xml:space="preserve"> </w:t>
      </w:r>
      <w:r w:rsidRPr="00876F82">
        <w:rPr>
          <w:rFonts w:cs="Times New Roman"/>
          <w:szCs w:val="24"/>
        </w:rPr>
        <w:t xml:space="preserve">prowadzącego sprzedaż </w:t>
      </w:r>
      <w:proofErr w:type="spellStart"/>
      <w:r w:rsidRPr="00876F82">
        <w:rPr>
          <w:rFonts w:cs="Times New Roman"/>
          <w:szCs w:val="24"/>
        </w:rPr>
        <w:t>door</w:t>
      </w:r>
      <w:proofErr w:type="spellEnd"/>
      <w:r w:rsidRPr="00876F82">
        <w:rPr>
          <w:rFonts w:cs="Times New Roman"/>
          <w:szCs w:val="24"/>
        </w:rPr>
        <w:t>-to-</w:t>
      </w:r>
      <w:proofErr w:type="spellStart"/>
      <w:r w:rsidRPr="00876F82">
        <w:rPr>
          <w:rFonts w:cs="Times New Roman"/>
          <w:szCs w:val="24"/>
        </w:rPr>
        <w:t>door</w:t>
      </w:r>
      <w:proofErr w:type="spellEnd"/>
      <w:r w:rsidRPr="00876F82">
        <w:rPr>
          <w:rFonts w:cs="Times New Roman"/>
          <w:szCs w:val="24"/>
        </w:rPr>
        <w:t xml:space="preserve"> - Telekomunikacja dla Domu Sp. z o.o. z siedzibą</w:t>
      </w:r>
      <w:r w:rsidR="00D01620">
        <w:rPr>
          <w:rFonts w:cs="Times New Roman"/>
          <w:szCs w:val="24"/>
        </w:rPr>
        <w:t xml:space="preserve"> </w:t>
      </w:r>
      <w:r w:rsidRPr="00876F82">
        <w:rPr>
          <w:rFonts w:cs="Times New Roman"/>
          <w:szCs w:val="24"/>
        </w:rPr>
        <w:t>w Warszawie, w</w:t>
      </w:r>
      <w:r w:rsidR="00D01620">
        <w:rPr>
          <w:rFonts w:cs="Times New Roman"/>
          <w:szCs w:val="24"/>
        </w:rPr>
        <w:t xml:space="preserve"> </w:t>
      </w:r>
      <w:r w:rsidRPr="00876F82">
        <w:rPr>
          <w:rFonts w:cs="Times New Roman"/>
          <w:szCs w:val="24"/>
        </w:rPr>
        <w:t>związku z naruszeniem zakazu stosowania niedozwolonych postanowień</w:t>
      </w:r>
      <w:r w:rsidR="00D01620">
        <w:rPr>
          <w:rFonts w:cs="Times New Roman"/>
          <w:szCs w:val="24"/>
        </w:rPr>
        <w:t xml:space="preserve"> </w:t>
      </w:r>
      <w:r w:rsidRPr="00876F82">
        <w:rPr>
          <w:rFonts w:cs="Times New Roman"/>
          <w:szCs w:val="24"/>
        </w:rPr>
        <w:t>umownych we</w:t>
      </w:r>
      <w:r w:rsidR="00D01620">
        <w:rPr>
          <w:rFonts w:cs="Times New Roman"/>
          <w:szCs w:val="24"/>
        </w:rPr>
        <w:t xml:space="preserve"> </w:t>
      </w:r>
      <w:r w:rsidRPr="00876F82">
        <w:rPr>
          <w:rFonts w:cs="Times New Roman"/>
          <w:szCs w:val="24"/>
        </w:rPr>
        <w:t>wzorcach umowy. Wymieniona spółka jest tzw. alternatywnym operatorem</w:t>
      </w:r>
      <w:r w:rsidR="00D01620">
        <w:rPr>
          <w:rFonts w:cs="Times New Roman"/>
          <w:szCs w:val="24"/>
        </w:rPr>
        <w:t xml:space="preserve"> </w:t>
      </w:r>
      <w:r w:rsidRPr="00876F82">
        <w:rPr>
          <w:rFonts w:cs="Times New Roman"/>
          <w:szCs w:val="24"/>
        </w:rPr>
        <w:t>telekomunikacyjnym i w ramach tego postępowania analizowany jest stosowany przez</w:t>
      </w:r>
      <w:r w:rsidR="00D01620">
        <w:rPr>
          <w:rFonts w:cs="Times New Roman"/>
          <w:szCs w:val="24"/>
        </w:rPr>
        <w:t xml:space="preserve"> </w:t>
      </w:r>
      <w:r w:rsidRPr="00876F82">
        <w:rPr>
          <w:rFonts w:cs="Times New Roman"/>
          <w:szCs w:val="24"/>
        </w:rPr>
        <w:t>przedsiębiorcę mechanizm automatycznego przedłużania umowy zawartej na czas</w:t>
      </w:r>
      <w:r w:rsidR="00D01620">
        <w:rPr>
          <w:rFonts w:cs="Times New Roman"/>
          <w:szCs w:val="24"/>
        </w:rPr>
        <w:t xml:space="preserve"> </w:t>
      </w:r>
      <w:r w:rsidRPr="00876F82">
        <w:rPr>
          <w:rFonts w:cs="Times New Roman"/>
          <w:szCs w:val="24"/>
        </w:rPr>
        <w:t>określony na kolejny czas określony.</w:t>
      </w:r>
      <w:r>
        <w:rPr>
          <w:rFonts w:cs="Times New Roman"/>
          <w:szCs w:val="24"/>
        </w:rPr>
        <w:t xml:space="preserve"> </w:t>
      </w:r>
    </w:p>
    <w:p w14:paraId="0B662368" w14:textId="77777777" w:rsidR="00D01620" w:rsidRDefault="00D01620" w:rsidP="00876F82">
      <w:pPr>
        <w:rPr>
          <w:rFonts w:cs="Times New Roman"/>
          <w:szCs w:val="24"/>
        </w:rPr>
      </w:pPr>
    </w:p>
    <w:p w14:paraId="1DF40615" w14:textId="1F7D05BF" w:rsidR="00876F82" w:rsidRPr="00876F82" w:rsidRDefault="00876F82" w:rsidP="00876F82">
      <w:pPr>
        <w:rPr>
          <w:rFonts w:cs="Times New Roman"/>
          <w:szCs w:val="24"/>
        </w:rPr>
      </w:pPr>
      <w:r w:rsidRPr="00876F82">
        <w:rPr>
          <w:rFonts w:cs="Times New Roman"/>
          <w:szCs w:val="24"/>
        </w:rPr>
        <w:t>Z uwagi na znaczną ilość sygnałów od konsumentów dotyczącą</w:t>
      </w:r>
      <w:r w:rsidR="00D01620">
        <w:rPr>
          <w:rFonts w:cs="Times New Roman"/>
          <w:szCs w:val="24"/>
        </w:rPr>
        <w:t xml:space="preserve"> </w:t>
      </w:r>
      <w:r w:rsidRPr="00876F82">
        <w:rPr>
          <w:rFonts w:cs="Times New Roman"/>
          <w:szCs w:val="24"/>
        </w:rPr>
        <w:t>nieprawidłowości</w:t>
      </w:r>
      <w:r w:rsidR="00D01620">
        <w:rPr>
          <w:rFonts w:cs="Times New Roman"/>
          <w:szCs w:val="24"/>
        </w:rPr>
        <w:t xml:space="preserve"> </w:t>
      </w:r>
      <w:r w:rsidRPr="00876F82">
        <w:rPr>
          <w:rFonts w:cs="Times New Roman"/>
          <w:szCs w:val="24"/>
        </w:rPr>
        <w:t>występujących w procesie zawierania umów sprzedaży energii elektrycznej i paliwa</w:t>
      </w:r>
      <w:r w:rsidR="00D01620">
        <w:rPr>
          <w:rFonts w:cs="Times New Roman"/>
          <w:szCs w:val="24"/>
        </w:rPr>
        <w:t xml:space="preserve"> </w:t>
      </w:r>
      <w:r w:rsidRPr="00876F82">
        <w:rPr>
          <w:rFonts w:cs="Times New Roman"/>
          <w:szCs w:val="24"/>
        </w:rPr>
        <w:t>gazowego Prezes Urzędu 6 lutego 2020 r. wszczął wobec przedsiębiorcy Fortum Marketing</w:t>
      </w:r>
      <w:r w:rsidR="00D01620">
        <w:rPr>
          <w:rFonts w:cs="Times New Roman"/>
          <w:szCs w:val="24"/>
        </w:rPr>
        <w:t xml:space="preserve"> </w:t>
      </w:r>
      <w:r w:rsidRPr="00876F82">
        <w:rPr>
          <w:rFonts w:cs="Times New Roman"/>
          <w:szCs w:val="24"/>
        </w:rPr>
        <w:t xml:space="preserve">&amp; Sales </w:t>
      </w:r>
      <w:r w:rsidRPr="00876F82">
        <w:rPr>
          <w:rFonts w:cs="Times New Roman"/>
          <w:szCs w:val="24"/>
        </w:rPr>
        <w:lastRenderedPageBreak/>
        <w:t>Spółka Akcyjna z siedzibą w Gdańsku postępowanie w sprawie stosowania praktyk</w:t>
      </w:r>
      <w:r w:rsidR="00D01620">
        <w:rPr>
          <w:rFonts w:cs="Times New Roman"/>
          <w:szCs w:val="24"/>
        </w:rPr>
        <w:t xml:space="preserve"> </w:t>
      </w:r>
      <w:r w:rsidRPr="00876F82">
        <w:rPr>
          <w:rFonts w:cs="Times New Roman"/>
          <w:szCs w:val="24"/>
        </w:rPr>
        <w:t>naruszających zbiorowe interesy konsumentów polegających na:</w:t>
      </w:r>
    </w:p>
    <w:p w14:paraId="134E9E0F" w14:textId="77777777" w:rsidR="00D01620" w:rsidRDefault="00876F82" w:rsidP="00FE70E3">
      <w:pPr>
        <w:pStyle w:val="Akapitzlist"/>
        <w:numPr>
          <w:ilvl w:val="0"/>
          <w:numId w:val="110"/>
        </w:numPr>
        <w:rPr>
          <w:rFonts w:cs="Times New Roman"/>
          <w:szCs w:val="24"/>
        </w:rPr>
      </w:pPr>
      <w:r w:rsidRPr="00D01620">
        <w:rPr>
          <w:rFonts w:cs="Times New Roman"/>
          <w:szCs w:val="24"/>
        </w:rPr>
        <w:t>wprowadzającym w błąd informowaniu konsumentów, w związku ze składaniem im</w:t>
      </w:r>
      <w:r w:rsidR="00D01620">
        <w:rPr>
          <w:rFonts w:cs="Times New Roman"/>
          <w:szCs w:val="24"/>
        </w:rPr>
        <w:t xml:space="preserve"> </w:t>
      </w:r>
      <w:r w:rsidRPr="00D01620">
        <w:rPr>
          <w:rFonts w:cs="Times New Roman"/>
          <w:szCs w:val="24"/>
        </w:rPr>
        <w:t>propozycji zawarcia umowy sprzedaży energii elektrycznej lub umowy</w:t>
      </w:r>
      <w:r w:rsidR="00D01620">
        <w:rPr>
          <w:rFonts w:cs="Times New Roman"/>
          <w:szCs w:val="24"/>
        </w:rPr>
        <w:t xml:space="preserve"> </w:t>
      </w:r>
      <w:r w:rsidRPr="00D01620">
        <w:rPr>
          <w:rFonts w:cs="Times New Roman"/>
          <w:szCs w:val="24"/>
        </w:rPr>
        <w:t>kompleksowej dla energii elektrycznej lub umowy sprzedaży paliwa gazowego lub</w:t>
      </w:r>
      <w:r w:rsidR="00D01620">
        <w:rPr>
          <w:rFonts w:cs="Times New Roman"/>
          <w:szCs w:val="24"/>
        </w:rPr>
        <w:t xml:space="preserve"> </w:t>
      </w:r>
      <w:r w:rsidRPr="00D01620">
        <w:rPr>
          <w:rFonts w:cs="Times New Roman"/>
          <w:szCs w:val="24"/>
        </w:rPr>
        <w:t>umowy kompleksowej sprzedaży paliwa gazowego, o tożsamości spółki, na rzecz</w:t>
      </w:r>
      <w:r w:rsidR="00D01620">
        <w:rPr>
          <w:rFonts w:cs="Times New Roman"/>
          <w:szCs w:val="24"/>
        </w:rPr>
        <w:t xml:space="preserve"> </w:t>
      </w:r>
      <w:r w:rsidRPr="00D01620">
        <w:rPr>
          <w:rFonts w:cs="Times New Roman"/>
          <w:szCs w:val="24"/>
        </w:rPr>
        <w:t>i w imieniu której osoby</w:t>
      </w:r>
      <w:r w:rsidR="00D01620">
        <w:rPr>
          <w:rFonts w:cs="Times New Roman"/>
          <w:szCs w:val="24"/>
        </w:rPr>
        <w:t xml:space="preserve"> </w:t>
      </w:r>
      <w:r w:rsidRPr="00D01620">
        <w:rPr>
          <w:rFonts w:cs="Times New Roman"/>
          <w:szCs w:val="24"/>
        </w:rPr>
        <w:t>reprezentujące ww. przedsiębiorcę składają wizyty</w:t>
      </w:r>
      <w:r w:rsidR="00D01620">
        <w:rPr>
          <w:rFonts w:cs="Times New Roman"/>
          <w:szCs w:val="24"/>
        </w:rPr>
        <w:t xml:space="preserve"> </w:t>
      </w:r>
      <w:r w:rsidRPr="00D01620">
        <w:rPr>
          <w:rFonts w:cs="Times New Roman"/>
          <w:szCs w:val="24"/>
        </w:rPr>
        <w:t>konsumentom w miejscu ich</w:t>
      </w:r>
      <w:r w:rsidR="00D01620">
        <w:rPr>
          <w:rFonts w:cs="Times New Roman"/>
          <w:szCs w:val="24"/>
        </w:rPr>
        <w:t xml:space="preserve"> </w:t>
      </w:r>
      <w:r w:rsidRPr="00D01620">
        <w:rPr>
          <w:rFonts w:cs="Times New Roman"/>
          <w:szCs w:val="24"/>
        </w:rPr>
        <w:t>zamieszkania, celem złożenia propozycji zawarcia</w:t>
      </w:r>
      <w:r w:rsidR="00D01620">
        <w:rPr>
          <w:rFonts w:cs="Times New Roman"/>
          <w:szCs w:val="24"/>
        </w:rPr>
        <w:t xml:space="preserve"> </w:t>
      </w:r>
      <w:r w:rsidRPr="00D01620">
        <w:rPr>
          <w:rFonts w:cs="Times New Roman"/>
          <w:szCs w:val="24"/>
        </w:rPr>
        <w:t>z przedsiębiorcą ww. umów oraz o okolicznościach złożenia tej propozycji;</w:t>
      </w:r>
    </w:p>
    <w:p w14:paraId="4D4892F0" w14:textId="77777777" w:rsidR="00D01620" w:rsidRDefault="00876F82" w:rsidP="00FE70E3">
      <w:pPr>
        <w:pStyle w:val="Akapitzlist"/>
        <w:numPr>
          <w:ilvl w:val="0"/>
          <w:numId w:val="110"/>
        </w:numPr>
        <w:rPr>
          <w:rFonts w:cs="Times New Roman"/>
          <w:szCs w:val="24"/>
        </w:rPr>
      </w:pPr>
      <w:r w:rsidRPr="00D01620">
        <w:rPr>
          <w:rFonts w:cs="Times New Roman"/>
          <w:szCs w:val="24"/>
        </w:rPr>
        <w:t>nieinformowaniu konsumentów, w związku ze składaniem im propozycji zawarcia</w:t>
      </w:r>
      <w:r w:rsidR="00D01620">
        <w:rPr>
          <w:rFonts w:cs="Times New Roman"/>
          <w:szCs w:val="24"/>
        </w:rPr>
        <w:t xml:space="preserve"> </w:t>
      </w:r>
      <w:r w:rsidRPr="00D01620">
        <w:rPr>
          <w:rFonts w:cs="Times New Roman"/>
          <w:szCs w:val="24"/>
        </w:rPr>
        <w:t>umowy kompleksowej dla energii elektrycznej lub umowy kompleksowej sprzedaży</w:t>
      </w:r>
      <w:r w:rsidR="00D01620">
        <w:rPr>
          <w:rFonts w:cs="Times New Roman"/>
          <w:szCs w:val="24"/>
        </w:rPr>
        <w:t xml:space="preserve"> </w:t>
      </w:r>
      <w:r w:rsidRPr="00D01620">
        <w:rPr>
          <w:rFonts w:cs="Times New Roman"/>
          <w:szCs w:val="24"/>
        </w:rPr>
        <w:t>paliwa gazowego z przedsiębiorcą o tym, że skorzystanie z przewidzianego dla</w:t>
      </w:r>
      <w:r w:rsidR="00D01620">
        <w:rPr>
          <w:rFonts w:cs="Times New Roman"/>
          <w:szCs w:val="24"/>
        </w:rPr>
        <w:t xml:space="preserve"> </w:t>
      </w:r>
      <w:r w:rsidRPr="00D01620">
        <w:rPr>
          <w:rFonts w:cs="Times New Roman"/>
          <w:szCs w:val="24"/>
        </w:rPr>
        <w:t>umowy kompleksowej dla energii elektrycznej lub umowy kompleksowej sprzedaży</w:t>
      </w:r>
      <w:r w:rsidR="00D01620">
        <w:rPr>
          <w:rFonts w:cs="Times New Roman"/>
          <w:szCs w:val="24"/>
        </w:rPr>
        <w:t xml:space="preserve"> </w:t>
      </w:r>
      <w:r w:rsidRPr="00D01620">
        <w:rPr>
          <w:rFonts w:cs="Times New Roman"/>
          <w:szCs w:val="24"/>
        </w:rPr>
        <w:t>paliwa gazowego rabatu cenowego za zużywaną czynną energię elektryczną lub</w:t>
      </w:r>
      <w:r w:rsidR="00D01620">
        <w:rPr>
          <w:rFonts w:cs="Times New Roman"/>
          <w:szCs w:val="24"/>
        </w:rPr>
        <w:t xml:space="preserve"> </w:t>
      </w:r>
      <w:r w:rsidRPr="00D01620">
        <w:rPr>
          <w:rFonts w:cs="Times New Roman"/>
          <w:szCs w:val="24"/>
        </w:rPr>
        <w:t>zużywane paliwo gazowe (kWh) uzależnione jest od podjęcia przez konsumenta</w:t>
      </w:r>
      <w:r w:rsidR="00D01620">
        <w:rPr>
          <w:rFonts w:cs="Times New Roman"/>
          <w:szCs w:val="24"/>
        </w:rPr>
        <w:t xml:space="preserve"> </w:t>
      </w:r>
      <w:r w:rsidRPr="00D01620">
        <w:rPr>
          <w:rFonts w:cs="Times New Roman"/>
          <w:szCs w:val="24"/>
        </w:rPr>
        <w:t>dodatkowych działań tj. możliwe jest jedynie w przypadku złożenia przez</w:t>
      </w:r>
      <w:r w:rsidR="00D01620">
        <w:rPr>
          <w:rFonts w:cs="Times New Roman"/>
          <w:szCs w:val="24"/>
        </w:rPr>
        <w:t xml:space="preserve"> </w:t>
      </w:r>
      <w:r w:rsidRPr="00D01620">
        <w:rPr>
          <w:rFonts w:cs="Times New Roman"/>
          <w:szCs w:val="24"/>
        </w:rPr>
        <w:t>konsumenta w ściśle określonym terminie stosownego wniosku do przedsiębiorcy,</w:t>
      </w:r>
      <w:r w:rsidR="00D01620">
        <w:rPr>
          <w:rFonts w:cs="Times New Roman"/>
          <w:szCs w:val="24"/>
        </w:rPr>
        <w:t xml:space="preserve"> </w:t>
      </w:r>
      <w:r w:rsidRPr="00D01620">
        <w:rPr>
          <w:rFonts w:cs="Times New Roman"/>
          <w:szCs w:val="24"/>
        </w:rPr>
        <w:t>a także o tym, że prawo rozliczenia zużywanej energii elektrycznej po cenie</w:t>
      </w:r>
      <w:r w:rsidR="00D01620">
        <w:rPr>
          <w:rFonts w:cs="Times New Roman"/>
          <w:szCs w:val="24"/>
        </w:rPr>
        <w:t xml:space="preserve"> </w:t>
      </w:r>
      <w:r w:rsidRPr="00D01620">
        <w:rPr>
          <w:rFonts w:cs="Times New Roman"/>
          <w:szCs w:val="24"/>
        </w:rPr>
        <w:t>obliczonej z uwzględnieniem powyższego rabatu przysługuje wyłącznie w ramach</w:t>
      </w:r>
      <w:r w:rsidR="00D01620">
        <w:rPr>
          <w:rFonts w:cs="Times New Roman"/>
          <w:szCs w:val="24"/>
        </w:rPr>
        <w:t xml:space="preserve"> </w:t>
      </w:r>
      <w:r w:rsidRPr="00D01620">
        <w:rPr>
          <w:rFonts w:cs="Times New Roman"/>
          <w:szCs w:val="24"/>
        </w:rPr>
        <w:t>określonego w umowie maksymalnego limitu zużycia energii elektrycznej;</w:t>
      </w:r>
    </w:p>
    <w:p w14:paraId="24BE80EA" w14:textId="77777777" w:rsidR="00D01620" w:rsidRDefault="00876F82" w:rsidP="00FE70E3">
      <w:pPr>
        <w:pStyle w:val="Akapitzlist"/>
        <w:numPr>
          <w:ilvl w:val="0"/>
          <w:numId w:val="110"/>
        </w:numPr>
        <w:rPr>
          <w:rFonts w:cs="Times New Roman"/>
          <w:szCs w:val="24"/>
        </w:rPr>
      </w:pPr>
      <w:r w:rsidRPr="00D01620">
        <w:rPr>
          <w:rFonts w:cs="Times New Roman"/>
          <w:szCs w:val="24"/>
        </w:rPr>
        <w:t>wprowadzającym w błąd informowaniu konsumentów, w związku ze składaniem im</w:t>
      </w:r>
      <w:r w:rsidR="00D01620">
        <w:rPr>
          <w:rFonts w:cs="Times New Roman"/>
          <w:szCs w:val="24"/>
        </w:rPr>
        <w:t xml:space="preserve"> </w:t>
      </w:r>
      <w:r w:rsidRPr="00D01620">
        <w:rPr>
          <w:rFonts w:cs="Times New Roman"/>
          <w:szCs w:val="24"/>
        </w:rPr>
        <w:t>propozycji zawarcia umowy sprzedaży energii elektrycznej lub umowy</w:t>
      </w:r>
      <w:r w:rsidR="00D01620">
        <w:rPr>
          <w:rFonts w:cs="Times New Roman"/>
          <w:szCs w:val="24"/>
        </w:rPr>
        <w:t xml:space="preserve"> </w:t>
      </w:r>
      <w:r w:rsidRPr="00D01620">
        <w:rPr>
          <w:rFonts w:cs="Times New Roman"/>
          <w:szCs w:val="24"/>
        </w:rPr>
        <w:t>kompleksowej dla energii elektrycznej lub umowy sprzedaży paliwa gazowego lub</w:t>
      </w:r>
      <w:r w:rsidR="00D01620">
        <w:rPr>
          <w:rFonts w:cs="Times New Roman"/>
          <w:szCs w:val="24"/>
        </w:rPr>
        <w:t xml:space="preserve"> </w:t>
      </w:r>
      <w:r w:rsidRPr="00D01620">
        <w:rPr>
          <w:rFonts w:cs="Times New Roman"/>
          <w:szCs w:val="24"/>
        </w:rPr>
        <w:t>umowy kompleksowej sprzedaży paliwa gazowego, o istnieniu szczególnej korzyści</w:t>
      </w:r>
      <w:r w:rsidR="00D01620">
        <w:rPr>
          <w:rFonts w:cs="Times New Roman"/>
          <w:szCs w:val="24"/>
        </w:rPr>
        <w:t xml:space="preserve"> </w:t>
      </w:r>
      <w:r w:rsidRPr="00D01620">
        <w:rPr>
          <w:rFonts w:cs="Times New Roman"/>
          <w:szCs w:val="24"/>
        </w:rPr>
        <w:t>cenowej, polegającej na uzyskaniu niższych rachunków za energię elektryczną lub</w:t>
      </w:r>
      <w:r w:rsidR="00D01620">
        <w:rPr>
          <w:rFonts w:cs="Times New Roman"/>
          <w:szCs w:val="24"/>
        </w:rPr>
        <w:t xml:space="preserve"> </w:t>
      </w:r>
      <w:r w:rsidRPr="00D01620">
        <w:rPr>
          <w:rFonts w:cs="Times New Roman"/>
          <w:szCs w:val="24"/>
        </w:rPr>
        <w:t>paliwo gazowe, w związku z zawarciem umowy z przedsiębiorcą, podczas gdy</w:t>
      </w:r>
      <w:r w:rsidR="00D01620">
        <w:rPr>
          <w:rFonts w:cs="Times New Roman"/>
          <w:szCs w:val="24"/>
        </w:rPr>
        <w:t xml:space="preserve"> </w:t>
      </w:r>
      <w:r w:rsidRPr="00D01620">
        <w:rPr>
          <w:rFonts w:cs="Times New Roman"/>
          <w:szCs w:val="24"/>
        </w:rPr>
        <w:t>w rzeczywistości po zawarciu umowy z ww. spółką rachunki konsumentów za</w:t>
      </w:r>
      <w:r w:rsidR="00D01620">
        <w:rPr>
          <w:rFonts w:cs="Times New Roman"/>
          <w:szCs w:val="24"/>
        </w:rPr>
        <w:t xml:space="preserve"> </w:t>
      </w:r>
      <w:r w:rsidRPr="00D01620">
        <w:rPr>
          <w:rFonts w:cs="Times New Roman"/>
          <w:szCs w:val="24"/>
        </w:rPr>
        <w:t>energię elektryczną lub paliwo gazowe wzrastały;</w:t>
      </w:r>
    </w:p>
    <w:p w14:paraId="17796DD7" w14:textId="77777777" w:rsidR="00D01620" w:rsidRDefault="00876F82" w:rsidP="00FE70E3">
      <w:pPr>
        <w:pStyle w:val="Akapitzlist"/>
        <w:numPr>
          <w:ilvl w:val="0"/>
          <w:numId w:val="110"/>
        </w:numPr>
        <w:rPr>
          <w:rFonts w:cs="Times New Roman"/>
          <w:szCs w:val="24"/>
        </w:rPr>
      </w:pPr>
      <w:r w:rsidRPr="00D01620">
        <w:rPr>
          <w:rFonts w:cs="Times New Roman"/>
          <w:szCs w:val="24"/>
        </w:rPr>
        <w:t>niewydawaniu konsumentom dokumentów zawartych z przedsiębiorcą umów</w:t>
      </w:r>
      <w:r w:rsidR="00D01620">
        <w:rPr>
          <w:rFonts w:cs="Times New Roman"/>
          <w:szCs w:val="24"/>
        </w:rPr>
        <w:t xml:space="preserve"> </w:t>
      </w:r>
      <w:r w:rsidRPr="00D01620">
        <w:rPr>
          <w:rFonts w:cs="Times New Roman"/>
          <w:szCs w:val="24"/>
        </w:rPr>
        <w:t>sprzedaży energii elektrycznej lub umów kompleksowych dla energii elektrycznej</w:t>
      </w:r>
      <w:r w:rsidR="00D01620">
        <w:rPr>
          <w:rFonts w:cs="Times New Roman"/>
          <w:szCs w:val="24"/>
        </w:rPr>
        <w:t xml:space="preserve"> </w:t>
      </w:r>
      <w:r w:rsidRPr="00D01620">
        <w:rPr>
          <w:rFonts w:cs="Times New Roman"/>
          <w:szCs w:val="24"/>
        </w:rPr>
        <w:t>lub umów sprzedaży paliwa gazowego lub umów kompleksowych sprzedaży paliwa</w:t>
      </w:r>
      <w:r w:rsidR="00D01620">
        <w:rPr>
          <w:rFonts w:cs="Times New Roman"/>
          <w:szCs w:val="24"/>
        </w:rPr>
        <w:t xml:space="preserve"> </w:t>
      </w:r>
      <w:r w:rsidRPr="00D01620">
        <w:rPr>
          <w:rFonts w:cs="Times New Roman"/>
          <w:szCs w:val="24"/>
        </w:rPr>
        <w:t>gazowego i załączników do przedmiotowych umów (Ogólnych Warunków Umowy,</w:t>
      </w:r>
      <w:r w:rsidR="00D01620">
        <w:rPr>
          <w:rFonts w:cs="Times New Roman"/>
          <w:szCs w:val="24"/>
        </w:rPr>
        <w:t xml:space="preserve"> </w:t>
      </w:r>
      <w:r w:rsidRPr="00D01620">
        <w:rPr>
          <w:rFonts w:cs="Times New Roman"/>
          <w:szCs w:val="24"/>
        </w:rPr>
        <w:t>Cenników i Regulaminów) lub potwierdzeń zawarcia tych umów;</w:t>
      </w:r>
    </w:p>
    <w:p w14:paraId="3E9D196B" w14:textId="77777777" w:rsidR="00D01620" w:rsidRDefault="00876F82" w:rsidP="00FE70E3">
      <w:pPr>
        <w:pStyle w:val="Akapitzlist"/>
        <w:numPr>
          <w:ilvl w:val="0"/>
          <w:numId w:val="110"/>
        </w:numPr>
        <w:rPr>
          <w:rFonts w:cs="Times New Roman"/>
          <w:szCs w:val="24"/>
        </w:rPr>
      </w:pPr>
      <w:r w:rsidRPr="00D01620">
        <w:rPr>
          <w:rFonts w:cs="Times New Roman"/>
          <w:szCs w:val="24"/>
        </w:rPr>
        <w:t>nieinformowaniu konsumentów o sposobie i terminie wykonania prawa odstąpienia</w:t>
      </w:r>
      <w:r w:rsidR="00D01620">
        <w:rPr>
          <w:rFonts w:cs="Times New Roman"/>
          <w:szCs w:val="24"/>
        </w:rPr>
        <w:t xml:space="preserve"> </w:t>
      </w:r>
      <w:r w:rsidRPr="00D01620">
        <w:rPr>
          <w:rFonts w:cs="Times New Roman"/>
          <w:szCs w:val="24"/>
        </w:rPr>
        <w:t>od umowy na podstawie art. 27 ustawy o prawach konsumenta, a także</w:t>
      </w:r>
      <w:r w:rsidR="00D01620">
        <w:rPr>
          <w:rFonts w:cs="Times New Roman"/>
          <w:szCs w:val="24"/>
        </w:rPr>
        <w:t xml:space="preserve"> </w:t>
      </w:r>
      <w:r w:rsidRPr="00D01620">
        <w:rPr>
          <w:rFonts w:cs="Times New Roman"/>
          <w:szCs w:val="24"/>
        </w:rPr>
        <w:t>niewydawaniu wzoru formularza o odstąpieniu od umowy;</w:t>
      </w:r>
    </w:p>
    <w:p w14:paraId="5D2378D4" w14:textId="25E1FB2E" w:rsidR="00D01620" w:rsidRPr="00D01620" w:rsidRDefault="00876F82" w:rsidP="00FE70E3">
      <w:pPr>
        <w:pStyle w:val="Akapitzlist"/>
        <w:numPr>
          <w:ilvl w:val="0"/>
          <w:numId w:val="110"/>
        </w:numPr>
        <w:rPr>
          <w:rFonts w:cs="Times New Roman"/>
          <w:szCs w:val="24"/>
        </w:rPr>
      </w:pPr>
      <w:r w:rsidRPr="00D01620">
        <w:rPr>
          <w:rFonts w:cs="Times New Roman"/>
          <w:szCs w:val="24"/>
        </w:rPr>
        <w:t>kontynuowaniu procesu zmiany sprzedawcy energii elektrycznej lub paliwa</w:t>
      </w:r>
      <w:r w:rsidR="00D01620">
        <w:rPr>
          <w:rFonts w:cs="Times New Roman"/>
          <w:szCs w:val="24"/>
        </w:rPr>
        <w:t xml:space="preserve"> </w:t>
      </w:r>
      <w:r w:rsidRPr="00D01620">
        <w:rPr>
          <w:rFonts w:cs="Times New Roman"/>
          <w:szCs w:val="24"/>
        </w:rPr>
        <w:t>gazowego oraz kierowaniu do konsumentów rachunków za sprzedaż energii lub</w:t>
      </w:r>
      <w:r w:rsidR="00D01620">
        <w:rPr>
          <w:rFonts w:cs="Times New Roman"/>
          <w:szCs w:val="24"/>
        </w:rPr>
        <w:t xml:space="preserve"> </w:t>
      </w:r>
      <w:r w:rsidRPr="00D01620">
        <w:rPr>
          <w:rFonts w:cs="Times New Roman"/>
          <w:szCs w:val="24"/>
        </w:rPr>
        <w:t>paliwa gazowego i wezwań do zapłaty, pomimo skutecznego odstąpienia przez</w:t>
      </w:r>
      <w:r w:rsidR="00D01620">
        <w:rPr>
          <w:rFonts w:cs="Times New Roman"/>
          <w:szCs w:val="24"/>
        </w:rPr>
        <w:t xml:space="preserve"> </w:t>
      </w:r>
      <w:r w:rsidRPr="00D01620">
        <w:rPr>
          <w:rFonts w:cs="Times New Roman"/>
          <w:szCs w:val="24"/>
        </w:rPr>
        <w:t>konsumenta od umowy sprzedaży energii elektrycznej lub paliwa gazowego</w:t>
      </w:r>
      <w:r w:rsidR="00D01620">
        <w:rPr>
          <w:rFonts w:cs="Times New Roman"/>
          <w:szCs w:val="24"/>
        </w:rPr>
        <w:t xml:space="preserve"> </w:t>
      </w:r>
      <w:r w:rsidRPr="00D01620">
        <w:rPr>
          <w:rFonts w:cs="Times New Roman"/>
          <w:szCs w:val="24"/>
        </w:rPr>
        <w:t xml:space="preserve">zawartej z przedsiębiorcą. </w:t>
      </w:r>
    </w:p>
    <w:p w14:paraId="72F1D999" w14:textId="77777777" w:rsidR="00D01620" w:rsidRDefault="00D01620" w:rsidP="00876F82">
      <w:pPr>
        <w:rPr>
          <w:rFonts w:cs="Times New Roman"/>
          <w:szCs w:val="24"/>
        </w:rPr>
      </w:pPr>
    </w:p>
    <w:p w14:paraId="3C03419C" w14:textId="31D1AEE8" w:rsidR="00876F82" w:rsidRDefault="00876F82" w:rsidP="00876F82">
      <w:pPr>
        <w:rPr>
          <w:rFonts w:cs="Times New Roman"/>
          <w:szCs w:val="24"/>
        </w:rPr>
      </w:pPr>
      <w:r w:rsidRPr="00876F82">
        <w:rPr>
          <w:rFonts w:cs="Times New Roman"/>
          <w:szCs w:val="24"/>
        </w:rPr>
        <w:lastRenderedPageBreak/>
        <w:t xml:space="preserve">Ponadto Prezes Urzędu w 2020 r. wobec przedsiębiorców prowadzących sprzedaż </w:t>
      </w:r>
      <w:proofErr w:type="spellStart"/>
      <w:r w:rsidRPr="00876F82">
        <w:rPr>
          <w:rFonts w:cs="Times New Roman"/>
          <w:szCs w:val="24"/>
        </w:rPr>
        <w:t>door-todoor</w:t>
      </w:r>
      <w:proofErr w:type="spellEnd"/>
      <w:r w:rsidR="00D01620">
        <w:rPr>
          <w:rFonts w:cs="Times New Roman"/>
          <w:szCs w:val="24"/>
        </w:rPr>
        <w:t xml:space="preserve"> </w:t>
      </w:r>
      <w:r w:rsidRPr="00876F82">
        <w:rPr>
          <w:rFonts w:cs="Times New Roman"/>
          <w:szCs w:val="24"/>
        </w:rPr>
        <w:t>prowadził postępowania wyjaśniające. Wskazać m.in. należy na postępowania</w:t>
      </w:r>
      <w:r w:rsidR="00D01620">
        <w:rPr>
          <w:rFonts w:cs="Times New Roman"/>
          <w:szCs w:val="24"/>
        </w:rPr>
        <w:t xml:space="preserve"> </w:t>
      </w:r>
      <w:r w:rsidRPr="00876F82">
        <w:rPr>
          <w:rFonts w:cs="Times New Roman"/>
          <w:szCs w:val="24"/>
        </w:rPr>
        <w:t>wyjaśniające prowadzone w związku z działaniami Centrum Rehabilitacji Kompleksowej</w:t>
      </w:r>
      <w:r w:rsidR="00D01620">
        <w:rPr>
          <w:rFonts w:cs="Times New Roman"/>
          <w:szCs w:val="24"/>
        </w:rPr>
        <w:t xml:space="preserve"> </w:t>
      </w:r>
      <w:r w:rsidRPr="00876F82">
        <w:rPr>
          <w:rFonts w:cs="Times New Roman"/>
          <w:szCs w:val="24"/>
        </w:rPr>
        <w:t>Sp. z o. o. z</w:t>
      </w:r>
      <w:r w:rsidR="00D01620">
        <w:rPr>
          <w:rFonts w:cs="Times New Roman"/>
          <w:szCs w:val="24"/>
        </w:rPr>
        <w:t> </w:t>
      </w:r>
      <w:r w:rsidRPr="00876F82">
        <w:rPr>
          <w:rFonts w:cs="Times New Roman"/>
          <w:szCs w:val="24"/>
        </w:rPr>
        <w:t>siedzibą w Warszawie. W jego ramach badano nieprawidłowości dotyczące</w:t>
      </w:r>
      <w:r w:rsidR="00D01620">
        <w:rPr>
          <w:rFonts w:cs="Times New Roman"/>
          <w:szCs w:val="24"/>
        </w:rPr>
        <w:t xml:space="preserve"> </w:t>
      </w:r>
      <w:r w:rsidRPr="00876F82">
        <w:rPr>
          <w:rFonts w:cs="Times New Roman"/>
          <w:szCs w:val="24"/>
        </w:rPr>
        <w:t>działań w</w:t>
      </w:r>
      <w:r w:rsidR="00D01620">
        <w:rPr>
          <w:rFonts w:cs="Times New Roman"/>
          <w:szCs w:val="24"/>
        </w:rPr>
        <w:t> </w:t>
      </w:r>
      <w:r w:rsidRPr="00876F82">
        <w:rPr>
          <w:rFonts w:cs="Times New Roman"/>
          <w:szCs w:val="24"/>
        </w:rPr>
        <w:t>zakresie sprzedaży pakietów usług medycznych (brak informowania</w:t>
      </w:r>
      <w:r w:rsidR="00D01620">
        <w:rPr>
          <w:rFonts w:cs="Times New Roman"/>
          <w:szCs w:val="24"/>
        </w:rPr>
        <w:t xml:space="preserve"> </w:t>
      </w:r>
      <w:r w:rsidRPr="00876F82">
        <w:rPr>
          <w:rFonts w:cs="Times New Roman"/>
          <w:szCs w:val="24"/>
        </w:rPr>
        <w:t>o handlowym celu spotkań, wprowadzanie w błąd co do zakresu oferowanych usług,</w:t>
      </w:r>
      <w:r w:rsidR="00D01620">
        <w:rPr>
          <w:rFonts w:cs="Times New Roman"/>
          <w:szCs w:val="24"/>
        </w:rPr>
        <w:t xml:space="preserve"> </w:t>
      </w:r>
      <w:r w:rsidRPr="00876F82">
        <w:rPr>
          <w:rFonts w:cs="Times New Roman"/>
          <w:szCs w:val="24"/>
        </w:rPr>
        <w:t>wyjątkowości oferty, działania w ramach promocji). Postępowanie zakończono (w dniu 15</w:t>
      </w:r>
      <w:r w:rsidR="00D01620">
        <w:rPr>
          <w:rFonts w:cs="Times New Roman"/>
          <w:szCs w:val="24"/>
        </w:rPr>
        <w:t xml:space="preserve"> </w:t>
      </w:r>
      <w:r w:rsidRPr="00876F82">
        <w:rPr>
          <w:rFonts w:cs="Times New Roman"/>
          <w:szCs w:val="24"/>
        </w:rPr>
        <w:t>marca 2021 r.) z powodu zaprzestania przez spółkę działalności pod wskazywanymi</w:t>
      </w:r>
      <w:r w:rsidR="00E4416D">
        <w:rPr>
          <w:rFonts w:cs="Times New Roman"/>
          <w:szCs w:val="24"/>
        </w:rPr>
        <w:t xml:space="preserve"> </w:t>
      </w:r>
      <w:r w:rsidRPr="00876F82">
        <w:rPr>
          <w:rFonts w:cs="Times New Roman"/>
          <w:szCs w:val="24"/>
        </w:rPr>
        <w:t>wcześniej adresami oraz brakiem nowych skarg od konsumentów.</w:t>
      </w:r>
    </w:p>
    <w:p w14:paraId="542FBFF7" w14:textId="77777777" w:rsidR="00E4416D" w:rsidRPr="00876F82" w:rsidRDefault="00E4416D" w:rsidP="00876F82">
      <w:pPr>
        <w:rPr>
          <w:rFonts w:cs="Times New Roman"/>
          <w:szCs w:val="24"/>
        </w:rPr>
      </w:pPr>
    </w:p>
    <w:p w14:paraId="63F8BF62" w14:textId="77777777" w:rsidR="00876F82" w:rsidRPr="00E4416D" w:rsidRDefault="00876F82" w:rsidP="00876F82">
      <w:pPr>
        <w:rPr>
          <w:rFonts w:cs="Times New Roman"/>
          <w:b/>
          <w:bCs/>
          <w:szCs w:val="24"/>
        </w:rPr>
      </w:pPr>
      <w:r w:rsidRPr="005622C9">
        <w:rPr>
          <w:rFonts w:cs="Times New Roman"/>
          <w:b/>
          <w:bCs/>
          <w:szCs w:val="24"/>
        </w:rPr>
        <w:t>Działalność tzw. prywatnych domów opieki</w:t>
      </w:r>
    </w:p>
    <w:p w14:paraId="292FD24E" w14:textId="263B5E69" w:rsidR="00876F82" w:rsidRDefault="00876F82" w:rsidP="00876F82">
      <w:pPr>
        <w:rPr>
          <w:rFonts w:cs="Times New Roman"/>
          <w:szCs w:val="24"/>
        </w:rPr>
      </w:pPr>
      <w:r w:rsidRPr="00876F82">
        <w:rPr>
          <w:rFonts w:cs="Times New Roman"/>
          <w:szCs w:val="24"/>
        </w:rPr>
        <w:t>Prezes Urzędu podejmuje ponadto działania władcze w zakresie eliminowania</w:t>
      </w:r>
      <w:r w:rsidR="00E4416D">
        <w:rPr>
          <w:rFonts w:cs="Times New Roman"/>
          <w:szCs w:val="24"/>
        </w:rPr>
        <w:t xml:space="preserve"> </w:t>
      </w:r>
      <w:r w:rsidRPr="00876F82">
        <w:rPr>
          <w:rFonts w:cs="Times New Roman"/>
          <w:szCs w:val="24"/>
        </w:rPr>
        <w:t>nieprawidłowości we wzorcach umowy wykorzystywanych przez przedsiębiorców</w:t>
      </w:r>
      <w:r w:rsidR="00E4416D">
        <w:rPr>
          <w:rFonts w:cs="Times New Roman"/>
          <w:szCs w:val="24"/>
        </w:rPr>
        <w:t xml:space="preserve"> </w:t>
      </w:r>
      <w:r w:rsidRPr="00876F82">
        <w:rPr>
          <w:rFonts w:cs="Times New Roman"/>
          <w:szCs w:val="24"/>
        </w:rPr>
        <w:t>prowadzących placówki zapewniające całodobową opiekę osobom niepełnosprawnym,</w:t>
      </w:r>
      <w:r w:rsidR="00E4416D">
        <w:rPr>
          <w:rFonts w:cs="Times New Roman"/>
          <w:szCs w:val="24"/>
        </w:rPr>
        <w:t xml:space="preserve"> </w:t>
      </w:r>
      <w:r w:rsidRPr="00876F82">
        <w:rPr>
          <w:rFonts w:cs="Times New Roman"/>
          <w:szCs w:val="24"/>
        </w:rPr>
        <w:t>przewlekle chorym lub osobom w podeszłym wieku. Grupą konsumentów, którzy mogą być</w:t>
      </w:r>
      <w:r w:rsidR="00E4416D">
        <w:rPr>
          <w:rFonts w:cs="Times New Roman"/>
          <w:szCs w:val="24"/>
        </w:rPr>
        <w:t xml:space="preserve"> </w:t>
      </w:r>
      <w:r w:rsidRPr="00876F82">
        <w:rPr>
          <w:rFonts w:cs="Times New Roman"/>
          <w:szCs w:val="24"/>
        </w:rPr>
        <w:t>potencjalnie poszkodowani działaniami takich przedsiębiorców są seniorzy, osoby</w:t>
      </w:r>
      <w:r w:rsidR="00E4416D">
        <w:rPr>
          <w:rFonts w:cs="Times New Roman"/>
          <w:szCs w:val="24"/>
        </w:rPr>
        <w:t xml:space="preserve"> </w:t>
      </w:r>
      <w:r w:rsidRPr="00876F82">
        <w:rPr>
          <w:rFonts w:cs="Times New Roman"/>
          <w:szCs w:val="24"/>
        </w:rPr>
        <w:t>przewlekle</w:t>
      </w:r>
      <w:r w:rsidR="00E4416D">
        <w:rPr>
          <w:rFonts w:cs="Times New Roman"/>
          <w:szCs w:val="24"/>
        </w:rPr>
        <w:t xml:space="preserve"> </w:t>
      </w:r>
      <w:r w:rsidRPr="00876F82">
        <w:rPr>
          <w:rFonts w:cs="Times New Roman"/>
          <w:szCs w:val="24"/>
        </w:rPr>
        <w:t>chore i niepełnosprawne.</w:t>
      </w:r>
    </w:p>
    <w:p w14:paraId="4EA19D26" w14:textId="77777777" w:rsidR="00E4416D" w:rsidRPr="00876F82" w:rsidRDefault="00E4416D" w:rsidP="00876F82">
      <w:pPr>
        <w:rPr>
          <w:rFonts w:cs="Times New Roman"/>
          <w:szCs w:val="24"/>
        </w:rPr>
      </w:pPr>
    </w:p>
    <w:p w14:paraId="49D4C593" w14:textId="0A6032F4" w:rsidR="00E4416D" w:rsidRDefault="00876F82" w:rsidP="00876F82">
      <w:pPr>
        <w:rPr>
          <w:rFonts w:cs="Times New Roman"/>
          <w:szCs w:val="24"/>
        </w:rPr>
      </w:pPr>
      <w:r w:rsidRPr="00876F82">
        <w:rPr>
          <w:rFonts w:cs="Times New Roman"/>
          <w:szCs w:val="24"/>
        </w:rPr>
        <w:t>W związku z powyższym Prezes UOKiK działając na podstawie art. 49a ustawy o ochronie</w:t>
      </w:r>
      <w:r w:rsidR="00E4416D">
        <w:rPr>
          <w:rFonts w:cs="Times New Roman"/>
          <w:szCs w:val="24"/>
        </w:rPr>
        <w:t xml:space="preserve"> </w:t>
      </w:r>
      <w:r w:rsidRPr="00876F82">
        <w:rPr>
          <w:rFonts w:cs="Times New Roman"/>
          <w:szCs w:val="24"/>
        </w:rPr>
        <w:t>konkurencji i konsumentów wystosował do szeregu przedsiębiorców oferujących</w:t>
      </w:r>
      <w:r w:rsidR="00E4416D">
        <w:rPr>
          <w:rFonts w:cs="Times New Roman"/>
          <w:szCs w:val="24"/>
        </w:rPr>
        <w:t xml:space="preserve"> </w:t>
      </w:r>
      <w:r w:rsidRPr="00876F82">
        <w:rPr>
          <w:rFonts w:cs="Times New Roman"/>
          <w:szCs w:val="24"/>
        </w:rPr>
        <w:t>całodobową</w:t>
      </w:r>
      <w:r w:rsidR="00E4416D">
        <w:rPr>
          <w:rFonts w:cs="Times New Roman"/>
          <w:szCs w:val="24"/>
        </w:rPr>
        <w:t xml:space="preserve"> </w:t>
      </w:r>
      <w:r w:rsidRPr="00876F82">
        <w:rPr>
          <w:rFonts w:cs="Times New Roman"/>
          <w:szCs w:val="24"/>
        </w:rPr>
        <w:t>opiekę osobom starszym, wystąpienia z zakresu ochrony konsumentów,</w:t>
      </w:r>
      <w:r w:rsidR="00E4416D">
        <w:rPr>
          <w:rFonts w:cs="Times New Roman"/>
          <w:szCs w:val="24"/>
        </w:rPr>
        <w:t xml:space="preserve"> </w:t>
      </w:r>
      <w:r w:rsidRPr="00876F82">
        <w:rPr>
          <w:rFonts w:cs="Times New Roman"/>
          <w:szCs w:val="24"/>
        </w:rPr>
        <w:t>w związku ze</w:t>
      </w:r>
      <w:r w:rsidR="00E4416D">
        <w:rPr>
          <w:rFonts w:cs="Times New Roman"/>
          <w:szCs w:val="24"/>
        </w:rPr>
        <w:t xml:space="preserve"> </w:t>
      </w:r>
      <w:r w:rsidRPr="00876F82">
        <w:rPr>
          <w:rFonts w:cs="Times New Roman"/>
          <w:szCs w:val="24"/>
        </w:rPr>
        <w:t>stosowaniem we wzorcach umów niedozwolonych postanowień, na podstawie</w:t>
      </w:r>
      <w:r w:rsidR="00E4416D">
        <w:rPr>
          <w:rFonts w:cs="Times New Roman"/>
          <w:szCs w:val="24"/>
        </w:rPr>
        <w:t xml:space="preserve"> </w:t>
      </w:r>
      <w:r w:rsidRPr="00876F82">
        <w:rPr>
          <w:rFonts w:cs="Times New Roman"/>
          <w:szCs w:val="24"/>
        </w:rPr>
        <w:t>których prawa i obowiązki pensjonariuszy domów opieki są kształtowane w sposób</w:t>
      </w:r>
      <w:r w:rsidR="00E4416D">
        <w:rPr>
          <w:rFonts w:cs="Times New Roman"/>
          <w:szCs w:val="24"/>
        </w:rPr>
        <w:t xml:space="preserve"> </w:t>
      </w:r>
      <w:r w:rsidRPr="00876F82">
        <w:rPr>
          <w:rFonts w:cs="Times New Roman"/>
          <w:szCs w:val="24"/>
        </w:rPr>
        <w:t>sprzeczny z dobrymi obyczajami, rażąco naruszając interesy pensjonariuszy, m.in.</w:t>
      </w:r>
      <w:r w:rsidR="00E4416D">
        <w:rPr>
          <w:rFonts w:cs="Times New Roman"/>
          <w:szCs w:val="24"/>
        </w:rPr>
        <w:t xml:space="preserve"> </w:t>
      </w:r>
      <w:r w:rsidRPr="00876F82">
        <w:rPr>
          <w:rFonts w:cs="Times New Roman"/>
          <w:szCs w:val="24"/>
        </w:rPr>
        <w:t>w zakresie rozwiązania umowy bez terminu na opuszczenie domu opieki, przewidujących</w:t>
      </w:r>
      <w:r w:rsidR="00E4416D">
        <w:rPr>
          <w:rFonts w:cs="Times New Roman"/>
          <w:szCs w:val="24"/>
        </w:rPr>
        <w:t xml:space="preserve"> </w:t>
      </w:r>
      <w:r w:rsidRPr="00876F82">
        <w:rPr>
          <w:rFonts w:cs="Times New Roman"/>
          <w:szCs w:val="24"/>
        </w:rPr>
        <w:t>wyłącznie dla domu seniora</w:t>
      </w:r>
      <w:r w:rsidR="00E4416D">
        <w:rPr>
          <w:rFonts w:cs="Times New Roman"/>
          <w:szCs w:val="24"/>
        </w:rPr>
        <w:t xml:space="preserve"> </w:t>
      </w:r>
      <w:r w:rsidRPr="00876F82">
        <w:rPr>
          <w:rFonts w:cs="Times New Roman"/>
          <w:szCs w:val="24"/>
        </w:rPr>
        <w:t>jednostronne uprawnienie do zmiany, bez ważnych przyczyn,</w:t>
      </w:r>
      <w:r w:rsidR="00E4416D">
        <w:rPr>
          <w:rFonts w:cs="Times New Roman"/>
          <w:szCs w:val="24"/>
        </w:rPr>
        <w:t xml:space="preserve"> </w:t>
      </w:r>
      <w:r w:rsidRPr="00876F82">
        <w:rPr>
          <w:rFonts w:cs="Times New Roman"/>
          <w:szCs w:val="24"/>
        </w:rPr>
        <w:t>istotnych cech świadczenia, wyłączających lub ograniczających odpowiedzialność</w:t>
      </w:r>
      <w:r w:rsidR="00E4416D">
        <w:rPr>
          <w:rFonts w:cs="Times New Roman"/>
          <w:szCs w:val="24"/>
        </w:rPr>
        <w:t xml:space="preserve"> </w:t>
      </w:r>
      <w:r w:rsidRPr="00876F82">
        <w:rPr>
          <w:rFonts w:cs="Times New Roman"/>
          <w:szCs w:val="24"/>
        </w:rPr>
        <w:t>względem pensjonariusza domu opieki za niewykonanie lub nienależyte wykonanie umowy</w:t>
      </w:r>
      <w:r w:rsidR="00E4416D">
        <w:rPr>
          <w:rFonts w:cs="Times New Roman"/>
          <w:szCs w:val="24"/>
        </w:rPr>
        <w:t xml:space="preserve"> </w:t>
      </w:r>
      <w:r w:rsidRPr="00876F82">
        <w:rPr>
          <w:rFonts w:cs="Times New Roman"/>
          <w:szCs w:val="24"/>
        </w:rPr>
        <w:t>pobytu w domu opieki (art. 3851 § 1 k.c. oraz art. 3853 pkt 2, pkt 19). W tym zakresie</w:t>
      </w:r>
      <w:r w:rsidR="00E4416D">
        <w:rPr>
          <w:rFonts w:cs="Times New Roman"/>
          <w:szCs w:val="24"/>
        </w:rPr>
        <w:t xml:space="preserve"> </w:t>
      </w:r>
      <w:r w:rsidRPr="00876F82">
        <w:rPr>
          <w:rFonts w:cs="Times New Roman"/>
          <w:szCs w:val="24"/>
        </w:rPr>
        <w:t>Prezes Urzędu skierował wystąpienia m.in. do następujących przedsiębiorców: Janusza</w:t>
      </w:r>
      <w:r w:rsidR="00E4416D">
        <w:rPr>
          <w:rFonts w:cs="Times New Roman"/>
          <w:szCs w:val="24"/>
        </w:rPr>
        <w:t xml:space="preserve"> </w:t>
      </w:r>
      <w:r w:rsidRPr="00876F82">
        <w:rPr>
          <w:rFonts w:cs="Times New Roman"/>
          <w:szCs w:val="24"/>
        </w:rPr>
        <w:t>Lasowego prowadzącego działalność gospodarczą pod firmą Prywatny Dom Opieki</w:t>
      </w:r>
      <w:r w:rsidR="00E4416D">
        <w:rPr>
          <w:rFonts w:cs="Times New Roman"/>
          <w:szCs w:val="24"/>
        </w:rPr>
        <w:t xml:space="preserve"> </w:t>
      </w:r>
      <w:r w:rsidRPr="00876F82">
        <w:rPr>
          <w:rFonts w:cs="Times New Roman"/>
          <w:szCs w:val="24"/>
        </w:rPr>
        <w:t xml:space="preserve">„Pensjonat nad rozlewiskiem” w </w:t>
      </w:r>
      <w:proofErr w:type="spellStart"/>
      <w:r w:rsidRPr="00876F82">
        <w:rPr>
          <w:rFonts w:cs="Times New Roman"/>
          <w:szCs w:val="24"/>
        </w:rPr>
        <w:t>Rogóżu</w:t>
      </w:r>
      <w:proofErr w:type="spellEnd"/>
      <w:r w:rsidRPr="00876F82">
        <w:rPr>
          <w:rFonts w:cs="Times New Roman"/>
          <w:szCs w:val="24"/>
        </w:rPr>
        <w:t xml:space="preserve">, Instytutu Rozwoju Sp. z o.o. z siedzibą w </w:t>
      </w:r>
      <w:proofErr w:type="spellStart"/>
      <w:r w:rsidRPr="00876F82">
        <w:rPr>
          <w:rFonts w:cs="Times New Roman"/>
          <w:szCs w:val="24"/>
        </w:rPr>
        <w:t>Kozarku</w:t>
      </w:r>
      <w:proofErr w:type="spellEnd"/>
      <w:r w:rsidR="00E4416D">
        <w:rPr>
          <w:rFonts w:cs="Times New Roman"/>
          <w:szCs w:val="24"/>
        </w:rPr>
        <w:t xml:space="preserve"> </w:t>
      </w:r>
      <w:r w:rsidRPr="00876F82">
        <w:rPr>
          <w:rFonts w:cs="Times New Roman"/>
          <w:szCs w:val="24"/>
        </w:rPr>
        <w:t>Małym prowadzącego Dom Opieki „Mazurska Zagroda” w</w:t>
      </w:r>
      <w:r w:rsidR="00E4416D">
        <w:rPr>
          <w:rFonts w:cs="Times New Roman"/>
          <w:szCs w:val="24"/>
        </w:rPr>
        <w:t> </w:t>
      </w:r>
      <w:proofErr w:type="spellStart"/>
      <w:r w:rsidRPr="00876F82">
        <w:rPr>
          <w:rFonts w:cs="Times New Roman"/>
          <w:szCs w:val="24"/>
        </w:rPr>
        <w:t>Kozarku</w:t>
      </w:r>
      <w:proofErr w:type="spellEnd"/>
      <w:r w:rsidRPr="00876F82">
        <w:rPr>
          <w:rFonts w:cs="Times New Roman"/>
          <w:szCs w:val="24"/>
        </w:rPr>
        <w:t xml:space="preserve"> Małym, DAR </w:t>
      </w:r>
      <w:r w:rsidR="00E4416D">
        <w:rPr>
          <w:rFonts w:cs="Times New Roman"/>
          <w:szCs w:val="24"/>
        </w:rPr>
        <w:t xml:space="preserve">MED. </w:t>
      </w:r>
      <w:r w:rsidRPr="00876F82">
        <w:rPr>
          <w:rFonts w:cs="Times New Roman"/>
          <w:szCs w:val="24"/>
        </w:rPr>
        <w:t>Sp. z o.o. sp.k. z siedzibą w Biesalu prowadzącej Młodzi Duchem Dom Seniora Mazury,</w:t>
      </w:r>
      <w:r w:rsidR="00E4416D">
        <w:rPr>
          <w:rFonts w:cs="Times New Roman"/>
          <w:szCs w:val="24"/>
        </w:rPr>
        <w:t xml:space="preserve"> </w:t>
      </w:r>
      <w:r w:rsidRPr="00876F82">
        <w:rPr>
          <w:rFonts w:cs="Times New Roman"/>
          <w:szCs w:val="24"/>
        </w:rPr>
        <w:t xml:space="preserve">Anny Kozłowskiej - </w:t>
      </w:r>
      <w:proofErr w:type="spellStart"/>
      <w:r w:rsidRPr="00876F82">
        <w:rPr>
          <w:rFonts w:cs="Times New Roman"/>
          <w:szCs w:val="24"/>
        </w:rPr>
        <w:t>Machalińskiej</w:t>
      </w:r>
      <w:proofErr w:type="spellEnd"/>
      <w:r w:rsidRPr="00876F82">
        <w:rPr>
          <w:rFonts w:cs="Times New Roman"/>
          <w:szCs w:val="24"/>
        </w:rPr>
        <w:t xml:space="preserve"> prowadzącej działalność gospodarczą pod firmą Prywatny</w:t>
      </w:r>
      <w:r w:rsidR="00E4416D">
        <w:rPr>
          <w:rFonts w:cs="Times New Roman"/>
          <w:szCs w:val="24"/>
        </w:rPr>
        <w:t xml:space="preserve"> </w:t>
      </w:r>
      <w:r w:rsidRPr="00876F82">
        <w:rPr>
          <w:rFonts w:cs="Times New Roman"/>
          <w:szCs w:val="24"/>
        </w:rPr>
        <w:t xml:space="preserve">Dom „Słoneczko” Anna Kozłowska – </w:t>
      </w:r>
      <w:proofErr w:type="spellStart"/>
      <w:r w:rsidRPr="00876F82">
        <w:rPr>
          <w:rFonts w:cs="Times New Roman"/>
          <w:szCs w:val="24"/>
        </w:rPr>
        <w:t>Machalińska</w:t>
      </w:r>
      <w:proofErr w:type="spellEnd"/>
      <w:r w:rsidRPr="00876F82">
        <w:rPr>
          <w:rFonts w:cs="Times New Roman"/>
          <w:szCs w:val="24"/>
        </w:rPr>
        <w:t xml:space="preserve"> z/s w</w:t>
      </w:r>
      <w:r w:rsidR="00E4416D">
        <w:rPr>
          <w:rFonts w:cs="Times New Roman"/>
          <w:szCs w:val="24"/>
        </w:rPr>
        <w:t> </w:t>
      </w:r>
      <w:r w:rsidRPr="00876F82">
        <w:rPr>
          <w:rFonts w:cs="Times New Roman"/>
          <w:szCs w:val="24"/>
        </w:rPr>
        <w:t>Gdańsku, a także do Domu Opieki</w:t>
      </w:r>
      <w:r w:rsidR="00E4416D">
        <w:rPr>
          <w:rFonts w:cs="Times New Roman"/>
          <w:szCs w:val="24"/>
        </w:rPr>
        <w:t xml:space="preserve"> </w:t>
      </w:r>
      <w:r w:rsidRPr="00876F82">
        <w:rPr>
          <w:rFonts w:cs="Times New Roman"/>
          <w:szCs w:val="24"/>
        </w:rPr>
        <w:t>w Korzennie Świętokrzyskie Centrum Zdrowia Psychicznego, Domu Pomocy Społecznej</w:t>
      </w:r>
      <w:r w:rsidR="00E4416D">
        <w:rPr>
          <w:rFonts w:cs="Times New Roman"/>
          <w:szCs w:val="24"/>
        </w:rPr>
        <w:t xml:space="preserve"> </w:t>
      </w:r>
      <w:r w:rsidRPr="00876F82">
        <w:rPr>
          <w:rFonts w:cs="Times New Roman"/>
          <w:szCs w:val="24"/>
        </w:rPr>
        <w:t>„RELAX” w Brodach, Fundacji Więź Pokoleń prowadzącej Dom Seniora Aktywni Zawsze</w:t>
      </w:r>
      <w:r w:rsidR="00E4416D">
        <w:rPr>
          <w:rFonts w:cs="Times New Roman"/>
          <w:szCs w:val="24"/>
        </w:rPr>
        <w:t xml:space="preserve"> </w:t>
      </w:r>
      <w:r w:rsidRPr="00876F82">
        <w:rPr>
          <w:rFonts w:cs="Times New Roman"/>
          <w:szCs w:val="24"/>
        </w:rPr>
        <w:t>w Kielcach, Domu Pomocy Społecznej "Anders-Dom Seniora", Wolbórz, Fundacji Dom dla</w:t>
      </w:r>
      <w:r w:rsidR="00E4416D">
        <w:rPr>
          <w:rFonts w:cs="Times New Roman"/>
          <w:szCs w:val="24"/>
        </w:rPr>
        <w:t xml:space="preserve"> </w:t>
      </w:r>
      <w:r w:rsidRPr="00876F82">
        <w:rPr>
          <w:rFonts w:cs="Times New Roman"/>
          <w:szCs w:val="24"/>
        </w:rPr>
        <w:t>Seniora w Mękarzowie, Fundacji Dom Seniora im. Sue Ruder w Pierzchnicy - Dom Pomocy</w:t>
      </w:r>
      <w:r w:rsidR="00E4416D">
        <w:rPr>
          <w:rFonts w:cs="Times New Roman"/>
          <w:szCs w:val="24"/>
        </w:rPr>
        <w:t xml:space="preserve"> </w:t>
      </w:r>
      <w:r w:rsidRPr="00876F82">
        <w:rPr>
          <w:rFonts w:cs="Times New Roman"/>
          <w:szCs w:val="24"/>
        </w:rPr>
        <w:t>Społecznej, Domu Opieki „Pogodna Jesień” w</w:t>
      </w:r>
      <w:r w:rsidR="00E4416D">
        <w:rPr>
          <w:rFonts w:cs="Times New Roman"/>
          <w:szCs w:val="24"/>
        </w:rPr>
        <w:t> </w:t>
      </w:r>
      <w:r w:rsidRPr="00876F82">
        <w:rPr>
          <w:rFonts w:cs="Times New Roman"/>
          <w:szCs w:val="24"/>
        </w:rPr>
        <w:t>Stąporkowie, Prywatnego Dom Opieki Pałac</w:t>
      </w:r>
      <w:r w:rsidR="00E4416D">
        <w:rPr>
          <w:rFonts w:cs="Times New Roman"/>
          <w:szCs w:val="24"/>
        </w:rPr>
        <w:t xml:space="preserve"> </w:t>
      </w:r>
      <w:r w:rsidRPr="00876F82">
        <w:rPr>
          <w:rFonts w:cs="Times New Roman"/>
          <w:szCs w:val="24"/>
        </w:rPr>
        <w:t xml:space="preserve">Seniora w Sulejówku, MK </w:t>
      </w:r>
      <w:proofErr w:type="spellStart"/>
      <w:r w:rsidRPr="00876F82">
        <w:rPr>
          <w:rFonts w:cs="Times New Roman"/>
          <w:szCs w:val="24"/>
        </w:rPr>
        <w:t>Medica</w:t>
      </w:r>
      <w:proofErr w:type="spellEnd"/>
      <w:r w:rsidRPr="00876F82">
        <w:rPr>
          <w:rFonts w:cs="Times New Roman"/>
          <w:szCs w:val="24"/>
        </w:rPr>
        <w:t xml:space="preserve"> Sp. z o.o. z</w:t>
      </w:r>
      <w:r w:rsidR="00E4416D">
        <w:rPr>
          <w:rFonts w:cs="Times New Roman"/>
          <w:szCs w:val="24"/>
        </w:rPr>
        <w:t xml:space="preserve"> </w:t>
      </w:r>
      <w:r w:rsidRPr="00876F82">
        <w:rPr>
          <w:rFonts w:cs="Times New Roman"/>
          <w:szCs w:val="24"/>
        </w:rPr>
        <w:t>siedzibą w Milanówku, który prowadzi dom</w:t>
      </w:r>
      <w:r w:rsidR="00E4416D">
        <w:rPr>
          <w:rFonts w:cs="Times New Roman"/>
          <w:szCs w:val="24"/>
        </w:rPr>
        <w:t xml:space="preserve"> </w:t>
      </w:r>
      <w:r w:rsidRPr="00876F82">
        <w:rPr>
          <w:rFonts w:cs="Times New Roman"/>
          <w:szCs w:val="24"/>
        </w:rPr>
        <w:t>opieki, Fundacji Nowe Horyzonty z siedzibą w</w:t>
      </w:r>
      <w:r w:rsidR="00E4416D">
        <w:rPr>
          <w:rFonts w:cs="Times New Roman"/>
          <w:szCs w:val="24"/>
        </w:rPr>
        <w:t xml:space="preserve"> </w:t>
      </w:r>
      <w:r w:rsidRPr="00876F82">
        <w:rPr>
          <w:rFonts w:cs="Times New Roman"/>
          <w:szCs w:val="24"/>
        </w:rPr>
        <w:lastRenderedPageBreak/>
        <w:t>Warszawie prowadząca podmiot leczniczy -</w:t>
      </w:r>
      <w:r w:rsidR="00E4416D">
        <w:rPr>
          <w:rFonts w:cs="Times New Roman"/>
          <w:szCs w:val="24"/>
        </w:rPr>
        <w:t xml:space="preserve"> </w:t>
      </w:r>
      <w:r w:rsidRPr="00876F82">
        <w:rPr>
          <w:rFonts w:cs="Times New Roman"/>
          <w:szCs w:val="24"/>
        </w:rPr>
        <w:t xml:space="preserve">Akademickie Centrum Medyczne, Joanny </w:t>
      </w:r>
      <w:proofErr w:type="spellStart"/>
      <w:r w:rsidRPr="00876F82">
        <w:rPr>
          <w:rFonts w:cs="Times New Roman"/>
          <w:szCs w:val="24"/>
        </w:rPr>
        <w:t>Wasylkowskiej</w:t>
      </w:r>
      <w:proofErr w:type="spellEnd"/>
      <w:r w:rsidRPr="00876F82">
        <w:rPr>
          <w:rFonts w:cs="Times New Roman"/>
          <w:szCs w:val="24"/>
        </w:rPr>
        <w:t xml:space="preserve"> – P.H.U. „Joanna”, prowadzącej</w:t>
      </w:r>
      <w:r w:rsidR="00E4416D">
        <w:rPr>
          <w:rFonts w:cs="Times New Roman"/>
          <w:szCs w:val="24"/>
        </w:rPr>
        <w:t xml:space="preserve"> </w:t>
      </w:r>
      <w:r w:rsidRPr="00876F82">
        <w:rPr>
          <w:rFonts w:cs="Times New Roman"/>
          <w:szCs w:val="24"/>
        </w:rPr>
        <w:t>Dom Całodobowej Opieki „Na Zaciszu” w</w:t>
      </w:r>
      <w:r w:rsidR="00E4416D">
        <w:rPr>
          <w:rFonts w:cs="Times New Roman"/>
          <w:szCs w:val="24"/>
        </w:rPr>
        <w:t> </w:t>
      </w:r>
      <w:r w:rsidRPr="00876F82">
        <w:rPr>
          <w:rFonts w:cs="Times New Roman"/>
          <w:szCs w:val="24"/>
        </w:rPr>
        <w:t>Krynicznie, Domu Seniora MARCONI w Świdnicy.</w:t>
      </w:r>
      <w:r>
        <w:rPr>
          <w:rFonts w:cs="Times New Roman"/>
          <w:szCs w:val="24"/>
        </w:rPr>
        <w:t xml:space="preserve"> </w:t>
      </w:r>
    </w:p>
    <w:p w14:paraId="2F6AA662" w14:textId="49D5F262" w:rsidR="00E4416D" w:rsidRDefault="00E4416D" w:rsidP="00876F82">
      <w:pPr>
        <w:rPr>
          <w:rFonts w:cs="Times New Roman"/>
          <w:szCs w:val="24"/>
        </w:rPr>
      </w:pPr>
    </w:p>
    <w:p w14:paraId="2FC087D3" w14:textId="0827648D" w:rsidR="00E4416D" w:rsidRDefault="00E4416D" w:rsidP="00876F82">
      <w:pPr>
        <w:rPr>
          <w:rFonts w:cs="Times New Roman"/>
          <w:szCs w:val="24"/>
        </w:rPr>
      </w:pPr>
    </w:p>
    <w:p w14:paraId="6A491FDB" w14:textId="77777777" w:rsidR="00E4416D" w:rsidRDefault="00E4416D" w:rsidP="00876F82">
      <w:pPr>
        <w:rPr>
          <w:rFonts w:cs="Times New Roman"/>
          <w:szCs w:val="24"/>
        </w:rPr>
      </w:pPr>
    </w:p>
    <w:p w14:paraId="593B0FB2" w14:textId="77777777" w:rsidR="00E4416D" w:rsidRDefault="00876F82" w:rsidP="00876F82">
      <w:pPr>
        <w:rPr>
          <w:rFonts w:cs="Times New Roman"/>
          <w:szCs w:val="24"/>
        </w:rPr>
      </w:pPr>
      <w:r w:rsidRPr="00E4416D">
        <w:rPr>
          <w:rFonts w:cs="Times New Roman"/>
          <w:b/>
          <w:bCs/>
          <w:szCs w:val="24"/>
        </w:rPr>
        <w:t>Działania podejmowane przez Prezesa</w:t>
      </w:r>
      <w:r w:rsidR="00E4416D" w:rsidRPr="00E4416D">
        <w:rPr>
          <w:rFonts w:cs="Times New Roman"/>
          <w:b/>
          <w:bCs/>
          <w:szCs w:val="24"/>
        </w:rPr>
        <w:t xml:space="preserve"> </w:t>
      </w:r>
      <w:r w:rsidRPr="00E4416D">
        <w:rPr>
          <w:rFonts w:cs="Times New Roman"/>
          <w:b/>
          <w:bCs/>
          <w:szCs w:val="24"/>
        </w:rPr>
        <w:t>Urzędu w związku z wykorzystaniem instytucji</w:t>
      </w:r>
      <w:r w:rsidR="00E4416D" w:rsidRPr="00E4416D">
        <w:rPr>
          <w:rFonts w:cs="Times New Roman"/>
          <w:b/>
          <w:bCs/>
          <w:szCs w:val="24"/>
        </w:rPr>
        <w:t xml:space="preserve"> </w:t>
      </w:r>
      <w:r w:rsidRPr="00E4416D">
        <w:rPr>
          <w:rFonts w:cs="Times New Roman"/>
          <w:b/>
          <w:bCs/>
          <w:szCs w:val="24"/>
        </w:rPr>
        <w:t>tajemniczego klienta</w:t>
      </w:r>
      <w:r w:rsidR="00E4416D">
        <w:rPr>
          <w:rFonts w:cs="Times New Roman"/>
          <w:szCs w:val="24"/>
        </w:rPr>
        <w:t xml:space="preserve"> </w:t>
      </w:r>
    </w:p>
    <w:p w14:paraId="6AA4D075" w14:textId="43838C4E" w:rsidR="00E4416D" w:rsidRDefault="00876F82" w:rsidP="00876F82">
      <w:pPr>
        <w:rPr>
          <w:rFonts w:cs="Times New Roman"/>
          <w:szCs w:val="24"/>
        </w:rPr>
      </w:pPr>
      <w:r w:rsidRPr="00876F82">
        <w:rPr>
          <w:rFonts w:cs="Times New Roman"/>
          <w:szCs w:val="24"/>
        </w:rPr>
        <w:t>Prezes UOKiK w ramach ustawowych kompetencji wykorzystuje również instytucję</w:t>
      </w:r>
      <w:r w:rsidR="00E4416D">
        <w:rPr>
          <w:rFonts w:cs="Times New Roman"/>
          <w:szCs w:val="24"/>
        </w:rPr>
        <w:t xml:space="preserve"> </w:t>
      </w:r>
      <w:r w:rsidR="00942717">
        <w:rPr>
          <w:rFonts w:cs="Times New Roman"/>
          <w:szCs w:val="24"/>
        </w:rPr>
        <w:t xml:space="preserve">tajemniczego klienta. </w:t>
      </w:r>
      <w:r w:rsidRPr="00876F82">
        <w:rPr>
          <w:rFonts w:cs="Times New Roman"/>
          <w:szCs w:val="24"/>
        </w:rPr>
        <w:t>Należy bowiem mieć na uwadze, że największe trudności</w:t>
      </w:r>
      <w:r w:rsidR="00E4416D">
        <w:rPr>
          <w:rFonts w:cs="Times New Roman"/>
          <w:szCs w:val="24"/>
        </w:rPr>
        <w:t xml:space="preserve"> </w:t>
      </w:r>
      <w:r w:rsidRPr="00876F82">
        <w:rPr>
          <w:rFonts w:cs="Times New Roman"/>
          <w:szCs w:val="24"/>
        </w:rPr>
        <w:t>w</w:t>
      </w:r>
      <w:r w:rsidR="00E4416D">
        <w:rPr>
          <w:rFonts w:cs="Times New Roman"/>
          <w:szCs w:val="24"/>
        </w:rPr>
        <w:t xml:space="preserve"> </w:t>
      </w:r>
      <w:r w:rsidRPr="00876F82">
        <w:rPr>
          <w:rFonts w:cs="Times New Roman"/>
          <w:szCs w:val="24"/>
        </w:rPr>
        <w:t>pozyskiwaniu dowodów występują na etapie przedkontraktowym dotyczącym procesu</w:t>
      </w:r>
      <w:r w:rsidR="00E4416D">
        <w:rPr>
          <w:rFonts w:cs="Times New Roman"/>
          <w:szCs w:val="24"/>
        </w:rPr>
        <w:t xml:space="preserve"> </w:t>
      </w:r>
      <w:r w:rsidRPr="00876F82">
        <w:rPr>
          <w:rFonts w:cs="Times New Roman"/>
          <w:szCs w:val="24"/>
        </w:rPr>
        <w:t>zawierania umowy, na który składa się m.in. prezentowanie towaru/usługi. W sprawach</w:t>
      </w:r>
      <w:r w:rsidR="00E4416D">
        <w:rPr>
          <w:rFonts w:cs="Times New Roman"/>
          <w:szCs w:val="24"/>
        </w:rPr>
        <w:t xml:space="preserve"> </w:t>
      </w:r>
      <w:r w:rsidRPr="00876F82">
        <w:rPr>
          <w:rFonts w:cs="Times New Roman"/>
          <w:szCs w:val="24"/>
        </w:rPr>
        <w:t>dotyczących sprzedaży poza lokalem przedsiębiorstwa prezentowanie towaru jest</w:t>
      </w:r>
      <w:r w:rsidR="00E4416D">
        <w:rPr>
          <w:rFonts w:cs="Times New Roman"/>
          <w:szCs w:val="24"/>
        </w:rPr>
        <w:t xml:space="preserve"> </w:t>
      </w:r>
      <w:r w:rsidRPr="00876F82">
        <w:rPr>
          <w:rFonts w:cs="Times New Roman"/>
          <w:szCs w:val="24"/>
        </w:rPr>
        <w:t>dodatkowo</w:t>
      </w:r>
      <w:r w:rsidR="00E4416D">
        <w:rPr>
          <w:rFonts w:cs="Times New Roman"/>
          <w:szCs w:val="24"/>
        </w:rPr>
        <w:t xml:space="preserve"> </w:t>
      </w:r>
      <w:r w:rsidRPr="00876F82">
        <w:rPr>
          <w:rFonts w:cs="Times New Roman"/>
          <w:szCs w:val="24"/>
        </w:rPr>
        <w:t>powiązane z wcześniejszą prezentacją dotyczącą np.: zdrowego odżywania, czy</w:t>
      </w:r>
      <w:r w:rsidR="00E4416D">
        <w:rPr>
          <w:rFonts w:cs="Times New Roman"/>
          <w:szCs w:val="24"/>
        </w:rPr>
        <w:t xml:space="preserve"> </w:t>
      </w:r>
      <w:r w:rsidRPr="00876F82">
        <w:rPr>
          <w:rFonts w:cs="Times New Roman"/>
          <w:szCs w:val="24"/>
        </w:rPr>
        <w:t>poprzedzone</w:t>
      </w:r>
      <w:r w:rsidR="00E4416D">
        <w:rPr>
          <w:rFonts w:cs="Times New Roman"/>
          <w:szCs w:val="24"/>
        </w:rPr>
        <w:t xml:space="preserve"> </w:t>
      </w:r>
      <w:r w:rsidRPr="00876F82">
        <w:rPr>
          <w:rFonts w:cs="Times New Roman"/>
          <w:szCs w:val="24"/>
        </w:rPr>
        <w:t xml:space="preserve">rzekomym badaniem stanu zdrowia. </w:t>
      </w:r>
    </w:p>
    <w:p w14:paraId="146FA010" w14:textId="77777777" w:rsidR="00E4416D" w:rsidRDefault="00E4416D" w:rsidP="00876F82">
      <w:pPr>
        <w:rPr>
          <w:rFonts w:cs="Times New Roman"/>
          <w:szCs w:val="24"/>
        </w:rPr>
      </w:pPr>
    </w:p>
    <w:p w14:paraId="1DAB7B65" w14:textId="21206910" w:rsidR="00876F82" w:rsidRDefault="00876F82" w:rsidP="00876F82">
      <w:pPr>
        <w:rPr>
          <w:rFonts w:cs="Times New Roman"/>
          <w:szCs w:val="24"/>
        </w:rPr>
      </w:pPr>
      <w:r w:rsidRPr="00876F82">
        <w:rPr>
          <w:rFonts w:cs="Times New Roman"/>
          <w:szCs w:val="24"/>
        </w:rPr>
        <w:t>Jeśli na tym etapie dochodzi do</w:t>
      </w:r>
      <w:r w:rsidR="00E4416D">
        <w:rPr>
          <w:rFonts w:cs="Times New Roman"/>
          <w:szCs w:val="24"/>
        </w:rPr>
        <w:t xml:space="preserve"> </w:t>
      </w:r>
      <w:r w:rsidRPr="00876F82">
        <w:rPr>
          <w:rFonts w:cs="Times New Roman"/>
          <w:szCs w:val="24"/>
        </w:rPr>
        <w:t>wprowadzenia konsumenta w błąd co do cech oferowanej usługi, towaru, czy też np. co do</w:t>
      </w:r>
      <w:r w:rsidR="00E4416D">
        <w:rPr>
          <w:rFonts w:cs="Times New Roman"/>
          <w:szCs w:val="24"/>
        </w:rPr>
        <w:t xml:space="preserve"> </w:t>
      </w:r>
      <w:r w:rsidRPr="00876F82">
        <w:rPr>
          <w:rFonts w:cs="Times New Roman"/>
          <w:szCs w:val="24"/>
        </w:rPr>
        <w:t>jego stanu zdrowia, to zarówno konsumentowi, jak i właściwym organom trudno wykazać,</w:t>
      </w:r>
      <w:r w:rsidR="00E4416D">
        <w:rPr>
          <w:rFonts w:cs="Times New Roman"/>
          <w:szCs w:val="24"/>
        </w:rPr>
        <w:t xml:space="preserve"> </w:t>
      </w:r>
      <w:r w:rsidRPr="00876F82">
        <w:rPr>
          <w:rFonts w:cs="Times New Roman"/>
          <w:szCs w:val="24"/>
        </w:rPr>
        <w:t>że przedsiębiorca zachował się nieuczciwie. Wykorzystanie instytucji tajemniczego klienta</w:t>
      </w:r>
      <w:r w:rsidR="00E4416D">
        <w:rPr>
          <w:rFonts w:cs="Times New Roman"/>
          <w:szCs w:val="24"/>
        </w:rPr>
        <w:t xml:space="preserve"> </w:t>
      </w:r>
      <w:r w:rsidRPr="00876F82">
        <w:rPr>
          <w:rFonts w:cs="Times New Roman"/>
          <w:szCs w:val="24"/>
        </w:rPr>
        <w:t>jest niezbędne, aby Prezes Urzędu mógł wywiązać się z ciążącego na nim obowiązku</w:t>
      </w:r>
      <w:r w:rsidR="00E4416D">
        <w:rPr>
          <w:rFonts w:cs="Times New Roman"/>
          <w:szCs w:val="24"/>
        </w:rPr>
        <w:t xml:space="preserve"> </w:t>
      </w:r>
      <w:r w:rsidRPr="00876F82">
        <w:rPr>
          <w:rFonts w:cs="Times New Roman"/>
          <w:szCs w:val="24"/>
        </w:rPr>
        <w:t>udowodnienia przedsiębiorcy naruszenia przepisów ustawy, a jednocześnie skutecznie</w:t>
      </w:r>
      <w:r w:rsidR="00E4416D">
        <w:rPr>
          <w:rFonts w:cs="Times New Roman"/>
          <w:szCs w:val="24"/>
        </w:rPr>
        <w:t xml:space="preserve"> </w:t>
      </w:r>
      <w:r w:rsidRPr="00876F82">
        <w:rPr>
          <w:rFonts w:cs="Times New Roman"/>
          <w:szCs w:val="24"/>
        </w:rPr>
        <w:t>zwalczać nieuczciwe praktyki przedsiębiorców na rynku sprzedaży bezpośredniej.</w:t>
      </w:r>
    </w:p>
    <w:p w14:paraId="736B5CDB" w14:textId="77777777" w:rsidR="00E4416D" w:rsidRPr="00876F82" w:rsidRDefault="00E4416D" w:rsidP="00876F82">
      <w:pPr>
        <w:rPr>
          <w:rFonts w:cs="Times New Roman"/>
          <w:szCs w:val="24"/>
        </w:rPr>
      </w:pPr>
    </w:p>
    <w:p w14:paraId="1851CEF2" w14:textId="16AF0385" w:rsidR="00876F82" w:rsidRPr="00876F82" w:rsidRDefault="00876F82" w:rsidP="00876F82">
      <w:pPr>
        <w:rPr>
          <w:rFonts w:cs="Times New Roman"/>
          <w:szCs w:val="24"/>
        </w:rPr>
      </w:pPr>
      <w:r w:rsidRPr="00876F82">
        <w:rPr>
          <w:rFonts w:cs="Times New Roman"/>
          <w:szCs w:val="24"/>
        </w:rPr>
        <w:t>W świetle aktualnych doświadczeń w sprawach, w których słowo przedsiębiorcy jest</w:t>
      </w:r>
      <w:r w:rsidR="00E4416D">
        <w:rPr>
          <w:rFonts w:cs="Times New Roman"/>
          <w:szCs w:val="24"/>
        </w:rPr>
        <w:t xml:space="preserve"> </w:t>
      </w:r>
      <w:r w:rsidRPr="00876F82">
        <w:rPr>
          <w:rFonts w:cs="Times New Roman"/>
          <w:szCs w:val="24"/>
        </w:rPr>
        <w:t>przeciwstawiane słowu konsumenta, a do Prezesa UOKiK należy ustalenie zgodnych</w:t>
      </w:r>
      <w:r w:rsidR="00E4416D">
        <w:rPr>
          <w:rFonts w:cs="Times New Roman"/>
          <w:szCs w:val="24"/>
        </w:rPr>
        <w:t xml:space="preserve"> </w:t>
      </w:r>
      <w:r w:rsidRPr="00876F82">
        <w:rPr>
          <w:rFonts w:cs="Times New Roman"/>
          <w:szCs w:val="24"/>
        </w:rPr>
        <w:t>z rzeczywistością faktów i okoliczności, wykorzystanie instytucji tajemniczego klienta jest</w:t>
      </w:r>
      <w:r w:rsidR="00E4416D">
        <w:rPr>
          <w:rFonts w:cs="Times New Roman"/>
          <w:szCs w:val="24"/>
        </w:rPr>
        <w:t xml:space="preserve"> </w:t>
      </w:r>
      <w:r w:rsidRPr="00876F82">
        <w:rPr>
          <w:rFonts w:cs="Times New Roman"/>
          <w:szCs w:val="24"/>
        </w:rPr>
        <w:t>niezbędne, aby Prezes Urzędu mógł wywiązać się z ciążącego na nim obowiązku</w:t>
      </w:r>
      <w:r w:rsidR="00E4416D">
        <w:rPr>
          <w:rFonts w:cs="Times New Roman"/>
          <w:szCs w:val="24"/>
        </w:rPr>
        <w:t xml:space="preserve"> </w:t>
      </w:r>
      <w:r w:rsidRPr="00876F82">
        <w:rPr>
          <w:rFonts w:cs="Times New Roman"/>
          <w:szCs w:val="24"/>
        </w:rPr>
        <w:t>udowodnienia przedsiębiorcy naruszenia przepisów ustawy, a jednocześnie skutecznie</w:t>
      </w:r>
      <w:r w:rsidR="00E4416D">
        <w:rPr>
          <w:rFonts w:cs="Times New Roman"/>
          <w:szCs w:val="24"/>
        </w:rPr>
        <w:t xml:space="preserve"> </w:t>
      </w:r>
      <w:r w:rsidRPr="00876F82">
        <w:rPr>
          <w:rFonts w:cs="Times New Roman"/>
          <w:szCs w:val="24"/>
        </w:rPr>
        <w:t>zwalczać nieuczciwe praktyki przedsiębiorców na rynku sprzedaży bezpośredniej. W 2020</w:t>
      </w:r>
      <w:r w:rsidR="00404C3A">
        <w:rPr>
          <w:rFonts w:cs="Times New Roman"/>
          <w:szCs w:val="24"/>
        </w:rPr>
        <w:t xml:space="preserve"> </w:t>
      </w:r>
      <w:r w:rsidRPr="00876F82">
        <w:rPr>
          <w:rFonts w:cs="Times New Roman"/>
          <w:szCs w:val="24"/>
        </w:rPr>
        <w:t>r.</w:t>
      </w:r>
      <w:r w:rsidR="00E4416D">
        <w:rPr>
          <w:rFonts w:cs="Times New Roman"/>
          <w:szCs w:val="24"/>
        </w:rPr>
        <w:t xml:space="preserve"> </w:t>
      </w:r>
      <w:r w:rsidRPr="00876F82">
        <w:rPr>
          <w:rFonts w:cs="Times New Roman"/>
          <w:szCs w:val="24"/>
        </w:rPr>
        <w:t>instytucja tajemniczego</w:t>
      </w:r>
      <w:r w:rsidR="00E4416D">
        <w:rPr>
          <w:rFonts w:cs="Times New Roman"/>
          <w:szCs w:val="24"/>
        </w:rPr>
        <w:t xml:space="preserve"> </w:t>
      </w:r>
      <w:r w:rsidRPr="00876F82">
        <w:rPr>
          <w:rFonts w:cs="Times New Roman"/>
          <w:szCs w:val="24"/>
        </w:rPr>
        <w:t>klienta została wykorzystana w 3 przypadkach przedsiębiorców</w:t>
      </w:r>
      <w:r w:rsidR="00E4416D">
        <w:rPr>
          <w:rFonts w:cs="Times New Roman"/>
          <w:szCs w:val="24"/>
        </w:rPr>
        <w:t xml:space="preserve"> </w:t>
      </w:r>
      <w:r w:rsidRPr="00876F82">
        <w:rPr>
          <w:rFonts w:cs="Times New Roman"/>
          <w:szCs w:val="24"/>
        </w:rPr>
        <w:t>prowadzących sprzedaż na pokazach:</w:t>
      </w:r>
    </w:p>
    <w:p w14:paraId="34543938" w14:textId="77777777" w:rsidR="00E4416D" w:rsidRDefault="00876F82" w:rsidP="00FE70E3">
      <w:pPr>
        <w:pStyle w:val="Akapitzlist"/>
        <w:numPr>
          <w:ilvl w:val="0"/>
          <w:numId w:val="111"/>
        </w:numPr>
        <w:rPr>
          <w:rFonts w:cs="Times New Roman"/>
          <w:szCs w:val="24"/>
        </w:rPr>
      </w:pPr>
      <w:r w:rsidRPr="00E4416D">
        <w:rPr>
          <w:rFonts w:cs="Times New Roman"/>
          <w:szCs w:val="24"/>
        </w:rPr>
        <w:t>w dniu 21 lutego 2020 r. w trakcie pokazu organizowanego przez przedsiębiorcę SWISSMED</w:t>
      </w:r>
      <w:r w:rsidR="00E4416D">
        <w:rPr>
          <w:rFonts w:cs="Times New Roman"/>
          <w:szCs w:val="24"/>
        </w:rPr>
        <w:t xml:space="preserve"> </w:t>
      </w:r>
      <w:r w:rsidRPr="00E4416D">
        <w:rPr>
          <w:rFonts w:cs="Times New Roman"/>
          <w:szCs w:val="24"/>
        </w:rPr>
        <w:t>sp. z o.o. sp. k. z siedzibą w Stęszewie, na którym oferowano sprzedaż sprzętu</w:t>
      </w:r>
      <w:r w:rsidR="00E4416D">
        <w:rPr>
          <w:rFonts w:cs="Times New Roman"/>
          <w:szCs w:val="24"/>
        </w:rPr>
        <w:t xml:space="preserve"> </w:t>
      </w:r>
      <w:r w:rsidRPr="00E4416D">
        <w:rPr>
          <w:rFonts w:cs="Times New Roman"/>
          <w:szCs w:val="24"/>
        </w:rPr>
        <w:t>AGD oraz produktów wełnianych;</w:t>
      </w:r>
    </w:p>
    <w:p w14:paraId="31A14FE1" w14:textId="77777777" w:rsidR="00E4416D" w:rsidRDefault="00876F82" w:rsidP="00FE70E3">
      <w:pPr>
        <w:pStyle w:val="Akapitzlist"/>
        <w:numPr>
          <w:ilvl w:val="0"/>
          <w:numId w:val="111"/>
        </w:numPr>
        <w:rPr>
          <w:rFonts w:cs="Times New Roman"/>
          <w:szCs w:val="24"/>
        </w:rPr>
      </w:pPr>
      <w:r w:rsidRPr="00E4416D">
        <w:rPr>
          <w:rFonts w:cs="Times New Roman"/>
          <w:szCs w:val="24"/>
        </w:rPr>
        <w:t>w dniu 19 lutego 2020 r. w trakcie pokazu organizowanego przez przedsiębiorcę</w:t>
      </w:r>
      <w:r w:rsidR="00E4416D">
        <w:rPr>
          <w:rFonts w:cs="Times New Roman"/>
          <w:szCs w:val="24"/>
        </w:rPr>
        <w:t xml:space="preserve"> </w:t>
      </w:r>
      <w:proofErr w:type="spellStart"/>
      <w:r w:rsidRPr="00E4416D">
        <w:rPr>
          <w:rFonts w:cs="Times New Roman"/>
          <w:szCs w:val="24"/>
        </w:rPr>
        <w:t>Rademenes</w:t>
      </w:r>
      <w:proofErr w:type="spellEnd"/>
      <w:r w:rsidRPr="00E4416D">
        <w:rPr>
          <w:rFonts w:cs="Times New Roman"/>
          <w:szCs w:val="24"/>
        </w:rPr>
        <w:t xml:space="preserve"> Pro Sp. z o.o. z siedzibą w Mrowinie na którym oferowano sprzedaż</w:t>
      </w:r>
      <w:r w:rsidR="00E4416D">
        <w:rPr>
          <w:rFonts w:cs="Times New Roman"/>
          <w:szCs w:val="24"/>
        </w:rPr>
        <w:t xml:space="preserve"> </w:t>
      </w:r>
      <w:r w:rsidRPr="00E4416D">
        <w:rPr>
          <w:rFonts w:cs="Times New Roman"/>
          <w:szCs w:val="24"/>
        </w:rPr>
        <w:t>urządzeń rehabilitacyjnych, sprzętów AGD, maści oraz lanoliny</w:t>
      </w:r>
    </w:p>
    <w:p w14:paraId="3CF8F0A3" w14:textId="24060EA8" w:rsidR="00876F82" w:rsidRDefault="00876F82" w:rsidP="00FE70E3">
      <w:pPr>
        <w:pStyle w:val="Akapitzlist"/>
        <w:numPr>
          <w:ilvl w:val="0"/>
          <w:numId w:val="111"/>
        </w:numPr>
        <w:rPr>
          <w:rFonts w:cs="Times New Roman"/>
          <w:szCs w:val="24"/>
        </w:rPr>
      </w:pPr>
      <w:r w:rsidRPr="00E4416D">
        <w:rPr>
          <w:rFonts w:cs="Times New Roman"/>
          <w:szCs w:val="24"/>
        </w:rPr>
        <w:t xml:space="preserve">w dniu 10 lipca 2020 r. w trakcie pokazu organizowanego przez przedsiębiorcy </w:t>
      </w:r>
      <w:proofErr w:type="spellStart"/>
      <w:r w:rsidRPr="00E4416D">
        <w:rPr>
          <w:rFonts w:cs="Times New Roman"/>
          <w:szCs w:val="24"/>
        </w:rPr>
        <w:t>Remeso</w:t>
      </w:r>
      <w:proofErr w:type="spellEnd"/>
      <w:r w:rsidR="00E4416D">
        <w:rPr>
          <w:rFonts w:cs="Times New Roman"/>
          <w:szCs w:val="24"/>
        </w:rPr>
        <w:t xml:space="preserve"> </w:t>
      </w:r>
      <w:r w:rsidRPr="00E4416D">
        <w:rPr>
          <w:rFonts w:cs="Times New Roman"/>
          <w:szCs w:val="24"/>
        </w:rPr>
        <w:t>Life s.c., na którym oferowano sprzedaż sprzętów AGD, naczyń, maści ziołowej oraz</w:t>
      </w:r>
      <w:r w:rsidR="00E4416D">
        <w:rPr>
          <w:rFonts w:cs="Times New Roman"/>
          <w:szCs w:val="24"/>
        </w:rPr>
        <w:t xml:space="preserve"> </w:t>
      </w:r>
      <w:r w:rsidRPr="00E4416D">
        <w:rPr>
          <w:rFonts w:cs="Times New Roman"/>
          <w:szCs w:val="24"/>
        </w:rPr>
        <w:t>lanoliny.</w:t>
      </w:r>
    </w:p>
    <w:p w14:paraId="176D02A6" w14:textId="0A6C53F7" w:rsidR="00E4416D" w:rsidRDefault="00E4416D" w:rsidP="00E4416D">
      <w:pPr>
        <w:rPr>
          <w:rFonts w:cs="Times New Roman"/>
          <w:szCs w:val="24"/>
        </w:rPr>
      </w:pPr>
    </w:p>
    <w:p w14:paraId="78DDF1AF" w14:textId="77777777" w:rsidR="00E4416D" w:rsidRPr="00E4416D" w:rsidRDefault="00E4416D" w:rsidP="00E4416D">
      <w:pPr>
        <w:rPr>
          <w:rFonts w:cs="Times New Roman"/>
          <w:szCs w:val="24"/>
        </w:rPr>
      </w:pPr>
    </w:p>
    <w:p w14:paraId="35346705" w14:textId="77777777" w:rsidR="008667BD" w:rsidRPr="00454337" w:rsidRDefault="008667BD" w:rsidP="00FE70E3">
      <w:pPr>
        <w:pStyle w:val="Nagwek2"/>
        <w:numPr>
          <w:ilvl w:val="1"/>
          <w:numId w:val="23"/>
        </w:numPr>
        <w:spacing w:before="240" w:after="240"/>
        <w:ind w:left="0" w:hanging="142"/>
        <w:rPr>
          <w:rFonts w:cs="Times New Roman"/>
          <w:sz w:val="40"/>
          <w:lang w:eastAsia="ar-SA"/>
        </w:rPr>
      </w:pPr>
      <w:r>
        <w:rPr>
          <w:rFonts w:cs="Times New Roman"/>
          <w:sz w:val="40"/>
          <w:lang w:eastAsia="ar-SA"/>
        </w:rPr>
        <w:t xml:space="preserve"> </w:t>
      </w:r>
      <w:bookmarkStart w:id="123" w:name="_Toc80523099"/>
      <w:r>
        <w:rPr>
          <w:rFonts w:cs="Times New Roman"/>
          <w:sz w:val="40"/>
          <w:lang w:eastAsia="ar-SA"/>
        </w:rPr>
        <w:t>Zakład Ubezpieczeń Społecznych</w:t>
      </w:r>
      <w:bookmarkEnd w:id="123"/>
    </w:p>
    <w:p w14:paraId="2E60EB05" w14:textId="77777777" w:rsidR="000B1B46" w:rsidRDefault="008667BD" w:rsidP="008667BD">
      <w:pPr>
        <w:autoSpaceDE w:val="0"/>
        <w:autoSpaceDN w:val="0"/>
        <w:adjustRightInd w:val="0"/>
        <w:rPr>
          <w:rFonts w:cs="Times New Roman"/>
          <w:szCs w:val="24"/>
        </w:rPr>
      </w:pPr>
      <w:r w:rsidRPr="008667BD">
        <w:rPr>
          <w:rFonts w:cs="Times New Roman"/>
          <w:szCs w:val="24"/>
        </w:rPr>
        <w:t>Zakład - z myślą o osobach starszych, które stanowią znaczącą liczbę klientów Zakładu - w 2020 r. podjął szereg działań, aby pomimo pandemii COVID-19, zapewnić bezpieczną obsługę w placówkach ZUS, utrzymując odpowiedni poziom jej jakości oraz możliwość alternatywnej obsługi dla osobistych wizyt, w tym nowe usługi dostosowane do potrzeb tej grupy.</w:t>
      </w:r>
    </w:p>
    <w:p w14:paraId="3DB7F57C" w14:textId="77777777" w:rsidR="000B1B46" w:rsidRDefault="000B1B46" w:rsidP="008667BD">
      <w:pPr>
        <w:autoSpaceDE w:val="0"/>
        <w:autoSpaceDN w:val="0"/>
        <w:adjustRightInd w:val="0"/>
        <w:rPr>
          <w:rFonts w:cs="Times New Roman"/>
          <w:szCs w:val="24"/>
        </w:rPr>
      </w:pPr>
    </w:p>
    <w:p w14:paraId="710F72B6" w14:textId="14F0DA07" w:rsidR="00745C20" w:rsidRDefault="008667BD" w:rsidP="008667BD">
      <w:pPr>
        <w:autoSpaceDE w:val="0"/>
        <w:autoSpaceDN w:val="0"/>
        <w:adjustRightInd w:val="0"/>
        <w:rPr>
          <w:rFonts w:cs="Times New Roman"/>
          <w:szCs w:val="24"/>
        </w:rPr>
      </w:pPr>
      <w:r w:rsidRPr="008667BD">
        <w:rPr>
          <w:rFonts w:cs="Times New Roman"/>
          <w:szCs w:val="24"/>
        </w:rPr>
        <w:t>W 2020 r. przyszli emeryci mogli skorzystać z usług doradców emerytalnych zatrudnionych na 927 stanowiskach „Emerytury i renty", „Doradca emerytalny" w naszych 322 placówkach w</w:t>
      </w:r>
      <w:r w:rsidR="00745C20">
        <w:rPr>
          <w:rFonts w:cs="Times New Roman"/>
          <w:szCs w:val="24"/>
        </w:rPr>
        <w:t xml:space="preserve"> </w:t>
      </w:r>
      <w:r w:rsidRPr="008667BD">
        <w:rPr>
          <w:rFonts w:cs="Times New Roman"/>
          <w:szCs w:val="24"/>
        </w:rPr>
        <w:t>terenowych jednostkach organizacyjnych.</w:t>
      </w:r>
      <w:r w:rsidR="00745C20">
        <w:rPr>
          <w:rFonts w:cs="Times New Roman"/>
          <w:szCs w:val="24"/>
        </w:rPr>
        <w:t xml:space="preserve"> </w:t>
      </w:r>
      <w:r w:rsidRPr="008667BD">
        <w:rPr>
          <w:rFonts w:cs="Times New Roman"/>
          <w:szCs w:val="24"/>
        </w:rPr>
        <w:t xml:space="preserve">Doradcy emerytalni wyliczali przy pomocy kalkulatora emerytalnego prognozowaną kwotę emerytury powszechnej, nauczycielskiego świadczenia kompensacyjnego oraz emerytury pomostowej. Przyszli świadczeniobiorcy mogli także skorzystać z kalkulatora emerytalnego zmieszczonego na portalu Platforma Usług Elektronicznych (PUE ZUS), jak również na stronie </w:t>
      </w:r>
      <w:r w:rsidR="00745C20" w:rsidRPr="00745C20">
        <w:rPr>
          <w:rFonts w:cs="Times New Roman"/>
          <w:szCs w:val="24"/>
        </w:rPr>
        <w:t>www.zus.pl</w:t>
      </w:r>
      <w:r w:rsidRPr="008667BD">
        <w:rPr>
          <w:rFonts w:cs="Times New Roman"/>
          <w:szCs w:val="24"/>
        </w:rPr>
        <w:t>.</w:t>
      </w:r>
      <w:r w:rsidR="00745C20">
        <w:rPr>
          <w:rFonts w:cs="Times New Roman"/>
          <w:szCs w:val="24"/>
        </w:rPr>
        <w:t xml:space="preserve"> </w:t>
      </w:r>
    </w:p>
    <w:p w14:paraId="2393FCA9" w14:textId="77777777" w:rsidR="00745C20" w:rsidRDefault="00745C20" w:rsidP="008667BD">
      <w:pPr>
        <w:autoSpaceDE w:val="0"/>
        <w:autoSpaceDN w:val="0"/>
        <w:adjustRightInd w:val="0"/>
        <w:rPr>
          <w:rFonts w:cs="Times New Roman"/>
          <w:szCs w:val="24"/>
        </w:rPr>
      </w:pPr>
    </w:p>
    <w:p w14:paraId="1A6486FD" w14:textId="1F127EB7" w:rsidR="008667BD" w:rsidRPr="008667BD" w:rsidRDefault="008667BD" w:rsidP="008667BD">
      <w:pPr>
        <w:autoSpaceDE w:val="0"/>
        <w:autoSpaceDN w:val="0"/>
        <w:adjustRightInd w:val="0"/>
        <w:rPr>
          <w:rFonts w:cs="Times New Roman"/>
          <w:szCs w:val="24"/>
        </w:rPr>
      </w:pPr>
      <w:r w:rsidRPr="008667BD">
        <w:rPr>
          <w:rFonts w:cs="Times New Roman"/>
          <w:szCs w:val="24"/>
        </w:rPr>
        <w:t>W 2020 r. na stanowiskach „Emerytury i renty", „Doradca emerytalny" obsłużono ponad 4,8 min klientów, w tym z usługi doradcy emerytalnego skorzystało ponad 1,4 min klientów. Doradcy emerytalni wykonali w tym czasie ponad 494 tys. wyliczeń prognozowanej emerytury.</w:t>
      </w:r>
    </w:p>
    <w:p w14:paraId="1D9B6790" w14:textId="77777777" w:rsidR="008667BD" w:rsidRPr="008667BD" w:rsidRDefault="008667BD" w:rsidP="008667BD">
      <w:pPr>
        <w:autoSpaceDE w:val="0"/>
        <w:autoSpaceDN w:val="0"/>
        <w:adjustRightInd w:val="0"/>
        <w:rPr>
          <w:rFonts w:cs="Times New Roman"/>
          <w:szCs w:val="24"/>
        </w:rPr>
      </w:pPr>
      <w:r w:rsidRPr="008667BD">
        <w:rPr>
          <w:rFonts w:cs="Times New Roman"/>
          <w:szCs w:val="24"/>
        </w:rPr>
        <w:t>Natomiast klienci, którzy korzystali z narzędzi udostępnionych przez ZUS na portalu PUE ZUS i stronie www.zus.pl wykonali w 2020 r.:</w:t>
      </w:r>
    </w:p>
    <w:p w14:paraId="13D02B8D" w14:textId="77777777" w:rsidR="00E4416D" w:rsidRDefault="008667BD" w:rsidP="00FE70E3">
      <w:pPr>
        <w:pStyle w:val="Akapitzlist"/>
        <w:numPr>
          <w:ilvl w:val="0"/>
          <w:numId w:val="112"/>
        </w:numPr>
        <w:autoSpaceDE w:val="0"/>
        <w:autoSpaceDN w:val="0"/>
        <w:adjustRightInd w:val="0"/>
        <w:rPr>
          <w:rFonts w:cs="Times New Roman"/>
          <w:szCs w:val="24"/>
        </w:rPr>
      </w:pPr>
      <w:r w:rsidRPr="00E4416D">
        <w:rPr>
          <w:rFonts w:cs="Times New Roman"/>
          <w:szCs w:val="24"/>
        </w:rPr>
        <w:t>ponad 1,3 min obliczeń w kalkulatorze na portalu PUE,</w:t>
      </w:r>
    </w:p>
    <w:p w14:paraId="60B35B7E" w14:textId="7895544E" w:rsidR="008667BD" w:rsidRPr="00E4416D" w:rsidRDefault="008667BD" w:rsidP="00FE70E3">
      <w:pPr>
        <w:pStyle w:val="Akapitzlist"/>
        <w:numPr>
          <w:ilvl w:val="0"/>
          <w:numId w:val="112"/>
        </w:numPr>
        <w:autoSpaceDE w:val="0"/>
        <w:autoSpaceDN w:val="0"/>
        <w:adjustRightInd w:val="0"/>
        <w:rPr>
          <w:rFonts w:cs="Times New Roman"/>
          <w:szCs w:val="24"/>
        </w:rPr>
      </w:pPr>
      <w:r w:rsidRPr="00E4416D">
        <w:rPr>
          <w:rFonts w:cs="Times New Roman"/>
          <w:szCs w:val="24"/>
        </w:rPr>
        <w:t xml:space="preserve">ponad 145 tys. wyliczeń w kalkulatorze na </w:t>
      </w:r>
      <w:r w:rsidR="00745C20" w:rsidRPr="00E4416D">
        <w:rPr>
          <w:rFonts w:cs="Times New Roman"/>
          <w:szCs w:val="24"/>
        </w:rPr>
        <w:t>www.zus.pl</w:t>
      </w:r>
      <w:r w:rsidRPr="00E4416D">
        <w:rPr>
          <w:rFonts w:cs="Times New Roman"/>
          <w:szCs w:val="24"/>
        </w:rPr>
        <w:t>.</w:t>
      </w:r>
    </w:p>
    <w:p w14:paraId="55DC501B" w14:textId="77777777" w:rsidR="00745C20" w:rsidRPr="008667BD" w:rsidRDefault="00745C20" w:rsidP="008667BD">
      <w:pPr>
        <w:autoSpaceDE w:val="0"/>
        <w:autoSpaceDN w:val="0"/>
        <w:adjustRightInd w:val="0"/>
        <w:rPr>
          <w:rFonts w:cs="Times New Roman"/>
          <w:szCs w:val="24"/>
        </w:rPr>
      </w:pPr>
    </w:p>
    <w:p w14:paraId="5BC9D8D9" w14:textId="77777777" w:rsidR="008667BD" w:rsidRPr="008667BD" w:rsidRDefault="008667BD" w:rsidP="008667BD">
      <w:pPr>
        <w:autoSpaceDE w:val="0"/>
        <w:autoSpaceDN w:val="0"/>
        <w:adjustRightInd w:val="0"/>
        <w:rPr>
          <w:rFonts w:cs="Times New Roman"/>
          <w:szCs w:val="24"/>
        </w:rPr>
      </w:pPr>
      <w:r w:rsidRPr="008667BD">
        <w:rPr>
          <w:rFonts w:cs="Times New Roman"/>
          <w:szCs w:val="24"/>
        </w:rPr>
        <w:t>Osoby starsze, przyszli emeryci mogli również załatwiać sprawy, korzystając z usług świadczonych przez konsultantów Centrum Obsługi Telefonicznej (COT ZUS). Konsultanci COT udzielali informacji z zakresu ubezpieczeń społecznych, w tym przepisów emerytalno- rentowych, jak również dokonali wyliczenia prognozowanej kwoty emerytury. Konsultanci COT wykonali w 2020 r. ponad 11 tys. wyliczeń w kalkulatorze emerytalnym.</w:t>
      </w:r>
    </w:p>
    <w:p w14:paraId="6990E222" w14:textId="12C6782F" w:rsidR="008667BD" w:rsidRDefault="008667BD" w:rsidP="008667BD">
      <w:pPr>
        <w:autoSpaceDE w:val="0"/>
        <w:autoSpaceDN w:val="0"/>
        <w:adjustRightInd w:val="0"/>
        <w:rPr>
          <w:rFonts w:cs="Times New Roman"/>
          <w:szCs w:val="24"/>
        </w:rPr>
      </w:pPr>
      <w:r w:rsidRPr="008667BD">
        <w:rPr>
          <w:rFonts w:cs="Times New Roman"/>
          <w:szCs w:val="24"/>
        </w:rPr>
        <w:t>Obliczanie prognozowanej kwoty przyszłej emerytury przyczynia się do podnoszenia świadomości przyszłych emerytów w zakresie wyboru najkorzystniejszego momentu zakończenia aktywności zawodowej i przejścia na emeryturę.</w:t>
      </w:r>
    </w:p>
    <w:p w14:paraId="62FD5D37" w14:textId="77777777" w:rsidR="00745C20" w:rsidRPr="008667BD" w:rsidRDefault="00745C20" w:rsidP="008667BD">
      <w:pPr>
        <w:autoSpaceDE w:val="0"/>
        <w:autoSpaceDN w:val="0"/>
        <w:adjustRightInd w:val="0"/>
        <w:rPr>
          <w:rFonts w:cs="Times New Roman"/>
          <w:szCs w:val="24"/>
        </w:rPr>
      </w:pPr>
    </w:p>
    <w:p w14:paraId="7640225E" w14:textId="2CEE0563" w:rsidR="008667BD" w:rsidRDefault="008667BD" w:rsidP="008667BD">
      <w:pPr>
        <w:autoSpaceDE w:val="0"/>
        <w:autoSpaceDN w:val="0"/>
        <w:adjustRightInd w:val="0"/>
        <w:rPr>
          <w:rFonts w:cs="Times New Roman"/>
          <w:szCs w:val="24"/>
        </w:rPr>
      </w:pPr>
      <w:r w:rsidRPr="008667BD">
        <w:rPr>
          <w:rFonts w:cs="Times New Roman"/>
          <w:szCs w:val="24"/>
        </w:rPr>
        <w:t>Ponadto Zakład podejmuje działania na rzecz osób starszych, których celem jest także ich aktywizacja i upowszechnianie wiedzy z zakresu ubezpieczeń społecznych. W ramach tych działań organizujemy m.in. ogólnopolską akcję „Dzień Seniora", wydajemy publikację „ZUS dla Seniora".</w:t>
      </w:r>
    </w:p>
    <w:p w14:paraId="42516ADA" w14:textId="77777777" w:rsidR="00745C20" w:rsidRPr="008667BD" w:rsidRDefault="00745C20" w:rsidP="008667BD">
      <w:pPr>
        <w:autoSpaceDE w:val="0"/>
        <w:autoSpaceDN w:val="0"/>
        <w:adjustRightInd w:val="0"/>
        <w:rPr>
          <w:rFonts w:cs="Times New Roman"/>
          <w:szCs w:val="24"/>
        </w:rPr>
      </w:pPr>
    </w:p>
    <w:p w14:paraId="15735F32" w14:textId="77777777" w:rsidR="008667BD" w:rsidRPr="008667BD" w:rsidRDefault="008667BD" w:rsidP="008667BD">
      <w:pPr>
        <w:autoSpaceDE w:val="0"/>
        <w:autoSpaceDN w:val="0"/>
        <w:adjustRightInd w:val="0"/>
        <w:rPr>
          <w:rFonts w:cs="Times New Roman"/>
          <w:szCs w:val="24"/>
        </w:rPr>
      </w:pPr>
      <w:r w:rsidRPr="008667BD">
        <w:rPr>
          <w:rFonts w:cs="Times New Roman"/>
          <w:szCs w:val="24"/>
        </w:rPr>
        <w:lastRenderedPageBreak/>
        <w:t>„Dzień Seniora" to ogólnopolska akcja, która ma na celu aktywizację osób starszych oraz upowszechnianie wiedzy o ubezpieczeniach społecznych wśród seniorów poprzez informowanie, edukowanie i wyjaśnianie kwestii związanych z ubezpieczeniami społecznymi, przysługującymi świadczeniami, opieką zdrowotną i bezpieczeństwem. W 2020 r. ze względu na pandemię COVID-19 „Dzień Seniora" miał ograniczoną formułę. Partnerami „Dnia Seniora" w 2020 r. byli:</w:t>
      </w:r>
    </w:p>
    <w:p w14:paraId="3D2DBD41" w14:textId="77777777" w:rsidR="00745C20" w:rsidRDefault="008667BD" w:rsidP="00FE70E3">
      <w:pPr>
        <w:pStyle w:val="Akapitzlist"/>
        <w:numPr>
          <w:ilvl w:val="0"/>
          <w:numId w:val="102"/>
        </w:numPr>
        <w:autoSpaceDE w:val="0"/>
        <w:autoSpaceDN w:val="0"/>
        <w:adjustRightInd w:val="0"/>
        <w:rPr>
          <w:rFonts w:cs="Times New Roman"/>
          <w:szCs w:val="24"/>
        </w:rPr>
      </w:pPr>
      <w:r w:rsidRPr="00745C20">
        <w:rPr>
          <w:rFonts w:cs="Times New Roman"/>
          <w:szCs w:val="24"/>
        </w:rPr>
        <w:t>Polski Związek Emerytów, Rencistów i Inwalidów,</w:t>
      </w:r>
    </w:p>
    <w:p w14:paraId="74A625C4" w14:textId="77777777" w:rsidR="00745C20" w:rsidRDefault="008667BD" w:rsidP="00FE70E3">
      <w:pPr>
        <w:pStyle w:val="Akapitzlist"/>
        <w:numPr>
          <w:ilvl w:val="0"/>
          <w:numId w:val="102"/>
        </w:numPr>
        <w:autoSpaceDE w:val="0"/>
        <w:autoSpaceDN w:val="0"/>
        <w:adjustRightInd w:val="0"/>
        <w:rPr>
          <w:rFonts w:cs="Times New Roman"/>
          <w:szCs w:val="24"/>
        </w:rPr>
      </w:pPr>
      <w:r w:rsidRPr="00745C20">
        <w:rPr>
          <w:rFonts w:cs="Times New Roman"/>
          <w:szCs w:val="24"/>
        </w:rPr>
        <w:t>Narodowy Fundusz Zdrowia,</w:t>
      </w:r>
    </w:p>
    <w:p w14:paraId="55531D76" w14:textId="77777777" w:rsidR="00745C20" w:rsidRDefault="008667BD" w:rsidP="00FE70E3">
      <w:pPr>
        <w:pStyle w:val="Akapitzlist"/>
        <w:numPr>
          <w:ilvl w:val="0"/>
          <w:numId w:val="102"/>
        </w:numPr>
        <w:autoSpaceDE w:val="0"/>
        <w:autoSpaceDN w:val="0"/>
        <w:adjustRightInd w:val="0"/>
        <w:rPr>
          <w:rFonts w:cs="Times New Roman"/>
          <w:szCs w:val="24"/>
        </w:rPr>
      </w:pPr>
      <w:r w:rsidRPr="00745C20">
        <w:rPr>
          <w:rFonts w:cs="Times New Roman"/>
          <w:szCs w:val="24"/>
        </w:rPr>
        <w:t>Urząd Ochrony Konkurencji i Konsumentów,</w:t>
      </w:r>
    </w:p>
    <w:p w14:paraId="778120DA" w14:textId="77777777" w:rsidR="00745C20" w:rsidRDefault="008667BD" w:rsidP="00FE70E3">
      <w:pPr>
        <w:pStyle w:val="Akapitzlist"/>
        <w:numPr>
          <w:ilvl w:val="0"/>
          <w:numId w:val="102"/>
        </w:numPr>
        <w:autoSpaceDE w:val="0"/>
        <w:autoSpaceDN w:val="0"/>
        <w:adjustRightInd w:val="0"/>
        <w:rPr>
          <w:rFonts w:cs="Times New Roman"/>
          <w:szCs w:val="24"/>
        </w:rPr>
      </w:pPr>
      <w:r w:rsidRPr="00745C20">
        <w:rPr>
          <w:rFonts w:cs="Times New Roman"/>
          <w:szCs w:val="24"/>
        </w:rPr>
        <w:t>Państwowy Fundusz Rehabilitacji Osób Niepełnosprawnych,</w:t>
      </w:r>
    </w:p>
    <w:p w14:paraId="4C33DB52" w14:textId="77777777" w:rsidR="00745C20" w:rsidRDefault="008667BD" w:rsidP="00FE70E3">
      <w:pPr>
        <w:pStyle w:val="Akapitzlist"/>
        <w:numPr>
          <w:ilvl w:val="0"/>
          <w:numId w:val="102"/>
        </w:numPr>
        <w:autoSpaceDE w:val="0"/>
        <w:autoSpaceDN w:val="0"/>
        <w:adjustRightInd w:val="0"/>
        <w:rPr>
          <w:rFonts w:cs="Times New Roman"/>
          <w:szCs w:val="24"/>
        </w:rPr>
      </w:pPr>
      <w:r w:rsidRPr="00745C20">
        <w:rPr>
          <w:rFonts w:cs="Times New Roman"/>
          <w:szCs w:val="24"/>
        </w:rPr>
        <w:t>Rzecznik Praw Obywatelskich,</w:t>
      </w:r>
    </w:p>
    <w:p w14:paraId="327C898A" w14:textId="276727B1" w:rsidR="00745C20" w:rsidRDefault="008667BD" w:rsidP="00FE70E3">
      <w:pPr>
        <w:pStyle w:val="Akapitzlist"/>
        <w:numPr>
          <w:ilvl w:val="0"/>
          <w:numId w:val="102"/>
        </w:numPr>
        <w:autoSpaceDE w:val="0"/>
        <w:autoSpaceDN w:val="0"/>
        <w:adjustRightInd w:val="0"/>
        <w:rPr>
          <w:rFonts w:cs="Times New Roman"/>
          <w:szCs w:val="24"/>
        </w:rPr>
      </w:pPr>
      <w:r w:rsidRPr="00745C20">
        <w:rPr>
          <w:rFonts w:cs="Times New Roman"/>
          <w:szCs w:val="24"/>
        </w:rPr>
        <w:t>Rzecznik Praw Pacjenta.</w:t>
      </w:r>
    </w:p>
    <w:p w14:paraId="3B6A7B7B" w14:textId="77777777" w:rsidR="00745C20" w:rsidRPr="00745C20" w:rsidRDefault="00745C20" w:rsidP="00745C20">
      <w:pPr>
        <w:autoSpaceDE w:val="0"/>
        <w:autoSpaceDN w:val="0"/>
        <w:adjustRightInd w:val="0"/>
        <w:rPr>
          <w:rFonts w:cs="Times New Roman"/>
          <w:szCs w:val="24"/>
        </w:rPr>
      </w:pPr>
    </w:p>
    <w:p w14:paraId="12C032AD" w14:textId="1257D538" w:rsidR="008667BD" w:rsidRPr="008667BD" w:rsidRDefault="008667BD" w:rsidP="008667BD">
      <w:pPr>
        <w:autoSpaceDE w:val="0"/>
        <w:autoSpaceDN w:val="0"/>
        <w:adjustRightInd w:val="0"/>
        <w:rPr>
          <w:rFonts w:cs="Times New Roman"/>
          <w:szCs w:val="24"/>
        </w:rPr>
      </w:pPr>
      <w:r w:rsidRPr="008667BD">
        <w:rPr>
          <w:rFonts w:cs="Times New Roman"/>
          <w:szCs w:val="24"/>
        </w:rPr>
        <w:t>Wspólnie z partnerami Z</w:t>
      </w:r>
      <w:r w:rsidR="00404C3A">
        <w:rPr>
          <w:rFonts w:cs="Times New Roman"/>
          <w:szCs w:val="24"/>
        </w:rPr>
        <w:t>US</w:t>
      </w:r>
      <w:r w:rsidRPr="008667BD">
        <w:rPr>
          <w:rFonts w:cs="Times New Roman"/>
          <w:szCs w:val="24"/>
        </w:rPr>
        <w:t xml:space="preserve"> wydał publikację „ZUS dla Seniora" oraz wspierał seniorów lokalnie.</w:t>
      </w:r>
      <w:r w:rsidR="00745C20">
        <w:rPr>
          <w:rFonts w:cs="Times New Roman"/>
          <w:szCs w:val="24"/>
        </w:rPr>
        <w:t xml:space="preserve"> </w:t>
      </w:r>
      <w:r w:rsidRPr="008667BD">
        <w:rPr>
          <w:rFonts w:cs="Times New Roman"/>
          <w:szCs w:val="24"/>
        </w:rPr>
        <w:t>„ZUS dla Seniora" to gazetka, która zawiera informacje najważniejsze z punktu widzenia osób starszych - dotyczące świadczeń, zdrowia, bezpieczeństwa, czy przysługujących im praw. Poruszone w niej tematy dotyczą:</w:t>
      </w:r>
    </w:p>
    <w:p w14:paraId="42C4BAA6" w14:textId="77777777" w:rsidR="00745C20" w:rsidRDefault="008667BD" w:rsidP="00FE70E3">
      <w:pPr>
        <w:pStyle w:val="Akapitzlist"/>
        <w:numPr>
          <w:ilvl w:val="0"/>
          <w:numId w:val="103"/>
        </w:numPr>
        <w:autoSpaceDE w:val="0"/>
        <w:autoSpaceDN w:val="0"/>
        <w:adjustRightInd w:val="0"/>
        <w:rPr>
          <w:rFonts w:cs="Times New Roman"/>
          <w:szCs w:val="24"/>
        </w:rPr>
      </w:pPr>
      <w:r w:rsidRPr="00745C20">
        <w:rPr>
          <w:rFonts w:cs="Times New Roman"/>
          <w:szCs w:val="24"/>
        </w:rPr>
        <w:t>rehabilitacji leczniczej,</w:t>
      </w:r>
    </w:p>
    <w:p w14:paraId="45E58CD3" w14:textId="77777777" w:rsidR="00745C20" w:rsidRDefault="008667BD" w:rsidP="00FE70E3">
      <w:pPr>
        <w:pStyle w:val="Akapitzlist"/>
        <w:numPr>
          <w:ilvl w:val="0"/>
          <w:numId w:val="103"/>
        </w:numPr>
        <w:autoSpaceDE w:val="0"/>
        <w:autoSpaceDN w:val="0"/>
        <w:adjustRightInd w:val="0"/>
        <w:rPr>
          <w:rFonts w:cs="Times New Roman"/>
          <w:szCs w:val="24"/>
        </w:rPr>
      </w:pPr>
      <w:r w:rsidRPr="00745C20">
        <w:rPr>
          <w:rFonts w:cs="Times New Roman"/>
          <w:szCs w:val="24"/>
        </w:rPr>
        <w:t>limitów zarobkowych dla emerytów,</w:t>
      </w:r>
    </w:p>
    <w:p w14:paraId="65A094A9" w14:textId="77777777" w:rsidR="00745C20" w:rsidRDefault="008667BD" w:rsidP="00FE70E3">
      <w:pPr>
        <w:pStyle w:val="Akapitzlist"/>
        <w:numPr>
          <w:ilvl w:val="0"/>
          <w:numId w:val="103"/>
        </w:numPr>
        <w:autoSpaceDE w:val="0"/>
        <w:autoSpaceDN w:val="0"/>
        <w:adjustRightInd w:val="0"/>
        <w:rPr>
          <w:rFonts w:cs="Times New Roman"/>
          <w:szCs w:val="24"/>
        </w:rPr>
      </w:pPr>
      <w:r w:rsidRPr="00745C20">
        <w:rPr>
          <w:rFonts w:cs="Times New Roman"/>
          <w:szCs w:val="24"/>
        </w:rPr>
        <w:t>nowoczesnych usług e-zdrowia,</w:t>
      </w:r>
    </w:p>
    <w:p w14:paraId="5EC84382" w14:textId="77777777" w:rsidR="00745C20" w:rsidRDefault="008667BD" w:rsidP="00FE70E3">
      <w:pPr>
        <w:pStyle w:val="Akapitzlist"/>
        <w:numPr>
          <w:ilvl w:val="0"/>
          <w:numId w:val="103"/>
        </w:numPr>
        <w:autoSpaceDE w:val="0"/>
        <w:autoSpaceDN w:val="0"/>
        <w:adjustRightInd w:val="0"/>
        <w:rPr>
          <w:rFonts w:cs="Times New Roman"/>
          <w:szCs w:val="24"/>
        </w:rPr>
      </w:pPr>
      <w:r w:rsidRPr="00745C20">
        <w:rPr>
          <w:rFonts w:cs="Times New Roman"/>
          <w:szCs w:val="24"/>
        </w:rPr>
        <w:t>dofinansowań dla osób z niepełnosprawnościami,</w:t>
      </w:r>
    </w:p>
    <w:p w14:paraId="3DD2AC35" w14:textId="77777777" w:rsidR="00745C20" w:rsidRDefault="008667BD" w:rsidP="00FE70E3">
      <w:pPr>
        <w:pStyle w:val="Akapitzlist"/>
        <w:numPr>
          <w:ilvl w:val="0"/>
          <w:numId w:val="103"/>
        </w:numPr>
        <w:autoSpaceDE w:val="0"/>
        <w:autoSpaceDN w:val="0"/>
        <w:adjustRightInd w:val="0"/>
        <w:rPr>
          <w:rFonts w:cs="Times New Roman"/>
          <w:szCs w:val="24"/>
        </w:rPr>
      </w:pPr>
      <w:r w:rsidRPr="00745C20">
        <w:rPr>
          <w:rFonts w:cs="Times New Roman"/>
          <w:szCs w:val="24"/>
        </w:rPr>
        <w:t>sposobów łagodzenia bólu,</w:t>
      </w:r>
    </w:p>
    <w:p w14:paraId="44979BF7" w14:textId="5FE3B63A" w:rsidR="008667BD" w:rsidRPr="00745C20" w:rsidRDefault="008667BD" w:rsidP="00FE70E3">
      <w:pPr>
        <w:pStyle w:val="Akapitzlist"/>
        <w:numPr>
          <w:ilvl w:val="0"/>
          <w:numId w:val="103"/>
        </w:numPr>
        <w:autoSpaceDE w:val="0"/>
        <w:autoSpaceDN w:val="0"/>
        <w:adjustRightInd w:val="0"/>
        <w:rPr>
          <w:rFonts w:cs="Times New Roman"/>
          <w:szCs w:val="24"/>
        </w:rPr>
      </w:pPr>
      <w:r w:rsidRPr="00745C20">
        <w:rPr>
          <w:rFonts w:cs="Times New Roman"/>
          <w:szCs w:val="24"/>
        </w:rPr>
        <w:t xml:space="preserve">zakupów na prezentacjach i przez </w:t>
      </w:r>
      <w:proofErr w:type="spellStart"/>
      <w:r w:rsidRPr="00745C20">
        <w:rPr>
          <w:rFonts w:cs="Times New Roman"/>
          <w:szCs w:val="24"/>
        </w:rPr>
        <w:t>internet</w:t>
      </w:r>
      <w:proofErr w:type="spellEnd"/>
      <w:r w:rsidRPr="00745C20">
        <w:rPr>
          <w:rFonts w:cs="Times New Roman"/>
          <w:szCs w:val="24"/>
        </w:rPr>
        <w:t>.</w:t>
      </w:r>
    </w:p>
    <w:p w14:paraId="07472FB8" w14:textId="77777777" w:rsidR="008667BD" w:rsidRPr="008667BD" w:rsidRDefault="008667BD" w:rsidP="008667BD">
      <w:pPr>
        <w:autoSpaceDE w:val="0"/>
        <w:autoSpaceDN w:val="0"/>
        <w:adjustRightInd w:val="0"/>
        <w:rPr>
          <w:rFonts w:cs="Times New Roman"/>
          <w:szCs w:val="24"/>
        </w:rPr>
      </w:pPr>
      <w:r w:rsidRPr="008667BD">
        <w:rPr>
          <w:rFonts w:cs="Times New Roman"/>
          <w:szCs w:val="24"/>
        </w:rPr>
        <w:t>Gazetka była dostępna na stronie internetowej ZUS oraz w punktach obsługi klientów partnerów przedsięwzięcia. Nakład wynosił 25 tys. egzemplarzy.</w:t>
      </w:r>
    </w:p>
    <w:p w14:paraId="695498EC" w14:textId="77777777" w:rsidR="00745C20" w:rsidRDefault="00745C20" w:rsidP="008667BD">
      <w:pPr>
        <w:autoSpaceDE w:val="0"/>
        <w:autoSpaceDN w:val="0"/>
        <w:adjustRightInd w:val="0"/>
        <w:rPr>
          <w:rFonts w:cs="Times New Roman"/>
          <w:szCs w:val="24"/>
        </w:rPr>
      </w:pPr>
    </w:p>
    <w:p w14:paraId="50FE6947" w14:textId="2194ECFE" w:rsidR="008667BD" w:rsidRPr="008667BD" w:rsidRDefault="008667BD" w:rsidP="008667BD">
      <w:pPr>
        <w:autoSpaceDE w:val="0"/>
        <w:autoSpaceDN w:val="0"/>
        <w:adjustRightInd w:val="0"/>
        <w:rPr>
          <w:rFonts w:cs="Times New Roman"/>
          <w:szCs w:val="24"/>
        </w:rPr>
      </w:pPr>
      <w:r w:rsidRPr="008667BD">
        <w:rPr>
          <w:rFonts w:cs="Times New Roman"/>
          <w:szCs w:val="24"/>
        </w:rPr>
        <w:t>Dodatkowo, w placówkach ZUS, organizowaliśmy dyżury telefoniczne, podczas których eksperci ZUS wyjaśniali kwestie dotyczące m.in.:</w:t>
      </w:r>
    </w:p>
    <w:p w14:paraId="033E3DED" w14:textId="77777777" w:rsidR="00745C20" w:rsidRDefault="008667BD" w:rsidP="00FE70E3">
      <w:pPr>
        <w:pStyle w:val="Akapitzlist"/>
        <w:numPr>
          <w:ilvl w:val="0"/>
          <w:numId w:val="104"/>
        </w:numPr>
        <w:autoSpaceDE w:val="0"/>
        <w:autoSpaceDN w:val="0"/>
        <w:adjustRightInd w:val="0"/>
        <w:rPr>
          <w:rFonts w:cs="Times New Roman"/>
          <w:szCs w:val="24"/>
        </w:rPr>
      </w:pPr>
      <w:r w:rsidRPr="00745C20">
        <w:rPr>
          <w:rFonts w:cs="Times New Roman"/>
          <w:szCs w:val="24"/>
        </w:rPr>
        <w:t>ustalania wg starych i nowych zasad wysokości emerytury,</w:t>
      </w:r>
    </w:p>
    <w:p w14:paraId="1C3C4FF4" w14:textId="77777777" w:rsidR="00745C20" w:rsidRDefault="008667BD" w:rsidP="00FE70E3">
      <w:pPr>
        <w:pStyle w:val="Akapitzlist"/>
        <w:numPr>
          <w:ilvl w:val="0"/>
          <w:numId w:val="104"/>
        </w:numPr>
        <w:autoSpaceDE w:val="0"/>
        <w:autoSpaceDN w:val="0"/>
        <w:adjustRightInd w:val="0"/>
        <w:rPr>
          <w:rFonts w:cs="Times New Roman"/>
          <w:szCs w:val="24"/>
        </w:rPr>
      </w:pPr>
      <w:r w:rsidRPr="00745C20">
        <w:rPr>
          <w:rFonts w:cs="Times New Roman"/>
          <w:szCs w:val="24"/>
        </w:rPr>
        <w:t>waloryzacji,</w:t>
      </w:r>
    </w:p>
    <w:p w14:paraId="5FBD3DFE" w14:textId="77777777" w:rsidR="00745C20" w:rsidRDefault="008667BD" w:rsidP="00FE70E3">
      <w:pPr>
        <w:pStyle w:val="Akapitzlist"/>
        <w:numPr>
          <w:ilvl w:val="0"/>
          <w:numId w:val="104"/>
        </w:numPr>
        <w:autoSpaceDE w:val="0"/>
        <w:autoSpaceDN w:val="0"/>
        <w:adjustRightInd w:val="0"/>
        <w:rPr>
          <w:rFonts w:cs="Times New Roman"/>
          <w:szCs w:val="24"/>
        </w:rPr>
      </w:pPr>
      <w:r w:rsidRPr="00745C20">
        <w:rPr>
          <w:rFonts w:cs="Times New Roman"/>
          <w:szCs w:val="24"/>
        </w:rPr>
        <w:t>świadczenia wyrównawczego dla działacza opozycji antykomunistycznej lub osoby represjonowanej z powodów politycznych,</w:t>
      </w:r>
    </w:p>
    <w:p w14:paraId="424237C8" w14:textId="77777777" w:rsidR="00745C20" w:rsidRDefault="008667BD" w:rsidP="00FE70E3">
      <w:pPr>
        <w:pStyle w:val="Akapitzlist"/>
        <w:numPr>
          <w:ilvl w:val="0"/>
          <w:numId w:val="104"/>
        </w:numPr>
        <w:autoSpaceDE w:val="0"/>
        <w:autoSpaceDN w:val="0"/>
        <w:adjustRightInd w:val="0"/>
        <w:rPr>
          <w:rFonts w:cs="Times New Roman"/>
          <w:szCs w:val="24"/>
        </w:rPr>
      </w:pPr>
      <w:r w:rsidRPr="00745C20">
        <w:rPr>
          <w:rFonts w:cs="Times New Roman"/>
          <w:szCs w:val="24"/>
        </w:rPr>
        <w:t>zasad przeliczania świadczeń dla osób, które urodziły się w 1953 r. i pobierają lub pobierały wcześniejszą emeryturę,</w:t>
      </w:r>
    </w:p>
    <w:p w14:paraId="673E88FD" w14:textId="0162D9F0" w:rsidR="008667BD" w:rsidRDefault="008667BD" w:rsidP="00FE70E3">
      <w:pPr>
        <w:pStyle w:val="Akapitzlist"/>
        <w:numPr>
          <w:ilvl w:val="0"/>
          <w:numId w:val="104"/>
        </w:numPr>
        <w:autoSpaceDE w:val="0"/>
        <w:autoSpaceDN w:val="0"/>
        <w:adjustRightInd w:val="0"/>
        <w:rPr>
          <w:rFonts w:cs="Times New Roman"/>
          <w:szCs w:val="24"/>
        </w:rPr>
      </w:pPr>
      <w:r w:rsidRPr="00745C20">
        <w:rPr>
          <w:rFonts w:cs="Times New Roman"/>
          <w:szCs w:val="24"/>
        </w:rPr>
        <w:t>limitów dla pracujących emerytów.</w:t>
      </w:r>
    </w:p>
    <w:p w14:paraId="484F7D57" w14:textId="77777777" w:rsidR="00745C20" w:rsidRPr="00745C20" w:rsidRDefault="00745C20" w:rsidP="00FE70E3">
      <w:pPr>
        <w:pStyle w:val="Akapitzlist"/>
        <w:numPr>
          <w:ilvl w:val="0"/>
          <w:numId w:val="104"/>
        </w:numPr>
        <w:autoSpaceDE w:val="0"/>
        <w:autoSpaceDN w:val="0"/>
        <w:adjustRightInd w:val="0"/>
        <w:rPr>
          <w:rFonts w:cs="Times New Roman"/>
          <w:szCs w:val="24"/>
        </w:rPr>
      </w:pPr>
    </w:p>
    <w:p w14:paraId="651A4227" w14:textId="2C885271" w:rsidR="008667BD" w:rsidRDefault="008667BD" w:rsidP="008667BD">
      <w:pPr>
        <w:autoSpaceDE w:val="0"/>
        <w:autoSpaceDN w:val="0"/>
        <w:adjustRightInd w:val="0"/>
        <w:rPr>
          <w:rFonts w:cs="Times New Roman"/>
          <w:szCs w:val="24"/>
        </w:rPr>
      </w:pPr>
      <w:r w:rsidRPr="008667BD">
        <w:rPr>
          <w:rFonts w:cs="Times New Roman"/>
          <w:szCs w:val="24"/>
        </w:rPr>
        <w:t>Pracownicy ZUS uczestniczyli też zdalnie w lokalnych przedsięwzięciach, np. Forum Seniora w Katowicach oraz współpracowali z lokalnymi mediami, aby móc dotrzeć z informacjami do jak największego grona seniorów.</w:t>
      </w:r>
    </w:p>
    <w:p w14:paraId="04CF8435" w14:textId="77777777" w:rsidR="00745C20" w:rsidRPr="008667BD" w:rsidRDefault="00745C20" w:rsidP="008667BD">
      <w:pPr>
        <w:autoSpaceDE w:val="0"/>
        <w:autoSpaceDN w:val="0"/>
        <w:adjustRightInd w:val="0"/>
        <w:rPr>
          <w:rFonts w:cs="Times New Roman"/>
          <w:szCs w:val="24"/>
        </w:rPr>
      </w:pPr>
    </w:p>
    <w:p w14:paraId="3B68AFC1" w14:textId="280F9FDA" w:rsidR="008667BD" w:rsidRDefault="008667BD" w:rsidP="008667BD">
      <w:pPr>
        <w:autoSpaceDE w:val="0"/>
        <w:autoSpaceDN w:val="0"/>
        <w:adjustRightInd w:val="0"/>
        <w:rPr>
          <w:rFonts w:cs="Times New Roman"/>
          <w:szCs w:val="24"/>
        </w:rPr>
      </w:pPr>
      <w:r w:rsidRPr="008667BD">
        <w:rPr>
          <w:rFonts w:cs="Times New Roman"/>
          <w:szCs w:val="24"/>
        </w:rPr>
        <w:lastRenderedPageBreak/>
        <w:t>Aby poprawić komunikację z klientami, w tym osobami starszym, w 2020 r. Zakład przyjął wewnętrznym aktem prawnym standard prostego języka w komunikacji ZUS z klientami. Od 2016 r. ZUS wdraża prosty język w informacjach z klientami i stale poszerza jego zastosowanie. W 2020 r. indeks mglistości języka FOG w publikacjach informacyjnych osiągnął wartość 11,9 (poprawa o 22% od 2016 r.). Standard jest także utrzymywany na stronie internetowej ZUS. W 2020 r. uproszczono dodatkowo 119 artykułów, które wypadły najgorzej w poprzednich badaniach (poprawa o 22%).</w:t>
      </w:r>
    </w:p>
    <w:p w14:paraId="7A742351" w14:textId="77777777" w:rsidR="00745C20" w:rsidRPr="008667BD" w:rsidRDefault="00745C20" w:rsidP="008667BD">
      <w:pPr>
        <w:autoSpaceDE w:val="0"/>
        <w:autoSpaceDN w:val="0"/>
        <w:adjustRightInd w:val="0"/>
        <w:rPr>
          <w:rFonts w:cs="Times New Roman"/>
          <w:szCs w:val="24"/>
        </w:rPr>
      </w:pPr>
    </w:p>
    <w:p w14:paraId="2B3FC2FB" w14:textId="0E13286C" w:rsidR="008667BD" w:rsidRDefault="008667BD" w:rsidP="008667BD">
      <w:pPr>
        <w:autoSpaceDE w:val="0"/>
        <w:autoSpaceDN w:val="0"/>
        <w:adjustRightInd w:val="0"/>
        <w:rPr>
          <w:rFonts w:cs="Times New Roman"/>
          <w:szCs w:val="24"/>
        </w:rPr>
      </w:pPr>
      <w:r w:rsidRPr="008667BD">
        <w:rPr>
          <w:rFonts w:cs="Times New Roman"/>
          <w:szCs w:val="24"/>
        </w:rPr>
        <w:t>W 2020 r. Zakład zrealizował szereg inicjatyw związanych z udostępnieniem klientom nowych usług, które mają znaczący wpływ na ochronę seniorów przed negatywnymi skutkami pandemii COVID-19.</w:t>
      </w:r>
      <w:r w:rsidR="00745C20">
        <w:rPr>
          <w:rFonts w:cs="Times New Roman"/>
          <w:szCs w:val="24"/>
        </w:rPr>
        <w:t xml:space="preserve"> </w:t>
      </w:r>
      <w:r w:rsidRPr="008667BD">
        <w:rPr>
          <w:rFonts w:cs="Times New Roman"/>
          <w:szCs w:val="24"/>
        </w:rPr>
        <w:t>W 2020 r. w placówkach ZUS wprowadziliśmy procedury, które zapewniają klientom obsługę w odpowiednim reżimie sanitarnym. Ruchem klientów kierują specjalnie wyznaczeni pracownicy. W 2020 r. zapewniliśmy klientom w naszych placówkach możliwość składania wniosków i dokumentów bez osobistego kontaktu z pracownikiem do specjalnych, jednolitych w całym Zakładzie, skrzynek na dokumenty.</w:t>
      </w:r>
    </w:p>
    <w:p w14:paraId="1002823E" w14:textId="77777777" w:rsidR="00745C20" w:rsidRPr="008667BD" w:rsidRDefault="00745C20" w:rsidP="008667BD">
      <w:pPr>
        <w:autoSpaceDE w:val="0"/>
        <w:autoSpaceDN w:val="0"/>
        <w:adjustRightInd w:val="0"/>
        <w:rPr>
          <w:rFonts w:cs="Times New Roman"/>
          <w:szCs w:val="24"/>
        </w:rPr>
      </w:pPr>
    </w:p>
    <w:p w14:paraId="4827D1C7" w14:textId="77777777" w:rsidR="008667BD" w:rsidRPr="008667BD" w:rsidRDefault="008667BD" w:rsidP="008667BD">
      <w:pPr>
        <w:autoSpaceDE w:val="0"/>
        <w:autoSpaceDN w:val="0"/>
        <w:adjustRightInd w:val="0"/>
        <w:rPr>
          <w:rFonts w:cs="Times New Roman"/>
          <w:szCs w:val="24"/>
        </w:rPr>
      </w:pPr>
      <w:r w:rsidRPr="008667BD">
        <w:rPr>
          <w:rFonts w:cs="Times New Roman"/>
          <w:szCs w:val="24"/>
        </w:rPr>
        <w:t>Klienci mogą także zarezerwować wizytę w naszych placówkach. Mogą to zrobić przez Platformę Usług Elektronicznych (PUE ZUS), ale również od 2020 r. przez telefon, co jest szczególnie ważne dla tych osób starszych, które nie potrafią lub nie mają możliwości kontaktować się z nami elektronicznie.</w:t>
      </w:r>
    </w:p>
    <w:p w14:paraId="1EAA9571" w14:textId="77777777" w:rsidR="00745C20" w:rsidRDefault="00745C20" w:rsidP="008667BD">
      <w:pPr>
        <w:autoSpaceDE w:val="0"/>
        <w:autoSpaceDN w:val="0"/>
        <w:adjustRightInd w:val="0"/>
        <w:rPr>
          <w:rFonts w:cs="Times New Roman"/>
          <w:szCs w:val="24"/>
        </w:rPr>
      </w:pPr>
    </w:p>
    <w:p w14:paraId="3AA79AC8" w14:textId="1133E0D4" w:rsidR="008667BD" w:rsidRDefault="008667BD" w:rsidP="008667BD">
      <w:pPr>
        <w:autoSpaceDE w:val="0"/>
        <w:autoSpaceDN w:val="0"/>
        <w:adjustRightInd w:val="0"/>
        <w:rPr>
          <w:rFonts w:cs="Times New Roman"/>
          <w:szCs w:val="24"/>
        </w:rPr>
      </w:pPr>
      <w:r w:rsidRPr="008667BD">
        <w:rPr>
          <w:rFonts w:cs="Times New Roman"/>
          <w:szCs w:val="24"/>
        </w:rPr>
        <w:t xml:space="preserve">Ponadto w 2020 r. Zakład umożliwił klientom kolejną (poza obsługą telefoniczną przez COT oraz elektroniczną przez PUE ZUS) alternatywną obsługę - do osobistych wizyt w placówkach ZUS - e-wizyty, tj. </w:t>
      </w:r>
      <w:proofErr w:type="spellStart"/>
      <w:r w:rsidRPr="008667BD">
        <w:rPr>
          <w:rFonts w:cs="Times New Roman"/>
          <w:szCs w:val="24"/>
        </w:rPr>
        <w:t>wideorozmowy</w:t>
      </w:r>
      <w:proofErr w:type="spellEnd"/>
      <w:r w:rsidRPr="008667BD">
        <w:rPr>
          <w:rFonts w:cs="Times New Roman"/>
          <w:szCs w:val="24"/>
        </w:rPr>
        <w:t xml:space="preserve"> z naszymi pracownikami. </w:t>
      </w:r>
      <w:proofErr w:type="spellStart"/>
      <w:r w:rsidRPr="008667BD">
        <w:rPr>
          <w:rFonts w:cs="Times New Roman"/>
          <w:szCs w:val="24"/>
        </w:rPr>
        <w:t>Wideorozmowa</w:t>
      </w:r>
      <w:proofErr w:type="spellEnd"/>
      <w:r w:rsidRPr="008667BD">
        <w:rPr>
          <w:rFonts w:cs="Times New Roman"/>
          <w:szCs w:val="24"/>
        </w:rPr>
        <w:t xml:space="preserve"> z ekspertem ZUS umożliwia załatwienie wielu spraw bez konieczności wychodzenia z domu, z obszaru emerytur i rent krajowych oraz międzynarodowych, zasiłków, kwestii związanych z prowadzeniem firmy czy potwierdzenia profilu PUE ZUS.</w:t>
      </w:r>
    </w:p>
    <w:p w14:paraId="0E44D127" w14:textId="77777777" w:rsidR="00745C20" w:rsidRPr="008667BD" w:rsidRDefault="00745C20" w:rsidP="008667BD">
      <w:pPr>
        <w:autoSpaceDE w:val="0"/>
        <w:autoSpaceDN w:val="0"/>
        <w:adjustRightInd w:val="0"/>
        <w:rPr>
          <w:rFonts w:cs="Times New Roman"/>
          <w:szCs w:val="24"/>
        </w:rPr>
      </w:pPr>
    </w:p>
    <w:p w14:paraId="4AE9BC2E" w14:textId="77777777" w:rsidR="008667BD" w:rsidRPr="008667BD" w:rsidRDefault="008667BD" w:rsidP="008667BD">
      <w:pPr>
        <w:autoSpaceDE w:val="0"/>
        <w:autoSpaceDN w:val="0"/>
        <w:adjustRightInd w:val="0"/>
        <w:rPr>
          <w:rFonts w:cs="Times New Roman"/>
          <w:szCs w:val="24"/>
        </w:rPr>
      </w:pPr>
      <w:r w:rsidRPr="008667BD">
        <w:rPr>
          <w:rFonts w:cs="Times New Roman"/>
          <w:szCs w:val="24"/>
        </w:rPr>
        <w:t>Liczba e-wizyt przeprowadzonych w 2020 r. w obszarze emerytur i rent krajowych kształtowała się następująco:</w:t>
      </w:r>
    </w:p>
    <w:p w14:paraId="3FDC37A7" w14:textId="77777777" w:rsidR="00745C20" w:rsidRDefault="008667BD" w:rsidP="00FE70E3">
      <w:pPr>
        <w:pStyle w:val="Akapitzlist"/>
        <w:numPr>
          <w:ilvl w:val="0"/>
          <w:numId w:val="105"/>
        </w:numPr>
        <w:autoSpaceDE w:val="0"/>
        <w:autoSpaceDN w:val="0"/>
        <w:adjustRightInd w:val="0"/>
        <w:rPr>
          <w:rFonts w:cs="Times New Roman"/>
          <w:szCs w:val="24"/>
        </w:rPr>
      </w:pPr>
      <w:r w:rsidRPr="00745C20">
        <w:rPr>
          <w:rFonts w:cs="Times New Roman"/>
          <w:szCs w:val="24"/>
        </w:rPr>
        <w:t>335 - październik 2020 r.,</w:t>
      </w:r>
    </w:p>
    <w:p w14:paraId="6E5F0DCE" w14:textId="77777777" w:rsidR="00745C20" w:rsidRDefault="008667BD" w:rsidP="00FE70E3">
      <w:pPr>
        <w:pStyle w:val="Akapitzlist"/>
        <w:numPr>
          <w:ilvl w:val="0"/>
          <w:numId w:val="105"/>
        </w:numPr>
        <w:autoSpaceDE w:val="0"/>
        <w:autoSpaceDN w:val="0"/>
        <w:adjustRightInd w:val="0"/>
        <w:rPr>
          <w:rFonts w:cs="Times New Roman"/>
          <w:szCs w:val="24"/>
        </w:rPr>
      </w:pPr>
      <w:r w:rsidRPr="00745C20">
        <w:rPr>
          <w:rFonts w:cs="Times New Roman"/>
          <w:szCs w:val="24"/>
        </w:rPr>
        <w:t>2.835 - listopad 2020 r.,</w:t>
      </w:r>
    </w:p>
    <w:p w14:paraId="2EDF716D" w14:textId="5E0A2A17" w:rsidR="00510206" w:rsidRPr="00745C20" w:rsidRDefault="008667BD" w:rsidP="00FE70E3">
      <w:pPr>
        <w:pStyle w:val="Akapitzlist"/>
        <w:numPr>
          <w:ilvl w:val="0"/>
          <w:numId w:val="105"/>
        </w:numPr>
        <w:autoSpaceDE w:val="0"/>
        <w:autoSpaceDN w:val="0"/>
        <w:adjustRightInd w:val="0"/>
        <w:rPr>
          <w:rFonts w:cs="Times New Roman"/>
          <w:szCs w:val="24"/>
        </w:rPr>
      </w:pPr>
      <w:r w:rsidRPr="00745C20">
        <w:rPr>
          <w:rFonts w:cs="Times New Roman"/>
          <w:szCs w:val="24"/>
        </w:rPr>
        <w:t>1.748 - grudzień 2020 r.</w:t>
      </w:r>
    </w:p>
    <w:p w14:paraId="0D384C47" w14:textId="77777777" w:rsidR="00510206" w:rsidRDefault="00510206" w:rsidP="008667BD">
      <w:pPr>
        <w:autoSpaceDE w:val="0"/>
        <w:autoSpaceDN w:val="0"/>
        <w:adjustRightInd w:val="0"/>
        <w:rPr>
          <w:rFonts w:cs="Times New Roman"/>
          <w:szCs w:val="24"/>
        </w:rPr>
      </w:pPr>
    </w:p>
    <w:p w14:paraId="43D2F465" w14:textId="77777777" w:rsidR="00BE18AF" w:rsidRPr="0092226B" w:rsidRDefault="00BE18AF" w:rsidP="003C1988">
      <w:pPr>
        <w:pStyle w:val="Teksttreci0"/>
        <w:shd w:val="clear" w:color="auto" w:fill="auto"/>
        <w:tabs>
          <w:tab w:val="left" w:pos="462"/>
        </w:tabs>
        <w:spacing w:after="314" w:line="288" w:lineRule="exact"/>
        <w:ind w:left="20" w:right="40" w:firstLine="0"/>
        <w:jc w:val="left"/>
        <w:rPr>
          <w:color w:val="FF0000"/>
        </w:rPr>
        <w:sectPr w:rsidR="00BE18AF" w:rsidRPr="0092226B" w:rsidSect="00F8792E">
          <w:pgSz w:w="11906" w:h="16840"/>
          <w:pgMar w:top="1418" w:right="1418" w:bottom="2127" w:left="1418" w:header="708" w:footer="708" w:gutter="0"/>
          <w:cols w:space="708"/>
          <w:docGrid w:linePitch="360"/>
        </w:sectPr>
      </w:pPr>
    </w:p>
    <w:p w14:paraId="0EF68DCD" w14:textId="77777777" w:rsidR="00BF4703" w:rsidRPr="00674B29" w:rsidRDefault="00475EFA" w:rsidP="00835584">
      <w:pPr>
        <w:pStyle w:val="Nagwek1"/>
        <w:spacing w:after="240"/>
        <w:ind w:left="0" w:hanging="426"/>
        <w:rPr>
          <w:sz w:val="40"/>
          <w:lang w:eastAsia="ar-SA"/>
        </w:rPr>
      </w:pPr>
      <w:bookmarkStart w:id="124" w:name="_Toc80523100"/>
      <w:r w:rsidRPr="00674B29">
        <w:rPr>
          <w:sz w:val="40"/>
          <w:lang w:eastAsia="ar-SA"/>
        </w:rPr>
        <w:lastRenderedPageBreak/>
        <w:t>Polityka społeczna wobec osób starszych na szczeblu regionalnym</w:t>
      </w:r>
      <w:bookmarkEnd w:id="124"/>
    </w:p>
    <w:p w14:paraId="1E8CCD0F" w14:textId="494FD372" w:rsidR="00E719A4" w:rsidRDefault="00E719A4" w:rsidP="009651FA">
      <w:pPr>
        <w:rPr>
          <w:rFonts w:cs="Times New Roman"/>
          <w:szCs w:val="24"/>
        </w:rPr>
      </w:pPr>
      <w:r w:rsidRPr="00E719A4">
        <w:rPr>
          <w:rFonts w:cs="Times New Roman"/>
          <w:szCs w:val="24"/>
        </w:rPr>
        <w:t>Istotną rolę w realizowaniu polityki społecznej wobec osób starszych pełnią jednostki samorządu terytorialnego, ponieważ podejmują działania mające na celu poprawę poziomu życia seniorów. Wynika to z faktu, iż polityka społeczna wobec osób starszych należy do zadań własnych samorządu terytorialnego, co uregulowane zostało m.in. w artykule 7 ustawy o samorządzie gminnym</w:t>
      </w:r>
      <w:r>
        <w:rPr>
          <w:rFonts w:cs="Times New Roman"/>
          <w:szCs w:val="24"/>
        </w:rPr>
        <w:t xml:space="preserve"> (</w:t>
      </w:r>
      <w:r>
        <w:t>Dz. U. z 2021 r. poz. 1372)</w:t>
      </w:r>
      <w:r w:rsidRPr="00E719A4">
        <w:rPr>
          <w:rFonts w:cs="Times New Roman"/>
          <w:szCs w:val="24"/>
        </w:rPr>
        <w:t xml:space="preserve">. Tym samym </w:t>
      </w:r>
      <w:r>
        <w:rPr>
          <w:rFonts w:cs="Times New Roman"/>
          <w:szCs w:val="24"/>
        </w:rPr>
        <w:t>istotna część przedmiotowej polityki jest</w:t>
      </w:r>
      <w:r w:rsidRPr="00E719A4">
        <w:rPr>
          <w:rFonts w:cs="Times New Roman"/>
          <w:szCs w:val="24"/>
        </w:rPr>
        <w:t xml:space="preserve"> ta realizowana na poziomie </w:t>
      </w:r>
      <w:r>
        <w:rPr>
          <w:rFonts w:cs="Times New Roman"/>
          <w:szCs w:val="24"/>
        </w:rPr>
        <w:t xml:space="preserve">regionalnym i </w:t>
      </w:r>
      <w:r w:rsidRPr="00E719A4">
        <w:rPr>
          <w:rFonts w:cs="Times New Roman"/>
          <w:szCs w:val="24"/>
        </w:rPr>
        <w:t>lokalnym.</w:t>
      </w:r>
    </w:p>
    <w:p w14:paraId="03C5F59F" w14:textId="77777777" w:rsidR="00966F10" w:rsidRPr="00FC249D" w:rsidRDefault="00966F10" w:rsidP="009651FA">
      <w:pPr>
        <w:rPr>
          <w:rFonts w:cs="Times New Roman"/>
          <w:szCs w:val="24"/>
        </w:rPr>
      </w:pPr>
    </w:p>
    <w:p w14:paraId="66B196FD" w14:textId="37D39807" w:rsidR="00377FB8" w:rsidRDefault="00377FB8" w:rsidP="00377FB8">
      <w:pPr>
        <w:pStyle w:val="Legenda"/>
        <w:keepNext/>
        <w:rPr>
          <w:rFonts w:cs="Times New Roman"/>
          <w:b/>
          <w:i w:val="0"/>
          <w:color w:val="auto"/>
          <w:sz w:val="24"/>
        </w:rPr>
      </w:pPr>
      <w:r w:rsidRPr="00432294">
        <w:rPr>
          <w:rFonts w:cs="Times New Roman"/>
          <w:b/>
          <w:i w:val="0"/>
          <w:color w:val="auto"/>
          <w:sz w:val="24"/>
        </w:rPr>
        <w:t xml:space="preserve">Tabela </w:t>
      </w:r>
      <w:r w:rsidR="005B094D">
        <w:rPr>
          <w:rFonts w:cs="Times New Roman"/>
          <w:b/>
          <w:i w:val="0"/>
          <w:color w:val="auto"/>
          <w:sz w:val="24"/>
        </w:rPr>
        <w:t>46</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Ludność według województw.</w:t>
      </w:r>
    </w:p>
    <w:tbl>
      <w:tblPr>
        <w:tblStyle w:val="Tabelasiatki4akcent21"/>
        <w:tblW w:w="9889" w:type="dxa"/>
        <w:tblLook w:val="04A0" w:firstRow="1" w:lastRow="0" w:firstColumn="1" w:lastColumn="0" w:noHBand="0" w:noVBand="1"/>
      </w:tblPr>
      <w:tblGrid>
        <w:gridCol w:w="1526"/>
        <w:gridCol w:w="883"/>
        <w:gridCol w:w="1316"/>
        <w:gridCol w:w="1061"/>
        <w:gridCol w:w="992"/>
        <w:gridCol w:w="1134"/>
        <w:gridCol w:w="993"/>
        <w:gridCol w:w="1134"/>
        <w:gridCol w:w="850"/>
      </w:tblGrid>
      <w:tr w:rsidR="00D250E8" w:rsidRPr="00D250E8" w14:paraId="46251C4D" w14:textId="77777777" w:rsidTr="00D250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vMerge w:val="restart"/>
            <w:noWrap/>
            <w:vAlign w:val="center"/>
            <w:hideMark/>
          </w:tcPr>
          <w:p w14:paraId="45FA4B91"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Województwa</w:t>
            </w:r>
          </w:p>
        </w:tc>
        <w:tc>
          <w:tcPr>
            <w:tcW w:w="8363" w:type="dxa"/>
            <w:gridSpan w:val="8"/>
            <w:noWrap/>
            <w:hideMark/>
          </w:tcPr>
          <w:p w14:paraId="2E31C37B" w14:textId="77777777" w:rsidR="00D250E8" w:rsidRPr="00D250E8" w:rsidRDefault="00D250E8" w:rsidP="00D250E8">
            <w:pPr>
              <w:spacing w:line="240" w:lineRule="auto"/>
              <w:ind w:right="2178"/>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Grupy wieku ( w tys.)</w:t>
            </w:r>
          </w:p>
        </w:tc>
      </w:tr>
      <w:tr w:rsidR="00D250E8" w:rsidRPr="00D250E8" w14:paraId="14D5521E" w14:textId="77777777" w:rsidTr="00D250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vMerge/>
            <w:hideMark/>
          </w:tcPr>
          <w:p w14:paraId="18BB8EEA" w14:textId="77777777" w:rsidR="00D250E8" w:rsidRPr="00D250E8" w:rsidRDefault="00D250E8" w:rsidP="00D250E8">
            <w:pPr>
              <w:spacing w:line="240" w:lineRule="auto"/>
              <w:jc w:val="center"/>
              <w:rPr>
                <w:rFonts w:eastAsia="Times New Roman" w:cs="Times New Roman"/>
                <w:color w:val="000000"/>
                <w:sz w:val="20"/>
                <w:szCs w:val="20"/>
                <w:lang w:eastAsia="pl-PL"/>
              </w:rPr>
            </w:pPr>
          </w:p>
        </w:tc>
        <w:tc>
          <w:tcPr>
            <w:tcW w:w="883" w:type="dxa"/>
            <w:noWrap/>
            <w:hideMark/>
          </w:tcPr>
          <w:p w14:paraId="6E6671C9"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pl-PL"/>
              </w:rPr>
            </w:pPr>
            <w:r w:rsidRPr="00D250E8">
              <w:rPr>
                <w:rFonts w:eastAsia="Times New Roman" w:cs="Times New Roman"/>
                <w:b/>
                <w:bCs/>
                <w:color w:val="000000"/>
                <w:sz w:val="20"/>
                <w:szCs w:val="20"/>
                <w:lang w:eastAsia="pl-PL"/>
              </w:rPr>
              <w:t>Ogółem</w:t>
            </w:r>
          </w:p>
        </w:tc>
        <w:tc>
          <w:tcPr>
            <w:tcW w:w="1316" w:type="dxa"/>
            <w:noWrap/>
            <w:hideMark/>
          </w:tcPr>
          <w:p w14:paraId="6B28107F"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pl-PL"/>
              </w:rPr>
            </w:pPr>
            <w:r w:rsidRPr="00D250E8">
              <w:rPr>
                <w:rFonts w:eastAsia="Times New Roman" w:cs="Times New Roman"/>
                <w:b/>
                <w:bCs/>
                <w:color w:val="000000"/>
                <w:sz w:val="20"/>
                <w:szCs w:val="20"/>
                <w:lang w:eastAsia="pl-PL"/>
              </w:rPr>
              <w:t>w tym 60 lat i więcej</w:t>
            </w:r>
          </w:p>
        </w:tc>
        <w:tc>
          <w:tcPr>
            <w:tcW w:w="1061" w:type="dxa"/>
            <w:noWrap/>
            <w:hideMark/>
          </w:tcPr>
          <w:p w14:paraId="7B0DC84D"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pl-PL"/>
              </w:rPr>
            </w:pPr>
            <w:r w:rsidRPr="00D250E8">
              <w:rPr>
                <w:rFonts w:eastAsia="Times New Roman" w:cs="Times New Roman"/>
                <w:b/>
                <w:bCs/>
                <w:color w:val="000000"/>
                <w:sz w:val="20"/>
                <w:szCs w:val="20"/>
                <w:lang w:eastAsia="pl-PL"/>
              </w:rPr>
              <w:t>60-64 lata</w:t>
            </w:r>
          </w:p>
        </w:tc>
        <w:tc>
          <w:tcPr>
            <w:tcW w:w="992" w:type="dxa"/>
            <w:noWrap/>
            <w:hideMark/>
          </w:tcPr>
          <w:p w14:paraId="5ACA2F07"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pl-PL"/>
              </w:rPr>
            </w:pPr>
            <w:r w:rsidRPr="00D250E8">
              <w:rPr>
                <w:rFonts w:eastAsia="Times New Roman" w:cs="Times New Roman"/>
                <w:b/>
                <w:bCs/>
                <w:color w:val="000000"/>
                <w:sz w:val="20"/>
                <w:szCs w:val="20"/>
                <w:lang w:eastAsia="pl-PL"/>
              </w:rPr>
              <w:t>65-69 lat</w:t>
            </w:r>
          </w:p>
        </w:tc>
        <w:tc>
          <w:tcPr>
            <w:tcW w:w="1134" w:type="dxa"/>
            <w:noWrap/>
            <w:hideMark/>
          </w:tcPr>
          <w:p w14:paraId="197AFF87"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pl-PL"/>
              </w:rPr>
            </w:pPr>
            <w:r w:rsidRPr="00D250E8">
              <w:rPr>
                <w:rFonts w:eastAsia="Times New Roman" w:cs="Times New Roman"/>
                <w:b/>
                <w:bCs/>
                <w:color w:val="000000"/>
                <w:sz w:val="20"/>
                <w:szCs w:val="20"/>
                <w:lang w:eastAsia="pl-PL"/>
              </w:rPr>
              <w:t>70-74 lata</w:t>
            </w:r>
          </w:p>
        </w:tc>
        <w:tc>
          <w:tcPr>
            <w:tcW w:w="993" w:type="dxa"/>
            <w:noWrap/>
            <w:hideMark/>
          </w:tcPr>
          <w:p w14:paraId="1EA9ABAC"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pl-PL"/>
              </w:rPr>
            </w:pPr>
            <w:r w:rsidRPr="00D250E8">
              <w:rPr>
                <w:rFonts w:eastAsia="Times New Roman" w:cs="Times New Roman"/>
                <w:b/>
                <w:bCs/>
                <w:color w:val="000000"/>
                <w:sz w:val="20"/>
                <w:szCs w:val="20"/>
                <w:lang w:eastAsia="pl-PL"/>
              </w:rPr>
              <w:t>75-79 lat</w:t>
            </w:r>
          </w:p>
        </w:tc>
        <w:tc>
          <w:tcPr>
            <w:tcW w:w="1134" w:type="dxa"/>
            <w:noWrap/>
            <w:hideMark/>
          </w:tcPr>
          <w:p w14:paraId="6E2B9FDA"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pl-PL"/>
              </w:rPr>
            </w:pPr>
            <w:r w:rsidRPr="00D250E8">
              <w:rPr>
                <w:rFonts w:eastAsia="Times New Roman" w:cs="Times New Roman"/>
                <w:b/>
                <w:bCs/>
                <w:color w:val="000000"/>
                <w:sz w:val="20"/>
                <w:szCs w:val="20"/>
                <w:lang w:eastAsia="pl-PL"/>
              </w:rPr>
              <w:t>80-84 lata</w:t>
            </w:r>
          </w:p>
        </w:tc>
        <w:tc>
          <w:tcPr>
            <w:tcW w:w="850" w:type="dxa"/>
            <w:noWrap/>
            <w:hideMark/>
          </w:tcPr>
          <w:p w14:paraId="1AA05B25"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pl-PL"/>
              </w:rPr>
            </w:pPr>
            <w:r w:rsidRPr="00D250E8">
              <w:rPr>
                <w:rFonts w:eastAsia="Times New Roman" w:cs="Times New Roman"/>
                <w:b/>
                <w:bCs/>
                <w:color w:val="000000"/>
                <w:sz w:val="20"/>
                <w:szCs w:val="20"/>
                <w:lang w:eastAsia="pl-PL"/>
              </w:rPr>
              <w:t>85 lat i więcej</w:t>
            </w:r>
          </w:p>
        </w:tc>
      </w:tr>
      <w:tr w:rsidR="00D250E8" w:rsidRPr="00D250E8" w14:paraId="34D9C991" w14:textId="77777777" w:rsidTr="00D250E8">
        <w:trPr>
          <w:trHeight w:val="300"/>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56BBFACD"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Dolnośląskie</w:t>
            </w:r>
          </w:p>
        </w:tc>
        <w:tc>
          <w:tcPr>
            <w:tcW w:w="883" w:type="dxa"/>
            <w:noWrap/>
            <w:hideMark/>
          </w:tcPr>
          <w:p w14:paraId="04916344"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2 891,3</w:t>
            </w:r>
          </w:p>
        </w:tc>
        <w:tc>
          <w:tcPr>
            <w:tcW w:w="1316" w:type="dxa"/>
            <w:noWrap/>
            <w:hideMark/>
          </w:tcPr>
          <w:p w14:paraId="5899E48B"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782,0</w:t>
            </w:r>
          </w:p>
        </w:tc>
        <w:tc>
          <w:tcPr>
            <w:tcW w:w="1061" w:type="dxa"/>
            <w:noWrap/>
            <w:hideMark/>
          </w:tcPr>
          <w:p w14:paraId="22E19538"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213,8</w:t>
            </w:r>
          </w:p>
        </w:tc>
        <w:tc>
          <w:tcPr>
            <w:tcW w:w="992" w:type="dxa"/>
            <w:noWrap/>
            <w:hideMark/>
          </w:tcPr>
          <w:p w14:paraId="43264E53"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210,4</w:t>
            </w:r>
          </w:p>
        </w:tc>
        <w:tc>
          <w:tcPr>
            <w:tcW w:w="1134" w:type="dxa"/>
            <w:noWrap/>
            <w:hideMark/>
          </w:tcPr>
          <w:p w14:paraId="2F979CD9"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158,0</w:t>
            </w:r>
          </w:p>
        </w:tc>
        <w:tc>
          <w:tcPr>
            <w:tcW w:w="993" w:type="dxa"/>
            <w:noWrap/>
            <w:hideMark/>
          </w:tcPr>
          <w:p w14:paraId="6668EA60"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71,3</w:t>
            </w:r>
          </w:p>
        </w:tc>
        <w:tc>
          <w:tcPr>
            <w:tcW w:w="1134" w:type="dxa"/>
            <w:noWrap/>
            <w:hideMark/>
          </w:tcPr>
          <w:p w14:paraId="61F451E5"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64,4</w:t>
            </w:r>
          </w:p>
        </w:tc>
        <w:tc>
          <w:tcPr>
            <w:tcW w:w="850" w:type="dxa"/>
            <w:noWrap/>
            <w:hideMark/>
          </w:tcPr>
          <w:p w14:paraId="74F6A30B"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64,2</w:t>
            </w:r>
          </w:p>
        </w:tc>
      </w:tr>
      <w:tr w:rsidR="00D250E8" w:rsidRPr="00D250E8" w14:paraId="65FE1F0D" w14:textId="77777777" w:rsidTr="00D250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2216A129"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Kujawsko-Pomorskie</w:t>
            </w:r>
          </w:p>
        </w:tc>
        <w:tc>
          <w:tcPr>
            <w:tcW w:w="883" w:type="dxa"/>
            <w:noWrap/>
            <w:hideMark/>
          </w:tcPr>
          <w:p w14:paraId="5931616F"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2 061,9</w:t>
            </w:r>
          </w:p>
        </w:tc>
        <w:tc>
          <w:tcPr>
            <w:tcW w:w="1316" w:type="dxa"/>
            <w:noWrap/>
            <w:hideMark/>
          </w:tcPr>
          <w:p w14:paraId="5673BA5C"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525,5</w:t>
            </w:r>
          </w:p>
        </w:tc>
        <w:tc>
          <w:tcPr>
            <w:tcW w:w="1061" w:type="dxa"/>
            <w:noWrap/>
            <w:hideMark/>
          </w:tcPr>
          <w:p w14:paraId="30C14FDD"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148,1</w:t>
            </w:r>
          </w:p>
        </w:tc>
        <w:tc>
          <w:tcPr>
            <w:tcW w:w="992" w:type="dxa"/>
            <w:noWrap/>
            <w:hideMark/>
          </w:tcPr>
          <w:p w14:paraId="03218F1B"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135,0</w:t>
            </w:r>
          </w:p>
        </w:tc>
        <w:tc>
          <w:tcPr>
            <w:tcW w:w="1134" w:type="dxa"/>
            <w:noWrap/>
            <w:hideMark/>
          </w:tcPr>
          <w:p w14:paraId="397BACAA"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107,2</w:t>
            </w:r>
          </w:p>
        </w:tc>
        <w:tc>
          <w:tcPr>
            <w:tcW w:w="993" w:type="dxa"/>
            <w:noWrap/>
            <w:hideMark/>
          </w:tcPr>
          <w:p w14:paraId="589BD5E4"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51,8</w:t>
            </w:r>
          </w:p>
        </w:tc>
        <w:tc>
          <w:tcPr>
            <w:tcW w:w="1134" w:type="dxa"/>
            <w:noWrap/>
            <w:hideMark/>
          </w:tcPr>
          <w:p w14:paraId="6D697E64"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42,9</w:t>
            </w:r>
          </w:p>
        </w:tc>
        <w:tc>
          <w:tcPr>
            <w:tcW w:w="850" w:type="dxa"/>
            <w:noWrap/>
            <w:hideMark/>
          </w:tcPr>
          <w:p w14:paraId="0322B81F"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40,6</w:t>
            </w:r>
          </w:p>
        </w:tc>
      </w:tr>
      <w:tr w:rsidR="00D250E8" w:rsidRPr="00D250E8" w14:paraId="6545DC8E" w14:textId="77777777" w:rsidTr="00D250E8">
        <w:trPr>
          <w:trHeight w:val="300"/>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60FA32DB"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Lubelskie</w:t>
            </w:r>
          </w:p>
        </w:tc>
        <w:tc>
          <w:tcPr>
            <w:tcW w:w="883" w:type="dxa"/>
            <w:noWrap/>
            <w:hideMark/>
          </w:tcPr>
          <w:p w14:paraId="797DD312"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2 095,3</w:t>
            </w:r>
          </w:p>
        </w:tc>
        <w:tc>
          <w:tcPr>
            <w:tcW w:w="1316" w:type="dxa"/>
            <w:noWrap/>
            <w:hideMark/>
          </w:tcPr>
          <w:p w14:paraId="6B175FBC"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546,2</w:t>
            </w:r>
          </w:p>
        </w:tc>
        <w:tc>
          <w:tcPr>
            <w:tcW w:w="1061" w:type="dxa"/>
            <w:noWrap/>
            <w:hideMark/>
          </w:tcPr>
          <w:p w14:paraId="7AC0956C"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146,3</w:t>
            </w:r>
          </w:p>
        </w:tc>
        <w:tc>
          <w:tcPr>
            <w:tcW w:w="992" w:type="dxa"/>
            <w:noWrap/>
            <w:hideMark/>
          </w:tcPr>
          <w:p w14:paraId="49314040"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136,3</w:t>
            </w:r>
          </w:p>
        </w:tc>
        <w:tc>
          <w:tcPr>
            <w:tcW w:w="1134" w:type="dxa"/>
            <w:noWrap/>
            <w:hideMark/>
          </w:tcPr>
          <w:p w14:paraId="017AC65F"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103,1</w:t>
            </w:r>
          </w:p>
        </w:tc>
        <w:tc>
          <w:tcPr>
            <w:tcW w:w="993" w:type="dxa"/>
            <w:noWrap/>
            <w:hideMark/>
          </w:tcPr>
          <w:p w14:paraId="5E18EC4C"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61,7</w:t>
            </w:r>
          </w:p>
        </w:tc>
        <w:tc>
          <w:tcPr>
            <w:tcW w:w="1134" w:type="dxa"/>
            <w:noWrap/>
            <w:hideMark/>
          </w:tcPr>
          <w:p w14:paraId="7D2E0BE1"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49,8</w:t>
            </w:r>
          </w:p>
        </w:tc>
        <w:tc>
          <w:tcPr>
            <w:tcW w:w="850" w:type="dxa"/>
            <w:noWrap/>
            <w:hideMark/>
          </w:tcPr>
          <w:p w14:paraId="6A8AAE19"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48,9</w:t>
            </w:r>
          </w:p>
        </w:tc>
      </w:tr>
      <w:tr w:rsidR="00D250E8" w:rsidRPr="00D250E8" w14:paraId="1B9CC4F5" w14:textId="77777777" w:rsidTr="00D250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442B2DDE"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Lubuskie</w:t>
            </w:r>
          </w:p>
        </w:tc>
        <w:tc>
          <w:tcPr>
            <w:tcW w:w="883" w:type="dxa"/>
            <w:noWrap/>
            <w:hideMark/>
          </w:tcPr>
          <w:p w14:paraId="478B8845"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1 007,1</w:t>
            </w:r>
          </w:p>
        </w:tc>
        <w:tc>
          <w:tcPr>
            <w:tcW w:w="1316" w:type="dxa"/>
            <w:noWrap/>
            <w:hideMark/>
          </w:tcPr>
          <w:p w14:paraId="4EF7AB1D"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258,0</w:t>
            </w:r>
          </w:p>
        </w:tc>
        <w:tc>
          <w:tcPr>
            <w:tcW w:w="1061" w:type="dxa"/>
            <w:noWrap/>
            <w:hideMark/>
          </w:tcPr>
          <w:p w14:paraId="0E6C4E88"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74,4</w:t>
            </w:r>
          </w:p>
        </w:tc>
        <w:tc>
          <w:tcPr>
            <w:tcW w:w="992" w:type="dxa"/>
            <w:noWrap/>
            <w:hideMark/>
          </w:tcPr>
          <w:p w14:paraId="6C0D6675"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69,7</w:t>
            </w:r>
          </w:p>
        </w:tc>
        <w:tc>
          <w:tcPr>
            <w:tcW w:w="1134" w:type="dxa"/>
            <w:noWrap/>
            <w:hideMark/>
          </w:tcPr>
          <w:p w14:paraId="59209967"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53,1</w:t>
            </w:r>
          </w:p>
        </w:tc>
        <w:tc>
          <w:tcPr>
            <w:tcW w:w="993" w:type="dxa"/>
            <w:noWrap/>
            <w:hideMark/>
          </w:tcPr>
          <w:p w14:paraId="52A9EAD8"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22,6</w:t>
            </w:r>
          </w:p>
        </w:tc>
        <w:tc>
          <w:tcPr>
            <w:tcW w:w="1134" w:type="dxa"/>
            <w:noWrap/>
            <w:hideMark/>
          </w:tcPr>
          <w:p w14:paraId="5BA345EC"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19,6</w:t>
            </w:r>
          </w:p>
        </w:tc>
        <w:tc>
          <w:tcPr>
            <w:tcW w:w="850" w:type="dxa"/>
            <w:noWrap/>
            <w:hideMark/>
          </w:tcPr>
          <w:p w14:paraId="21BE4654"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18,5</w:t>
            </w:r>
          </w:p>
        </w:tc>
      </w:tr>
      <w:tr w:rsidR="00D250E8" w:rsidRPr="00D250E8" w14:paraId="30ACF07C" w14:textId="77777777" w:rsidTr="00D250E8">
        <w:trPr>
          <w:trHeight w:val="300"/>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683CA692"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Łódzkie</w:t>
            </w:r>
          </w:p>
        </w:tc>
        <w:tc>
          <w:tcPr>
            <w:tcW w:w="883" w:type="dxa"/>
            <w:noWrap/>
            <w:hideMark/>
          </w:tcPr>
          <w:p w14:paraId="79CF1863"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2 438,0</w:t>
            </w:r>
          </w:p>
        </w:tc>
        <w:tc>
          <w:tcPr>
            <w:tcW w:w="1316" w:type="dxa"/>
            <w:noWrap/>
            <w:hideMark/>
          </w:tcPr>
          <w:p w14:paraId="18E776A4"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683,7</w:t>
            </w:r>
          </w:p>
        </w:tc>
        <w:tc>
          <w:tcPr>
            <w:tcW w:w="1061" w:type="dxa"/>
            <w:noWrap/>
            <w:hideMark/>
          </w:tcPr>
          <w:p w14:paraId="02BF41FB"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179,7</w:t>
            </w:r>
          </w:p>
        </w:tc>
        <w:tc>
          <w:tcPr>
            <w:tcW w:w="992" w:type="dxa"/>
            <w:noWrap/>
            <w:hideMark/>
          </w:tcPr>
          <w:p w14:paraId="7E52E9D6"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174,7</w:t>
            </w:r>
          </w:p>
        </w:tc>
        <w:tc>
          <w:tcPr>
            <w:tcW w:w="1134" w:type="dxa"/>
            <w:noWrap/>
            <w:hideMark/>
          </w:tcPr>
          <w:p w14:paraId="4DE1A4AA"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141,1</w:t>
            </w:r>
          </w:p>
        </w:tc>
        <w:tc>
          <w:tcPr>
            <w:tcW w:w="993" w:type="dxa"/>
            <w:noWrap/>
            <w:hideMark/>
          </w:tcPr>
          <w:p w14:paraId="6476EA24"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72,2</w:t>
            </w:r>
          </w:p>
        </w:tc>
        <w:tc>
          <w:tcPr>
            <w:tcW w:w="1134" w:type="dxa"/>
            <w:noWrap/>
            <w:hideMark/>
          </w:tcPr>
          <w:p w14:paraId="410165DB"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58,2</w:t>
            </w:r>
          </w:p>
        </w:tc>
        <w:tc>
          <w:tcPr>
            <w:tcW w:w="850" w:type="dxa"/>
            <w:noWrap/>
            <w:hideMark/>
          </w:tcPr>
          <w:p w14:paraId="6DAD6948"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57,7</w:t>
            </w:r>
          </w:p>
        </w:tc>
      </w:tr>
      <w:tr w:rsidR="00D250E8" w:rsidRPr="00D250E8" w14:paraId="073EF577" w14:textId="77777777" w:rsidTr="00D250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75928C4D"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Małopolskie</w:t>
            </w:r>
          </w:p>
        </w:tc>
        <w:tc>
          <w:tcPr>
            <w:tcW w:w="883" w:type="dxa"/>
            <w:noWrap/>
            <w:hideMark/>
          </w:tcPr>
          <w:p w14:paraId="121D5C36"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3 410,4</w:t>
            </w:r>
          </w:p>
        </w:tc>
        <w:tc>
          <w:tcPr>
            <w:tcW w:w="1316" w:type="dxa"/>
            <w:noWrap/>
            <w:hideMark/>
          </w:tcPr>
          <w:p w14:paraId="0B674F60"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810,6</w:t>
            </w:r>
          </w:p>
        </w:tc>
        <w:tc>
          <w:tcPr>
            <w:tcW w:w="1061" w:type="dxa"/>
            <w:noWrap/>
            <w:hideMark/>
          </w:tcPr>
          <w:p w14:paraId="155CBB7E"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217,7</w:t>
            </w:r>
          </w:p>
        </w:tc>
        <w:tc>
          <w:tcPr>
            <w:tcW w:w="992" w:type="dxa"/>
            <w:noWrap/>
            <w:hideMark/>
          </w:tcPr>
          <w:p w14:paraId="21918B4B"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198,5</w:t>
            </w:r>
          </w:p>
        </w:tc>
        <w:tc>
          <w:tcPr>
            <w:tcW w:w="1134" w:type="dxa"/>
            <w:noWrap/>
            <w:hideMark/>
          </w:tcPr>
          <w:p w14:paraId="679990C3"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151,6</w:t>
            </w:r>
          </w:p>
        </w:tc>
        <w:tc>
          <w:tcPr>
            <w:tcW w:w="993" w:type="dxa"/>
            <w:noWrap/>
            <w:hideMark/>
          </w:tcPr>
          <w:p w14:paraId="095384DA"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91,3</w:t>
            </w:r>
          </w:p>
        </w:tc>
        <w:tc>
          <w:tcPr>
            <w:tcW w:w="1134" w:type="dxa"/>
            <w:noWrap/>
            <w:hideMark/>
          </w:tcPr>
          <w:p w14:paraId="641C43E9"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78,9</w:t>
            </w:r>
          </w:p>
        </w:tc>
        <w:tc>
          <w:tcPr>
            <w:tcW w:w="850" w:type="dxa"/>
            <w:noWrap/>
            <w:hideMark/>
          </w:tcPr>
          <w:p w14:paraId="2B661BA3"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72,5</w:t>
            </w:r>
          </w:p>
        </w:tc>
      </w:tr>
      <w:tr w:rsidR="00D250E8" w:rsidRPr="00D250E8" w14:paraId="78FD65F7" w14:textId="77777777" w:rsidTr="00D250E8">
        <w:trPr>
          <w:trHeight w:val="300"/>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155B8104"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Mazowieckie</w:t>
            </w:r>
          </w:p>
        </w:tc>
        <w:tc>
          <w:tcPr>
            <w:tcW w:w="883" w:type="dxa"/>
            <w:noWrap/>
            <w:hideMark/>
          </w:tcPr>
          <w:p w14:paraId="7271456D"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5 425,0</w:t>
            </w:r>
          </w:p>
        </w:tc>
        <w:tc>
          <w:tcPr>
            <w:tcW w:w="1316" w:type="dxa"/>
            <w:noWrap/>
            <w:hideMark/>
          </w:tcPr>
          <w:p w14:paraId="7E8151AB"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1 361,8</w:t>
            </w:r>
          </w:p>
        </w:tc>
        <w:tc>
          <w:tcPr>
            <w:tcW w:w="1061" w:type="dxa"/>
            <w:noWrap/>
            <w:hideMark/>
          </w:tcPr>
          <w:p w14:paraId="4226FCB1"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355,4</w:t>
            </w:r>
          </w:p>
        </w:tc>
        <w:tc>
          <w:tcPr>
            <w:tcW w:w="992" w:type="dxa"/>
            <w:noWrap/>
            <w:hideMark/>
          </w:tcPr>
          <w:p w14:paraId="6CB8D79B"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347,4</w:t>
            </w:r>
          </w:p>
        </w:tc>
        <w:tc>
          <w:tcPr>
            <w:tcW w:w="1134" w:type="dxa"/>
            <w:noWrap/>
            <w:hideMark/>
          </w:tcPr>
          <w:p w14:paraId="0A345630"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260,8</w:t>
            </w:r>
          </w:p>
        </w:tc>
        <w:tc>
          <w:tcPr>
            <w:tcW w:w="993" w:type="dxa"/>
            <w:noWrap/>
            <w:hideMark/>
          </w:tcPr>
          <w:p w14:paraId="14DB331A"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145,6</w:t>
            </w:r>
          </w:p>
        </w:tc>
        <w:tc>
          <w:tcPr>
            <w:tcW w:w="1134" w:type="dxa"/>
            <w:noWrap/>
            <w:hideMark/>
          </w:tcPr>
          <w:p w14:paraId="384420BF"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124,2</w:t>
            </w:r>
          </w:p>
        </w:tc>
        <w:tc>
          <w:tcPr>
            <w:tcW w:w="850" w:type="dxa"/>
            <w:noWrap/>
            <w:hideMark/>
          </w:tcPr>
          <w:p w14:paraId="28A910FC"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128,4</w:t>
            </w:r>
          </w:p>
        </w:tc>
      </w:tr>
      <w:tr w:rsidR="00D250E8" w:rsidRPr="00D250E8" w14:paraId="35FFEBE9" w14:textId="77777777" w:rsidTr="00D250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2C3DAD71"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Opolskie</w:t>
            </w:r>
          </w:p>
        </w:tc>
        <w:tc>
          <w:tcPr>
            <w:tcW w:w="883" w:type="dxa"/>
            <w:noWrap/>
            <w:hideMark/>
          </w:tcPr>
          <w:p w14:paraId="55339381"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976,8</w:t>
            </w:r>
          </w:p>
        </w:tc>
        <w:tc>
          <w:tcPr>
            <w:tcW w:w="1316" w:type="dxa"/>
            <w:noWrap/>
            <w:hideMark/>
          </w:tcPr>
          <w:p w14:paraId="36AE9255"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261,3</w:t>
            </w:r>
          </w:p>
        </w:tc>
        <w:tc>
          <w:tcPr>
            <w:tcW w:w="1061" w:type="dxa"/>
            <w:noWrap/>
            <w:hideMark/>
          </w:tcPr>
          <w:p w14:paraId="623091E1"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72,3</w:t>
            </w:r>
          </w:p>
        </w:tc>
        <w:tc>
          <w:tcPr>
            <w:tcW w:w="992" w:type="dxa"/>
            <w:noWrap/>
            <w:hideMark/>
          </w:tcPr>
          <w:p w14:paraId="7C595E1E"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64,8</w:t>
            </w:r>
          </w:p>
        </w:tc>
        <w:tc>
          <w:tcPr>
            <w:tcW w:w="1134" w:type="dxa"/>
            <w:noWrap/>
            <w:hideMark/>
          </w:tcPr>
          <w:p w14:paraId="0B7CAEFF"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48,4</w:t>
            </w:r>
          </w:p>
        </w:tc>
        <w:tc>
          <w:tcPr>
            <w:tcW w:w="993" w:type="dxa"/>
            <w:noWrap/>
            <w:hideMark/>
          </w:tcPr>
          <w:p w14:paraId="4952171F"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26,8</w:t>
            </w:r>
          </w:p>
        </w:tc>
        <w:tc>
          <w:tcPr>
            <w:tcW w:w="1134" w:type="dxa"/>
            <w:noWrap/>
            <w:hideMark/>
          </w:tcPr>
          <w:p w14:paraId="6D4DD9B9"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26,5</w:t>
            </w:r>
          </w:p>
        </w:tc>
        <w:tc>
          <w:tcPr>
            <w:tcW w:w="850" w:type="dxa"/>
            <w:noWrap/>
            <w:hideMark/>
          </w:tcPr>
          <w:p w14:paraId="5EA689C3"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22,6</w:t>
            </w:r>
          </w:p>
        </w:tc>
      </w:tr>
      <w:tr w:rsidR="00D250E8" w:rsidRPr="00D250E8" w14:paraId="25C4CADD" w14:textId="77777777" w:rsidTr="00D250E8">
        <w:trPr>
          <w:trHeight w:val="300"/>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360A1CF7"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Podkarpackie</w:t>
            </w:r>
          </w:p>
        </w:tc>
        <w:tc>
          <w:tcPr>
            <w:tcW w:w="883" w:type="dxa"/>
            <w:noWrap/>
            <w:hideMark/>
          </w:tcPr>
          <w:p w14:paraId="3D0608F8"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2 121,2</w:t>
            </w:r>
          </w:p>
        </w:tc>
        <w:tc>
          <w:tcPr>
            <w:tcW w:w="1316" w:type="dxa"/>
            <w:noWrap/>
            <w:hideMark/>
          </w:tcPr>
          <w:p w14:paraId="2B92F8BF"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508,5</w:t>
            </w:r>
          </w:p>
        </w:tc>
        <w:tc>
          <w:tcPr>
            <w:tcW w:w="1061" w:type="dxa"/>
            <w:noWrap/>
            <w:hideMark/>
          </w:tcPr>
          <w:p w14:paraId="405D8B62"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140,4</w:t>
            </w:r>
          </w:p>
        </w:tc>
        <w:tc>
          <w:tcPr>
            <w:tcW w:w="992" w:type="dxa"/>
            <w:noWrap/>
            <w:hideMark/>
          </w:tcPr>
          <w:p w14:paraId="5FB8F9D4"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125,9</w:t>
            </w:r>
          </w:p>
        </w:tc>
        <w:tc>
          <w:tcPr>
            <w:tcW w:w="1134" w:type="dxa"/>
            <w:noWrap/>
            <w:hideMark/>
          </w:tcPr>
          <w:p w14:paraId="565521F1"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94,4</w:t>
            </w:r>
          </w:p>
        </w:tc>
        <w:tc>
          <w:tcPr>
            <w:tcW w:w="993" w:type="dxa"/>
            <w:noWrap/>
            <w:hideMark/>
          </w:tcPr>
          <w:p w14:paraId="1B03F1EB"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54,3</w:t>
            </w:r>
          </w:p>
        </w:tc>
        <w:tc>
          <w:tcPr>
            <w:tcW w:w="1134" w:type="dxa"/>
            <w:noWrap/>
            <w:hideMark/>
          </w:tcPr>
          <w:p w14:paraId="01649646"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48,6</w:t>
            </w:r>
          </w:p>
        </w:tc>
        <w:tc>
          <w:tcPr>
            <w:tcW w:w="850" w:type="dxa"/>
            <w:noWrap/>
            <w:hideMark/>
          </w:tcPr>
          <w:p w14:paraId="0AE59D00"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45,0</w:t>
            </w:r>
          </w:p>
        </w:tc>
      </w:tr>
      <w:tr w:rsidR="00D250E8" w:rsidRPr="00D250E8" w14:paraId="646AE603" w14:textId="77777777" w:rsidTr="00D250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09A758AB"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Podlaskie</w:t>
            </w:r>
          </w:p>
        </w:tc>
        <w:tc>
          <w:tcPr>
            <w:tcW w:w="883" w:type="dxa"/>
            <w:noWrap/>
            <w:hideMark/>
          </w:tcPr>
          <w:p w14:paraId="740141D1"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1 173,3</w:t>
            </w:r>
          </w:p>
        </w:tc>
        <w:tc>
          <w:tcPr>
            <w:tcW w:w="1316" w:type="dxa"/>
            <w:noWrap/>
            <w:hideMark/>
          </w:tcPr>
          <w:p w14:paraId="6F46DF21"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297,9</w:t>
            </w:r>
          </w:p>
        </w:tc>
        <w:tc>
          <w:tcPr>
            <w:tcW w:w="1061" w:type="dxa"/>
            <w:noWrap/>
            <w:hideMark/>
          </w:tcPr>
          <w:p w14:paraId="0CEAE250"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84,1</w:t>
            </w:r>
          </w:p>
        </w:tc>
        <w:tc>
          <w:tcPr>
            <w:tcW w:w="992" w:type="dxa"/>
            <w:noWrap/>
            <w:hideMark/>
          </w:tcPr>
          <w:p w14:paraId="29F8CB24"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69,9</w:t>
            </w:r>
          </w:p>
        </w:tc>
        <w:tc>
          <w:tcPr>
            <w:tcW w:w="1134" w:type="dxa"/>
            <w:noWrap/>
            <w:hideMark/>
          </w:tcPr>
          <w:p w14:paraId="4895E0C5"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52,0</w:t>
            </w:r>
          </w:p>
        </w:tc>
        <w:tc>
          <w:tcPr>
            <w:tcW w:w="993" w:type="dxa"/>
            <w:noWrap/>
            <w:hideMark/>
          </w:tcPr>
          <w:p w14:paraId="38DCC45A"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33,5</w:t>
            </w:r>
          </w:p>
        </w:tc>
        <w:tc>
          <w:tcPr>
            <w:tcW w:w="1134" w:type="dxa"/>
            <w:noWrap/>
            <w:hideMark/>
          </w:tcPr>
          <w:p w14:paraId="086581EC"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29,0</w:t>
            </w:r>
          </w:p>
        </w:tc>
        <w:tc>
          <w:tcPr>
            <w:tcW w:w="850" w:type="dxa"/>
            <w:noWrap/>
            <w:hideMark/>
          </w:tcPr>
          <w:p w14:paraId="3935EA51"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29,5</w:t>
            </w:r>
          </w:p>
        </w:tc>
      </w:tr>
      <w:tr w:rsidR="00D250E8" w:rsidRPr="00D250E8" w14:paraId="2E9B5EA9" w14:textId="77777777" w:rsidTr="00D250E8">
        <w:trPr>
          <w:trHeight w:val="300"/>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7406F0F4"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Pomorskie</w:t>
            </w:r>
          </w:p>
        </w:tc>
        <w:tc>
          <w:tcPr>
            <w:tcW w:w="883" w:type="dxa"/>
            <w:noWrap/>
            <w:hideMark/>
          </w:tcPr>
          <w:p w14:paraId="4956C81C"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2 346,7</w:t>
            </w:r>
          </w:p>
        </w:tc>
        <w:tc>
          <w:tcPr>
            <w:tcW w:w="1316" w:type="dxa"/>
            <w:noWrap/>
            <w:hideMark/>
          </w:tcPr>
          <w:p w14:paraId="2147C399"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563,6</w:t>
            </w:r>
          </w:p>
        </w:tc>
        <w:tc>
          <w:tcPr>
            <w:tcW w:w="1061" w:type="dxa"/>
            <w:noWrap/>
            <w:hideMark/>
          </w:tcPr>
          <w:p w14:paraId="59278DDC"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154,7</w:t>
            </w:r>
          </w:p>
        </w:tc>
        <w:tc>
          <w:tcPr>
            <w:tcW w:w="992" w:type="dxa"/>
            <w:noWrap/>
            <w:hideMark/>
          </w:tcPr>
          <w:p w14:paraId="5D7A237C"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147,7</w:t>
            </w:r>
          </w:p>
        </w:tc>
        <w:tc>
          <w:tcPr>
            <w:tcW w:w="1134" w:type="dxa"/>
            <w:noWrap/>
            <w:hideMark/>
          </w:tcPr>
          <w:p w14:paraId="31B041D6"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113,8</w:t>
            </w:r>
          </w:p>
        </w:tc>
        <w:tc>
          <w:tcPr>
            <w:tcW w:w="993" w:type="dxa"/>
            <w:noWrap/>
            <w:hideMark/>
          </w:tcPr>
          <w:p w14:paraId="51DA76E6"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55,3</w:t>
            </w:r>
          </w:p>
        </w:tc>
        <w:tc>
          <w:tcPr>
            <w:tcW w:w="1134" w:type="dxa"/>
            <w:noWrap/>
            <w:hideMark/>
          </w:tcPr>
          <w:p w14:paraId="45102C52"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47,6</w:t>
            </w:r>
          </w:p>
        </w:tc>
        <w:tc>
          <w:tcPr>
            <w:tcW w:w="850" w:type="dxa"/>
            <w:noWrap/>
            <w:hideMark/>
          </w:tcPr>
          <w:p w14:paraId="18812CAB"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44,5</w:t>
            </w:r>
          </w:p>
        </w:tc>
      </w:tr>
      <w:tr w:rsidR="00D250E8" w:rsidRPr="00D250E8" w14:paraId="56AEE531" w14:textId="77777777" w:rsidTr="00D250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198B3843"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Śląskie</w:t>
            </w:r>
          </w:p>
        </w:tc>
        <w:tc>
          <w:tcPr>
            <w:tcW w:w="883" w:type="dxa"/>
            <w:noWrap/>
            <w:hideMark/>
          </w:tcPr>
          <w:p w14:paraId="0CFA2508"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4 492,3</w:t>
            </w:r>
          </w:p>
        </w:tc>
        <w:tc>
          <w:tcPr>
            <w:tcW w:w="1316" w:type="dxa"/>
            <w:noWrap/>
            <w:hideMark/>
          </w:tcPr>
          <w:p w14:paraId="736B4A57"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1 222,7</w:t>
            </w:r>
          </w:p>
        </w:tc>
        <w:tc>
          <w:tcPr>
            <w:tcW w:w="1061" w:type="dxa"/>
            <w:noWrap/>
            <w:hideMark/>
          </w:tcPr>
          <w:p w14:paraId="760FF2C6"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334,9</w:t>
            </w:r>
          </w:p>
        </w:tc>
        <w:tc>
          <w:tcPr>
            <w:tcW w:w="992" w:type="dxa"/>
            <w:noWrap/>
            <w:hideMark/>
          </w:tcPr>
          <w:p w14:paraId="5CE189D8"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308,7</w:t>
            </w:r>
          </w:p>
        </w:tc>
        <w:tc>
          <w:tcPr>
            <w:tcW w:w="1134" w:type="dxa"/>
            <w:noWrap/>
            <w:hideMark/>
          </w:tcPr>
          <w:p w14:paraId="5371FD4F"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230,0</w:t>
            </w:r>
          </w:p>
        </w:tc>
        <w:tc>
          <w:tcPr>
            <w:tcW w:w="993" w:type="dxa"/>
            <w:noWrap/>
            <w:hideMark/>
          </w:tcPr>
          <w:p w14:paraId="570F915F"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140,5</w:t>
            </w:r>
          </w:p>
        </w:tc>
        <w:tc>
          <w:tcPr>
            <w:tcW w:w="1134" w:type="dxa"/>
            <w:noWrap/>
            <w:hideMark/>
          </w:tcPr>
          <w:p w14:paraId="0B48C2E8"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114,7</w:t>
            </w:r>
          </w:p>
        </w:tc>
        <w:tc>
          <w:tcPr>
            <w:tcW w:w="850" w:type="dxa"/>
            <w:noWrap/>
            <w:hideMark/>
          </w:tcPr>
          <w:p w14:paraId="0169E626"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93,8</w:t>
            </w:r>
          </w:p>
        </w:tc>
      </w:tr>
      <w:tr w:rsidR="00D250E8" w:rsidRPr="00D250E8" w14:paraId="26F72570" w14:textId="77777777" w:rsidTr="00D250E8">
        <w:trPr>
          <w:trHeight w:val="300"/>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0E9B7B25"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Świętokrzyskie</w:t>
            </w:r>
          </w:p>
        </w:tc>
        <w:tc>
          <w:tcPr>
            <w:tcW w:w="883" w:type="dxa"/>
            <w:noWrap/>
            <w:hideMark/>
          </w:tcPr>
          <w:p w14:paraId="7DD0006C"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1 224,6</w:t>
            </w:r>
          </w:p>
        </w:tc>
        <w:tc>
          <w:tcPr>
            <w:tcW w:w="1316" w:type="dxa"/>
            <w:noWrap/>
            <w:hideMark/>
          </w:tcPr>
          <w:p w14:paraId="2FAD221A"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339,4</w:t>
            </w:r>
          </w:p>
        </w:tc>
        <w:tc>
          <w:tcPr>
            <w:tcW w:w="1061" w:type="dxa"/>
            <w:noWrap/>
            <w:hideMark/>
          </w:tcPr>
          <w:p w14:paraId="20020475"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91,2</w:t>
            </w:r>
          </w:p>
        </w:tc>
        <w:tc>
          <w:tcPr>
            <w:tcW w:w="992" w:type="dxa"/>
            <w:noWrap/>
            <w:hideMark/>
          </w:tcPr>
          <w:p w14:paraId="0871BB26"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85,9</w:t>
            </w:r>
          </w:p>
        </w:tc>
        <w:tc>
          <w:tcPr>
            <w:tcW w:w="1134" w:type="dxa"/>
            <w:noWrap/>
            <w:hideMark/>
          </w:tcPr>
          <w:p w14:paraId="0E254E97"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65,9</w:t>
            </w:r>
          </w:p>
        </w:tc>
        <w:tc>
          <w:tcPr>
            <w:tcW w:w="993" w:type="dxa"/>
            <w:noWrap/>
            <w:hideMark/>
          </w:tcPr>
          <w:p w14:paraId="4844A9A8"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35,0</w:t>
            </w:r>
          </w:p>
        </w:tc>
        <w:tc>
          <w:tcPr>
            <w:tcW w:w="1134" w:type="dxa"/>
            <w:noWrap/>
            <w:hideMark/>
          </w:tcPr>
          <w:p w14:paraId="0D2D71B8"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31,2</w:t>
            </w:r>
          </w:p>
        </w:tc>
        <w:tc>
          <w:tcPr>
            <w:tcW w:w="850" w:type="dxa"/>
            <w:noWrap/>
            <w:hideMark/>
          </w:tcPr>
          <w:p w14:paraId="23705199"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30,2</w:t>
            </w:r>
          </w:p>
        </w:tc>
      </w:tr>
      <w:tr w:rsidR="00D250E8" w:rsidRPr="00D250E8" w14:paraId="79A71C4F" w14:textId="77777777" w:rsidTr="00D250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14:paraId="7263FEC5"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Warmińsko-Mazurskie</w:t>
            </w:r>
          </w:p>
        </w:tc>
        <w:tc>
          <w:tcPr>
            <w:tcW w:w="883" w:type="dxa"/>
            <w:noWrap/>
            <w:hideMark/>
          </w:tcPr>
          <w:p w14:paraId="0131B78B"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1 416,5</w:t>
            </w:r>
          </w:p>
        </w:tc>
        <w:tc>
          <w:tcPr>
            <w:tcW w:w="1316" w:type="dxa"/>
            <w:noWrap/>
            <w:hideMark/>
          </w:tcPr>
          <w:p w14:paraId="6B5AF93B"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348,6</w:t>
            </w:r>
          </w:p>
        </w:tc>
        <w:tc>
          <w:tcPr>
            <w:tcW w:w="1061" w:type="dxa"/>
            <w:noWrap/>
            <w:hideMark/>
          </w:tcPr>
          <w:p w14:paraId="1C182CF2"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104,6</w:t>
            </w:r>
          </w:p>
        </w:tc>
        <w:tc>
          <w:tcPr>
            <w:tcW w:w="992" w:type="dxa"/>
            <w:noWrap/>
            <w:hideMark/>
          </w:tcPr>
          <w:p w14:paraId="6680FD21"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91,6</w:t>
            </w:r>
          </w:p>
        </w:tc>
        <w:tc>
          <w:tcPr>
            <w:tcW w:w="1134" w:type="dxa"/>
            <w:noWrap/>
            <w:hideMark/>
          </w:tcPr>
          <w:p w14:paraId="7D7BC42F"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66,0</w:t>
            </w:r>
          </w:p>
        </w:tc>
        <w:tc>
          <w:tcPr>
            <w:tcW w:w="993" w:type="dxa"/>
            <w:noWrap/>
            <w:hideMark/>
          </w:tcPr>
          <w:p w14:paraId="1022402E"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31,8</w:t>
            </w:r>
          </w:p>
        </w:tc>
        <w:tc>
          <w:tcPr>
            <w:tcW w:w="1134" w:type="dxa"/>
            <w:noWrap/>
            <w:hideMark/>
          </w:tcPr>
          <w:p w14:paraId="0D04D6FE"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28,0</w:t>
            </w:r>
          </w:p>
        </w:tc>
        <w:tc>
          <w:tcPr>
            <w:tcW w:w="850" w:type="dxa"/>
            <w:noWrap/>
            <w:hideMark/>
          </w:tcPr>
          <w:p w14:paraId="0DB87D2F"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26,6</w:t>
            </w:r>
          </w:p>
        </w:tc>
      </w:tr>
      <w:tr w:rsidR="00D250E8" w:rsidRPr="00D250E8" w14:paraId="5A9921E6" w14:textId="77777777" w:rsidTr="00D250E8">
        <w:trPr>
          <w:trHeight w:val="300"/>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1AF5F14C"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Wielkopolskie</w:t>
            </w:r>
          </w:p>
        </w:tc>
        <w:tc>
          <w:tcPr>
            <w:tcW w:w="883" w:type="dxa"/>
            <w:noWrap/>
            <w:hideMark/>
          </w:tcPr>
          <w:p w14:paraId="6836A7FB"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3 496,5</w:t>
            </w:r>
          </w:p>
        </w:tc>
        <w:tc>
          <w:tcPr>
            <w:tcW w:w="1316" w:type="dxa"/>
            <w:noWrap/>
            <w:hideMark/>
          </w:tcPr>
          <w:p w14:paraId="13D72AF1"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837,4</w:t>
            </w:r>
          </w:p>
        </w:tc>
        <w:tc>
          <w:tcPr>
            <w:tcW w:w="1061" w:type="dxa"/>
            <w:noWrap/>
            <w:hideMark/>
          </w:tcPr>
          <w:p w14:paraId="40972276"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233,4</w:t>
            </w:r>
          </w:p>
        </w:tc>
        <w:tc>
          <w:tcPr>
            <w:tcW w:w="992" w:type="dxa"/>
            <w:noWrap/>
            <w:hideMark/>
          </w:tcPr>
          <w:p w14:paraId="0111EA94"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216,5</w:t>
            </w:r>
          </w:p>
        </w:tc>
        <w:tc>
          <w:tcPr>
            <w:tcW w:w="1134" w:type="dxa"/>
            <w:noWrap/>
            <w:hideMark/>
          </w:tcPr>
          <w:p w14:paraId="2760DDD9"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179,6</w:t>
            </w:r>
          </w:p>
        </w:tc>
        <w:tc>
          <w:tcPr>
            <w:tcW w:w="993" w:type="dxa"/>
            <w:noWrap/>
            <w:hideMark/>
          </w:tcPr>
          <w:p w14:paraId="4A2B9C82"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79,0</w:t>
            </w:r>
          </w:p>
        </w:tc>
        <w:tc>
          <w:tcPr>
            <w:tcW w:w="1134" w:type="dxa"/>
            <w:noWrap/>
            <w:hideMark/>
          </w:tcPr>
          <w:p w14:paraId="062001EE"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67,4</w:t>
            </w:r>
          </w:p>
        </w:tc>
        <w:tc>
          <w:tcPr>
            <w:tcW w:w="850" w:type="dxa"/>
            <w:noWrap/>
            <w:hideMark/>
          </w:tcPr>
          <w:p w14:paraId="14F6C967" w14:textId="77777777" w:rsidR="00D250E8" w:rsidRPr="00D250E8" w:rsidRDefault="00D250E8" w:rsidP="00D250E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61,5</w:t>
            </w:r>
          </w:p>
        </w:tc>
      </w:tr>
      <w:tr w:rsidR="00D250E8" w:rsidRPr="00D250E8" w14:paraId="093F3646" w14:textId="77777777" w:rsidTr="00D250E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3FB65836" w14:textId="77777777" w:rsidR="00D250E8" w:rsidRPr="00D250E8" w:rsidRDefault="00D250E8" w:rsidP="00D250E8">
            <w:pPr>
              <w:spacing w:line="240" w:lineRule="auto"/>
              <w:jc w:val="center"/>
              <w:rPr>
                <w:rFonts w:eastAsia="Times New Roman" w:cs="Times New Roman"/>
                <w:color w:val="000000"/>
                <w:sz w:val="20"/>
                <w:szCs w:val="20"/>
                <w:lang w:eastAsia="pl-PL"/>
              </w:rPr>
            </w:pPr>
            <w:r w:rsidRPr="00D250E8">
              <w:rPr>
                <w:rFonts w:eastAsia="Times New Roman" w:cs="Times New Roman"/>
                <w:color w:val="000000"/>
                <w:sz w:val="20"/>
                <w:szCs w:val="20"/>
                <w:lang w:eastAsia="pl-PL"/>
              </w:rPr>
              <w:t>Zachodnio</w:t>
            </w:r>
            <w:r>
              <w:rPr>
                <w:rFonts w:eastAsia="Times New Roman" w:cs="Times New Roman"/>
                <w:color w:val="000000"/>
                <w:sz w:val="20"/>
                <w:szCs w:val="20"/>
                <w:lang w:eastAsia="pl-PL"/>
              </w:rPr>
              <w:t>-</w:t>
            </w:r>
            <w:r w:rsidRPr="00D250E8">
              <w:rPr>
                <w:rFonts w:eastAsia="Times New Roman" w:cs="Times New Roman"/>
                <w:color w:val="000000"/>
                <w:sz w:val="20"/>
                <w:szCs w:val="20"/>
                <w:lang w:eastAsia="pl-PL"/>
              </w:rPr>
              <w:t>pomorskie</w:t>
            </w:r>
          </w:p>
        </w:tc>
        <w:tc>
          <w:tcPr>
            <w:tcW w:w="883" w:type="dxa"/>
            <w:noWrap/>
            <w:hideMark/>
          </w:tcPr>
          <w:p w14:paraId="5162D96C"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1 688,0</w:t>
            </w:r>
          </w:p>
        </w:tc>
        <w:tc>
          <w:tcPr>
            <w:tcW w:w="1316" w:type="dxa"/>
            <w:noWrap/>
            <w:hideMark/>
          </w:tcPr>
          <w:p w14:paraId="583BDADA"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453,0</w:t>
            </w:r>
          </w:p>
        </w:tc>
        <w:tc>
          <w:tcPr>
            <w:tcW w:w="1061" w:type="dxa"/>
            <w:noWrap/>
            <w:hideMark/>
          </w:tcPr>
          <w:p w14:paraId="0B47B624"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129,1</w:t>
            </w:r>
          </w:p>
        </w:tc>
        <w:tc>
          <w:tcPr>
            <w:tcW w:w="992" w:type="dxa"/>
            <w:noWrap/>
            <w:hideMark/>
          </w:tcPr>
          <w:p w14:paraId="5923277E"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122,5</w:t>
            </w:r>
          </w:p>
        </w:tc>
        <w:tc>
          <w:tcPr>
            <w:tcW w:w="1134" w:type="dxa"/>
            <w:noWrap/>
            <w:hideMark/>
          </w:tcPr>
          <w:p w14:paraId="34AEF141"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92,0</w:t>
            </w:r>
          </w:p>
        </w:tc>
        <w:tc>
          <w:tcPr>
            <w:tcW w:w="993" w:type="dxa"/>
            <w:noWrap/>
            <w:hideMark/>
          </w:tcPr>
          <w:p w14:paraId="366A1458"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40,7</w:t>
            </w:r>
          </w:p>
        </w:tc>
        <w:tc>
          <w:tcPr>
            <w:tcW w:w="1134" w:type="dxa"/>
            <w:noWrap/>
            <w:hideMark/>
          </w:tcPr>
          <w:p w14:paraId="1E9B439F"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34,9</w:t>
            </w:r>
          </w:p>
        </w:tc>
        <w:tc>
          <w:tcPr>
            <w:tcW w:w="850" w:type="dxa"/>
            <w:noWrap/>
            <w:hideMark/>
          </w:tcPr>
          <w:p w14:paraId="457DE176" w14:textId="77777777" w:rsidR="00D250E8" w:rsidRPr="00D250E8" w:rsidRDefault="00D250E8" w:rsidP="00D250E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D250E8">
              <w:rPr>
                <w:rFonts w:eastAsia="Times New Roman" w:cs="Times New Roman"/>
                <w:color w:val="000000"/>
                <w:sz w:val="20"/>
                <w:szCs w:val="20"/>
                <w:lang w:eastAsia="pl-PL"/>
              </w:rPr>
              <w:t>33,7</w:t>
            </w:r>
          </w:p>
        </w:tc>
      </w:tr>
    </w:tbl>
    <w:p w14:paraId="5911DD11" w14:textId="77777777" w:rsidR="00377FB8" w:rsidRDefault="00377FB8" w:rsidP="00D250E8">
      <w:pPr>
        <w:tabs>
          <w:tab w:val="left" w:pos="5400"/>
        </w:tabs>
        <w:rPr>
          <w:rFonts w:eastAsia="Times New Roman" w:cs="Times New Roman"/>
          <w:b/>
          <w:szCs w:val="24"/>
          <w:lang w:eastAsia="pl-PL"/>
        </w:rPr>
      </w:pPr>
      <w:r w:rsidRPr="00432294">
        <w:rPr>
          <w:rFonts w:eastAsia="Times New Roman" w:cs="Times New Roman"/>
          <w:b/>
          <w:szCs w:val="24"/>
          <w:lang w:eastAsia="pl-PL"/>
        </w:rPr>
        <w:t xml:space="preserve">Źródło: </w:t>
      </w:r>
      <w:r w:rsidRPr="00377FB8">
        <w:rPr>
          <w:rFonts w:eastAsia="Times New Roman" w:cs="Times New Roman"/>
          <w:b/>
          <w:szCs w:val="24"/>
          <w:lang w:eastAsia="pl-PL"/>
        </w:rPr>
        <w:t>Wyniki bieżących bilansów ludności, GUS</w:t>
      </w:r>
      <w:r w:rsidRPr="00432294">
        <w:rPr>
          <w:rFonts w:eastAsia="Times New Roman" w:cs="Times New Roman"/>
          <w:b/>
          <w:szCs w:val="24"/>
          <w:lang w:eastAsia="pl-PL"/>
        </w:rPr>
        <w:t xml:space="preserve">. </w:t>
      </w:r>
    </w:p>
    <w:p w14:paraId="1D5AB383" w14:textId="77777777" w:rsidR="00D250E8" w:rsidRPr="00D250E8" w:rsidRDefault="00D250E8" w:rsidP="00D250E8">
      <w:pPr>
        <w:tabs>
          <w:tab w:val="left" w:pos="5400"/>
        </w:tabs>
        <w:rPr>
          <w:rFonts w:eastAsia="Times New Roman" w:cs="Times New Roman"/>
          <w:b/>
          <w:szCs w:val="24"/>
          <w:lang w:eastAsia="pl-PL"/>
        </w:rPr>
      </w:pPr>
    </w:p>
    <w:p w14:paraId="2733BA08" w14:textId="64718220" w:rsidR="003215CC" w:rsidRDefault="00D250E8" w:rsidP="00FC249D">
      <w:pPr>
        <w:rPr>
          <w:rFonts w:cs="Times New Roman"/>
          <w:szCs w:val="24"/>
        </w:rPr>
      </w:pPr>
      <w:r w:rsidRPr="00FC249D">
        <w:rPr>
          <w:rFonts w:cs="Times New Roman"/>
          <w:szCs w:val="24"/>
        </w:rPr>
        <w:t xml:space="preserve">Najwięcej osób starszych zamieszkuje w województwie Mazowieckim oraz Śląskim, ale </w:t>
      </w:r>
      <w:r w:rsidR="00FC249D" w:rsidRPr="00FC249D">
        <w:rPr>
          <w:rFonts w:cs="Times New Roman"/>
          <w:szCs w:val="24"/>
        </w:rPr>
        <w:t>największy odsetek osób starszych zamieszkuje w województwie łódzkim – ponad 28% jego mieszkańców stanowią osoby w wieku 60 lat i więcej.</w:t>
      </w:r>
      <w:r w:rsidR="00D90887">
        <w:rPr>
          <w:rFonts w:cs="Times New Roman"/>
          <w:szCs w:val="24"/>
        </w:rPr>
        <w:t xml:space="preserve"> </w:t>
      </w:r>
    </w:p>
    <w:p w14:paraId="0FB35614" w14:textId="6DF9F1F0" w:rsidR="00221A75" w:rsidRDefault="00221A75" w:rsidP="00FC249D">
      <w:pPr>
        <w:rPr>
          <w:rFonts w:cs="Times New Roman"/>
          <w:szCs w:val="24"/>
        </w:rPr>
      </w:pPr>
    </w:p>
    <w:p w14:paraId="1EE1A981" w14:textId="5CF43608" w:rsidR="005361E3" w:rsidRPr="00724135" w:rsidRDefault="00494B9D" w:rsidP="00221A75">
      <w:pPr>
        <w:tabs>
          <w:tab w:val="left" w:pos="5400"/>
        </w:tabs>
        <w:rPr>
          <w:rFonts w:eastAsia="Times New Roman" w:cs="Times New Roman"/>
          <w:szCs w:val="24"/>
          <w:lang w:eastAsia="pl-PL"/>
        </w:rPr>
      </w:pPr>
      <w:r>
        <w:rPr>
          <w:rFonts w:eastAsia="Times New Roman" w:cs="Times New Roman"/>
          <w:szCs w:val="24"/>
          <w:lang w:eastAsia="pl-PL"/>
        </w:rPr>
        <w:t xml:space="preserve">Istotną rolę w zapewnieniu osobom starszych odpowiedniej jakości życia odgrywają geriatrzy – wykwalifikowani specjaliści, którzy są wstanie świadczyć seniorom kompleksowe porady medyczne </w:t>
      </w:r>
      <w:r w:rsidR="00221A75">
        <w:rPr>
          <w:rFonts w:eastAsia="Times New Roman" w:cs="Times New Roman"/>
          <w:szCs w:val="24"/>
          <w:lang w:eastAsia="pl-PL"/>
        </w:rPr>
        <w:t xml:space="preserve">Z </w:t>
      </w:r>
      <w:r>
        <w:rPr>
          <w:rFonts w:eastAsia="Times New Roman" w:cs="Times New Roman"/>
          <w:szCs w:val="24"/>
          <w:lang w:eastAsia="pl-PL"/>
        </w:rPr>
        <w:t>poniższych</w:t>
      </w:r>
      <w:r w:rsidR="00221A75">
        <w:rPr>
          <w:rFonts w:eastAsia="Times New Roman" w:cs="Times New Roman"/>
          <w:szCs w:val="24"/>
          <w:lang w:eastAsia="pl-PL"/>
        </w:rPr>
        <w:t xml:space="preserve"> danych jednoznacznie wynika, że</w:t>
      </w:r>
      <w:r w:rsidR="00221A75" w:rsidRPr="00724135">
        <w:rPr>
          <w:rFonts w:eastAsia="Times New Roman" w:cs="Times New Roman"/>
          <w:szCs w:val="24"/>
          <w:lang w:eastAsia="pl-PL"/>
        </w:rPr>
        <w:t xml:space="preserve"> wraz ze wz</w:t>
      </w:r>
      <w:r w:rsidR="00221A75">
        <w:rPr>
          <w:rFonts w:eastAsia="Times New Roman" w:cs="Times New Roman"/>
          <w:szCs w:val="24"/>
          <w:lang w:eastAsia="pl-PL"/>
        </w:rPr>
        <w:t>rostem populacji osób starszych</w:t>
      </w:r>
      <w:r w:rsidR="00221A75" w:rsidRPr="00724135">
        <w:rPr>
          <w:rFonts w:eastAsia="Times New Roman" w:cs="Times New Roman"/>
          <w:szCs w:val="24"/>
          <w:lang w:eastAsia="pl-PL"/>
        </w:rPr>
        <w:t xml:space="preserve"> zwiększa się liczba specjalistów z zakresu geriatrii.</w:t>
      </w:r>
      <w:r w:rsidR="00221A75">
        <w:rPr>
          <w:rFonts w:eastAsia="Times New Roman" w:cs="Times New Roman"/>
          <w:szCs w:val="24"/>
          <w:lang w:eastAsia="pl-PL"/>
        </w:rPr>
        <w:t xml:space="preserve"> W ciągu 10 lat ich liczba zwiększyła się ponad dwukrotnie z 229 (w 2010 r</w:t>
      </w:r>
      <w:r w:rsidR="004D289B">
        <w:rPr>
          <w:rFonts w:eastAsia="Times New Roman" w:cs="Times New Roman"/>
          <w:szCs w:val="24"/>
          <w:lang w:eastAsia="pl-PL"/>
        </w:rPr>
        <w:t>.</w:t>
      </w:r>
      <w:r w:rsidR="00221A75">
        <w:rPr>
          <w:rFonts w:eastAsia="Times New Roman" w:cs="Times New Roman"/>
          <w:szCs w:val="24"/>
          <w:lang w:eastAsia="pl-PL"/>
        </w:rPr>
        <w:t>) do 499 (w 2020 r</w:t>
      </w:r>
      <w:r w:rsidR="004D289B">
        <w:rPr>
          <w:rFonts w:eastAsia="Times New Roman" w:cs="Times New Roman"/>
          <w:szCs w:val="24"/>
          <w:lang w:eastAsia="pl-PL"/>
        </w:rPr>
        <w:t>.</w:t>
      </w:r>
      <w:r w:rsidR="00221A75">
        <w:rPr>
          <w:rFonts w:eastAsia="Times New Roman" w:cs="Times New Roman"/>
          <w:szCs w:val="24"/>
          <w:lang w:eastAsia="pl-PL"/>
        </w:rPr>
        <w:t xml:space="preserve">). </w:t>
      </w:r>
      <w:r w:rsidR="005361E3">
        <w:rPr>
          <w:rFonts w:eastAsia="Times New Roman" w:cs="Times New Roman"/>
          <w:szCs w:val="24"/>
          <w:lang w:eastAsia="pl-PL"/>
        </w:rPr>
        <w:t xml:space="preserve">Najwięcej geriatrów znajduje się w województwie śląski, podczas gdy najmniej pracuje w województwie lubuskim oraz w województwie świętokrzyskim. </w:t>
      </w:r>
    </w:p>
    <w:p w14:paraId="3DCDB2AE" w14:textId="2D6D6067" w:rsidR="003215CC" w:rsidRDefault="003215CC" w:rsidP="00FC249D">
      <w:pPr>
        <w:rPr>
          <w:rFonts w:cs="Times New Roman"/>
          <w:szCs w:val="24"/>
        </w:rPr>
      </w:pPr>
    </w:p>
    <w:p w14:paraId="2DC92AA1" w14:textId="4421D27A" w:rsidR="005361E3" w:rsidRDefault="005361E3" w:rsidP="005361E3">
      <w:pPr>
        <w:pStyle w:val="Legenda"/>
        <w:keepNext/>
        <w:rPr>
          <w:rFonts w:cs="Times New Roman"/>
          <w:b/>
          <w:i w:val="0"/>
          <w:color w:val="auto"/>
          <w:sz w:val="24"/>
        </w:rPr>
      </w:pPr>
      <w:r w:rsidRPr="00432294">
        <w:rPr>
          <w:rFonts w:cs="Times New Roman"/>
          <w:b/>
          <w:i w:val="0"/>
          <w:color w:val="auto"/>
          <w:sz w:val="24"/>
        </w:rPr>
        <w:t xml:space="preserve">Tabela </w:t>
      </w:r>
      <w:r>
        <w:rPr>
          <w:rFonts w:cs="Times New Roman"/>
          <w:b/>
          <w:i w:val="0"/>
          <w:color w:val="auto"/>
          <w:sz w:val="24"/>
        </w:rPr>
        <w:t>47</w:t>
      </w:r>
      <w:r w:rsidR="00054E88">
        <w:rPr>
          <w:rFonts w:cs="Times New Roman"/>
          <w:b/>
          <w:i w:val="0"/>
          <w:color w:val="auto"/>
          <w:sz w:val="24"/>
        </w:rPr>
        <w:t>.</w:t>
      </w:r>
      <w:r w:rsidRPr="00432294">
        <w:rPr>
          <w:rFonts w:cs="Times New Roman"/>
          <w:b/>
          <w:i w:val="0"/>
          <w:color w:val="auto"/>
          <w:sz w:val="24"/>
        </w:rPr>
        <w:t xml:space="preserve"> </w:t>
      </w:r>
      <w:r w:rsidRPr="00754AFD">
        <w:rPr>
          <w:rFonts w:cs="Times New Roman"/>
          <w:b/>
          <w:i w:val="0"/>
          <w:color w:val="auto"/>
          <w:sz w:val="24"/>
        </w:rPr>
        <w:t>Liczba lekarzy geriatrów wykonujących zawód, z podziałem na województwa</w:t>
      </w:r>
      <w:r>
        <w:rPr>
          <w:rFonts w:cs="Times New Roman"/>
          <w:b/>
          <w:i w:val="0"/>
          <w:color w:val="auto"/>
          <w:sz w:val="24"/>
        </w:rPr>
        <w:t>.</w:t>
      </w:r>
    </w:p>
    <w:tbl>
      <w:tblPr>
        <w:tblStyle w:val="Tabelasiatki4akcent21"/>
        <w:tblW w:w="5656" w:type="dxa"/>
        <w:jc w:val="center"/>
        <w:tblLook w:val="04A0" w:firstRow="1" w:lastRow="0" w:firstColumn="1" w:lastColumn="0" w:noHBand="0" w:noVBand="1"/>
      </w:tblPr>
      <w:tblGrid>
        <w:gridCol w:w="2200"/>
        <w:gridCol w:w="1216"/>
        <w:gridCol w:w="1116"/>
        <w:gridCol w:w="1116"/>
        <w:gridCol w:w="8"/>
      </w:tblGrid>
      <w:tr w:rsidR="005361E3" w:rsidRPr="00044103" w14:paraId="22CF6DAF" w14:textId="77777777" w:rsidTr="00AD720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00" w:type="dxa"/>
            <w:vMerge w:val="restart"/>
            <w:noWrap/>
            <w:hideMark/>
          </w:tcPr>
          <w:p w14:paraId="19753643" w14:textId="77777777" w:rsidR="005361E3" w:rsidRPr="00044103" w:rsidRDefault="005361E3" w:rsidP="00AD7202">
            <w:pPr>
              <w:spacing w:line="240" w:lineRule="auto"/>
              <w:rPr>
                <w:rFonts w:eastAsia="Times New Roman" w:cs="Times New Roman"/>
                <w:color w:val="000000"/>
                <w:sz w:val="20"/>
                <w:szCs w:val="20"/>
                <w:lang w:eastAsia="pl-PL"/>
              </w:rPr>
            </w:pPr>
            <w:r w:rsidRPr="00044103">
              <w:rPr>
                <w:rFonts w:eastAsia="Times New Roman" w:cs="Times New Roman"/>
                <w:color w:val="000000"/>
                <w:sz w:val="20"/>
                <w:szCs w:val="20"/>
                <w:lang w:eastAsia="pl-PL"/>
              </w:rPr>
              <w:t>Województwo</w:t>
            </w:r>
          </w:p>
        </w:tc>
        <w:tc>
          <w:tcPr>
            <w:tcW w:w="3456" w:type="dxa"/>
            <w:gridSpan w:val="4"/>
            <w:noWrap/>
            <w:hideMark/>
          </w:tcPr>
          <w:p w14:paraId="40AF5EAA" w14:textId="77777777" w:rsidR="005361E3" w:rsidRPr="00044103" w:rsidRDefault="005361E3" w:rsidP="00D9088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Times New Roman" w:cs="Times New Roman"/>
                <w:color w:val="000000"/>
                <w:sz w:val="20"/>
                <w:szCs w:val="20"/>
                <w:lang w:eastAsia="pl-PL"/>
              </w:rPr>
              <w:t>Stan na dzień</w:t>
            </w:r>
          </w:p>
        </w:tc>
      </w:tr>
      <w:tr w:rsidR="005361E3" w:rsidRPr="00044103" w14:paraId="7C365586" w14:textId="77777777" w:rsidTr="00AD7202">
        <w:trPr>
          <w:gridAfter w:val="1"/>
          <w:cnfStyle w:val="000000100000" w:firstRow="0" w:lastRow="0" w:firstColumn="0" w:lastColumn="0" w:oddVBand="0" w:evenVBand="0" w:oddHBand="1" w:evenHBand="0" w:firstRowFirstColumn="0" w:firstRowLastColumn="0" w:lastRowFirstColumn="0" w:lastRowLastColumn="0"/>
          <w:wAfter w:w="8" w:type="dxa"/>
          <w:trHeight w:hRule="exact" w:val="300"/>
          <w:jc w:val="center"/>
        </w:trPr>
        <w:tc>
          <w:tcPr>
            <w:cnfStyle w:val="001000000000" w:firstRow="0" w:lastRow="0" w:firstColumn="1" w:lastColumn="0" w:oddVBand="0" w:evenVBand="0" w:oddHBand="0" w:evenHBand="0" w:firstRowFirstColumn="0" w:firstRowLastColumn="0" w:lastRowFirstColumn="0" w:lastRowLastColumn="0"/>
            <w:tcW w:w="2200" w:type="dxa"/>
            <w:vMerge/>
            <w:hideMark/>
          </w:tcPr>
          <w:p w14:paraId="0AAFA8D2" w14:textId="77777777" w:rsidR="005361E3" w:rsidRPr="00044103" w:rsidRDefault="005361E3" w:rsidP="00AD7202">
            <w:pPr>
              <w:spacing w:line="240" w:lineRule="auto"/>
              <w:rPr>
                <w:rFonts w:eastAsia="Times New Roman" w:cs="Times New Roman"/>
                <w:color w:val="000000"/>
                <w:sz w:val="20"/>
                <w:szCs w:val="20"/>
                <w:lang w:eastAsia="pl-PL"/>
              </w:rPr>
            </w:pPr>
          </w:p>
        </w:tc>
        <w:tc>
          <w:tcPr>
            <w:tcW w:w="1216" w:type="dxa"/>
            <w:noWrap/>
            <w:hideMark/>
          </w:tcPr>
          <w:p w14:paraId="0FEC3664"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pl-PL"/>
              </w:rPr>
            </w:pPr>
            <w:r w:rsidRPr="00044103">
              <w:rPr>
                <w:rFonts w:eastAsia="Calibri" w:cs="Times New Roman"/>
                <w:b/>
                <w:bCs/>
                <w:color w:val="000000"/>
                <w:sz w:val="20"/>
                <w:szCs w:val="20"/>
                <w:lang w:eastAsia="pl-PL"/>
              </w:rPr>
              <w:t>31.12.2010</w:t>
            </w:r>
          </w:p>
        </w:tc>
        <w:tc>
          <w:tcPr>
            <w:tcW w:w="1116" w:type="dxa"/>
            <w:noWrap/>
            <w:hideMark/>
          </w:tcPr>
          <w:p w14:paraId="73EF5359"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pl-PL"/>
              </w:rPr>
            </w:pPr>
            <w:r w:rsidRPr="00044103">
              <w:rPr>
                <w:rFonts w:eastAsia="Calibri" w:cs="Times New Roman"/>
                <w:b/>
                <w:bCs/>
                <w:color w:val="000000"/>
                <w:sz w:val="20"/>
                <w:szCs w:val="20"/>
                <w:lang w:eastAsia="pl-PL"/>
              </w:rPr>
              <w:t>31.12.2015</w:t>
            </w:r>
          </w:p>
        </w:tc>
        <w:tc>
          <w:tcPr>
            <w:tcW w:w="1116" w:type="dxa"/>
            <w:noWrap/>
            <w:hideMark/>
          </w:tcPr>
          <w:p w14:paraId="3F5D5FF0"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sz w:val="20"/>
                <w:szCs w:val="20"/>
                <w:lang w:eastAsia="pl-PL"/>
              </w:rPr>
            </w:pPr>
            <w:r w:rsidRPr="00044103">
              <w:rPr>
                <w:rFonts w:eastAsia="Calibri" w:cs="Times New Roman"/>
                <w:b/>
                <w:bCs/>
                <w:color w:val="000000"/>
                <w:sz w:val="20"/>
                <w:szCs w:val="20"/>
                <w:lang w:eastAsia="pl-PL"/>
              </w:rPr>
              <w:t>31.12.2020</w:t>
            </w:r>
          </w:p>
        </w:tc>
      </w:tr>
      <w:tr w:rsidR="005361E3" w:rsidRPr="00044103" w14:paraId="53B4BE05" w14:textId="77777777" w:rsidTr="00AD7202">
        <w:trPr>
          <w:gridAfter w:val="1"/>
          <w:wAfter w:w="8" w:type="dxa"/>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4B7BDFA1" w14:textId="77777777" w:rsidR="005361E3" w:rsidRPr="00044103" w:rsidRDefault="005361E3" w:rsidP="00AD7202">
            <w:pPr>
              <w:spacing w:line="240" w:lineRule="auto"/>
              <w:rPr>
                <w:rFonts w:eastAsia="Times New Roman" w:cs="Times New Roman"/>
                <w:color w:val="000000"/>
                <w:sz w:val="20"/>
                <w:szCs w:val="20"/>
                <w:lang w:eastAsia="pl-PL"/>
              </w:rPr>
            </w:pPr>
            <w:r w:rsidRPr="00044103">
              <w:rPr>
                <w:rFonts w:eastAsia="Calibri" w:cs="Times New Roman"/>
                <w:color w:val="000000"/>
                <w:sz w:val="20"/>
                <w:szCs w:val="20"/>
                <w:lang w:eastAsia="pl-PL"/>
              </w:rPr>
              <w:t>Dolnośląskie</w:t>
            </w:r>
          </w:p>
        </w:tc>
        <w:tc>
          <w:tcPr>
            <w:tcW w:w="1216" w:type="dxa"/>
            <w:noWrap/>
            <w:hideMark/>
          </w:tcPr>
          <w:p w14:paraId="6A3EF755"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5</w:t>
            </w:r>
          </w:p>
        </w:tc>
        <w:tc>
          <w:tcPr>
            <w:tcW w:w="1116" w:type="dxa"/>
            <w:noWrap/>
            <w:hideMark/>
          </w:tcPr>
          <w:p w14:paraId="0CA35B89"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19</w:t>
            </w:r>
          </w:p>
        </w:tc>
        <w:tc>
          <w:tcPr>
            <w:tcW w:w="1116" w:type="dxa"/>
            <w:noWrap/>
            <w:hideMark/>
          </w:tcPr>
          <w:p w14:paraId="71FB6092"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42</w:t>
            </w:r>
          </w:p>
        </w:tc>
      </w:tr>
      <w:tr w:rsidR="005361E3" w:rsidRPr="00044103" w14:paraId="0693266E" w14:textId="77777777" w:rsidTr="00AD7202">
        <w:trPr>
          <w:gridAfter w:val="1"/>
          <w:cnfStyle w:val="000000100000" w:firstRow="0" w:lastRow="0" w:firstColumn="0" w:lastColumn="0" w:oddVBand="0" w:evenVBand="0" w:oddHBand="1" w:evenHBand="0" w:firstRowFirstColumn="0" w:firstRowLastColumn="0" w:lastRowFirstColumn="0" w:lastRowLastColumn="0"/>
          <w:wAfter w:w="8" w:type="dxa"/>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57EA9EC1" w14:textId="77777777" w:rsidR="005361E3" w:rsidRPr="00044103" w:rsidRDefault="005361E3" w:rsidP="00AD7202">
            <w:pPr>
              <w:spacing w:line="240" w:lineRule="auto"/>
              <w:rPr>
                <w:rFonts w:eastAsia="Times New Roman" w:cs="Times New Roman"/>
                <w:color w:val="000000"/>
                <w:sz w:val="20"/>
                <w:szCs w:val="20"/>
                <w:lang w:eastAsia="pl-PL"/>
              </w:rPr>
            </w:pPr>
            <w:r w:rsidRPr="00044103">
              <w:rPr>
                <w:rFonts w:eastAsia="Calibri" w:cs="Times New Roman"/>
                <w:color w:val="000000"/>
                <w:sz w:val="20"/>
                <w:szCs w:val="20"/>
                <w:lang w:eastAsia="pl-PL"/>
              </w:rPr>
              <w:t>Kujawsko-pomorskie</w:t>
            </w:r>
          </w:p>
        </w:tc>
        <w:tc>
          <w:tcPr>
            <w:tcW w:w="1216" w:type="dxa"/>
            <w:noWrap/>
            <w:hideMark/>
          </w:tcPr>
          <w:p w14:paraId="5ED94341"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9</w:t>
            </w:r>
          </w:p>
        </w:tc>
        <w:tc>
          <w:tcPr>
            <w:tcW w:w="1116" w:type="dxa"/>
            <w:noWrap/>
            <w:hideMark/>
          </w:tcPr>
          <w:p w14:paraId="4FF5F917"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17</w:t>
            </w:r>
          </w:p>
        </w:tc>
        <w:tc>
          <w:tcPr>
            <w:tcW w:w="1116" w:type="dxa"/>
            <w:noWrap/>
            <w:hideMark/>
          </w:tcPr>
          <w:p w14:paraId="2A61D773"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23</w:t>
            </w:r>
          </w:p>
        </w:tc>
      </w:tr>
      <w:tr w:rsidR="005361E3" w:rsidRPr="00044103" w14:paraId="3E647401" w14:textId="77777777" w:rsidTr="00AD7202">
        <w:trPr>
          <w:gridAfter w:val="1"/>
          <w:wAfter w:w="8" w:type="dxa"/>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563600A8" w14:textId="77777777" w:rsidR="005361E3" w:rsidRPr="00044103" w:rsidRDefault="005361E3" w:rsidP="00AD7202">
            <w:pPr>
              <w:spacing w:line="240" w:lineRule="auto"/>
              <w:rPr>
                <w:rFonts w:eastAsia="Times New Roman" w:cs="Times New Roman"/>
                <w:color w:val="000000"/>
                <w:sz w:val="20"/>
                <w:szCs w:val="20"/>
                <w:lang w:eastAsia="pl-PL"/>
              </w:rPr>
            </w:pPr>
            <w:r w:rsidRPr="00044103">
              <w:rPr>
                <w:rFonts w:eastAsia="Calibri" w:cs="Times New Roman"/>
                <w:color w:val="000000"/>
                <w:sz w:val="20"/>
                <w:szCs w:val="20"/>
                <w:lang w:eastAsia="pl-PL"/>
              </w:rPr>
              <w:t>Lubelskie</w:t>
            </w:r>
          </w:p>
        </w:tc>
        <w:tc>
          <w:tcPr>
            <w:tcW w:w="1216" w:type="dxa"/>
            <w:noWrap/>
            <w:hideMark/>
          </w:tcPr>
          <w:p w14:paraId="70C41DCC"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21</w:t>
            </w:r>
          </w:p>
        </w:tc>
        <w:tc>
          <w:tcPr>
            <w:tcW w:w="1116" w:type="dxa"/>
            <w:noWrap/>
            <w:hideMark/>
          </w:tcPr>
          <w:p w14:paraId="2EB8031C"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31</w:t>
            </w:r>
          </w:p>
        </w:tc>
        <w:tc>
          <w:tcPr>
            <w:tcW w:w="1116" w:type="dxa"/>
            <w:noWrap/>
            <w:hideMark/>
          </w:tcPr>
          <w:p w14:paraId="645C2781"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39</w:t>
            </w:r>
          </w:p>
        </w:tc>
      </w:tr>
      <w:tr w:rsidR="005361E3" w:rsidRPr="00044103" w14:paraId="42B0ECCE" w14:textId="77777777" w:rsidTr="00AD7202">
        <w:trPr>
          <w:gridAfter w:val="1"/>
          <w:cnfStyle w:val="000000100000" w:firstRow="0" w:lastRow="0" w:firstColumn="0" w:lastColumn="0" w:oddVBand="0" w:evenVBand="0" w:oddHBand="1" w:evenHBand="0" w:firstRowFirstColumn="0" w:firstRowLastColumn="0" w:lastRowFirstColumn="0" w:lastRowLastColumn="0"/>
          <w:wAfter w:w="8" w:type="dxa"/>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2EC312AC" w14:textId="77777777" w:rsidR="005361E3" w:rsidRPr="00044103" w:rsidRDefault="005361E3" w:rsidP="00AD7202">
            <w:pPr>
              <w:spacing w:line="240" w:lineRule="auto"/>
              <w:rPr>
                <w:rFonts w:eastAsia="Times New Roman" w:cs="Times New Roman"/>
                <w:color w:val="000000"/>
                <w:sz w:val="20"/>
                <w:szCs w:val="20"/>
                <w:lang w:eastAsia="pl-PL"/>
              </w:rPr>
            </w:pPr>
            <w:r w:rsidRPr="00044103">
              <w:rPr>
                <w:rFonts w:eastAsia="Calibri" w:cs="Times New Roman"/>
                <w:color w:val="000000"/>
                <w:sz w:val="20"/>
                <w:szCs w:val="20"/>
                <w:lang w:eastAsia="pl-PL"/>
              </w:rPr>
              <w:t>Lubuskie</w:t>
            </w:r>
          </w:p>
        </w:tc>
        <w:tc>
          <w:tcPr>
            <w:tcW w:w="1216" w:type="dxa"/>
            <w:noWrap/>
            <w:hideMark/>
          </w:tcPr>
          <w:p w14:paraId="0CB00ED4"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3</w:t>
            </w:r>
          </w:p>
        </w:tc>
        <w:tc>
          <w:tcPr>
            <w:tcW w:w="1116" w:type="dxa"/>
            <w:noWrap/>
            <w:hideMark/>
          </w:tcPr>
          <w:p w14:paraId="59359349"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5</w:t>
            </w:r>
          </w:p>
        </w:tc>
        <w:tc>
          <w:tcPr>
            <w:tcW w:w="1116" w:type="dxa"/>
            <w:noWrap/>
            <w:hideMark/>
          </w:tcPr>
          <w:p w14:paraId="7760412A"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7</w:t>
            </w:r>
          </w:p>
        </w:tc>
      </w:tr>
      <w:tr w:rsidR="005361E3" w:rsidRPr="00044103" w14:paraId="69D9D230" w14:textId="77777777" w:rsidTr="00AD7202">
        <w:trPr>
          <w:gridAfter w:val="1"/>
          <w:wAfter w:w="8" w:type="dxa"/>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1879811E" w14:textId="77777777" w:rsidR="005361E3" w:rsidRPr="00044103" w:rsidRDefault="005361E3" w:rsidP="00AD7202">
            <w:pPr>
              <w:spacing w:line="240" w:lineRule="auto"/>
              <w:rPr>
                <w:rFonts w:eastAsia="Times New Roman" w:cs="Times New Roman"/>
                <w:color w:val="000000"/>
                <w:sz w:val="20"/>
                <w:szCs w:val="20"/>
                <w:lang w:eastAsia="pl-PL"/>
              </w:rPr>
            </w:pPr>
            <w:r w:rsidRPr="00044103">
              <w:rPr>
                <w:rFonts w:eastAsia="Calibri" w:cs="Times New Roman"/>
                <w:color w:val="000000"/>
                <w:sz w:val="20"/>
                <w:szCs w:val="20"/>
                <w:lang w:eastAsia="pl-PL"/>
              </w:rPr>
              <w:t>Łódzkie</w:t>
            </w:r>
          </w:p>
        </w:tc>
        <w:tc>
          <w:tcPr>
            <w:tcW w:w="1216" w:type="dxa"/>
            <w:noWrap/>
            <w:hideMark/>
          </w:tcPr>
          <w:p w14:paraId="085B0D0E"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17</w:t>
            </w:r>
          </w:p>
        </w:tc>
        <w:tc>
          <w:tcPr>
            <w:tcW w:w="1116" w:type="dxa"/>
            <w:noWrap/>
            <w:hideMark/>
          </w:tcPr>
          <w:p w14:paraId="28108B8F"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20</w:t>
            </w:r>
          </w:p>
        </w:tc>
        <w:tc>
          <w:tcPr>
            <w:tcW w:w="1116" w:type="dxa"/>
            <w:noWrap/>
            <w:hideMark/>
          </w:tcPr>
          <w:p w14:paraId="1DC6ACA4"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27</w:t>
            </w:r>
          </w:p>
        </w:tc>
      </w:tr>
      <w:tr w:rsidR="005361E3" w:rsidRPr="00044103" w14:paraId="09689C12" w14:textId="77777777" w:rsidTr="00AD7202">
        <w:trPr>
          <w:gridAfter w:val="1"/>
          <w:cnfStyle w:val="000000100000" w:firstRow="0" w:lastRow="0" w:firstColumn="0" w:lastColumn="0" w:oddVBand="0" w:evenVBand="0" w:oddHBand="1" w:evenHBand="0" w:firstRowFirstColumn="0" w:firstRowLastColumn="0" w:lastRowFirstColumn="0" w:lastRowLastColumn="0"/>
          <w:wAfter w:w="8" w:type="dxa"/>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646167A2" w14:textId="77777777" w:rsidR="005361E3" w:rsidRPr="00044103" w:rsidRDefault="005361E3" w:rsidP="00AD7202">
            <w:pPr>
              <w:spacing w:line="240" w:lineRule="auto"/>
              <w:rPr>
                <w:rFonts w:eastAsia="Times New Roman" w:cs="Times New Roman"/>
                <w:color w:val="000000"/>
                <w:sz w:val="20"/>
                <w:szCs w:val="20"/>
                <w:lang w:eastAsia="pl-PL"/>
              </w:rPr>
            </w:pPr>
            <w:r w:rsidRPr="00044103">
              <w:rPr>
                <w:rFonts w:eastAsia="Calibri" w:cs="Times New Roman"/>
                <w:color w:val="000000"/>
                <w:sz w:val="20"/>
                <w:szCs w:val="20"/>
                <w:lang w:eastAsia="pl-PL"/>
              </w:rPr>
              <w:t>Małopolskie</w:t>
            </w:r>
          </w:p>
        </w:tc>
        <w:tc>
          <w:tcPr>
            <w:tcW w:w="1216" w:type="dxa"/>
            <w:noWrap/>
            <w:hideMark/>
          </w:tcPr>
          <w:p w14:paraId="07D196C9"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39</w:t>
            </w:r>
          </w:p>
        </w:tc>
        <w:tc>
          <w:tcPr>
            <w:tcW w:w="1116" w:type="dxa"/>
            <w:noWrap/>
            <w:hideMark/>
          </w:tcPr>
          <w:p w14:paraId="0E9243D6"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56</w:t>
            </w:r>
          </w:p>
        </w:tc>
        <w:tc>
          <w:tcPr>
            <w:tcW w:w="1116" w:type="dxa"/>
            <w:noWrap/>
            <w:hideMark/>
          </w:tcPr>
          <w:p w14:paraId="1C411FAB"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83</w:t>
            </w:r>
          </w:p>
        </w:tc>
      </w:tr>
      <w:tr w:rsidR="005361E3" w:rsidRPr="00044103" w14:paraId="3BEED0D2" w14:textId="77777777" w:rsidTr="00AD7202">
        <w:trPr>
          <w:gridAfter w:val="1"/>
          <w:wAfter w:w="8" w:type="dxa"/>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0D3813D1" w14:textId="77777777" w:rsidR="005361E3" w:rsidRPr="00044103" w:rsidRDefault="005361E3" w:rsidP="00AD7202">
            <w:pPr>
              <w:spacing w:line="240" w:lineRule="auto"/>
              <w:rPr>
                <w:rFonts w:eastAsia="Times New Roman" w:cs="Times New Roman"/>
                <w:color w:val="000000"/>
                <w:sz w:val="20"/>
                <w:szCs w:val="20"/>
                <w:lang w:eastAsia="pl-PL"/>
              </w:rPr>
            </w:pPr>
            <w:r w:rsidRPr="00044103">
              <w:rPr>
                <w:rFonts w:eastAsia="Calibri" w:cs="Times New Roman"/>
                <w:color w:val="000000"/>
                <w:sz w:val="20"/>
                <w:szCs w:val="20"/>
                <w:lang w:eastAsia="pl-PL"/>
              </w:rPr>
              <w:t>Mazowieckie</w:t>
            </w:r>
          </w:p>
        </w:tc>
        <w:tc>
          <w:tcPr>
            <w:tcW w:w="1216" w:type="dxa"/>
            <w:noWrap/>
            <w:hideMark/>
          </w:tcPr>
          <w:p w14:paraId="3B5CF206"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27</w:t>
            </w:r>
          </w:p>
        </w:tc>
        <w:tc>
          <w:tcPr>
            <w:tcW w:w="1116" w:type="dxa"/>
            <w:noWrap/>
            <w:hideMark/>
          </w:tcPr>
          <w:p w14:paraId="77BD9363"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28</w:t>
            </w:r>
          </w:p>
        </w:tc>
        <w:tc>
          <w:tcPr>
            <w:tcW w:w="1116" w:type="dxa"/>
            <w:noWrap/>
            <w:hideMark/>
          </w:tcPr>
          <w:p w14:paraId="3ECC3A8C"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46</w:t>
            </w:r>
          </w:p>
        </w:tc>
      </w:tr>
      <w:tr w:rsidR="005361E3" w:rsidRPr="00044103" w14:paraId="76F8AC1C" w14:textId="77777777" w:rsidTr="00AD7202">
        <w:trPr>
          <w:gridAfter w:val="1"/>
          <w:cnfStyle w:val="000000100000" w:firstRow="0" w:lastRow="0" w:firstColumn="0" w:lastColumn="0" w:oddVBand="0" w:evenVBand="0" w:oddHBand="1" w:evenHBand="0" w:firstRowFirstColumn="0" w:firstRowLastColumn="0" w:lastRowFirstColumn="0" w:lastRowLastColumn="0"/>
          <w:wAfter w:w="8" w:type="dxa"/>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53CDD876" w14:textId="77777777" w:rsidR="005361E3" w:rsidRPr="00044103" w:rsidRDefault="005361E3" w:rsidP="00AD7202">
            <w:pPr>
              <w:spacing w:line="240" w:lineRule="auto"/>
              <w:rPr>
                <w:rFonts w:eastAsia="Times New Roman" w:cs="Times New Roman"/>
                <w:color w:val="000000"/>
                <w:sz w:val="20"/>
                <w:szCs w:val="20"/>
                <w:lang w:eastAsia="pl-PL"/>
              </w:rPr>
            </w:pPr>
            <w:r w:rsidRPr="00044103">
              <w:rPr>
                <w:rFonts w:eastAsia="Calibri" w:cs="Times New Roman"/>
                <w:color w:val="000000"/>
                <w:sz w:val="20"/>
                <w:szCs w:val="20"/>
                <w:lang w:eastAsia="pl-PL"/>
              </w:rPr>
              <w:t>Opolskie</w:t>
            </w:r>
          </w:p>
        </w:tc>
        <w:tc>
          <w:tcPr>
            <w:tcW w:w="1216" w:type="dxa"/>
            <w:noWrap/>
            <w:hideMark/>
          </w:tcPr>
          <w:p w14:paraId="1AF60E59"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2</w:t>
            </w:r>
          </w:p>
        </w:tc>
        <w:tc>
          <w:tcPr>
            <w:tcW w:w="1116" w:type="dxa"/>
            <w:noWrap/>
            <w:hideMark/>
          </w:tcPr>
          <w:p w14:paraId="6C9119E3"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4</w:t>
            </w:r>
          </w:p>
        </w:tc>
        <w:tc>
          <w:tcPr>
            <w:tcW w:w="1116" w:type="dxa"/>
            <w:noWrap/>
            <w:hideMark/>
          </w:tcPr>
          <w:p w14:paraId="159B0417"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8</w:t>
            </w:r>
          </w:p>
        </w:tc>
      </w:tr>
      <w:tr w:rsidR="005361E3" w:rsidRPr="00044103" w14:paraId="3E5130C6" w14:textId="77777777" w:rsidTr="00AD7202">
        <w:trPr>
          <w:gridAfter w:val="1"/>
          <w:wAfter w:w="8" w:type="dxa"/>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3CEFB27F" w14:textId="77777777" w:rsidR="005361E3" w:rsidRPr="00044103" w:rsidRDefault="005361E3" w:rsidP="00AD7202">
            <w:pPr>
              <w:spacing w:line="240" w:lineRule="auto"/>
              <w:rPr>
                <w:rFonts w:eastAsia="Times New Roman" w:cs="Times New Roman"/>
                <w:color w:val="000000"/>
                <w:sz w:val="20"/>
                <w:szCs w:val="20"/>
                <w:lang w:eastAsia="pl-PL"/>
              </w:rPr>
            </w:pPr>
            <w:r w:rsidRPr="00044103">
              <w:rPr>
                <w:rFonts w:eastAsia="Calibri" w:cs="Times New Roman"/>
                <w:color w:val="000000"/>
                <w:sz w:val="20"/>
                <w:szCs w:val="20"/>
                <w:lang w:eastAsia="pl-PL"/>
              </w:rPr>
              <w:t>Podkarpackie</w:t>
            </w:r>
          </w:p>
        </w:tc>
        <w:tc>
          <w:tcPr>
            <w:tcW w:w="1216" w:type="dxa"/>
            <w:noWrap/>
            <w:hideMark/>
          </w:tcPr>
          <w:p w14:paraId="529F8395"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9</w:t>
            </w:r>
          </w:p>
        </w:tc>
        <w:tc>
          <w:tcPr>
            <w:tcW w:w="1116" w:type="dxa"/>
            <w:noWrap/>
            <w:hideMark/>
          </w:tcPr>
          <w:p w14:paraId="4C87D5FA"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13</w:t>
            </w:r>
          </w:p>
        </w:tc>
        <w:tc>
          <w:tcPr>
            <w:tcW w:w="1116" w:type="dxa"/>
            <w:noWrap/>
            <w:hideMark/>
          </w:tcPr>
          <w:p w14:paraId="1228B269"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18</w:t>
            </w:r>
          </w:p>
        </w:tc>
      </w:tr>
      <w:tr w:rsidR="005361E3" w:rsidRPr="00044103" w14:paraId="49C5133D" w14:textId="77777777" w:rsidTr="00AD7202">
        <w:trPr>
          <w:gridAfter w:val="1"/>
          <w:cnfStyle w:val="000000100000" w:firstRow="0" w:lastRow="0" w:firstColumn="0" w:lastColumn="0" w:oddVBand="0" w:evenVBand="0" w:oddHBand="1" w:evenHBand="0" w:firstRowFirstColumn="0" w:firstRowLastColumn="0" w:lastRowFirstColumn="0" w:lastRowLastColumn="0"/>
          <w:wAfter w:w="8" w:type="dxa"/>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4BC8F279" w14:textId="77777777" w:rsidR="005361E3" w:rsidRPr="00044103" w:rsidRDefault="005361E3" w:rsidP="00AD7202">
            <w:pPr>
              <w:spacing w:line="240" w:lineRule="auto"/>
              <w:rPr>
                <w:rFonts w:eastAsia="Times New Roman" w:cs="Times New Roman"/>
                <w:color w:val="000000"/>
                <w:sz w:val="20"/>
                <w:szCs w:val="20"/>
                <w:lang w:eastAsia="pl-PL"/>
              </w:rPr>
            </w:pPr>
            <w:r w:rsidRPr="00044103">
              <w:rPr>
                <w:rFonts w:eastAsia="Calibri" w:cs="Times New Roman"/>
                <w:color w:val="000000"/>
                <w:sz w:val="20"/>
                <w:szCs w:val="20"/>
                <w:lang w:eastAsia="pl-PL"/>
              </w:rPr>
              <w:t>Podlaskie</w:t>
            </w:r>
          </w:p>
        </w:tc>
        <w:tc>
          <w:tcPr>
            <w:tcW w:w="1216" w:type="dxa"/>
            <w:noWrap/>
            <w:hideMark/>
          </w:tcPr>
          <w:p w14:paraId="770ADDED"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8</w:t>
            </w:r>
          </w:p>
        </w:tc>
        <w:tc>
          <w:tcPr>
            <w:tcW w:w="1116" w:type="dxa"/>
            <w:noWrap/>
            <w:hideMark/>
          </w:tcPr>
          <w:p w14:paraId="76F0C25B"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15</w:t>
            </w:r>
          </w:p>
        </w:tc>
        <w:tc>
          <w:tcPr>
            <w:tcW w:w="1116" w:type="dxa"/>
            <w:noWrap/>
            <w:hideMark/>
          </w:tcPr>
          <w:p w14:paraId="0D5D279B"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26</w:t>
            </w:r>
          </w:p>
        </w:tc>
      </w:tr>
      <w:tr w:rsidR="005361E3" w:rsidRPr="00044103" w14:paraId="5B162C02" w14:textId="77777777" w:rsidTr="00AD7202">
        <w:trPr>
          <w:gridAfter w:val="1"/>
          <w:wAfter w:w="8" w:type="dxa"/>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287FF243" w14:textId="77777777" w:rsidR="005361E3" w:rsidRPr="00044103" w:rsidRDefault="005361E3" w:rsidP="00AD7202">
            <w:pPr>
              <w:spacing w:line="240" w:lineRule="auto"/>
              <w:rPr>
                <w:rFonts w:eastAsia="Times New Roman" w:cs="Times New Roman"/>
                <w:color w:val="000000"/>
                <w:sz w:val="20"/>
                <w:szCs w:val="20"/>
                <w:lang w:eastAsia="pl-PL"/>
              </w:rPr>
            </w:pPr>
            <w:r w:rsidRPr="00044103">
              <w:rPr>
                <w:rFonts w:eastAsia="Calibri" w:cs="Times New Roman"/>
                <w:color w:val="000000"/>
                <w:sz w:val="20"/>
                <w:szCs w:val="20"/>
                <w:lang w:eastAsia="pl-PL"/>
              </w:rPr>
              <w:t>Pomorskie</w:t>
            </w:r>
          </w:p>
        </w:tc>
        <w:tc>
          <w:tcPr>
            <w:tcW w:w="1216" w:type="dxa"/>
            <w:noWrap/>
            <w:hideMark/>
          </w:tcPr>
          <w:p w14:paraId="4F7DCBC8"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18</w:t>
            </w:r>
          </w:p>
        </w:tc>
        <w:tc>
          <w:tcPr>
            <w:tcW w:w="1116" w:type="dxa"/>
            <w:noWrap/>
            <w:hideMark/>
          </w:tcPr>
          <w:p w14:paraId="27FF9086"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21</w:t>
            </w:r>
          </w:p>
        </w:tc>
        <w:tc>
          <w:tcPr>
            <w:tcW w:w="1116" w:type="dxa"/>
            <w:noWrap/>
            <w:hideMark/>
          </w:tcPr>
          <w:p w14:paraId="1258287E"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32</w:t>
            </w:r>
          </w:p>
        </w:tc>
      </w:tr>
      <w:tr w:rsidR="005361E3" w:rsidRPr="00044103" w14:paraId="230E599B" w14:textId="77777777" w:rsidTr="00AD7202">
        <w:trPr>
          <w:gridAfter w:val="1"/>
          <w:cnfStyle w:val="000000100000" w:firstRow="0" w:lastRow="0" w:firstColumn="0" w:lastColumn="0" w:oddVBand="0" w:evenVBand="0" w:oddHBand="1" w:evenHBand="0" w:firstRowFirstColumn="0" w:firstRowLastColumn="0" w:lastRowFirstColumn="0" w:lastRowLastColumn="0"/>
          <w:wAfter w:w="8" w:type="dxa"/>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7CA33871" w14:textId="77777777" w:rsidR="005361E3" w:rsidRPr="00044103" w:rsidRDefault="005361E3" w:rsidP="00AD7202">
            <w:pPr>
              <w:spacing w:line="240" w:lineRule="auto"/>
              <w:rPr>
                <w:rFonts w:eastAsia="Times New Roman" w:cs="Times New Roman"/>
                <w:color w:val="000000"/>
                <w:sz w:val="20"/>
                <w:szCs w:val="20"/>
                <w:lang w:eastAsia="pl-PL"/>
              </w:rPr>
            </w:pPr>
            <w:r w:rsidRPr="00044103">
              <w:rPr>
                <w:rFonts w:eastAsia="Calibri" w:cs="Times New Roman"/>
                <w:color w:val="000000"/>
                <w:sz w:val="20"/>
                <w:szCs w:val="20"/>
                <w:lang w:eastAsia="pl-PL"/>
              </w:rPr>
              <w:t>Śląskie</w:t>
            </w:r>
          </w:p>
        </w:tc>
        <w:tc>
          <w:tcPr>
            <w:tcW w:w="1216" w:type="dxa"/>
            <w:noWrap/>
            <w:hideMark/>
          </w:tcPr>
          <w:p w14:paraId="1CB94096"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47</w:t>
            </w:r>
          </w:p>
        </w:tc>
        <w:tc>
          <w:tcPr>
            <w:tcW w:w="1116" w:type="dxa"/>
            <w:noWrap/>
            <w:hideMark/>
          </w:tcPr>
          <w:p w14:paraId="09EF85F3"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69</w:t>
            </w:r>
          </w:p>
        </w:tc>
        <w:tc>
          <w:tcPr>
            <w:tcW w:w="1116" w:type="dxa"/>
            <w:noWrap/>
            <w:hideMark/>
          </w:tcPr>
          <w:p w14:paraId="44F26B62"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101</w:t>
            </w:r>
          </w:p>
        </w:tc>
      </w:tr>
      <w:tr w:rsidR="005361E3" w:rsidRPr="00044103" w14:paraId="03624C0A" w14:textId="77777777" w:rsidTr="00AD7202">
        <w:trPr>
          <w:gridAfter w:val="1"/>
          <w:wAfter w:w="8" w:type="dxa"/>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78906253" w14:textId="77777777" w:rsidR="005361E3" w:rsidRPr="00044103" w:rsidRDefault="005361E3" w:rsidP="00AD7202">
            <w:pPr>
              <w:spacing w:line="240" w:lineRule="auto"/>
              <w:rPr>
                <w:rFonts w:eastAsia="Times New Roman" w:cs="Times New Roman"/>
                <w:color w:val="000000"/>
                <w:sz w:val="20"/>
                <w:szCs w:val="20"/>
                <w:lang w:eastAsia="pl-PL"/>
              </w:rPr>
            </w:pPr>
            <w:r w:rsidRPr="00044103">
              <w:rPr>
                <w:rFonts w:eastAsia="Calibri" w:cs="Times New Roman"/>
                <w:color w:val="000000"/>
                <w:sz w:val="20"/>
                <w:szCs w:val="20"/>
                <w:lang w:eastAsia="pl-PL"/>
              </w:rPr>
              <w:t>Świętokrzyskie</w:t>
            </w:r>
          </w:p>
        </w:tc>
        <w:tc>
          <w:tcPr>
            <w:tcW w:w="1216" w:type="dxa"/>
            <w:noWrap/>
            <w:hideMark/>
          </w:tcPr>
          <w:p w14:paraId="5619143F"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3</w:t>
            </w:r>
          </w:p>
        </w:tc>
        <w:tc>
          <w:tcPr>
            <w:tcW w:w="1116" w:type="dxa"/>
            <w:noWrap/>
            <w:hideMark/>
          </w:tcPr>
          <w:p w14:paraId="1B2A85BD"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4</w:t>
            </w:r>
          </w:p>
        </w:tc>
        <w:tc>
          <w:tcPr>
            <w:tcW w:w="1116" w:type="dxa"/>
            <w:noWrap/>
            <w:hideMark/>
          </w:tcPr>
          <w:p w14:paraId="495956C3"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7</w:t>
            </w:r>
          </w:p>
        </w:tc>
      </w:tr>
      <w:tr w:rsidR="005361E3" w:rsidRPr="00044103" w14:paraId="1C6983A8" w14:textId="77777777" w:rsidTr="00AD7202">
        <w:trPr>
          <w:gridAfter w:val="1"/>
          <w:cnfStyle w:val="000000100000" w:firstRow="0" w:lastRow="0" w:firstColumn="0" w:lastColumn="0" w:oddVBand="0" w:evenVBand="0" w:oddHBand="1" w:evenHBand="0" w:firstRowFirstColumn="0" w:firstRowLastColumn="0" w:lastRowFirstColumn="0" w:lastRowLastColumn="0"/>
          <w:wAfter w:w="8" w:type="dxa"/>
          <w:trHeight w:val="300"/>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6D0BBCE6" w14:textId="77777777" w:rsidR="005361E3" w:rsidRPr="00044103" w:rsidRDefault="005361E3" w:rsidP="00AD7202">
            <w:pPr>
              <w:spacing w:line="240" w:lineRule="auto"/>
              <w:rPr>
                <w:rFonts w:eastAsia="Times New Roman" w:cs="Times New Roman"/>
                <w:color w:val="000000"/>
                <w:sz w:val="20"/>
                <w:szCs w:val="20"/>
                <w:lang w:eastAsia="pl-PL"/>
              </w:rPr>
            </w:pPr>
            <w:r w:rsidRPr="00044103">
              <w:rPr>
                <w:rFonts w:eastAsia="Calibri" w:cs="Times New Roman"/>
                <w:color w:val="000000"/>
                <w:sz w:val="20"/>
                <w:szCs w:val="20"/>
                <w:lang w:eastAsia="pl-PL"/>
              </w:rPr>
              <w:t>Warmińsko-mazurskie</w:t>
            </w:r>
          </w:p>
        </w:tc>
        <w:tc>
          <w:tcPr>
            <w:tcW w:w="1216" w:type="dxa"/>
            <w:noWrap/>
            <w:hideMark/>
          </w:tcPr>
          <w:p w14:paraId="765AB644"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7</w:t>
            </w:r>
          </w:p>
        </w:tc>
        <w:tc>
          <w:tcPr>
            <w:tcW w:w="1116" w:type="dxa"/>
            <w:noWrap/>
            <w:hideMark/>
          </w:tcPr>
          <w:p w14:paraId="110F5281"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8</w:t>
            </w:r>
          </w:p>
        </w:tc>
        <w:tc>
          <w:tcPr>
            <w:tcW w:w="1116" w:type="dxa"/>
            <w:noWrap/>
            <w:hideMark/>
          </w:tcPr>
          <w:p w14:paraId="13DCE5D3" w14:textId="77777777" w:rsidR="005361E3" w:rsidRPr="00044103" w:rsidRDefault="005361E3" w:rsidP="00AD7202">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8</w:t>
            </w:r>
          </w:p>
        </w:tc>
      </w:tr>
      <w:tr w:rsidR="005361E3" w:rsidRPr="00044103" w14:paraId="23906AE7" w14:textId="77777777" w:rsidTr="00AD7202">
        <w:trPr>
          <w:gridAfter w:val="1"/>
          <w:wAfter w:w="8" w:type="dxa"/>
          <w:trHeight w:val="315"/>
          <w:jc w:val="center"/>
        </w:trPr>
        <w:tc>
          <w:tcPr>
            <w:cnfStyle w:val="001000000000" w:firstRow="0" w:lastRow="0" w:firstColumn="1" w:lastColumn="0" w:oddVBand="0" w:evenVBand="0" w:oddHBand="0" w:evenHBand="0" w:firstRowFirstColumn="0" w:firstRowLastColumn="0" w:lastRowFirstColumn="0" w:lastRowLastColumn="0"/>
            <w:tcW w:w="2200" w:type="dxa"/>
            <w:noWrap/>
            <w:hideMark/>
          </w:tcPr>
          <w:p w14:paraId="16EC79C2" w14:textId="77777777" w:rsidR="005361E3" w:rsidRPr="00044103" w:rsidRDefault="005361E3" w:rsidP="00AD7202">
            <w:pPr>
              <w:spacing w:line="240" w:lineRule="auto"/>
              <w:rPr>
                <w:rFonts w:eastAsia="Times New Roman" w:cs="Times New Roman"/>
                <w:color w:val="000000"/>
                <w:sz w:val="20"/>
                <w:szCs w:val="20"/>
                <w:lang w:eastAsia="pl-PL"/>
              </w:rPr>
            </w:pPr>
            <w:r w:rsidRPr="00044103">
              <w:rPr>
                <w:rFonts w:eastAsia="Calibri" w:cs="Times New Roman"/>
                <w:color w:val="000000"/>
                <w:sz w:val="20"/>
                <w:szCs w:val="20"/>
                <w:lang w:eastAsia="pl-PL"/>
              </w:rPr>
              <w:t>Wielkopolskie</w:t>
            </w:r>
          </w:p>
        </w:tc>
        <w:tc>
          <w:tcPr>
            <w:tcW w:w="1216" w:type="dxa"/>
            <w:noWrap/>
            <w:hideMark/>
          </w:tcPr>
          <w:p w14:paraId="0907C406"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14</w:t>
            </w:r>
          </w:p>
        </w:tc>
        <w:tc>
          <w:tcPr>
            <w:tcW w:w="1116" w:type="dxa"/>
            <w:noWrap/>
            <w:hideMark/>
          </w:tcPr>
          <w:p w14:paraId="09F7C4AB"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22</w:t>
            </w:r>
          </w:p>
        </w:tc>
        <w:tc>
          <w:tcPr>
            <w:tcW w:w="1116" w:type="dxa"/>
            <w:noWrap/>
            <w:hideMark/>
          </w:tcPr>
          <w:p w14:paraId="0140873A" w14:textId="77777777" w:rsidR="005361E3" w:rsidRPr="00044103" w:rsidRDefault="005361E3" w:rsidP="00AD7202">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pl-PL"/>
              </w:rPr>
            </w:pPr>
            <w:r w:rsidRPr="00044103">
              <w:rPr>
                <w:rFonts w:eastAsia="Calibri" w:cs="Times New Roman"/>
                <w:color w:val="000000"/>
                <w:sz w:val="20"/>
                <w:szCs w:val="20"/>
                <w:lang w:eastAsia="pl-PL"/>
              </w:rPr>
              <w:t>32</w:t>
            </w:r>
          </w:p>
        </w:tc>
      </w:tr>
    </w:tbl>
    <w:p w14:paraId="7661E78C" w14:textId="77777777" w:rsidR="005361E3" w:rsidRPr="005361E3" w:rsidRDefault="005361E3" w:rsidP="005361E3">
      <w:pPr>
        <w:tabs>
          <w:tab w:val="left" w:pos="5400"/>
        </w:tabs>
        <w:rPr>
          <w:rFonts w:eastAsia="Times New Roman" w:cs="Times New Roman"/>
          <w:b/>
          <w:sz w:val="22"/>
          <w:lang w:eastAsia="pl-PL"/>
        </w:rPr>
      </w:pPr>
      <w:r w:rsidRPr="005361E3">
        <w:rPr>
          <w:rFonts w:eastAsia="Times New Roman" w:cs="Times New Roman"/>
          <w:b/>
          <w:sz w:val="22"/>
          <w:lang w:eastAsia="pl-PL"/>
        </w:rPr>
        <w:t xml:space="preserve">Źródło: Dane Naczelnej Izby Lekarskiej. </w:t>
      </w:r>
    </w:p>
    <w:p w14:paraId="58180D75" w14:textId="77777777" w:rsidR="005361E3" w:rsidRDefault="005361E3" w:rsidP="00FC249D">
      <w:pPr>
        <w:rPr>
          <w:rFonts w:cs="Times New Roman"/>
          <w:szCs w:val="24"/>
        </w:rPr>
      </w:pPr>
    </w:p>
    <w:p w14:paraId="125017BF" w14:textId="540A49F1" w:rsidR="00221A75" w:rsidRDefault="005361E3" w:rsidP="00FC249D">
      <w:pPr>
        <w:rPr>
          <w:rFonts w:cs="Times New Roman"/>
          <w:szCs w:val="24"/>
        </w:rPr>
      </w:pPr>
      <w:r>
        <w:rPr>
          <w:rFonts w:cs="Times New Roman"/>
          <w:szCs w:val="24"/>
        </w:rPr>
        <w:t>Najwięcej łóżek na oddziałach geriatrycznych znajduje się w województwie śląskim, natomiast najmniej w województwach podlaskim oraz wielkopolskim.</w:t>
      </w:r>
    </w:p>
    <w:p w14:paraId="5346089D" w14:textId="77777777" w:rsidR="00221A75" w:rsidRDefault="00221A75" w:rsidP="00FC249D">
      <w:pPr>
        <w:rPr>
          <w:rFonts w:cs="Times New Roman"/>
          <w:szCs w:val="24"/>
        </w:rPr>
      </w:pPr>
    </w:p>
    <w:p w14:paraId="1E7D402F" w14:textId="53BFBA04" w:rsidR="003215CC" w:rsidRPr="003215CC" w:rsidRDefault="003215CC" w:rsidP="003215CC">
      <w:pPr>
        <w:pStyle w:val="Legenda"/>
        <w:keepNext/>
        <w:rPr>
          <w:rFonts w:cs="Times New Roman"/>
          <w:b/>
          <w:i w:val="0"/>
          <w:color w:val="auto"/>
          <w:sz w:val="24"/>
        </w:rPr>
      </w:pPr>
      <w:r w:rsidRPr="00432294">
        <w:rPr>
          <w:rFonts w:cs="Times New Roman"/>
          <w:b/>
          <w:i w:val="0"/>
          <w:color w:val="auto"/>
          <w:sz w:val="24"/>
        </w:rPr>
        <w:t xml:space="preserve">Tabela </w:t>
      </w:r>
      <w:r w:rsidR="005B094D">
        <w:rPr>
          <w:rFonts w:cs="Times New Roman"/>
          <w:b/>
          <w:i w:val="0"/>
          <w:color w:val="auto"/>
          <w:sz w:val="24"/>
        </w:rPr>
        <w:t>4</w:t>
      </w:r>
      <w:r w:rsidR="00221A75">
        <w:rPr>
          <w:rFonts w:cs="Times New Roman"/>
          <w:b/>
          <w:i w:val="0"/>
          <w:color w:val="auto"/>
          <w:sz w:val="24"/>
        </w:rPr>
        <w:t>8</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Oddziały geriatryczne w szpitalach ogólnych</w:t>
      </w:r>
    </w:p>
    <w:tbl>
      <w:tblPr>
        <w:tblStyle w:val="Tabelasiatki4akcent2"/>
        <w:tblW w:w="0" w:type="auto"/>
        <w:tblLook w:val="04A0" w:firstRow="1" w:lastRow="0" w:firstColumn="1" w:lastColumn="0" w:noHBand="0" w:noVBand="1"/>
      </w:tblPr>
      <w:tblGrid>
        <w:gridCol w:w="2281"/>
        <w:gridCol w:w="2281"/>
        <w:gridCol w:w="2281"/>
        <w:gridCol w:w="2027"/>
      </w:tblGrid>
      <w:tr w:rsidR="003215CC" w14:paraId="69ABC9E9" w14:textId="77777777" w:rsidTr="00321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14:paraId="501C41E6" w14:textId="61505D0B" w:rsidR="003215CC" w:rsidRPr="003215CC" w:rsidRDefault="003215CC" w:rsidP="003215CC">
            <w:pPr>
              <w:rPr>
                <w:rFonts w:cs="Times New Roman"/>
                <w:color w:val="auto"/>
                <w:sz w:val="20"/>
                <w:szCs w:val="20"/>
              </w:rPr>
            </w:pPr>
            <w:r w:rsidRPr="003215CC">
              <w:rPr>
                <w:rFonts w:cs="Times New Roman"/>
                <w:color w:val="auto"/>
                <w:sz w:val="20"/>
                <w:szCs w:val="20"/>
              </w:rPr>
              <w:t>Województwo</w:t>
            </w:r>
          </w:p>
        </w:tc>
        <w:tc>
          <w:tcPr>
            <w:tcW w:w="2281" w:type="dxa"/>
          </w:tcPr>
          <w:p w14:paraId="6718E1F4" w14:textId="16DD137B" w:rsidR="003215CC" w:rsidRPr="003215CC" w:rsidRDefault="003215CC" w:rsidP="005361E3">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3215CC">
              <w:rPr>
                <w:rFonts w:cs="Times New Roman"/>
                <w:color w:val="auto"/>
                <w:sz w:val="20"/>
                <w:szCs w:val="20"/>
              </w:rPr>
              <w:t>Liczba oddziałów</w:t>
            </w:r>
            <w:r w:rsidRPr="003215CC">
              <w:rPr>
                <w:rFonts w:cs="Times New Roman"/>
                <w:color w:val="auto"/>
                <w:sz w:val="20"/>
                <w:szCs w:val="20"/>
              </w:rPr>
              <w:br/>
              <w:t>(stan w dniu 31</w:t>
            </w:r>
            <w:r w:rsidR="002D0899">
              <w:rPr>
                <w:rFonts w:cs="Times New Roman"/>
                <w:color w:val="auto"/>
                <w:sz w:val="20"/>
                <w:szCs w:val="20"/>
              </w:rPr>
              <w:t>.12.2019</w:t>
            </w:r>
            <w:r w:rsidRPr="003215CC">
              <w:rPr>
                <w:rFonts w:cs="Times New Roman"/>
                <w:color w:val="auto"/>
                <w:sz w:val="20"/>
                <w:szCs w:val="20"/>
              </w:rPr>
              <w:t>)</w:t>
            </w:r>
          </w:p>
        </w:tc>
        <w:tc>
          <w:tcPr>
            <w:tcW w:w="2281" w:type="dxa"/>
          </w:tcPr>
          <w:p w14:paraId="40A13FD5" w14:textId="7DB2E6DD" w:rsidR="003215CC" w:rsidRPr="003215CC" w:rsidRDefault="003215CC" w:rsidP="005361E3">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3215CC">
              <w:rPr>
                <w:rFonts w:cs="Times New Roman"/>
                <w:color w:val="auto"/>
                <w:sz w:val="20"/>
                <w:szCs w:val="20"/>
              </w:rPr>
              <w:t>Łóżka</w:t>
            </w:r>
            <w:r w:rsidRPr="003215CC">
              <w:rPr>
                <w:rFonts w:cs="Times New Roman"/>
                <w:color w:val="auto"/>
                <w:sz w:val="20"/>
                <w:szCs w:val="20"/>
              </w:rPr>
              <w:br/>
              <w:t>(stan w dniu 31</w:t>
            </w:r>
            <w:r w:rsidR="002D0899">
              <w:rPr>
                <w:rFonts w:cs="Times New Roman"/>
                <w:color w:val="auto"/>
                <w:sz w:val="20"/>
                <w:szCs w:val="20"/>
              </w:rPr>
              <w:t>.12.2019</w:t>
            </w:r>
            <w:r w:rsidRPr="003215CC">
              <w:rPr>
                <w:rFonts w:cs="Times New Roman"/>
                <w:color w:val="auto"/>
                <w:sz w:val="20"/>
                <w:szCs w:val="20"/>
              </w:rPr>
              <w:t>)</w:t>
            </w:r>
          </w:p>
        </w:tc>
        <w:tc>
          <w:tcPr>
            <w:tcW w:w="2027" w:type="dxa"/>
          </w:tcPr>
          <w:p w14:paraId="051AA154" w14:textId="0D981C99" w:rsidR="003215CC" w:rsidRPr="003215CC" w:rsidRDefault="003215CC" w:rsidP="005361E3">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3215CC">
              <w:rPr>
                <w:rFonts w:cs="Times New Roman"/>
                <w:color w:val="auto"/>
                <w:sz w:val="20"/>
                <w:szCs w:val="20"/>
              </w:rPr>
              <w:t>Pacjenci leczeni w ciągu roku (łącznie z ruchem międzyoddziałowym)</w:t>
            </w:r>
          </w:p>
        </w:tc>
      </w:tr>
      <w:tr w:rsidR="003215CC" w14:paraId="1DBDE782" w14:textId="77777777" w:rsidTr="00321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14:paraId="7E6DEAE6" w14:textId="1F8DC125" w:rsidR="003215CC" w:rsidRPr="003215CC" w:rsidRDefault="003215CC" w:rsidP="003215CC">
            <w:pPr>
              <w:rPr>
                <w:rFonts w:cs="Times New Roman"/>
                <w:sz w:val="20"/>
                <w:szCs w:val="20"/>
              </w:rPr>
            </w:pPr>
            <w:r w:rsidRPr="003215CC">
              <w:rPr>
                <w:rFonts w:cs="Times New Roman"/>
                <w:sz w:val="20"/>
                <w:szCs w:val="20"/>
              </w:rPr>
              <w:t xml:space="preserve">POLSKA   </w:t>
            </w:r>
          </w:p>
        </w:tc>
        <w:tc>
          <w:tcPr>
            <w:tcW w:w="2281" w:type="dxa"/>
          </w:tcPr>
          <w:p w14:paraId="59D9720A" w14:textId="1C377EB0"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b/>
                <w:bCs/>
                <w:color w:val="000000"/>
                <w:sz w:val="20"/>
                <w:szCs w:val="20"/>
              </w:rPr>
              <w:t>52</w:t>
            </w:r>
          </w:p>
        </w:tc>
        <w:tc>
          <w:tcPr>
            <w:tcW w:w="2281" w:type="dxa"/>
          </w:tcPr>
          <w:p w14:paraId="05F8C679" w14:textId="1803DC0A"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b/>
                <w:bCs/>
                <w:color w:val="000000"/>
                <w:sz w:val="20"/>
                <w:szCs w:val="20"/>
              </w:rPr>
              <w:t>1 097</w:t>
            </w:r>
          </w:p>
        </w:tc>
        <w:tc>
          <w:tcPr>
            <w:tcW w:w="2027" w:type="dxa"/>
          </w:tcPr>
          <w:p w14:paraId="33E2C575" w14:textId="671D24A7"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b/>
                <w:bCs/>
                <w:color w:val="000000"/>
                <w:sz w:val="20"/>
                <w:szCs w:val="20"/>
              </w:rPr>
              <w:t>32 458</w:t>
            </w:r>
          </w:p>
        </w:tc>
      </w:tr>
      <w:tr w:rsidR="003215CC" w14:paraId="739D9254" w14:textId="77777777" w:rsidTr="003215CC">
        <w:tc>
          <w:tcPr>
            <w:cnfStyle w:val="001000000000" w:firstRow="0" w:lastRow="0" w:firstColumn="1" w:lastColumn="0" w:oddVBand="0" w:evenVBand="0" w:oddHBand="0" w:evenHBand="0" w:firstRowFirstColumn="0" w:firstRowLastColumn="0" w:lastRowFirstColumn="0" w:lastRowLastColumn="0"/>
            <w:tcW w:w="2281" w:type="dxa"/>
          </w:tcPr>
          <w:p w14:paraId="19671D14" w14:textId="6413FD46" w:rsidR="003215CC" w:rsidRPr="003215CC" w:rsidRDefault="003215CC" w:rsidP="003215CC">
            <w:pPr>
              <w:rPr>
                <w:rFonts w:cs="Times New Roman"/>
                <w:sz w:val="20"/>
                <w:szCs w:val="20"/>
              </w:rPr>
            </w:pPr>
            <w:r w:rsidRPr="003215CC">
              <w:rPr>
                <w:rFonts w:cs="Times New Roman"/>
                <w:sz w:val="20"/>
                <w:szCs w:val="20"/>
              </w:rPr>
              <w:t>Dolnośląskie</w:t>
            </w:r>
          </w:p>
        </w:tc>
        <w:tc>
          <w:tcPr>
            <w:tcW w:w="2281" w:type="dxa"/>
          </w:tcPr>
          <w:p w14:paraId="23D33A3F" w14:textId="6DE841C4"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5</w:t>
            </w:r>
          </w:p>
        </w:tc>
        <w:tc>
          <w:tcPr>
            <w:tcW w:w="2281" w:type="dxa"/>
          </w:tcPr>
          <w:p w14:paraId="796E3C47" w14:textId="022FE628"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66</w:t>
            </w:r>
          </w:p>
        </w:tc>
        <w:tc>
          <w:tcPr>
            <w:tcW w:w="2027" w:type="dxa"/>
          </w:tcPr>
          <w:p w14:paraId="150B753E" w14:textId="029D3A04"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1 399</w:t>
            </w:r>
          </w:p>
        </w:tc>
      </w:tr>
      <w:tr w:rsidR="003215CC" w14:paraId="46C45FC2" w14:textId="77777777" w:rsidTr="00321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14:paraId="7F03934D" w14:textId="64C768BF" w:rsidR="003215CC" w:rsidRPr="003215CC" w:rsidRDefault="003215CC" w:rsidP="003215CC">
            <w:pPr>
              <w:rPr>
                <w:rFonts w:cs="Times New Roman"/>
                <w:sz w:val="20"/>
                <w:szCs w:val="20"/>
              </w:rPr>
            </w:pPr>
            <w:r w:rsidRPr="003215CC">
              <w:rPr>
                <w:rFonts w:cs="Times New Roman"/>
                <w:sz w:val="20"/>
                <w:szCs w:val="20"/>
              </w:rPr>
              <w:t>Kujawsko-pomorskie</w:t>
            </w:r>
          </w:p>
        </w:tc>
        <w:tc>
          <w:tcPr>
            <w:tcW w:w="2281" w:type="dxa"/>
          </w:tcPr>
          <w:p w14:paraId="4736FBAA" w14:textId="510A4830"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2</w:t>
            </w:r>
          </w:p>
        </w:tc>
        <w:tc>
          <w:tcPr>
            <w:tcW w:w="2281" w:type="dxa"/>
          </w:tcPr>
          <w:p w14:paraId="23618AFE" w14:textId="128045B6"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54</w:t>
            </w:r>
          </w:p>
        </w:tc>
        <w:tc>
          <w:tcPr>
            <w:tcW w:w="2027" w:type="dxa"/>
          </w:tcPr>
          <w:p w14:paraId="701DEAC4" w14:textId="5DFF1CA6"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1 581</w:t>
            </w:r>
          </w:p>
        </w:tc>
      </w:tr>
      <w:tr w:rsidR="003215CC" w14:paraId="033999DE" w14:textId="77777777" w:rsidTr="003215CC">
        <w:tc>
          <w:tcPr>
            <w:cnfStyle w:val="001000000000" w:firstRow="0" w:lastRow="0" w:firstColumn="1" w:lastColumn="0" w:oddVBand="0" w:evenVBand="0" w:oddHBand="0" w:evenHBand="0" w:firstRowFirstColumn="0" w:firstRowLastColumn="0" w:lastRowFirstColumn="0" w:lastRowLastColumn="0"/>
            <w:tcW w:w="2281" w:type="dxa"/>
          </w:tcPr>
          <w:p w14:paraId="769A675F" w14:textId="1EFAFBBA" w:rsidR="003215CC" w:rsidRPr="003215CC" w:rsidRDefault="003215CC" w:rsidP="003215CC">
            <w:pPr>
              <w:rPr>
                <w:rFonts w:cs="Times New Roman"/>
                <w:sz w:val="20"/>
                <w:szCs w:val="20"/>
              </w:rPr>
            </w:pPr>
            <w:r w:rsidRPr="003215CC">
              <w:rPr>
                <w:rFonts w:cs="Times New Roman"/>
                <w:sz w:val="20"/>
                <w:szCs w:val="20"/>
              </w:rPr>
              <w:t>Lubelskie</w:t>
            </w:r>
          </w:p>
        </w:tc>
        <w:tc>
          <w:tcPr>
            <w:tcW w:w="2281" w:type="dxa"/>
          </w:tcPr>
          <w:p w14:paraId="1C7C95CF" w14:textId="1D97C5DF"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3</w:t>
            </w:r>
          </w:p>
        </w:tc>
        <w:tc>
          <w:tcPr>
            <w:tcW w:w="2281" w:type="dxa"/>
          </w:tcPr>
          <w:p w14:paraId="728BE80F" w14:textId="628EB16F"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91</w:t>
            </w:r>
          </w:p>
        </w:tc>
        <w:tc>
          <w:tcPr>
            <w:tcW w:w="2027" w:type="dxa"/>
          </w:tcPr>
          <w:p w14:paraId="7C527AB0" w14:textId="1739DCB9"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2 997</w:t>
            </w:r>
          </w:p>
        </w:tc>
      </w:tr>
      <w:tr w:rsidR="003215CC" w14:paraId="14B58D74" w14:textId="77777777" w:rsidTr="00321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14:paraId="53D08ABA" w14:textId="21D5602E" w:rsidR="003215CC" w:rsidRPr="003215CC" w:rsidRDefault="003215CC" w:rsidP="003215CC">
            <w:pPr>
              <w:rPr>
                <w:rFonts w:cs="Times New Roman"/>
                <w:sz w:val="20"/>
                <w:szCs w:val="20"/>
              </w:rPr>
            </w:pPr>
            <w:r w:rsidRPr="003215CC">
              <w:rPr>
                <w:rFonts w:cs="Times New Roman"/>
                <w:sz w:val="20"/>
                <w:szCs w:val="20"/>
              </w:rPr>
              <w:t>Lubuskie</w:t>
            </w:r>
          </w:p>
        </w:tc>
        <w:tc>
          <w:tcPr>
            <w:tcW w:w="2281" w:type="dxa"/>
          </w:tcPr>
          <w:p w14:paraId="0266DA71" w14:textId="11D77651"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2</w:t>
            </w:r>
          </w:p>
        </w:tc>
        <w:tc>
          <w:tcPr>
            <w:tcW w:w="2281" w:type="dxa"/>
          </w:tcPr>
          <w:p w14:paraId="3ED6D580" w14:textId="11E2BE58"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38</w:t>
            </w:r>
          </w:p>
        </w:tc>
        <w:tc>
          <w:tcPr>
            <w:tcW w:w="2027" w:type="dxa"/>
          </w:tcPr>
          <w:p w14:paraId="52C96F09" w14:textId="42AD034B"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1 080</w:t>
            </w:r>
          </w:p>
        </w:tc>
      </w:tr>
      <w:tr w:rsidR="003215CC" w14:paraId="52190980" w14:textId="77777777" w:rsidTr="003215CC">
        <w:tc>
          <w:tcPr>
            <w:cnfStyle w:val="001000000000" w:firstRow="0" w:lastRow="0" w:firstColumn="1" w:lastColumn="0" w:oddVBand="0" w:evenVBand="0" w:oddHBand="0" w:evenHBand="0" w:firstRowFirstColumn="0" w:firstRowLastColumn="0" w:lastRowFirstColumn="0" w:lastRowLastColumn="0"/>
            <w:tcW w:w="2281" w:type="dxa"/>
          </w:tcPr>
          <w:p w14:paraId="1400652C" w14:textId="02643F79" w:rsidR="003215CC" w:rsidRPr="003215CC" w:rsidRDefault="003215CC" w:rsidP="003215CC">
            <w:pPr>
              <w:rPr>
                <w:rFonts w:cs="Times New Roman"/>
                <w:sz w:val="20"/>
                <w:szCs w:val="20"/>
              </w:rPr>
            </w:pPr>
            <w:r w:rsidRPr="003215CC">
              <w:rPr>
                <w:rFonts w:cs="Times New Roman"/>
                <w:sz w:val="20"/>
                <w:szCs w:val="20"/>
              </w:rPr>
              <w:t>Łódzkie</w:t>
            </w:r>
          </w:p>
        </w:tc>
        <w:tc>
          <w:tcPr>
            <w:tcW w:w="2281" w:type="dxa"/>
          </w:tcPr>
          <w:p w14:paraId="6E360E24" w14:textId="5AE3B5A9"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2</w:t>
            </w:r>
          </w:p>
        </w:tc>
        <w:tc>
          <w:tcPr>
            <w:tcW w:w="2281" w:type="dxa"/>
          </w:tcPr>
          <w:p w14:paraId="2AC96E05" w14:textId="6CBCF0C8"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30</w:t>
            </w:r>
          </w:p>
        </w:tc>
        <w:tc>
          <w:tcPr>
            <w:tcW w:w="2027" w:type="dxa"/>
          </w:tcPr>
          <w:p w14:paraId="0C8E81DF" w14:textId="276E1814"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915</w:t>
            </w:r>
          </w:p>
        </w:tc>
      </w:tr>
      <w:tr w:rsidR="003215CC" w14:paraId="45D5733C" w14:textId="77777777" w:rsidTr="00321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14:paraId="258E43E6" w14:textId="459E6EA3" w:rsidR="003215CC" w:rsidRPr="003215CC" w:rsidRDefault="003215CC" w:rsidP="003215CC">
            <w:pPr>
              <w:rPr>
                <w:rFonts w:cs="Times New Roman"/>
                <w:sz w:val="20"/>
                <w:szCs w:val="20"/>
              </w:rPr>
            </w:pPr>
            <w:r w:rsidRPr="003215CC">
              <w:rPr>
                <w:rFonts w:cs="Times New Roman"/>
                <w:sz w:val="20"/>
                <w:szCs w:val="20"/>
              </w:rPr>
              <w:t>Małopolskie</w:t>
            </w:r>
          </w:p>
        </w:tc>
        <w:tc>
          <w:tcPr>
            <w:tcW w:w="2281" w:type="dxa"/>
          </w:tcPr>
          <w:p w14:paraId="5DCFA492" w14:textId="6A0745F8"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4</w:t>
            </w:r>
          </w:p>
        </w:tc>
        <w:tc>
          <w:tcPr>
            <w:tcW w:w="2281" w:type="dxa"/>
          </w:tcPr>
          <w:p w14:paraId="01E962F7" w14:textId="3414245E"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106</w:t>
            </w:r>
          </w:p>
        </w:tc>
        <w:tc>
          <w:tcPr>
            <w:tcW w:w="2027" w:type="dxa"/>
          </w:tcPr>
          <w:p w14:paraId="71863CC0" w14:textId="03C40BDC"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3 209</w:t>
            </w:r>
          </w:p>
        </w:tc>
      </w:tr>
      <w:tr w:rsidR="003215CC" w14:paraId="0BB507C4" w14:textId="77777777" w:rsidTr="003215CC">
        <w:tc>
          <w:tcPr>
            <w:cnfStyle w:val="001000000000" w:firstRow="0" w:lastRow="0" w:firstColumn="1" w:lastColumn="0" w:oddVBand="0" w:evenVBand="0" w:oddHBand="0" w:evenHBand="0" w:firstRowFirstColumn="0" w:firstRowLastColumn="0" w:lastRowFirstColumn="0" w:lastRowLastColumn="0"/>
            <w:tcW w:w="2281" w:type="dxa"/>
          </w:tcPr>
          <w:p w14:paraId="0236628A" w14:textId="1307A501" w:rsidR="003215CC" w:rsidRPr="003215CC" w:rsidRDefault="003215CC" w:rsidP="003215CC">
            <w:pPr>
              <w:rPr>
                <w:rFonts w:cs="Times New Roman"/>
                <w:sz w:val="20"/>
                <w:szCs w:val="20"/>
              </w:rPr>
            </w:pPr>
            <w:r w:rsidRPr="003215CC">
              <w:rPr>
                <w:rFonts w:cs="Times New Roman"/>
                <w:sz w:val="20"/>
                <w:szCs w:val="20"/>
              </w:rPr>
              <w:t>Mazowieckie</w:t>
            </w:r>
          </w:p>
        </w:tc>
        <w:tc>
          <w:tcPr>
            <w:tcW w:w="2281" w:type="dxa"/>
          </w:tcPr>
          <w:p w14:paraId="7B6F0605" w14:textId="2751E60A"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8</w:t>
            </w:r>
          </w:p>
        </w:tc>
        <w:tc>
          <w:tcPr>
            <w:tcW w:w="2281" w:type="dxa"/>
          </w:tcPr>
          <w:p w14:paraId="6D46FADD" w14:textId="0BF2DCD6"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129</w:t>
            </w:r>
          </w:p>
        </w:tc>
        <w:tc>
          <w:tcPr>
            <w:tcW w:w="2027" w:type="dxa"/>
          </w:tcPr>
          <w:p w14:paraId="5712EA58" w14:textId="7F0EB0FD"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4 107</w:t>
            </w:r>
          </w:p>
        </w:tc>
      </w:tr>
      <w:tr w:rsidR="003215CC" w14:paraId="369648F8" w14:textId="77777777" w:rsidTr="00321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14:paraId="78C3CAB1" w14:textId="71A8E367" w:rsidR="003215CC" w:rsidRPr="003215CC" w:rsidRDefault="003215CC" w:rsidP="003215CC">
            <w:pPr>
              <w:rPr>
                <w:rFonts w:cs="Times New Roman"/>
                <w:sz w:val="20"/>
                <w:szCs w:val="20"/>
              </w:rPr>
            </w:pPr>
            <w:r w:rsidRPr="003215CC">
              <w:rPr>
                <w:rFonts w:cs="Times New Roman"/>
                <w:sz w:val="20"/>
                <w:szCs w:val="20"/>
              </w:rPr>
              <w:t>Opolskie</w:t>
            </w:r>
          </w:p>
        </w:tc>
        <w:tc>
          <w:tcPr>
            <w:tcW w:w="2281" w:type="dxa"/>
          </w:tcPr>
          <w:p w14:paraId="0A43D720" w14:textId="7728CC3E"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2</w:t>
            </w:r>
          </w:p>
        </w:tc>
        <w:tc>
          <w:tcPr>
            <w:tcW w:w="2281" w:type="dxa"/>
          </w:tcPr>
          <w:p w14:paraId="67A08C9D" w14:textId="73306107"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46</w:t>
            </w:r>
          </w:p>
        </w:tc>
        <w:tc>
          <w:tcPr>
            <w:tcW w:w="2027" w:type="dxa"/>
          </w:tcPr>
          <w:p w14:paraId="153F4066" w14:textId="22074926"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1 293</w:t>
            </w:r>
          </w:p>
        </w:tc>
      </w:tr>
      <w:tr w:rsidR="003215CC" w14:paraId="2295BFE4" w14:textId="77777777" w:rsidTr="003215CC">
        <w:tc>
          <w:tcPr>
            <w:cnfStyle w:val="001000000000" w:firstRow="0" w:lastRow="0" w:firstColumn="1" w:lastColumn="0" w:oddVBand="0" w:evenVBand="0" w:oddHBand="0" w:evenHBand="0" w:firstRowFirstColumn="0" w:firstRowLastColumn="0" w:lastRowFirstColumn="0" w:lastRowLastColumn="0"/>
            <w:tcW w:w="2281" w:type="dxa"/>
          </w:tcPr>
          <w:p w14:paraId="59AB011F" w14:textId="0C8DF72C" w:rsidR="003215CC" w:rsidRPr="003215CC" w:rsidRDefault="003215CC" w:rsidP="003215CC">
            <w:pPr>
              <w:rPr>
                <w:rFonts w:cs="Times New Roman"/>
                <w:sz w:val="20"/>
                <w:szCs w:val="20"/>
              </w:rPr>
            </w:pPr>
            <w:r w:rsidRPr="003215CC">
              <w:rPr>
                <w:rFonts w:cs="Times New Roman"/>
                <w:sz w:val="20"/>
                <w:szCs w:val="20"/>
              </w:rPr>
              <w:t>Podkarpackie</w:t>
            </w:r>
          </w:p>
        </w:tc>
        <w:tc>
          <w:tcPr>
            <w:tcW w:w="2281" w:type="dxa"/>
          </w:tcPr>
          <w:p w14:paraId="1056DEF4" w14:textId="3D500796"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3</w:t>
            </w:r>
          </w:p>
        </w:tc>
        <w:tc>
          <w:tcPr>
            <w:tcW w:w="2281" w:type="dxa"/>
          </w:tcPr>
          <w:p w14:paraId="6FB3DE33" w14:textId="423FCC99"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63</w:t>
            </w:r>
          </w:p>
        </w:tc>
        <w:tc>
          <w:tcPr>
            <w:tcW w:w="2027" w:type="dxa"/>
          </w:tcPr>
          <w:p w14:paraId="62604722" w14:textId="2498F1E2"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2 894</w:t>
            </w:r>
          </w:p>
        </w:tc>
      </w:tr>
      <w:tr w:rsidR="003215CC" w14:paraId="73548EB7" w14:textId="77777777" w:rsidTr="00321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14:paraId="0F9B8001" w14:textId="1A843EF3" w:rsidR="003215CC" w:rsidRPr="003215CC" w:rsidRDefault="003215CC" w:rsidP="003215CC">
            <w:pPr>
              <w:rPr>
                <w:rFonts w:cs="Times New Roman"/>
                <w:sz w:val="20"/>
                <w:szCs w:val="20"/>
              </w:rPr>
            </w:pPr>
            <w:r w:rsidRPr="003215CC">
              <w:rPr>
                <w:rFonts w:cs="Times New Roman"/>
                <w:sz w:val="20"/>
                <w:szCs w:val="20"/>
              </w:rPr>
              <w:t>Podlaskie</w:t>
            </w:r>
          </w:p>
        </w:tc>
        <w:tc>
          <w:tcPr>
            <w:tcW w:w="2281" w:type="dxa"/>
          </w:tcPr>
          <w:p w14:paraId="5B8A5797" w14:textId="5E6FAD91"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1</w:t>
            </w:r>
          </w:p>
        </w:tc>
        <w:tc>
          <w:tcPr>
            <w:tcW w:w="2281" w:type="dxa"/>
          </w:tcPr>
          <w:p w14:paraId="654F22A8" w14:textId="7D6283D7"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17</w:t>
            </w:r>
          </w:p>
        </w:tc>
        <w:tc>
          <w:tcPr>
            <w:tcW w:w="2027" w:type="dxa"/>
          </w:tcPr>
          <w:p w14:paraId="27F168F7" w14:textId="4768CC16"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645</w:t>
            </w:r>
          </w:p>
        </w:tc>
      </w:tr>
      <w:tr w:rsidR="003215CC" w14:paraId="1FB8ECF7" w14:textId="77777777" w:rsidTr="003215CC">
        <w:tc>
          <w:tcPr>
            <w:cnfStyle w:val="001000000000" w:firstRow="0" w:lastRow="0" w:firstColumn="1" w:lastColumn="0" w:oddVBand="0" w:evenVBand="0" w:oddHBand="0" w:evenHBand="0" w:firstRowFirstColumn="0" w:firstRowLastColumn="0" w:lastRowFirstColumn="0" w:lastRowLastColumn="0"/>
            <w:tcW w:w="2281" w:type="dxa"/>
          </w:tcPr>
          <w:p w14:paraId="29030EE9" w14:textId="1A6A40EF" w:rsidR="003215CC" w:rsidRPr="003215CC" w:rsidRDefault="003215CC" w:rsidP="003215CC">
            <w:pPr>
              <w:rPr>
                <w:rFonts w:cs="Times New Roman"/>
                <w:sz w:val="20"/>
                <w:szCs w:val="20"/>
              </w:rPr>
            </w:pPr>
            <w:r w:rsidRPr="003215CC">
              <w:rPr>
                <w:rFonts w:cs="Times New Roman"/>
                <w:sz w:val="20"/>
                <w:szCs w:val="20"/>
              </w:rPr>
              <w:t>Pomorskie</w:t>
            </w:r>
          </w:p>
        </w:tc>
        <w:tc>
          <w:tcPr>
            <w:tcW w:w="2281" w:type="dxa"/>
          </w:tcPr>
          <w:p w14:paraId="755FBBC3" w14:textId="7949DB99"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1</w:t>
            </w:r>
          </w:p>
        </w:tc>
        <w:tc>
          <w:tcPr>
            <w:tcW w:w="2281" w:type="dxa"/>
          </w:tcPr>
          <w:p w14:paraId="74B30DBD" w14:textId="217A876D"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24</w:t>
            </w:r>
          </w:p>
        </w:tc>
        <w:tc>
          <w:tcPr>
            <w:tcW w:w="2027" w:type="dxa"/>
          </w:tcPr>
          <w:p w14:paraId="14230D10" w14:textId="74AA2A66"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273</w:t>
            </w:r>
          </w:p>
        </w:tc>
      </w:tr>
      <w:tr w:rsidR="003215CC" w14:paraId="0727EC77" w14:textId="77777777" w:rsidTr="00321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14:paraId="5C660634" w14:textId="3F298809" w:rsidR="003215CC" w:rsidRPr="003215CC" w:rsidRDefault="003215CC" w:rsidP="003215CC">
            <w:pPr>
              <w:rPr>
                <w:rFonts w:cs="Times New Roman"/>
                <w:sz w:val="20"/>
                <w:szCs w:val="20"/>
              </w:rPr>
            </w:pPr>
            <w:r w:rsidRPr="003215CC">
              <w:rPr>
                <w:rFonts w:cs="Times New Roman"/>
                <w:sz w:val="20"/>
                <w:szCs w:val="20"/>
              </w:rPr>
              <w:t>Śląskie</w:t>
            </w:r>
          </w:p>
        </w:tc>
        <w:tc>
          <w:tcPr>
            <w:tcW w:w="2281" w:type="dxa"/>
          </w:tcPr>
          <w:p w14:paraId="5108E89C" w14:textId="37549A36"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15</w:t>
            </w:r>
          </w:p>
        </w:tc>
        <w:tc>
          <w:tcPr>
            <w:tcW w:w="2281" w:type="dxa"/>
          </w:tcPr>
          <w:p w14:paraId="5DD07BD7" w14:textId="43ACD465"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331</w:t>
            </w:r>
          </w:p>
        </w:tc>
        <w:tc>
          <w:tcPr>
            <w:tcW w:w="2027" w:type="dxa"/>
          </w:tcPr>
          <w:p w14:paraId="222BD8C6" w14:textId="585D0B2B"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9 085</w:t>
            </w:r>
          </w:p>
        </w:tc>
      </w:tr>
      <w:tr w:rsidR="003215CC" w14:paraId="2833B40D" w14:textId="77777777" w:rsidTr="003215CC">
        <w:tc>
          <w:tcPr>
            <w:cnfStyle w:val="001000000000" w:firstRow="0" w:lastRow="0" w:firstColumn="1" w:lastColumn="0" w:oddVBand="0" w:evenVBand="0" w:oddHBand="0" w:evenHBand="0" w:firstRowFirstColumn="0" w:firstRowLastColumn="0" w:lastRowFirstColumn="0" w:lastRowLastColumn="0"/>
            <w:tcW w:w="2281" w:type="dxa"/>
          </w:tcPr>
          <w:p w14:paraId="085E3100" w14:textId="048260B8" w:rsidR="003215CC" w:rsidRPr="003215CC" w:rsidRDefault="003215CC" w:rsidP="003215CC">
            <w:pPr>
              <w:rPr>
                <w:rFonts w:cs="Times New Roman"/>
                <w:sz w:val="20"/>
                <w:szCs w:val="20"/>
              </w:rPr>
            </w:pPr>
            <w:r w:rsidRPr="003215CC">
              <w:rPr>
                <w:rFonts w:cs="Times New Roman"/>
                <w:sz w:val="20"/>
                <w:szCs w:val="20"/>
              </w:rPr>
              <w:t>Świętokrzyskie</w:t>
            </w:r>
          </w:p>
        </w:tc>
        <w:tc>
          <w:tcPr>
            <w:tcW w:w="2281" w:type="dxa"/>
          </w:tcPr>
          <w:p w14:paraId="208A7CCE" w14:textId="18C51C22"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2</w:t>
            </w:r>
          </w:p>
        </w:tc>
        <w:tc>
          <w:tcPr>
            <w:tcW w:w="2281" w:type="dxa"/>
          </w:tcPr>
          <w:p w14:paraId="7BE2C053" w14:textId="5CD4FB0C"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56</w:t>
            </w:r>
          </w:p>
        </w:tc>
        <w:tc>
          <w:tcPr>
            <w:tcW w:w="2027" w:type="dxa"/>
          </w:tcPr>
          <w:p w14:paraId="44F93A05" w14:textId="71AFEC20"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1 924</w:t>
            </w:r>
          </w:p>
        </w:tc>
      </w:tr>
      <w:tr w:rsidR="003215CC" w14:paraId="33A65AF4" w14:textId="77777777" w:rsidTr="00321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14:paraId="082E8510" w14:textId="05026FA1" w:rsidR="003215CC" w:rsidRPr="003215CC" w:rsidRDefault="003215CC" w:rsidP="003215CC">
            <w:pPr>
              <w:rPr>
                <w:rFonts w:cs="Times New Roman"/>
                <w:sz w:val="20"/>
                <w:szCs w:val="20"/>
              </w:rPr>
            </w:pPr>
            <w:r w:rsidRPr="003215CC">
              <w:rPr>
                <w:rFonts w:cs="Times New Roman"/>
                <w:sz w:val="20"/>
                <w:szCs w:val="20"/>
              </w:rPr>
              <w:t>Warmińsko-mazurskie</w:t>
            </w:r>
          </w:p>
        </w:tc>
        <w:tc>
          <w:tcPr>
            <w:tcW w:w="2281" w:type="dxa"/>
          </w:tcPr>
          <w:p w14:paraId="7BB35CF3" w14:textId="7FE853AB"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roofErr w:type="spellStart"/>
            <w:r>
              <w:rPr>
                <w:rFonts w:cs="Times New Roman"/>
                <w:sz w:val="20"/>
                <w:szCs w:val="20"/>
              </w:rPr>
              <w:t>b.d</w:t>
            </w:r>
            <w:proofErr w:type="spellEnd"/>
          </w:p>
        </w:tc>
        <w:tc>
          <w:tcPr>
            <w:tcW w:w="2281" w:type="dxa"/>
          </w:tcPr>
          <w:p w14:paraId="2B01C194" w14:textId="2D84FC10"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roofErr w:type="spellStart"/>
            <w:r>
              <w:rPr>
                <w:rFonts w:cs="Times New Roman"/>
                <w:sz w:val="20"/>
                <w:szCs w:val="20"/>
              </w:rPr>
              <w:t>b.d</w:t>
            </w:r>
            <w:proofErr w:type="spellEnd"/>
          </w:p>
        </w:tc>
        <w:tc>
          <w:tcPr>
            <w:tcW w:w="2027" w:type="dxa"/>
          </w:tcPr>
          <w:p w14:paraId="7D6C026F" w14:textId="7444148B"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b.d.</w:t>
            </w:r>
          </w:p>
        </w:tc>
      </w:tr>
      <w:tr w:rsidR="003215CC" w14:paraId="5B08BBB5" w14:textId="77777777" w:rsidTr="003215CC">
        <w:tc>
          <w:tcPr>
            <w:cnfStyle w:val="001000000000" w:firstRow="0" w:lastRow="0" w:firstColumn="1" w:lastColumn="0" w:oddVBand="0" w:evenVBand="0" w:oddHBand="0" w:evenHBand="0" w:firstRowFirstColumn="0" w:firstRowLastColumn="0" w:lastRowFirstColumn="0" w:lastRowLastColumn="0"/>
            <w:tcW w:w="2281" w:type="dxa"/>
          </w:tcPr>
          <w:p w14:paraId="21F2F3B1" w14:textId="239BC2AB" w:rsidR="003215CC" w:rsidRPr="003215CC" w:rsidRDefault="003215CC" w:rsidP="003215CC">
            <w:pPr>
              <w:rPr>
                <w:rFonts w:cs="Times New Roman"/>
                <w:sz w:val="20"/>
                <w:szCs w:val="20"/>
              </w:rPr>
            </w:pPr>
            <w:r w:rsidRPr="003215CC">
              <w:rPr>
                <w:rFonts w:cs="Times New Roman"/>
                <w:sz w:val="20"/>
                <w:szCs w:val="20"/>
              </w:rPr>
              <w:t>Wielkopolskie</w:t>
            </w:r>
          </w:p>
        </w:tc>
        <w:tc>
          <w:tcPr>
            <w:tcW w:w="2281" w:type="dxa"/>
          </w:tcPr>
          <w:p w14:paraId="007B8401" w14:textId="2987D95D"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1</w:t>
            </w:r>
          </w:p>
        </w:tc>
        <w:tc>
          <w:tcPr>
            <w:tcW w:w="2281" w:type="dxa"/>
          </w:tcPr>
          <w:p w14:paraId="1D83BE68" w14:textId="5BAA83F3"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20</w:t>
            </w:r>
          </w:p>
        </w:tc>
        <w:tc>
          <w:tcPr>
            <w:tcW w:w="2027" w:type="dxa"/>
          </w:tcPr>
          <w:p w14:paraId="622C5D6B" w14:textId="3794DFD6" w:rsidR="003215CC" w:rsidRPr="003215CC" w:rsidRDefault="003215CC" w:rsidP="003215CC">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215CC">
              <w:rPr>
                <w:rFonts w:cs="Times New Roman"/>
                <w:color w:val="000000"/>
                <w:sz w:val="20"/>
                <w:szCs w:val="20"/>
              </w:rPr>
              <w:t>493</w:t>
            </w:r>
          </w:p>
        </w:tc>
      </w:tr>
      <w:tr w:rsidR="003215CC" w14:paraId="25B27719" w14:textId="77777777" w:rsidTr="00321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14:paraId="41103699" w14:textId="655BF76C" w:rsidR="003215CC" w:rsidRPr="003215CC" w:rsidRDefault="003215CC" w:rsidP="003215CC">
            <w:pPr>
              <w:rPr>
                <w:rFonts w:cs="Times New Roman"/>
                <w:sz w:val="20"/>
                <w:szCs w:val="20"/>
              </w:rPr>
            </w:pPr>
            <w:r w:rsidRPr="003215CC">
              <w:rPr>
                <w:rFonts w:cs="Times New Roman"/>
                <w:sz w:val="20"/>
                <w:szCs w:val="20"/>
              </w:rPr>
              <w:t>Zachodniopomorskie</w:t>
            </w:r>
          </w:p>
        </w:tc>
        <w:tc>
          <w:tcPr>
            <w:tcW w:w="2281" w:type="dxa"/>
          </w:tcPr>
          <w:p w14:paraId="260B5FA7" w14:textId="142FCC8B"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1</w:t>
            </w:r>
          </w:p>
        </w:tc>
        <w:tc>
          <w:tcPr>
            <w:tcW w:w="2281" w:type="dxa"/>
          </w:tcPr>
          <w:p w14:paraId="1D615BDE" w14:textId="08C6AFF7"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26</w:t>
            </w:r>
          </w:p>
        </w:tc>
        <w:tc>
          <w:tcPr>
            <w:tcW w:w="2027" w:type="dxa"/>
          </w:tcPr>
          <w:p w14:paraId="3B0E1117" w14:textId="49594470" w:rsidR="003215CC" w:rsidRPr="003215CC" w:rsidRDefault="003215CC" w:rsidP="003215CC">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215CC">
              <w:rPr>
                <w:rFonts w:cs="Times New Roman"/>
                <w:color w:val="000000"/>
                <w:sz w:val="20"/>
                <w:szCs w:val="20"/>
              </w:rPr>
              <w:t>563</w:t>
            </w:r>
          </w:p>
        </w:tc>
      </w:tr>
    </w:tbl>
    <w:p w14:paraId="7369650C" w14:textId="1A78890A" w:rsidR="003215CC" w:rsidRPr="005361E3" w:rsidRDefault="003215CC" w:rsidP="003215CC">
      <w:pPr>
        <w:tabs>
          <w:tab w:val="left" w:pos="5400"/>
        </w:tabs>
        <w:rPr>
          <w:rFonts w:eastAsia="Times New Roman" w:cs="Times New Roman"/>
          <w:b/>
          <w:sz w:val="22"/>
          <w:lang w:eastAsia="pl-PL"/>
        </w:rPr>
      </w:pPr>
      <w:r w:rsidRPr="005361E3">
        <w:rPr>
          <w:rFonts w:eastAsia="Times New Roman" w:cs="Times New Roman"/>
          <w:b/>
          <w:sz w:val="22"/>
          <w:lang w:eastAsia="pl-PL"/>
        </w:rPr>
        <w:t xml:space="preserve">Źródło: Badanie Ministerstwa Zdrowia i Ministerstwa Spraw Wewnętrznych i Administracji (formularz MZ-29 i MSW-43). </w:t>
      </w:r>
    </w:p>
    <w:p w14:paraId="6D7A1FDA" w14:textId="77777777" w:rsidR="003215CC" w:rsidRDefault="003215CC" w:rsidP="00FC249D">
      <w:pPr>
        <w:rPr>
          <w:rFonts w:cs="Times New Roman"/>
          <w:szCs w:val="24"/>
        </w:rPr>
      </w:pPr>
    </w:p>
    <w:p w14:paraId="1DC4C5CD" w14:textId="3AEEDAC0" w:rsidR="00494B9D" w:rsidRDefault="00494B9D" w:rsidP="00754AFD">
      <w:pPr>
        <w:tabs>
          <w:tab w:val="left" w:pos="5400"/>
        </w:tabs>
        <w:rPr>
          <w:rFonts w:eastAsia="Times New Roman" w:cs="Times New Roman"/>
          <w:szCs w:val="24"/>
          <w:lang w:eastAsia="pl-PL"/>
        </w:rPr>
      </w:pPr>
      <w:r>
        <w:rPr>
          <w:rFonts w:eastAsia="Times New Roman" w:cs="Times New Roman"/>
          <w:szCs w:val="24"/>
          <w:lang w:eastAsia="pl-PL"/>
        </w:rPr>
        <w:lastRenderedPageBreak/>
        <w:t xml:space="preserve">Szczegółowe dane dotyczące realizacji polityki senioralnej w poszczególnych regionach zostały przekazane przez Główny Urząd Statystyczny oraz urzędy wojewódzkie, których pracownicy zwrócili się do jednostek samorządu terytorialnego z prośbą o przedstawienie działań adresowanych do osób starszych. Przedmiotowe dane zawierają również przykłady dobrych praktyk realizowanych w poszczególnych województwach oraz działań mających na celu przeciwdziałanie negatywnym skutkom trwającej pandemii </w:t>
      </w:r>
      <w:proofErr w:type="spellStart"/>
      <w:r>
        <w:rPr>
          <w:rFonts w:eastAsia="Times New Roman" w:cs="Times New Roman"/>
          <w:szCs w:val="24"/>
          <w:lang w:eastAsia="pl-PL"/>
        </w:rPr>
        <w:t>koronawirusa</w:t>
      </w:r>
      <w:proofErr w:type="spellEnd"/>
      <w:r>
        <w:rPr>
          <w:rFonts w:eastAsia="Times New Roman" w:cs="Times New Roman"/>
          <w:szCs w:val="24"/>
          <w:lang w:eastAsia="pl-PL"/>
        </w:rPr>
        <w:t>.</w:t>
      </w:r>
    </w:p>
    <w:p w14:paraId="26AE526C" w14:textId="77777777" w:rsidR="00BF4703" w:rsidRPr="00411A34" w:rsidRDefault="00475EFA" w:rsidP="00AF051D">
      <w:pPr>
        <w:pStyle w:val="Nagwek2"/>
        <w:spacing w:before="240" w:after="240"/>
        <w:ind w:left="432"/>
        <w:rPr>
          <w:rFonts w:eastAsia="Times New Roman" w:cs="Times New Roman"/>
          <w:sz w:val="40"/>
          <w:szCs w:val="28"/>
          <w:lang w:eastAsia="ar-SA"/>
        </w:rPr>
      </w:pPr>
      <w:bookmarkStart w:id="125" w:name="_Toc80523101"/>
      <w:r w:rsidRPr="00411A34">
        <w:rPr>
          <w:rFonts w:eastAsia="Times New Roman" w:cs="Times New Roman"/>
          <w:sz w:val="40"/>
          <w:szCs w:val="28"/>
          <w:lang w:eastAsia="ar-SA"/>
        </w:rPr>
        <w:t>Województwo</w:t>
      </w:r>
      <w:r w:rsidR="005F0A32" w:rsidRPr="00411A34">
        <w:rPr>
          <w:rFonts w:eastAsia="Times New Roman" w:cs="Times New Roman"/>
          <w:sz w:val="40"/>
          <w:szCs w:val="28"/>
          <w:lang w:eastAsia="ar-SA"/>
        </w:rPr>
        <w:t xml:space="preserve"> d</w:t>
      </w:r>
      <w:r w:rsidRPr="00411A34">
        <w:rPr>
          <w:rFonts w:eastAsia="Times New Roman" w:cs="Times New Roman"/>
          <w:sz w:val="40"/>
          <w:szCs w:val="28"/>
          <w:lang w:eastAsia="ar-SA"/>
        </w:rPr>
        <w:t>olnośląskie</w:t>
      </w:r>
      <w:bookmarkEnd w:id="125"/>
    </w:p>
    <w:p w14:paraId="089CB747" w14:textId="3773F215" w:rsidR="00411A34" w:rsidRDefault="00411A34" w:rsidP="00D96C8C">
      <w:pPr>
        <w:pStyle w:val="Nagwek3"/>
        <w:rPr>
          <w:lang w:eastAsia="ar-SA"/>
        </w:rPr>
      </w:pPr>
      <w:bookmarkStart w:id="126" w:name="_Toc77513948"/>
      <w:bookmarkStart w:id="127" w:name="_Toc80523102"/>
      <w:r w:rsidRPr="005B6EB7">
        <w:rPr>
          <w:lang w:eastAsia="ar-SA"/>
        </w:rPr>
        <w:t>Aktywność ekonomiczna i warunki bytowe</w:t>
      </w:r>
      <w:bookmarkEnd w:id="126"/>
      <w:bookmarkEnd w:id="127"/>
    </w:p>
    <w:p w14:paraId="761AD4DC" w14:textId="77777777" w:rsidR="00867139" w:rsidRPr="00867139" w:rsidRDefault="00867139" w:rsidP="00867139">
      <w:pPr>
        <w:rPr>
          <w:lang w:eastAsia="ar-SA"/>
        </w:rPr>
      </w:pPr>
    </w:p>
    <w:p w14:paraId="7F2FE18D" w14:textId="77777777" w:rsidR="00411A34" w:rsidRDefault="00411A34" w:rsidP="00411A34">
      <w:pPr>
        <w:rPr>
          <w:rFonts w:cs="Times New Roman"/>
          <w:szCs w:val="24"/>
        </w:rPr>
      </w:pPr>
      <w:r w:rsidRPr="00967338">
        <w:rPr>
          <w:rFonts w:cs="Times New Roman"/>
          <w:szCs w:val="24"/>
        </w:rPr>
        <w:t>W 2020 r. w województwie dolnośląskim przeciętny miesięczny dochód rozporządzalny przypadający na 1 osobę w gospodarstwach domowych wyniósł  2031 zł. Na dochód rozporządzalny gospodarstwa domowego składają się przede wszystkim dochody z pracy najemnej oraz dochody ze świadczeń społecznych. W 2020 r. ich udział w dochodzie rozporządzalnym wyniósł odpowiednio 54,8% i 32,0%. W 2020 r. przeciętne miesięczne wydatki na 1 osobę w gospodarstwach domowych wyniosły 1355 zł.  Na żywność i napoje bezalkoholowe gospodarstwa domowe przeznaczały przeciętnie 25,5% ogólnej kwoty wydatków, na opłaty z tytułu użytkowania mieszkania lub domu i za korzystanie z nośników energii  - 17,9%, a na zdrowie – 5,5%.</w:t>
      </w:r>
    </w:p>
    <w:p w14:paraId="6AECD85A" w14:textId="77777777" w:rsidR="00411A34" w:rsidRPr="00967338" w:rsidRDefault="00411A34" w:rsidP="00411A34">
      <w:pPr>
        <w:rPr>
          <w:rFonts w:cs="Times New Roman"/>
          <w:szCs w:val="24"/>
        </w:rPr>
      </w:pPr>
    </w:p>
    <w:p w14:paraId="1B34F7E6" w14:textId="77777777" w:rsidR="00411A34" w:rsidRDefault="00411A34" w:rsidP="00411A34">
      <w:pPr>
        <w:rPr>
          <w:rFonts w:cs="Times New Roman"/>
          <w:szCs w:val="24"/>
        </w:rPr>
      </w:pPr>
      <w:r w:rsidRPr="00967338">
        <w:rPr>
          <w:rFonts w:cs="Times New Roman"/>
          <w:szCs w:val="24"/>
        </w:rPr>
        <w:t>W 2020 r. swoją sytuację materialną jako bardzo dobrą i raczej dobrą oceniło 54,3% gospodarstw domowych. Udział gospodarstw określających swoją sytuację materialną jako przeciętną wyniósł 40,4%, a raczej złą i złą ukształtował się na poziomie 5,3%.</w:t>
      </w:r>
    </w:p>
    <w:p w14:paraId="5A16E821" w14:textId="77777777" w:rsidR="00411A34" w:rsidRPr="00967338" w:rsidRDefault="00411A34" w:rsidP="00411A34">
      <w:pPr>
        <w:rPr>
          <w:rFonts w:cs="Times New Roman"/>
          <w:szCs w:val="24"/>
        </w:rPr>
      </w:pPr>
    </w:p>
    <w:p w14:paraId="3BD40EF5" w14:textId="77777777" w:rsidR="00411A34" w:rsidRDefault="00411A34" w:rsidP="00411A34">
      <w:pPr>
        <w:rPr>
          <w:rFonts w:cs="Times New Roman"/>
          <w:szCs w:val="24"/>
        </w:rPr>
      </w:pPr>
      <w:r w:rsidRPr="00967338">
        <w:rPr>
          <w:rFonts w:cs="Times New Roman"/>
          <w:szCs w:val="24"/>
        </w:rPr>
        <w:t>W analizowanym roku przeciętna liczba osób w gospodarstw</w:t>
      </w:r>
      <w:r w:rsidR="00BA4636">
        <w:rPr>
          <w:rFonts w:cs="Times New Roman"/>
          <w:szCs w:val="24"/>
        </w:rPr>
        <w:t>ie domowym ukształtowała się na </w:t>
      </w:r>
      <w:r w:rsidRPr="00967338">
        <w:rPr>
          <w:rFonts w:cs="Times New Roman"/>
          <w:szCs w:val="24"/>
        </w:rPr>
        <w:t>poziomie 2,50. Przeciętna powierzchnia użytkowa mieszkania zajmowana przez gospodarstwo domowe wyniosła 77,80 m</w:t>
      </w:r>
      <w:r w:rsidRPr="00967338">
        <w:rPr>
          <w:rFonts w:cs="Times New Roman"/>
          <w:szCs w:val="24"/>
          <w:vertAlign w:val="superscript"/>
        </w:rPr>
        <w:t>2</w:t>
      </w:r>
      <w:r w:rsidRPr="00967338">
        <w:rPr>
          <w:rFonts w:cs="Times New Roman"/>
          <w:szCs w:val="24"/>
        </w:rPr>
        <w:t>.</w:t>
      </w:r>
    </w:p>
    <w:p w14:paraId="514EA618" w14:textId="77777777" w:rsidR="00411A34" w:rsidRDefault="00411A34" w:rsidP="00411A34">
      <w:pPr>
        <w:rPr>
          <w:rFonts w:cs="Times New Roman"/>
          <w:szCs w:val="24"/>
        </w:rPr>
      </w:pPr>
    </w:p>
    <w:p w14:paraId="0F541C90" w14:textId="4855E1DF" w:rsidR="009B2F0C" w:rsidRPr="009B2F0C" w:rsidRDefault="00411A34" w:rsidP="009B2F0C">
      <w:pPr>
        <w:pStyle w:val="Legenda"/>
        <w:keepNext/>
        <w:rPr>
          <w:rFonts w:cs="Times New Roman"/>
          <w:b/>
          <w:i w:val="0"/>
          <w:color w:val="auto"/>
          <w:sz w:val="24"/>
        </w:rPr>
      </w:pPr>
      <w:r w:rsidRPr="00432294">
        <w:rPr>
          <w:rFonts w:cs="Times New Roman"/>
          <w:b/>
          <w:i w:val="0"/>
          <w:color w:val="auto"/>
          <w:sz w:val="24"/>
        </w:rPr>
        <w:t xml:space="preserve">Tabela </w:t>
      </w:r>
      <w:r w:rsidR="005B094D">
        <w:rPr>
          <w:rFonts w:cs="Times New Roman"/>
          <w:b/>
          <w:i w:val="0"/>
          <w:color w:val="auto"/>
          <w:sz w:val="24"/>
        </w:rPr>
        <w:t>49</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 xml:space="preserve">Aktywność ekonomiczna osób starszych w województwie dolnośląskim </w:t>
      </w:r>
    </w:p>
    <w:tbl>
      <w:tblPr>
        <w:tblStyle w:val="Tabelasiatki6kolorowaakcent2"/>
        <w:tblpPr w:leftFromText="141" w:rightFromText="141" w:vertAnchor="text" w:tblpXSpec="center" w:tblpY="1"/>
        <w:tblW w:w="9351" w:type="dxa"/>
        <w:tblLayout w:type="fixed"/>
        <w:tblLook w:val="04A0" w:firstRow="1" w:lastRow="0" w:firstColumn="1" w:lastColumn="0" w:noHBand="0" w:noVBand="1"/>
      </w:tblPr>
      <w:tblGrid>
        <w:gridCol w:w="1242"/>
        <w:gridCol w:w="4853"/>
        <w:gridCol w:w="3256"/>
      </w:tblGrid>
      <w:tr w:rsidR="00E3427E" w:rsidRPr="00E3427E" w14:paraId="621C1BCA" w14:textId="77777777" w:rsidTr="00C83A97">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351" w:type="dxa"/>
            <w:gridSpan w:val="3"/>
          </w:tcPr>
          <w:p w14:paraId="222AE190" w14:textId="77777777" w:rsidR="00411A34" w:rsidRPr="00E3427E" w:rsidRDefault="00411A34" w:rsidP="00C83A97">
            <w:pPr>
              <w:jc w:val="center"/>
              <w:rPr>
                <w:rFonts w:cs="Times New Roman"/>
                <w:color w:val="auto"/>
                <w:sz w:val="20"/>
                <w:szCs w:val="20"/>
              </w:rPr>
            </w:pPr>
            <w:r w:rsidRPr="00E3427E">
              <w:rPr>
                <w:rFonts w:cs="Times New Roman"/>
                <w:color w:val="auto"/>
                <w:sz w:val="20"/>
                <w:szCs w:val="20"/>
                <w:lang w:eastAsia="pl-PL"/>
              </w:rPr>
              <w:t>AKTYWNOŚĆ EKONOMICZNA OSÓB STARSZYCH – DANE ZA 2020 R.</w:t>
            </w:r>
          </w:p>
        </w:tc>
      </w:tr>
      <w:tr w:rsidR="00E3427E" w:rsidRPr="00E3427E" w14:paraId="037951CC" w14:textId="77777777" w:rsidTr="00C83A9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095" w:type="dxa"/>
            <w:gridSpan w:val="2"/>
          </w:tcPr>
          <w:p w14:paraId="6B630359" w14:textId="77777777" w:rsidR="00411A34" w:rsidRPr="00E3427E" w:rsidRDefault="00411A34" w:rsidP="00C83A97">
            <w:pPr>
              <w:rPr>
                <w:rFonts w:cs="Times New Roman"/>
                <w:color w:val="auto"/>
                <w:sz w:val="20"/>
                <w:szCs w:val="20"/>
              </w:rPr>
            </w:pPr>
            <w:r w:rsidRPr="00E3427E">
              <w:rPr>
                <w:rFonts w:cs="Times New Roman"/>
                <w:color w:val="auto"/>
                <w:sz w:val="20"/>
                <w:szCs w:val="20"/>
              </w:rPr>
              <w:t>Podział</w:t>
            </w:r>
          </w:p>
        </w:tc>
        <w:tc>
          <w:tcPr>
            <w:tcW w:w="3256" w:type="dxa"/>
          </w:tcPr>
          <w:p w14:paraId="50846DE9" w14:textId="77777777" w:rsidR="00411A34" w:rsidRPr="00E3427E" w:rsidRDefault="00411A34" w:rsidP="00C83A9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E3427E">
              <w:rPr>
                <w:rFonts w:cs="Times New Roman"/>
                <w:b/>
                <w:color w:val="auto"/>
                <w:sz w:val="20"/>
                <w:szCs w:val="20"/>
              </w:rPr>
              <w:t>Liczba</w:t>
            </w:r>
          </w:p>
        </w:tc>
      </w:tr>
      <w:tr w:rsidR="00E3427E" w:rsidRPr="00E3427E" w14:paraId="4E83475E" w14:textId="77777777" w:rsidTr="00411A34">
        <w:trPr>
          <w:trHeight w:val="224"/>
        </w:trPr>
        <w:tc>
          <w:tcPr>
            <w:cnfStyle w:val="001000000000" w:firstRow="0" w:lastRow="0" w:firstColumn="1" w:lastColumn="0" w:oddVBand="0" w:evenVBand="0" w:oddHBand="0" w:evenHBand="0" w:firstRowFirstColumn="0" w:firstRowLastColumn="0" w:lastRowFirstColumn="0" w:lastRowLastColumn="0"/>
            <w:tcW w:w="1242" w:type="dxa"/>
            <w:vMerge w:val="restart"/>
          </w:tcPr>
          <w:p w14:paraId="6043C3E4" w14:textId="77777777" w:rsidR="00411A34" w:rsidRPr="00E3427E" w:rsidRDefault="00411A34" w:rsidP="00867139">
            <w:pPr>
              <w:jc w:val="left"/>
              <w:rPr>
                <w:rFonts w:cs="Times New Roman"/>
                <w:b w:val="0"/>
                <w:color w:val="auto"/>
                <w:sz w:val="20"/>
                <w:szCs w:val="20"/>
                <w:lang w:eastAsia="pl-PL"/>
              </w:rPr>
            </w:pPr>
            <w:r w:rsidRPr="00E3427E">
              <w:rPr>
                <w:rFonts w:cs="Times New Roman"/>
                <w:color w:val="auto"/>
                <w:sz w:val="20"/>
                <w:szCs w:val="20"/>
                <w:lang w:eastAsia="pl-PL"/>
              </w:rPr>
              <w:t>Osoby aktywne zawodowo razem (w tys.)</w:t>
            </w:r>
          </w:p>
        </w:tc>
        <w:tc>
          <w:tcPr>
            <w:tcW w:w="4853" w:type="dxa"/>
          </w:tcPr>
          <w:p w14:paraId="22BEF84B" w14:textId="3A912233" w:rsidR="00411A34" w:rsidRPr="00E3427E" w:rsidRDefault="00D90887"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O</w:t>
            </w:r>
            <w:r w:rsidR="00411A34" w:rsidRPr="00E3427E">
              <w:rPr>
                <w:rFonts w:cs="Times New Roman"/>
                <w:color w:val="auto"/>
                <w:sz w:val="20"/>
                <w:szCs w:val="20"/>
              </w:rPr>
              <w:t>gółem</w:t>
            </w:r>
          </w:p>
        </w:tc>
        <w:tc>
          <w:tcPr>
            <w:tcW w:w="3256" w:type="dxa"/>
          </w:tcPr>
          <w:p w14:paraId="13480F65"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1294</w:t>
            </w:r>
          </w:p>
        </w:tc>
      </w:tr>
      <w:tr w:rsidR="00E3427E" w:rsidRPr="00E3427E" w14:paraId="2FBF26F3" w14:textId="77777777" w:rsidTr="00411A34">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242" w:type="dxa"/>
            <w:vMerge/>
          </w:tcPr>
          <w:p w14:paraId="1D55CB66" w14:textId="77777777" w:rsidR="00411A34" w:rsidRPr="00E3427E" w:rsidRDefault="00411A34" w:rsidP="00867139">
            <w:pPr>
              <w:jc w:val="left"/>
              <w:rPr>
                <w:rFonts w:cs="Times New Roman"/>
                <w:b w:val="0"/>
                <w:color w:val="auto"/>
                <w:sz w:val="20"/>
                <w:szCs w:val="20"/>
                <w:lang w:eastAsia="pl-PL"/>
              </w:rPr>
            </w:pPr>
          </w:p>
        </w:tc>
        <w:tc>
          <w:tcPr>
            <w:tcW w:w="4853" w:type="dxa"/>
          </w:tcPr>
          <w:p w14:paraId="7F68D142"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w tym w wieku 60+</w:t>
            </w:r>
          </w:p>
        </w:tc>
        <w:tc>
          <w:tcPr>
            <w:tcW w:w="3256" w:type="dxa"/>
          </w:tcPr>
          <w:p w14:paraId="7330BC92"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123</w:t>
            </w:r>
          </w:p>
        </w:tc>
      </w:tr>
      <w:tr w:rsidR="00E3427E" w:rsidRPr="00E3427E" w14:paraId="73E1D585" w14:textId="77777777" w:rsidTr="00411A34">
        <w:trPr>
          <w:trHeight w:val="285"/>
        </w:trPr>
        <w:tc>
          <w:tcPr>
            <w:cnfStyle w:val="001000000000" w:firstRow="0" w:lastRow="0" w:firstColumn="1" w:lastColumn="0" w:oddVBand="0" w:evenVBand="0" w:oddHBand="0" w:evenHBand="0" w:firstRowFirstColumn="0" w:firstRowLastColumn="0" w:lastRowFirstColumn="0" w:lastRowLastColumn="0"/>
            <w:tcW w:w="1242" w:type="dxa"/>
            <w:vMerge w:val="restart"/>
          </w:tcPr>
          <w:p w14:paraId="53460022" w14:textId="77777777" w:rsidR="00411A34" w:rsidRPr="00E3427E" w:rsidRDefault="00411A34" w:rsidP="00867139">
            <w:pPr>
              <w:jc w:val="left"/>
              <w:rPr>
                <w:rFonts w:cs="Times New Roman"/>
                <w:b w:val="0"/>
                <w:color w:val="auto"/>
                <w:sz w:val="20"/>
                <w:szCs w:val="20"/>
                <w:lang w:eastAsia="pl-PL"/>
              </w:rPr>
            </w:pPr>
            <w:r w:rsidRPr="00E3427E">
              <w:rPr>
                <w:rFonts w:cs="Times New Roman"/>
                <w:color w:val="auto"/>
                <w:sz w:val="20"/>
                <w:szCs w:val="20"/>
                <w:lang w:eastAsia="pl-PL"/>
              </w:rPr>
              <w:t xml:space="preserve">Osoby aktywne zawodowo </w:t>
            </w:r>
            <w:r w:rsidRPr="00E3427E">
              <w:rPr>
                <w:rFonts w:cs="Times New Roman"/>
                <w:color w:val="auto"/>
                <w:sz w:val="20"/>
                <w:szCs w:val="20"/>
                <w:lang w:eastAsia="pl-PL"/>
              </w:rPr>
              <w:br/>
              <w:t>– pracujący (w tys.)</w:t>
            </w:r>
          </w:p>
        </w:tc>
        <w:tc>
          <w:tcPr>
            <w:tcW w:w="4853" w:type="dxa"/>
          </w:tcPr>
          <w:p w14:paraId="3F7FF99C"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Ogółem</w:t>
            </w:r>
          </w:p>
        </w:tc>
        <w:tc>
          <w:tcPr>
            <w:tcW w:w="3256" w:type="dxa"/>
          </w:tcPr>
          <w:p w14:paraId="2B97A6AC"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1253</w:t>
            </w:r>
          </w:p>
        </w:tc>
      </w:tr>
      <w:tr w:rsidR="00E3427E" w:rsidRPr="00E3427E" w14:paraId="3ADB385D" w14:textId="77777777" w:rsidTr="00411A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2" w:type="dxa"/>
            <w:vMerge/>
          </w:tcPr>
          <w:p w14:paraId="39C942A2" w14:textId="77777777" w:rsidR="00411A34" w:rsidRPr="00E3427E" w:rsidRDefault="00411A34" w:rsidP="00867139">
            <w:pPr>
              <w:jc w:val="left"/>
              <w:rPr>
                <w:rFonts w:cs="Times New Roman"/>
                <w:b w:val="0"/>
                <w:color w:val="auto"/>
                <w:sz w:val="20"/>
                <w:szCs w:val="20"/>
                <w:lang w:eastAsia="pl-PL"/>
              </w:rPr>
            </w:pPr>
          </w:p>
        </w:tc>
        <w:tc>
          <w:tcPr>
            <w:tcW w:w="4853" w:type="dxa"/>
          </w:tcPr>
          <w:p w14:paraId="790E094E"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w tym w wieku 60+</w:t>
            </w:r>
          </w:p>
        </w:tc>
        <w:tc>
          <w:tcPr>
            <w:tcW w:w="3256" w:type="dxa"/>
          </w:tcPr>
          <w:p w14:paraId="2A87E7FA"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120</w:t>
            </w:r>
          </w:p>
        </w:tc>
      </w:tr>
      <w:tr w:rsidR="00E3427E" w:rsidRPr="00E3427E" w14:paraId="604BFE6F" w14:textId="77777777" w:rsidTr="00411A34">
        <w:trPr>
          <w:trHeight w:val="224"/>
        </w:trPr>
        <w:tc>
          <w:tcPr>
            <w:cnfStyle w:val="001000000000" w:firstRow="0" w:lastRow="0" w:firstColumn="1" w:lastColumn="0" w:oddVBand="0" w:evenVBand="0" w:oddHBand="0" w:evenHBand="0" w:firstRowFirstColumn="0" w:firstRowLastColumn="0" w:lastRowFirstColumn="0" w:lastRowLastColumn="0"/>
            <w:tcW w:w="1242" w:type="dxa"/>
            <w:vMerge w:val="restart"/>
          </w:tcPr>
          <w:p w14:paraId="070E19C3" w14:textId="77777777" w:rsidR="00411A34" w:rsidRPr="00E3427E" w:rsidRDefault="00411A34" w:rsidP="00867139">
            <w:pPr>
              <w:jc w:val="left"/>
              <w:rPr>
                <w:rFonts w:cs="Times New Roman"/>
                <w:b w:val="0"/>
                <w:color w:val="auto"/>
                <w:sz w:val="20"/>
                <w:szCs w:val="20"/>
                <w:lang w:eastAsia="pl-PL"/>
              </w:rPr>
            </w:pPr>
            <w:r w:rsidRPr="00E3427E">
              <w:rPr>
                <w:rFonts w:cs="Times New Roman"/>
                <w:color w:val="auto"/>
                <w:sz w:val="20"/>
                <w:szCs w:val="20"/>
                <w:lang w:eastAsia="pl-PL"/>
              </w:rPr>
              <w:t>Osoby bierne zawodowo (w tys.)</w:t>
            </w:r>
          </w:p>
        </w:tc>
        <w:tc>
          <w:tcPr>
            <w:tcW w:w="4853" w:type="dxa"/>
          </w:tcPr>
          <w:p w14:paraId="42FEF660" w14:textId="7C5F9F0A" w:rsidR="00411A34" w:rsidRPr="00E3427E" w:rsidRDefault="00D90887"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O</w:t>
            </w:r>
            <w:r w:rsidR="00411A34" w:rsidRPr="00E3427E">
              <w:rPr>
                <w:rFonts w:cs="Times New Roman"/>
                <w:color w:val="auto"/>
                <w:sz w:val="20"/>
                <w:szCs w:val="20"/>
              </w:rPr>
              <w:t>gółem</w:t>
            </w:r>
          </w:p>
        </w:tc>
        <w:tc>
          <w:tcPr>
            <w:tcW w:w="3256" w:type="dxa"/>
          </w:tcPr>
          <w:p w14:paraId="4A3EA4FB"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980</w:t>
            </w:r>
          </w:p>
        </w:tc>
      </w:tr>
      <w:tr w:rsidR="00E3427E" w:rsidRPr="00E3427E" w14:paraId="710B629A" w14:textId="77777777" w:rsidTr="00411A34">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242" w:type="dxa"/>
            <w:vMerge/>
          </w:tcPr>
          <w:p w14:paraId="5E6CCC94" w14:textId="77777777" w:rsidR="00411A34" w:rsidRPr="00E3427E" w:rsidRDefault="00411A34" w:rsidP="00867139">
            <w:pPr>
              <w:jc w:val="left"/>
              <w:rPr>
                <w:rFonts w:cs="Times New Roman"/>
                <w:b w:val="0"/>
                <w:color w:val="auto"/>
                <w:sz w:val="20"/>
                <w:szCs w:val="20"/>
                <w:lang w:eastAsia="pl-PL"/>
              </w:rPr>
            </w:pPr>
          </w:p>
        </w:tc>
        <w:tc>
          <w:tcPr>
            <w:tcW w:w="4853" w:type="dxa"/>
          </w:tcPr>
          <w:p w14:paraId="0EF124F5"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w tym w wieku 60+</w:t>
            </w:r>
          </w:p>
        </w:tc>
        <w:tc>
          <w:tcPr>
            <w:tcW w:w="3256" w:type="dxa"/>
          </w:tcPr>
          <w:p w14:paraId="542380A7"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630</w:t>
            </w:r>
          </w:p>
        </w:tc>
      </w:tr>
      <w:tr w:rsidR="00E3427E" w:rsidRPr="00E3427E" w14:paraId="15D6C8F2" w14:textId="77777777" w:rsidTr="00411A34">
        <w:trPr>
          <w:trHeight w:val="285"/>
        </w:trPr>
        <w:tc>
          <w:tcPr>
            <w:cnfStyle w:val="001000000000" w:firstRow="0" w:lastRow="0" w:firstColumn="1" w:lastColumn="0" w:oddVBand="0" w:evenVBand="0" w:oddHBand="0" w:evenHBand="0" w:firstRowFirstColumn="0" w:firstRowLastColumn="0" w:lastRowFirstColumn="0" w:lastRowLastColumn="0"/>
            <w:tcW w:w="1242" w:type="dxa"/>
            <w:vMerge w:val="restart"/>
          </w:tcPr>
          <w:p w14:paraId="5CD2A947" w14:textId="77777777" w:rsidR="00411A34" w:rsidRPr="00E3427E" w:rsidRDefault="00411A34" w:rsidP="00867139">
            <w:pPr>
              <w:jc w:val="left"/>
              <w:rPr>
                <w:rFonts w:cs="Times New Roman"/>
                <w:b w:val="0"/>
                <w:color w:val="auto"/>
                <w:sz w:val="20"/>
                <w:szCs w:val="20"/>
                <w:lang w:eastAsia="pl-PL"/>
              </w:rPr>
            </w:pPr>
            <w:r w:rsidRPr="00E3427E">
              <w:rPr>
                <w:rFonts w:cs="Times New Roman"/>
                <w:color w:val="auto"/>
                <w:sz w:val="20"/>
                <w:szCs w:val="20"/>
                <w:lang w:eastAsia="pl-PL"/>
              </w:rPr>
              <w:t>Współczynnik aktywności zawodowej %</w:t>
            </w:r>
          </w:p>
        </w:tc>
        <w:tc>
          <w:tcPr>
            <w:tcW w:w="4853" w:type="dxa"/>
          </w:tcPr>
          <w:p w14:paraId="18B4E209"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Ogółem</w:t>
            </w:r>
          </w:p>
        </w:tc>
        <w:tc>
          <w:tcPr>
            <w:tcW w:w="3256" w:type="dxa"/>
          </w:tcPr>
          <w:p w14:paraId="6E50338E"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56,9</w:t>
            </w:r>
          </w:p>
        </w:tc>
      </w:tr>
      <w:tr w:rsidR="00E3427E" w:rsidRPr="00E3427E" w14:paraId="0E711909" w14:textId="77777777" w:rsidTr="00411A3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42" w:type="dxa"/>
            <w:vMerge/>
          </w:tcPr>
          <w:p w14:paraId="6BE7B737" w14:textId="77777777" w:rsidR="00411A34" w:rsidRPr="00E3427E" w:rsidRDefault="00411A34" w:rsidP="00867139">
            <w:pPr>
              <w:jc w:val="left"/>
              <w:rPr>
                <w:rFonts w:cs="Times New Roman"/>
                <w:b w:val="0"/>
                <w:color w:val="auto"/>
                <w:sz w:val="20"/>
                <w:szCs w:val="20"/>
                <w:lang w:eastAsia="pl-PL"/>
              </w:rPr>
            </w:pPr>
          </w:p>
        </w:tc>
        <w:tc>
          <w:tcPr>
            <w:tcW w:w="4853" w:type="dxa"/>
          </w:tcPr>
          <w:p w14:paraId="336CA7E0"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w tym w wieku 60+</w:t>
            </w:r>
          </w:p>
        </w:tc>
        <w:tc>
          <w:tcPr>
            <w:tcW w:w="3256" w:type="dxa"/>
          </w:tcPr>
          <w:p w14:paraId="6A710F9E"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16,3</w:t>
            </w:r>
          </w:p>
        </w:tc>
      </w:tr>
      <w:tr w:rsidR="00E3427E" w:rsidRPr="00E3427E" w14:paraId="2198EA28" w14:textId="77777777" w:rsidTr="00411A34">
        <w:trPr>
          <w:trHeight w:val="143"/>
        </w:trPr>
        <w:tc>
          <w:tcPr>
            <w:cnfStyle w:val="001000000000" w:firstRow="0" w:lastRow="0" w:firstColumn="1" w:lastColumn="0" w:oddVBand="0" w:evenVBand="0" w:oddHBand="0" w:evenHBand="0" w:firstRowFirstColumn="0" w:firstRowLastColumn="0" w:lastRowFirstColumn="0" w:lastRowLastColumn="0"/>
            <w:tcW w:w="1242" w:type="dxa"/>
            <w:vMerge w:val="restart"/>
          </w:tcPr>
          <w:p w14:paraId="0A5E06F2" w14:textId="77777777" w:rsidR="00411A34" w:rsidRDefault="00411A34" w:rsidP="00867139">
            <w:pPr>
              <w:jc w:val="left"/>
              <w:rPr>
                <w:rFonts w:cs="Times New Roman"/>
                <w:b w:val="0"/>
                <w:bCs w:val="0"/>
                <w:color w:val="auto"/>
                <w:sz w:val="20"/>
                <w:szCs w:val="20"/>
                <w:lang w:eastAsia="pl-PL"/>
              </w:rPr>
            </w:pPr>
            <w:r w:rsidRPr="00E3427E">
              <w:rPr>
                <w:rFonts w:cs="Times New Roman"/>
                <w:color w:val="auto"/>
                <w:sz w:val="20"/>
                <w:szCs w:val="20"/>
                <w:lang w:eastAsia="pl-PL"/>
              </w:rPr>
              <w:t>Wskaźnik zatrudnienia %</w:t>
            </w:r>
          </w:p>
          <w:p w14:paraId="23DA32AE" w14:textId="16851407" w:rsidR="009B2F0C" w:rsidRPr="00E3427E" w:rsidRDefault="009B2F0C" w:rsidP="00867139">
            <w:pPr>
              <w:jc w:val="left"/>
              <w:rPr>
                <w:rFonts w:cs="Times New Roman"/>
                <w:b w:val="0"/>
                <w:color w:val="auto"/>
                <w:sz w:val="20"/>
                <w:szCs w:val="20"/>
                <w:lang w:eastAsia="pl-PL"/>
              </w:rPr>
            </w:pPr>
          </w:p>
        </w:tc>
        <w:tc>
          <w:tcPr>
            <w:tcW w:w="4853" w:type="dxa"/>
          </w:tcPr>
          <w:p w14:paraId="04D710D6"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ogółem</w:t>
            </w:r>
          </w:p>
        </w:tc>
        <w:tc>
          <w:tcPr>
            <w:tcW w:w="3256" w:type="dxa"/>
          </w:tcPr>
          <w:p w14:paraId="49AD8A21"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55,1</w:t>
            </w:r>
          </w:p>
        </w:tc>
      </w:tr>
      <w:tr w:rsidR="00E3427E" w:rsidRPr="00E3427E" w14:paraId="5595A2B2" w14:textId="77777777" w:rsidTr="00411A3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242" w:type="dxa"/>
            <w:vMerge/>
          </w:tcPr>
          <w:p w14:paraId="025BD607" w14:textId="77777777" w:rsidR="00411A34" w:rsidRPr="00E3427E" w:rsidRDefault="00411A34" w:rsidP="00C83A97">
            <w:pPr>
              <w:rPr>
                <w:rFonts w:cs="Times New Roman"/>
                <w:b w:val="0"/>
                <w:color w:val="auto"/>
                <w:sz w:val="20"/>
                <w:szCs w:val="20"/>
                <w:lang w:eastAsia="pl-PL"/>
              </w:rPr>
            </w:pPr>
          </w:p>
        </w:tc>
        <w:tc>
          <w:tcPr>
            <w:tcW w:w="4853" w:type="dxa"/>
          </w:tcPr>
          <w:p w14:paraId="182E87B0"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w tym w wieku 60+</w:t>
            </w:r>
          </w:p>
        </w:tc>
        <w:tc>
          <w:tcPr>
            <w:tcW w:w="3256" w:type="dxa"/>
          </w:tcPr>
          <w:p w14:paraId="4C1826CF"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15,9</w:t>
            </w:r>
          </w:p>
        </w:tc>
      </w:tr>
      <w:tr w:rsidR="00E3427E" w:rsidRPr="00E3427E" w14:paraId="3BB180F1" w14:textId="77777777" w:rsidTr="00411A34">
        <w:trPr>
          <w:trHeight w:val="282"/>
        </w:trPr>
        <w:tc>
          <w:tcPr>
            <w:cnfStyle w:val="001000000000" w:firstRow="0" w:lastRow="0" w:firstColumn="1" w:lastColumn="0" w:oddVBand="0" w:evenVBand="0" w:oddHBand="0" w:evenHBand="0" w:firstRowFirstColumn="0" w:firstRowLastColumn="0" w:lastRowFirstColumn="0" w:lastRowLastColumn="0"/>
            <w:tcW w:w="1242" w:type="dxa"/>
            <w:vMerge w:val="restart"/>
          </w:tcPr>
          <w:p w14:paraId="688F7C26" w14:textId="77777777" w:rsidR="00411A34" w:rsidRPr="00E3427E" w:rsidRDefault="00411A34" w:rsidP="00C83A97">
            <w:pPr>
              <w:rPr>
                <w:rFonts w:cs="Times New Roman"/>
                <w:b w:val="0"/>
                <w:color w:val="auto"/>
                <w:sz w:val="20"/>
                <w:szCs w:val="20"/>
                <w:lang w:eastAsia="pl-PL"/>
              </w:rPr>
            </w:pPr>
            <w:r w:rsidRPr="00E3427E">
              <w:rPr>
                <w:rFonts w:eastAsia="Times New Roman" w:cs="Times New Roman"/>
                <w:color w:val="auto"/>
                <w:sz w:val="20"/>
                <w:szCs w:val="20"/>
                <w:lang w:eastAsia="pl-PL"/>
              </w:rPr>
              <w:t xml:space="preserve">Osoby bierne zawodowo  w wieku 60 lat i więcej według wybranych przyczyn bierności </w:t>
            </w:r>
            <w:r w:rsidRPr="00E3427E">
              <w:rPr>
                <w:rFonts w:eastAsia="Times New Roman" w:cs="Times New Roman"/>
                <w:color w:val="auto"/>
                <w:sz w:val="20"/>
                <w:szCs w:val="20"/>
                <w:lang w:eastAsia="pl-PL"/>
              </w:rPr>
              <w:br/>
              <w:t>(w tys.)</w:t>
            </w:r>
          </w:p>
        </w:tc>
        <w:tc>
          <w:tcPr>
            <w:tcW w:w="4853" w:type="dxa"/>
          </w:tcPr>
          <w:p w14:paraId="639AB6D0"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ogółem</w:t>
            </w:r>
          </w:p>
        </w:tc>
        <w:tc>
          <w:tcPr>
            <w:tcW w:w="3256" w:type="dxa"/>
          </w:tcPr>
          <w:p w14:paraId="416430D0"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630</w:t>
            </w:r>
          </w:p>
        </w:tc>
      </w:tr>
      <w:tr w:rsidR="00E3427E" w:rsidRPr="00E3427E" w14:paraId="382A3DD7" w14:textId="77777777" w:rsidTr="00411A3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42" w:type="dxa"/>
            <w:vMerge/>
          </w:tcPr>
          <w:p w14:paraId="23AC6E2D" w14:textId="77777777" w:rsidR="00411A34" w:rsidRPr="00E3427E" w:rsidRDefault="00411A34" w:rsidP="00C83A97">
            <w:pPr>
              <w:rPr>
                <w:rFonts w:eastAsia="Times New Roman" w:cs="Times New Roman"/>
                <w:b w:val="0"/>
                <w:bCs w:val="0"/>
                <w:color w:val="auto"/>
                <w:sz w:val="20"/>
                <w:szCs w:val="20"/>
                <w:lang w:eastAsia="pl-PL"/>
              </w:rPr>
            </w:pPr>
          </w:p>
        </w:tc>
        <w:tc>
          <w:tcPr>
            <w:tcW w:w="8109" w:type="dxa"/>
            <w:gridSpan w:val="2"/>
          </w:tcPr>
          <w:p w14:paraId="290B78E9"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w tym:</w:t>
            </w:r>
          </w:p>
        </w:tc>
      </w:tr>
      <w:tr w:rsidR="00E3427E" w:rsidRPr="00E3427E" w14:paraId="5CA79E16" w14:textId="77777777" w:rsidTr="00411A34">
        <w:trPr>
          <w:trHeight w:val="280"/>
        </w:trPr>
        <w:tc>
          <w:tcPr>
            <w:cnfStyle w:val="001000000000" w:firstRow="0" w:lastRow="0" w:firstColumn="1" w:lastColumn="0" w:oddVBand="0" w:evenVBand="0" w:oddHBand="0" w:evenHBand="0" w:firstRowFirstColumn="0" w:firstRowLastColumn="0" w:lastRowFirstColumn="0" w:lastRowLastColumn="0"/>
            <w:tcW w:w="1242" w:type="dxa"/>
            <w:vMerge/>
          </w:tcPr>
          <w:p w14:paraId="4793279D" w14:textId="77777777" w:rsidR="00411A34" w:rsidRPr="00E3427E" w:rsidRDefault="00411A34" w:rsidP="00C83A97">
            <w:pPr>
              <w:rPr>
                <w:rFonts w:eastAsia="Times New Roman" w:cs="Times New Roman"/>
                <w:b w:val="0"/>
                <w:bCs w:val="0"/>
                <w:color w:val="auto"/>
                <w:sz w:val="20"/>
                <w:szCs w:val="20"/>
                <w:lang w:eastAsia="pl-PL"/>
              </w:rPr>
            </w:pPr>
          </w:p>
        </w:tc>
        <w:tc>
          <w:tcPr>
            <w:tcW w:w="4853" w:type="dxa"/>
          </w:tcPr>
          <w:p w14:paraId="736388F3"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E3427E">
              <w:rPr>
                <w:rFonts w:eastAsia="Times New Roman" w:cs="Times New Roman"/>
                <w:color w:val="auto"/>
                <w:sz w:val="20"/>
                <w:szCs w:val="20"/>
                <w:lang w:eastAsia="pl-PL"/>
              </w:rPr>
              <w:t>osoby nieposzukujące pracy - razem</w:t>
            </w:r>
          </w:p>
        </w:tc>
        <w:tc>
          <w:tcPr>
            <w:tcW w:w="3256" w:type="dxa"/>
          </w:tcPr>
          <w:p w14:paraId="4C89C717"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630</w:t>
            </w:r>
          </w:p>
        </w:tc>
      </w:tr>
      <w:tr w:rsidR="00E3427E" w:rsidRPr="00E3427E" w14:paraId="44094277" w14:textId="77777777" w:rsidTr="00411A3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42" w:type="dxa"/>
            <w:vMerge/>
          </w:tcPr>
          <w:p w14:paraId="25689EF1" w14:textId="77777777" w:rsidR="00411A34" w:rsidRPr="00E3427E" w:rsidRDefault="00411A34" w:rsidP="00C83A97">
            <w:pPr>
              <w:rPr>
                <w:rFonts w:eastAsia="Times New Roman" w:cs="Times New Roman"/>
                <w:b w:val="0"/>
                <w:bCs w:val="0"/>
                <w:color w:val="auto"/>
                <w:sz w:val="20"/>
                <w:szCs w:val="20"/>
                <w:lang w:eastAsia="pl-PL"/>
              </w:rPr>
            </w:pPr>
          </w:p>
        </w:tc>
        <w:tc>
          <w:tcPr>
            <w:tcW w:w="4853" w:type="dxa"/>
          </w:tcPr>
          <w:p w14:paraId="39A63B13"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eastAsia="Times New Roman" w:cs="Times New Roman"/>
                <w:color w:val="auto"/>
                <w:sz w:val="20"/>
                <w:szCs w:val="20"/>
                <w:lang w:eastAsia="pl-PL"/>
              </w:rPr>
              <w:t>osoby nieposzukujące pracy - emerytura</w:t>
            </w:r>
          </w:p>
        </w:tc>
        <w:tc>
          <w:tcPr>
            <w:tcW w:w="3256" w:type="dxa"/>
          </w:tcPr>
          <w:p w14:paraId="3935123B"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561</w:t>
            </w:r>
          </w:p>
        </w:tc>
      </w:tr>
      <w:tr w:rsidR="00E3427E" w:rsidRPr="00E3427E" w14:paraId="7AC7A044" w14:textId="77777777" w:rsidTr="00411A34">
        <w:trPr>
          <w:trHeight w:val="280"/>
        </w:trPr>
        <w:tc>
          <w:tcPr>
            <w:cnfStyle w:val="001000000000" w:firstRow="0" w:lastRow="0" w:firstColumn="1" w:lastColumn="0" w:oddVBand="0" w:evenVBand="0" w:oddHBand="0" w:evenHBand="0" w:firstRowFirstColumn="0" w:firstRowLastColumn="0" w:lastRowFirstColumn="0" w:lastRowLastColumn="0"/>
            <w:tcW w:w="1242" w:type="dxa"/>
            <w:vMerge/>
          </w:tcPr>
          <w:p w14:paraId="3247B1B0" w14:textId="77777777" w:rsidR="00411A34" w:rsidRPr="00E3427E" w:rsidRDefault="00411A34" w:rsidP="00C83A97">
            <w:pPr>
              <w:rPr>
                <w:rFonts w:eastAsia="Times New Roman" w:cs="Times New Roman"/>
                <w:b w:val="0"/>
                <w:bCs w:val="0"/>
                <w:color w:val="auto"/>
                <w:sz w:val="20"/>
                <w:szCs w:val="20"/>
                <w:lang w:eastAsia="pl-PL"/>
              </w:rPr>
            </w:pPr>
          </w:p>
        </w:tc>
        <w:tc>
          <w:tcPr>
            <w:tcW w:w="4853" w:type="dxa"/>
          </w:tcPr>
          <w:p w14:paraId="03787A58"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eastAsia="Times New Roman" w:cs="Times New Roman"/>
                <w:color w:val="auto"/>
                <w:sz w:val="20"/>
                <w:szCs w:val="20"/>
                <w:lang w:eastAsia="pl-PL"/>
              </w:rPr>
              <w:t>osoby nieposzukujące pracy - choroba, niepełnosprawność</w:t>
            </w:r>
          </w:p>
        </w:tc>
        <w:tc>
          <w:tcPr>
            <w:tcW w:w="3256" w:type="dxa"/>
          </w:tcPr>
          <w:p w14:paraId="3FFA276F"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48</w:t>
            </w:r>
          </w:p>
        </w:tc>
      </w:tr>
      <w:tr w:rsidR="00E3427E" w:rsidRPr="00E3427E" w14:paraId="16951BD3" w14:textId="77777777" w:rsidTr="00411A3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42" w:type="dxa"/>
            <w:vMerge w:val="restart"/>
          </w:tcPr>
          <w:p w14:paraId="575C53D4" w14:textId="77777777" w:rsidR="00411A34" w:rsidRPr="00E3427E" w:rsidRDefault="00411A34" w:rsidP="00C83A97">
            <w:pPr>
              <w:rPr>
                <w:rFonts w:eastAsia="Times New Roman" w:cs="Times New Roman"/>
                <w:b w:val="0"/>
                <w:bCs w:val="0"/>
                <w:color w:val="auto"/>
                <w:sz w:val="20"/>
                <w:szCs w:val="20"/>
                <w:lang w:eastAsia="pl-PL"/>
              </w:rPr>
            </w:pPr>
            <w:r w:rsidRPr="00E3427E">
              <w:rPr>
                <w:rFonts w:eastAsia="Times New Roman" w:cs="Times New Roman"/>
                <w:color w:val="auto"/>
                <w:sz w:val="20"/>
                <w:szCs w:val="20"/>
                <w:lang w:eastAsia="pl-PL"/>
              </w:rPr>
              <w:t>Osoby bezrobotne zarejestrowane w urzędach pracy (w tys.)</w:t>
            </w:r>
          </w:p>
        </w:tc>
        <w:tc>
          <w:tcPr>
            <w:tcW w:w="4853" w:type="dxa"/>
          </w:tcPr>
          <w:p w14:paraId="0C08C110"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ogółem</w:t>
            </w:r>
          </w:p>
        </w:tc>
        <w:tc>
          <w:tcPr>
            <w:tcW w:w="3256" w:type="dxa"/>
          </w:tcPr>
          <w:p w14:paraId="46E33C82"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68,8</w:t>
            </w:r>
          </w:p>
        </w:tc>
      </w:tr>
      <w:tr w:rsidR="00E3427E" w:rsidRPr="00E3427E" w14:paraId="030A209F" w14:textId="77777777" w:rsidTr="00411A34">
        <w:trPr>
          <w:trHeight w:val="284"/>
        </w:trPr>
        <w:tc>
          <w:tcPr>
            <w:cnfStyle w:val="001000000000" w:firstRow="0" w:lastRow="0" w:firstColumn="1" w:lastColumn="0" w:oddVBand="0" w:evenVBand="0" w:oddHBand="0" w:evenHBand="0" w:firstRowFirstColumn="0" w:firstRowLastColumn="0" w:lastRowFirstColumn="0" w:lastRowLastColumn="0"/>
            <w:tcW w:w="1242" w:type="dxa"/>
            <w:vMerge/>
          </w:tcPr>
          <w:p w14:paraId="715923E6" w14:textId="77777777" w:rsidR="00411A34" w:rsidRPr="00E3427E" w:rsidRDefault="00411A34" w:rsidP="00C83A97">
            <w:pPr>
              <w:rPr>
                <w:rFonts w:eastAsia="Times New Roman" w:cs="Times New Roman"/>
                <w:b w:val="0"/>
                <w:bCs w:val="0"/>
                <w:color w:val="auto"/>
                <w:sz w:val="20"/>
                <w:szCs w:val="20"/>
                <w:lang w:eastAsia="pl-PL"/>
              </w:rPr>
            </w:pPr>
          </w:p>
        </w:tc>
        <w:tc>
          <w:tcPr>
            <w:tcW w:w="4853" w:type="dxa"/>
          </w:tcPr>
          <w:p w14:paraId="03C31BE1"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w tym w wieku 60+</w:t>
            </w:r>
          </w:p>
        </w:tc>
        <w:tc>
          <w:tcPr>
            <w:tcW w:w="3256" w:type="dxa"/>
          </w:tcPr>
          <w:p w14:paraId="6F113AD0"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5,7</w:t>
            </w:r>
          </w:p>
        </w:tc>
      </w:tr>
      <w:tr w:rsidR="00E3427E" w:rsidRPr="00E3427E" w14:paraId="57C49C56" w14:textId="77777777" w:rsidTr="00411A34">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242" w:type="dxa"/>
            <w:vMerge w:val="restart"/>
          </w:tcPr>
          <w:p w14:paraId="36922C55" w14:textId="77777777" w:rsidR="00411A34" w:rsidRPr="00E3427E" w:rsidRDefault="00411A34" w:rsidP="00C83A97">
            <w:pPr>
              <w:rPr>
                <w:rFonts w:eastAsia="Times New Roman" w:cs="Times New Roman"/>
                <w:b w:val="0"/>
                <w:bCs w:val="0"/>
                <w:color w:val="auto"/>
                <w:sz w:val="20"/>
                <w:szCs w:val="20"/>
                <w:lang w:eastAsia="pl-PL"/>
              </w:rPr>
            </w:pPr>
            <w:r w:rsidRPr="00E3427E">
              <w:rPr>
                <w:rFonts w:eastAsia="Times New Roman" w:cs="Times New Roman"/>
                <w:color w:val="auto"/>
                <w:sz w:val="20"/>
                <w:szCs w:val="20"/>
                <w:lang w:eastAsia="pl-PL"/>
              </w:rPr>
              <w:t xml:space="preserve">Osoby pobierające renty </w:t>
            </w:r>
            <w:r w:rsidRPr="00E3427E">
              <w:rPr>
                <w:rFonts w:eastAsia="Times New Roman" w:cs="Times New Roman"/>
                <w:color w:val="auto"/>
                <w:sz w:val="20"/>
                <w:szCs w:val="20"/>
                <w:lang w:eastAsia="pl-PL"/>
              </w:rPr>
              <w:br/>
              <w:t xml:space="preserve">i emerytury </w:t>
            </w:r>
          </w:p>
        </w:tc>
        <w:tc>
          <w:tcPr>
            <w:tcW w:w="8109" w:type="dxa"/>
            <w:gridSpan w:val="2"/>
          </w:tcPr>
          <w:p w14:paraId="20BB980B" w14:textId="77777777" w:rsidR="00411A34" w:rsidRPr="00E3427E" w:rsidRDefault="00411A34" w:rsidP="00C83A97">
            <w:pPr>
              <w:tabs>
                <w:tab w:val="left" w:pos="1725"/>
                <w:tab w:val="center" w:pos="2363"/>
              </w:tabs>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E3427E">
              <w:rPr>
                <w:rFonts w:cs="Times New Roman"/>
                <w:b/>
                <w:color w:val="auto"/>
                <w:sz w:val="20"/>
                <w:szCs w:val="20"/>
              </w:rPr>
              <w:t>ZUS</w:t>
            </w:r>
          </w:p>
        </w:tc>
      </w:tr>
      <w:tr w:rsidR="00E3427E" w:rsidRPr="00E3427E" w14:paraId="6310BDFC" w14:textId="77777777" w:rsidTr="00411A34">
        <w:trPr>
          <w:trHeight w:val="189"/>
        </w:trPr>
        <w:tc>
          <w:tcPr>
            <w:cnfStyle w:val="001000000000" w:firstRow="0" w:lastRow="0" w:firstColumn="1" w:lastColumn="0" w:oddVBand="0" w:evenVBand="0" w:oddHBand="0" w:evenHBand="0" w:firstRowFirstColumn="0" w:firstRowLastColumn="0" w:lastRowFirstColumn="0" w:lastRowLastColumn="0"/>
            <w:tcW w:w="1242" w:type="dxa"/>
            <w:vMerge/>
          </w:tcPr>
          <w:p w14:paraId="2CAE6DE1" w14:textId="77777777" w:rsidR="00411A34" w:rsidRPr="00E3427E" w:rsidRDefault="00411A34" w:rsidP="00C83A97">
            <w:pPr>
              <w:rPr>
                <w:rFonts w:eastAsia="Times New Roman" w:cs="Times New Roman"/>
                <w:b w:val="0"/>
                <w:bCs w:val="0"/>
                <w:color w:val="auto"/>
                <w:sz w:val="20"/>
                <w:szCs w:val="20"/>
                <w:lang w:eastAsia="pl-PL"/>
              </w:rPr>
            </w:pPr>
          </w:p>
        </w:tc>
        <w:tc>
          <w:tcPr>
            <w:tcW w:w="4853" w:type="dxa"/>
          </w:tcPr>
          <w:p w14:paraId="3ABA1406" w14:textId="77777777" w:rsidR="00411A34" w:rsidRPr="00E3427E" w:rsidRDefault="00411A34" w:rsidP="00C83A97">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E3427E">
              <w:rPr>
                <w:rFonts w:cs="Times New Roman"/>
                <w:b/>
                <w:color w:val="auto"/>
                <w:sz w:val="20"/>
                <w:szCs w:val="20"/>
              </w:rPr>
              <w:t>Rodzaj świadczenia</w:t>
            </w:r>
          </w:p>
        </w:tc>
        <w:tc>
          <w:tcPr>
            <w:tcW w:w="3256" w:type="dxa"/>
          </w:tcPr>
          <w:p w14:paraId="0F9F085E" w14:textId="77777777" w:rsidR="00411A34" w:rsidRPr="00E3427E" w:rsidRDefault="00411A34" w:rsidP="00C83A97">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E3427E">
              <w:rPr>
                <w:rFonts w:cs="Times New Roman"/>
                <w:b/>
                <w:color w:val="auto"/>
                <w:sz w:val="20"/>
                <w:szCs w:val="20"/>
              </w:rPr>
              <w:t>Przeciętna miesięczna liczba emerytów i rencistów (w tys.)</w:t>
            </w:r>
          </w:p>
        </w:tc>
      </w:tr>
      <w:tr w:rsidR="00E3427E" w:rsidRPr="00E3427E" w14:paraId="02178236" w14:textId="77777777" w:rsidTr="00411A3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42" w:type="dxa"/>
            <w:vMerge/>
          </w:tcPr>
          <w:p w14:paraId="14556376" w14:textId="77777777" w:rsidR="00411A34" w:rsidRPr="00E3427E" w:rsidRDefault="00411A34" w:rsidP="00C83A97">
            <w:pPr>
              <w:rPr>
                <w:rFonts w:eastAsia="Times New Roman" w:cs="Times New Roman"/>
                <w:b w:val="0"/>
                <w:bCs w:val="0"/>
                <w:color w:val="auto"/>
                <w:sz w:val="20"/>
                <w:szCs w:val="20"/>
                <w:lang w:eastAsia="pl-PL"/>
              </w:rPr>
            </w:pPr>
          </w:p>
        </w:tc>
        <w:tc>
          <w:tcPr>
            <w:tcW w:w="4853" w:type="dxa"/>
          </w:tcPr>
          <w:p w14:paraId="2AD56376"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Emerytury</w:t>
            </w:r>
          </w:p>
        </w:tc>
        <w:tc>
          <w:tcPr>
            <w:tcW w:w="3256" w:type="dxa"/>
          </w:tcPr>
          <w:p w14:paraId="5755652E"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496,5</w:t>
            </w:r>
          </w:p>
        </w:tc>
      </w:tr>
      <w:tr w:rsidR="00E3427E" w:rsidRPr="00E3427E" w14:paraId="295C0EFD" w14:textId="77777777" w:rsidTr="00411A34">
        <w:trPr>
          <w:trHeight w:val="142"/>
        </w:trPr>
        <w:tc>
          <w:tcPr>
            <w:cnfStyle w:val="001000000000" w:firstRow="0" w:lastRow="0" w:firstColumn="1" w:lastColumn="0" w:oddVBand="0" w:evenVBand="0" w:oddHBand="0" w:evenHBand="0" w:firstRowFirstColumn="0" w:firstRowLastColumn="0" w:lastRowFirstColumn="0" w:lastRowLastColumn="0"/>
            <w:tcW w:w="1242" w:type="dxa"/>
            <w:vMerge/>
          </w:tcPr>
          <w:p w14:paraId="5AEB05B1" w14:textId="77777777" w:rsidR="00411A34" w:rsidRPr="00E3427E" w:rsidRDefault="00411A34" w:rsidP="00C83A97">
            <w:pPr>
              <w:rPr>
                <w:rFonts w:eastAsia="Times New Roman" w:cs="Times New Roman"/>
                <w:b w:val="0"/>
                <w:bCs w:val="0"/>
                <w:color w:val="auto"/>
                <w:sz w:val="20"/>
                <w:szCs w:val="20"/>
                <w:lang w:eastAsia="pl-PL"/>
              </w:rPr>
            </w:pPr>
          </w:p>
        </w:tc>
        <w:tc>
          <w:tcPr>
            <w:tcW w:w="4853" w:type="dxa"/>
          </w:tcPr>
          <w:p w14:paraId="05463A5D"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Renty z tytułu niezdolności do pracy</w:t>
            </w:r>
          </w:p>
        </w:tc>
        <w:tc>
          <w:tcPr>
            <w:tcW w:w="3256" w:type="dxa"/>
          </w:tcPr>
          <w:p w14:paraId="7239AAD8"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50,3</w:t>
            </w:r>
          </w:p>
        </w:tc>
      </w:tr>
      <w:tr w:rsidR="00E3427E" w:rsidRPr="00E3427E" w14:paraId="6835F43D" w14:textId="77777777" w:rsidTr="00411A3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242" w:type="dxa"/>
            <w:vMerge/>
          </w:tcPr>
          <w:p w14:paraId="4BB7D6C0" w14:textId="77777777" w:rsidR="00411A34" w:rsidRPr="00E3427E" w:rsidRDefault="00411A34" w:rsidP="00C83A97">
            <w:pPr>
              <w:rPr>
                <w:rFonts w:eastAsia="Times New Roman" w:cs="Times New Roman"/>
                <w:b w:val="0"/>
                <w:bCs w:val="0"/>
                <w:color w:val="auto"/>
                <w:sz w:val="20"/>
                <w:szCs w:val="20"/>
                <w:lang w:eastAsia="pl-PL"/>
              </w:rPr>
            </w:pPr>
          </w:p>
        </w:tc>
        <w:tc>
          <w:tcPr>
            <w:tcW w:w="4853" w:type="dxa"/>
          </w:tcPr>
          <w:p w14:paraId="66B67198"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Renty rodzinne</w:t>
            </w:r>
          </w:p>
        </w:tc>
        <w:tc>
          <w:tcPr>
            <w:tcW w:w="3256" w:type="dxa"/>
          </w:tcPr>
          <w:p w14:paraId="0030B900"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94,5</w:t>
            </w:r>
          </w:p>
        </w:tc>
      </w:tr>
      <w:tr w:rsidR="00E3427E" w:rsidRPr="00E3427E" w14:paraId="595D2D23" w14:textId="77777777" w:rsidTr="00411A34">
        <w:trPr>
          <w:trHeight w:val="284"/>
        </w:trPr>
        <w:tc>
          <w:tcPr>
            <w:cnfStyle w:val="001000000000" w:firstRow="0" w:lastRow="0" w:firstColumn="1" w:lastColumn="0" w:oddVBand="0" w:evenVBand="0" w:oddHBand="0" w:evenHBand="0" w:firstRowFirstColumn="0" w:firstRowLastColumn="0" w:lastRowFirstColumn="0" w:lastRowLastColumn="0"/>
            <w:tcW w:w="1242" w:type="dxa"/>
            <w:vMerge/>
          </w:tcPr>
          <w:p w14:paraId="78E7ADB0" w14:textId="77777777" w:rsidR="00411A34" w:rsidRPr="00E3427E" w:rsidRDefault="00411A34" w:rsidP="00C83A97">
            <w:pPr>
              <w:rPr>
                <w:rFonts w:eastAsia="Times New Roman" w:cs="Times New Roman"/>
                <w:b w:val="0"/>
                <w:bCs w:val="0"/>
                <w:color w:val="auto"/>
                <w:sz w:val="20"/>
                <w:szCs w:val="20"/>
                <w:lang w:eastAsia="pl-PL"/>
              </w:rPr>
            </w:pPr>
          </w:p>
        </w:tc>
        <w:tc>
          <w:tcPr>
            <w:tcW w:w="8109" w:type="dxa"/>
            <w:gridSpan w:val="2"/>
          </w:tcPr>
          <w:p w14:paraId="6AFF25E2" w14:textId="77777777" w:rsidR="00411A34" w:rsidRPr="00E3427E" w:rsidRDefault="00411A34" w:rsidP="00C83A97">
            <w:pPr>
              <w:tabs>
                <w:tab w:val="left" w:pos="1507"/>
                <w:tab w:val="center" w:pos="2363"/>
              </w:tabs>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E3427E">
              <w:rPr>
                <w:rFonts w:cs="Times New Roman"/>
                <w:b/>
                <w:color w:val="auto"/>
                <w:sz w:val="20"/>
                <w:szCs w:val="20"/>
              </w:rPr>
              <w:t>KRUS</w:t>
            </w:r>
          </w:p>
        </w:tc>
      </w:tr>
      <w:tr w:rsidR="00E3427E" w:rsidRPr="00E3427E" w14:paraId="35F71F52" w14:textId="77777777" w:rsidTr="00411A34">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242" w:type="dxa"/>
            <w:vMerge/>
          </w:tcPr>
          <w:p w14:paraId="6699700E" w14:textId="77777777" w:rsidR="00411A34" w:rsidRPr="00E3427E" w:rsidRDefault="00411A34" w:rsidP="00C83A97">
            <w:pPr>
              <w:rPr>
                <w:rFonts w:eastAsia="Times New Roman" w:cs="Times New Roman"/>
                <w:b w:val="0"/>
                <w:bCs w:val="0"/>
                <w:color w:val="auto"/>
                <w:sz w:val="20"/>
                <w:szCs w:val="20"/>
                <w:lang w:eastAsia="pl-PL"/>
              </w:rPr>
            </w:pPr>
          </w:p>
        </w:tc>
        <w:tc>
          <w:tcPr>
            <w:tcW w:w="4853" w:type="dxa"/>
          </w:tcPr>
          <w:p w14:paraId="276CA8D9" w14:textId="77777777" w:rsidR="00411A34" w:rsidRPr="00E3427E" w:rsidRDefault="00411A34" w:rsidP="00C83A9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E3427E">
              <w:rPr>
                <w:rFonts w:cs="Times New Roman"/>
                <w:b/>
                <w:color w:val="auto"/>
                <w:sz w:val="20"/>
                <w:szCs w:val="20"/>
              </w:rPr>
              <w:t>Rodzaj świadczenia</w:t>
            </w:r>
          </w:p>
        </w:tc>
        <w:tc>
          <w:tcPr>
            <w:tcW w:w="3256" w:type="dxa"/>
          </w:tcPr>
          <w:p w14:paraId="0E96458E" w14:textId="77777777" w:rsidR="00411A34" w:rsidRPr="00E3427E" w:rsidRDefault="00411A34" w:rsidP="00C83A9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E3427E">
              <w:rPr>
                <w:rFonts w:cs="Times New Roman"/>
                <w:b/>
                <w:color w:val="auto"/>
                <w:sz w:val="20"/>
                <w:szCs w:val="20"/>
              </w:rPr>
              <w:t>Przeciętna miesięczna liczba emerytów i rencistów (w tys.)</w:t>
            </w:r>
          </w:p>
        </w:tc>
      </w:tr>
      <w:tr w:rsidR="00E3427E" w:rsidRPr="00E3427E" w14:paraId="4657CD98" w14:textId="77777777" w:rsidTr="00411A34">
        <w:trPr>
          <w:trHeight w:val="79"/>
        </w:trPr>
        <w:tc>
          <w:tcPr>
            <w:cnfStyle w:val="001000000000" w:firstRow="0" w:lastRow="0" w:firstColumn="1" w:lastColumn="0" w:oddVBand="0" w:evenVBand="0" w:oddHBand="0" w:evenHBand="0" w:firstRowFirstColumn="0" w:firstRowLastColumn="0" w:lastRowFirstColumn="0" w:lastRowLastColumn="0"/>
            <w:tcW w:w="1242" w:type="dxa"/>
            <w:vMerge/>
          </w:tcPr>
          <w:p w14:paraId="6479523F" w14:textId="77777777" w:rsidR="00411A34" w:rsidRPr="00E3427E" w:rsidRDefault="00411A34" w:rsidP="00C83A97">
            <w:pPr>
              <w:rPr>
                <w:rFonts w:eastAsia="Times New Roman" w:cs="Times New Roman"/>
                <w:b w:val="0"/>
                <w:bCs w:val="0"/>
                <w:color w:val="auto"/>
                <w:sz w:val="20"/>
                <w:szCs w:val="20"/>
                <w:lang w:eastAsia="pl-PL"/>
              </w:rPr>
            </w:pPr>
          </w:p>
        </w:tc>
        <w:tc>
          <w:tcPr>
            <w:tcW w:w="4853" w:type="dxa"/>
          </w:tcPr>
          <w:p w14:paraId="1D552357"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Emerytury</w:t>
            </w:r>
          </w:p>
        </w:tc>
        <w:tc>
          <w:tcPr>
            <w:tcW w:w="3256" w:type="dxa"/>
          </w:tcPr>
          <w:p w14:paraId="66397C06" w14:textId="77777777" w:rsidR="00411A34" w:rsidRPr="00E3427E" w:rsidRDefault="00411A34" w:rsidP="00C83A97">
            <w:pPr>
              <w:tabs>
                <w:tab w:val="left" w:pos="318"/>
              </w:tabs>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32,1</w:t>
            </w:r>
          </w:p>
        </w:tc>
      </w:tr>
      <w:tr w:rsidR="00E3427E" w:rsidRPr="00E3427E" w14:paraId="67698C87" w14:textId="77777777" w:rsidTr="00411A34">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242" w:type="dxa"/>
            <w:vMerge/>
          </w:tcPr>
          <w:p w14:paraId="31770AC6" w14:textId="77777777" w:rsidR="00411A34" w:rsidRPr="00E3427E" w:rsidRDefault="00411A34" w:rsidP="00C83A97">
            <w:pPr>
              <w:rPr>
                <w:rFonts w:eastAsia="Times New Roman" w:cs="Times New Roman"/>
                <w:b w:val="0"/>
                <w:bCs w:val="0"/>
                <w:color w:val="auto"/>
                <w:sz w:val="20"/>
                <w:szCs w:val="20"/>
                <w:lang w:eastAsia="pl-PL"/>
              </w:rPr>
            </w:pPr>
          </w:p>
        </w:tc>
        <w:tc>
          <w:tcPr>
            <w:tcW w:w="4853" w:type="dxa"/>
          </w:tcPr>
          <w:p w14:paraId="3EE51D81"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Renty z tytułu niezdolności do pracy</w:t>
            </w:r>
          </w:p>
        </w:tc>
        <w:tc>
          <w:tcPr>
            <w:tcW w:w="3256" w:type="dxa"/>
          </w:tcPr>
          <w:p w14:paraId="76A9B3F4" w14:textId="77777777" w:rsidR="00411A34" w:rsidRPr="00E3427E" w:rsidRDefault="00411A34" w:rsidP="00C83A9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7,3</w:t>
            </w:r>
          </w:p>
        </w:tc>
      </w:tr>
      <w:tr w:rsidR="00E3427E" w:rsidRPr="00E3427E" w14:paraId="47C22566" w14:textId="77777777" w:rsidTr="00411A34">
        <w:trPr>
          <w:trHeight w:val="79"/>
        </w:trPr>
        <w:tc>
          <w:tcPr>
            <w:cnfStyle w:val="001000000000" w:firstRow="0" w:lastRow="0" w:firstColumn="1" w:lastColumn="0" w:oddVBand="0" w:evenVBand="0" w:oddHBand="0" w:evenHBand="0" w:firstRowFirstColumn="0" w:firstRowLastColumn="0" w:lastRowFirstColumn="0" w:lastRowLastColumn="0"/>
            <w:tcW w:w="1242" w:type="dxa"/>
            <w:vMerge/>
          </w:tcPr>
          <w:p w14:paraId="5740FEAB" w14:textId="77777777" w:rsidR="00411A34" w:rsidRPr="00E3427E" w:rsidRDefault="00411A34" w:rsidP="00C83A97">
            <w:pPr>
              <w:rPr>
                <w:rFonts w:eastAsia="Times New Roman" w:cs="Times New Roman"/>
                <w:b w:val="0"/>
                <w:bCs w:val="0"/>
                <w:color w:val="auto"/>
                <w:sz w:val="20"/>
                <w:szCs w:val="20"/>
                <w:lang w:eastAsia="pl-PL"/>
              </w:rPr>
            </w:pPr>
          </w:p>
        </w:tc>
        <w:tc>
          <w:tcPr>
            <w:tcW w:w="4853" w:type="dxa"/>
          </w:tcPr>
          <w:p w14:paraId="7376C7FA"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Renty rodzinne</w:t>
            </w:r>
          </w:p>
        </w:tc>
        <w:tc>
          <w:tcPr>
            <w:tcW w:w="3256" w:type="dxa"/>
          </w:tcPr>
          <w:p w14:paraId="2EE2A434" w14:textId="77777777" w:rsidR="00411A34" w:rsidRPr="00E3427E" w:rsidRDefault="00411A34" w:rsidP="00C83A9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1,6</w:t>
            </w:r>
          </w:p>
        </w:tc>
      </w:tr>
    </w:tbl>
    <w:p w14:paraId="7E2190F8" w14:textId="77777777" w:rsidR="00411A34" w:rsidRDefault="00411A34" w:rsidP="00411A34">
      <w:pPr>
        <w:tabs>
          <w:tab w:val="left" w:pos="5400"/>
        </w:tabs>
        <w:rPr>
          <w:rFonts w:eastAsia="Times New Roman" w:cs="Times New Roman"/>
          <w:b/>
          <w:szCs w:val="24"/>
          <w:lang w:eastAsia="pl-PL"/>
        </w:rPr>
      </w:pPr>
      <w:r w:rsidRPr="00432294">
        <w:rPr>
          <w:rFonts w:eastAsia="Times New Roman" w:cs="Times New Roman"/>
          <w:b/>
          <w:szCs w:val="24"/>
          <w:lang w:eastAsia="pl-PL"/>
        </w:rPr>
        <w:t xml:space="preserve">Źródło: </w:t>
      </w:r>
      <w:r w:rsidRPr="00377FB8">
        <w:rPr>
          <w:rFonts w:eastAsia="Times New Roman" w:cs="Times New Roman"/>
          <w:b/>
          <w:szCs w:val="24"/>
          <w:lang w:eastAsia="pl-PL"/>
        </w:rPr>
        <w:t>GUS</w:t>
      </w:r>
      <w:r w:rsidRPr="00432294">
        <w:rPr>
          <w:rFonts w:eastAsia="Times New Roman" w:cs="Times New Roman"/>
          <w:b/>
          <w:szCs w:val="24"/>
          <w:lang w:eastAsia="pl-PL"/>
        </w:rPr>
        <w:t xml:space="preserve">. </w:t>
      </w:r>
    </w:p>
    <w:p w14:paraId="68C36EE8" w14:textId="77777777" w:rsidR="00411A34" w:rsidRDefault="00411A34" w:rsidP="003C1988">
      <w:pPr>
        <w:rPr>
          <w:rFonts w:cs="Times New Roman"/>
          <w:b/>
          <w:color w:val="FF0000"/>
          <w:szCs w:val="24"/>
          <w:lang w:eastAsia="ar-SA"/>
        </w:rPr>
      </w:pPr>
    </w:p>
    <w:p w14:paraId="2C829B04" w14:textId="7E64F5D4" w:rsidR="00BA4636" w:rsidRDefault="00BA4636" w:rsidP="00BA4636">
      <w:pPr>
        <w:pStyle w:val="Nagwek3"/>
        <w:rPr>
          <w:lang w:eastAsia="ar-SA"/>
        </w:rPr>
      </w:pPr>
      <w:bookmarkStart w:id="128" w:name="_Toc77513949"/>
      <w:bookmarkStart w:id="129" w:name="_Toc80523103"/>
      <w:r>
        <w:rPr>
          <w:lang w:eastAsia="ar-SA"/>
        </w:rPr>
        <w:t>Sytuacja osób niepełnosprawnych i ich opiekunów</w:t>
      </w:r>
      <w:bookmarkEnd w:id="128"/>
      <w:bookmarkEnd w:id="129"/>
    </w:p>
    <w:p w14:paraId="0237B43D" w14:textId="77777777" w:rsidR="00867139" w:rsidRPr="00867139" w:rsidRDefault="00867139" w:rsidP="00867139">
      <w:pPr>
        <w:rPr>
          <w:lang w:eastAsia="ar-SA"/>
        </w:rPr>
      </w:pPr>
    </w:p>
    <w:p w14:paraId="2981AF0A" w14:textId="09E32CEA" w:rsidR="00BA4636" w:rsidRDefault="00BA4636" w:rsidP="00BA4636">
      <w:pPr>
        <w:rPr>
          <w:rFonts w:cs="Times New Roman"/>
          <w:szCs w:val="24"/>
        </w:rPr>
      </w:pPr>
      <w:r w:rsidRPr="00BA4636">
        <w:rPr>
          <w:rFonts w:cs="Times New Roman"/>
          <w:szCs w:val="24"/>
        </w:rPr>
        <w:t>Osoby z niepełnosprawnościami stanowią jedną z grup ludności, która wymaga stałego monitorowania –z punktu widzenia integracji społecznej, w tym także poprzez pracę.  Na koniec grudnia 2020 w rejestrach powiatowych urzędów pracy pozostawało 4</w:t>
      </w:r>
      <w:r>
        <w:rPr>
          <w:rFonts w:cs="Times New Roman"/>
          <w:szCs w:val="24"/>
        </w:rPr>
        <w:t xml:space="preserve"> </w:t>
      </w:r>
      <w:r w:rsidRPr="00BA4636">
        <w:rPr>
          <w:rFonts w:cs="Times New Roman"/>
          <w:szCs w:val="24"/>
        </w:rPr>
        <w:t xml:space="preserve">619 osób niepełnosprawnych, co stanowiło 6,7% ogólnej liczby bezrobotnych w regionie (kobiety stanowiły 5,3% ogólnej liczby bezrobotnych kobiet w województwie dolnośląskim).   W 2020 </w:t>
      </w:r>
      <w:r w:rsidR="004D289B">
        <w:rPr>
          <w:rFonts w:cs="Times New Roman"/>
          <w:szCs w:val="24"/>
        </w:rPr>
        <w:t xml:space="preserve">r. </w:t>
      </w:r>
      <w:r w:rsidRPr="00BA4636">
        <w:rPr>
          <w:rFonts w:cs="Times New Roman"/>
          <w:szCs w:val="24"/>
        </w:rPr>
        <w:t>z ewidencji powiatowych urzędów pracy wy</w:t>
      </w:r>
      <w:r>
        <w:rPr>
          <w:rFonts w:cs="Times New Roman"/>
          <w:szCs w:val="24"/>
        </w:rPr>
        <w:t>łączono 6064 osoby bezrobotne z </w:t>
      </w:r>
      <w:r w:rsidRPr="00BA4636">
        <w:rPr>
          <w:rFonts w:cs="Times New Roman"/>
          <w:szCs w:val="24"/>
        </w:rPr>
        <w:t>niepełnosprawnościami, tj. o 1975 osób mniej niż w roku 2019. Podstawową przyczyną wyłączenia z ewidencji bezrobotnych było podjęcie zatrudnienia. W 2020</w:t>
      </w:r>
      <w:r w:rsidR="004D289B">
        <w:rPr>
          <w:rFonts w:cs="Times New Roman"/>
          <w:szCs w:val="24"/>
        </w:rPr>
        <w:t xml:space="preserve"> r.</w:t>
      </w:r>
      <w:r w:rsidRPr="00BA4636">
        <w:rPr>
          <w:rFonts w:cs="Times New Roman"/>
          <w:szCs w:val="24"/>
        </w:rPr>
        <w:t xml:space="preserve"> odpływ z tego </w:t>
      </w:r>
      <w:r w:rsidRPr="00BA4636">
        <w:rPr>
          <w:rFonts w:cs="Times New Roman"/>
          <w:szCs w:val="24"/>
        </w:rPr>
        <w:lastRenderedPageBreak/>
        <w:t>tytułu wyniósł 42,2% ogólnej liczby wyrej</w:t>
      </w:r>
      <w:r>
        <w:rPr>
          <w:rFonts w:cs="Times New Roman"/>
          <w:szCs w:val="24"/>
        </w:rPr>
        <w:t>estrowanych osób bezrobotnych z </w:t>
      </w:r>
      <w:r w:rsidRPr="00BA4636">
        <w:rPr>
          <w:rFonts w:cs="Times New Roman"/>
          <w:szCs w:val="24"/>
        </w:rPr>
        <w:t>niepełnosprawnościami, z tytułu podjęcia pracy – 37,7% wyrejestrowanych. Z punktu widzenia możliwości zatrudnienia istotny jest rodzaj niepełnosprawności bezrobotnych. Najliczniejszą grupę, tj.31% stanowiły osoby z upośledzeniem</w:t>
      </w:r>
      <w:r>
        <w:rPr>
          <w:rFonts w:cs="Times New Roman"/>
          <w:szCs w:val="24"/>
        </w:rPr>
        <w:t xml:space="preserve"> narządu ruchu, kolejno osoby z </w:t>
      </w:r>
      <w:r w:rsidRPr="00BA4636">
        <w:rPr>
          <w:rFonts w:cs="Times New Roman"/>
          <w:szCs w:val="24"/>
        </w:rPr>
        <w:t xml:space="preserve">niepełnosprawnością związaną z chorobami psychicznymi </w:t>
      </w:r>
      <w:r>
        <w:rPr>
          <w:rFonts w:cs="Times New Roman"/>
          <w:szCs w:val="24"/>
        </w:rPr>
        <w:t>tj. 12,7% oraz neurologicznymi, </w:t>
      </w:r>
      <w:r w:rsidRPr="00BA4636">
        <w:rPr>
          <w:rFonts w:cs="Times New Roman"/>
          <w:szCs w:val="24"/>
        </w:rPr>
        <w:t>tj.12,1%.</w:t>
      </w:r>
    </w:p>
    <w:p w14:paraId="6F24CA27" w14:textId="77777777" w:rsidR="00BA4636" w:rsidRPr="00BA4636" w:rsidRDefault="00BA4636" w:rsidP="00BA4636">
      <w:pPr>
        <w:rPr>
          <w:rFonts w:cs="Times New Roman"/>
          <w:szCs w:val="24"/>
        </w:rPr>
      </w:pPr>
    </w:p>
    <w:p w14:paraId="716C2ADC" w14:textId="2AE92190" w:rsidR="00BA4636" w:rsidRDefault="00BA4636" w:rsidP="00BA4636">
      <w:pPr>
        <w:rPr>
          <w:rFonts w:cs="Times New Roman"/>
          <w:szCs w:val="24"/>
        </w:rPr>
      </w:pPr>
      <w:r w:rsidRPr="00BA4636">
        <w:rPr>
          <w:rFonts w:cs="Times New Roman"/>
          <w:szCs w:val="24"/>
        </w:rPr>
        <w:t>Wśród świadczeń, które kierowano do osób niepełnosprawnych oraz ich opiekunów, należy wymienić m.in. zasiłek pielęgnacyjny, specjalny zasiłek opiekuńczy, czy zasiłek dla opiekuna. Dla opiekunów osób niepełnosprawnych, którzy zrezygnowali z pracy zawodowej celem wspierania swoich podopiecznych w 2020 r</w:t>
      </w:r>
      <w:r w:rsidR="004D289B">
        <w:rPr>
          <w:rFonts w:cs="Times New Roman"/>
          <w:szCs w:val="24"/>
        </w:rPr>
        <w:t>.</w:t>
      </w:r>
      <w:r w:rsidRPr="00BA4636">
        <w:rPr>
          <w:rFonts w:cs="Times New Roman"/>
          <w:szCs w:val="24"/>
        </w:rPr>
        <w:t xml:space="preserve"> wypłacono 17 312 specjalnych zasiłków opiekuńczych na kwotę 10 650 675 zł oraz 6 758 zasiłków dla opiekuna na ogólną kwotę 4</w:t>
      </w:r>
      <w:r w:rsidR="00867139">
        <w:rPr>
          <w:rFonts w:cs="Times New Roman"/>
          <w:szCs w:val="24"/>
        </w:rPr>
        <w:t> </w:t>
      </w:r>
      <w:r w:rsidRPr="00BA4636">
        <w:rPr>
          <w:rFonts w:cs="Times New Roman"/>
          <w:szCs w:val="24"/>
        </w:rPr>
        <w:t>158</w:t>
      </w:r>
      <w:r w:rsidR="00867139">
        <w:rPr>
          <w:rFonts w:cs="Times New Roman"/>
          <w:szCs w:val="24"/>
        </w:rPr>
        <w:t> </w:t>
      </w:r>
      <w:r w:rsidRPr="00BA4636">
        <w:rPr>
          <w:rFonts w:cs="Times New Roman"/>
          <w:szCs w:val="24"/>
        </w:rPr>
        <w:t>180 zł. Natomiast 216 osobom niepełnosprawnym, które uk</w:t>
      </w:r>
      <w:r>
        <w:rPr>
          <w:rFonts w:cs="Times New Roman"/>
          <w:szCs w:val="24"/>
        </w:rPr>
        <w:t>ończyły 75 lat wypłacono w 2020 </w:t>
      </w:r>
      <w:r w:rsidRPr="00BA4636">
        <w:rPr>
          <w:rFonts w:cs="Times New Roman"/>
          <w:szCs w:val="24"/>
        </w:rPr>
        <w:t>r</w:t>
      </w:r>
      <w:r w:rsidR="004D289B">
        <w:rPr>
          <w:rFonts w:cs="Times New Roman"/>
          <w:szCs w:val="24"/>
        </w:rPr>
        <w:t>.</w:t>
      </w:r>
      <w:r w:rsidRPr="00BA4636">
        <w:rPr>
          <w:rFonts w:cs="Times New Roman"/>
          <w:szCs w:val="24"/>
        </w:rPr>
        <w:t xml:space="preserve"> zasiłki pielęgnacyjne na kwotę 3 370 296 zł.</w:t>
      </w:r>
    </w:p>
    <w:p w14:paraId="5DB51AF4" w14:textId="77777777" w:rsidR="00BA4636" w:rsidRPr="00BA4636" w:rsidRDefault="00BA4636" w:rsidP="00BA4636">
      <w:pPr>
        <w:rPr>
          <w:rFonts w:cs="Times New Roman"/>
          <w:szCs w:val="24"/>
        </w:rPr>
      </w:pPr>
    </w:p>
    <w:p w14:paraId="07D7E52D" w14:textId="4CB95C9D" w:rsidR="00BA4636" w:rsidRPr="00BA4636" w:rsidRDefault="00BA4636" w:rsidP="00BA4636">
      <w:pPr>
        <w:rPr>
          <w:rFonts w:cs="Times New Roman"/>
          <w:szCs w:val="24"/>
        </w:rPr>
      </w:pPr>
      <w:r w:rsidRPr="00BA4636">
        <w:rPr>
          <w:rFonts w:cs="Times New Roman"/>
          <w:szCs w:val="24"/>
        </w:rPr>
        <w:t>Na jakość życia osób z niepełnosprawnościami wpływa bardzo wiele czynników. Wśród nich są dostęp do usług społecznych i pracy, uwarunkowania geopolityczne, czy rozwój nowoczesnych technologii. Prawdopodobnie każda osoba z niepełnosprawnością korzysta dziś z nowoczesnych rozwiązań techniki, zbędne stały się wizyty w banku, czy placówce pocztowej. Większość spraw załatwiana jest przez komputer lub smartfon, wykorzystując sieć internetową. Ułatwienia technologiczne wykorzystywane przez osoby z</w:t>
      </w:r>
      <w:r>
        <w:rPr>
          <w:rFonts w:cs="Times New Roman"/>
          <w:szCs w:val="24"/>
        </w:rPr>
        <w:t xml:space="preserve"> niepełnosprawnością pomagają w </w:t>
      </w:r>
      <w:r w:rsidRPr="00BA4636">
        <w:rPr>
          <w:rFonts w:cs="Times New Roman"/>
          <w:szCs w:val="24"/>
        </w:rPr>
        <w:t>rekompensacie rozmaitych dysfunkcji. Samorząd Województwa Dolnośląskiego oraz organizacja pozarządowa - Stowarzyszenie Klub Kibiców N</w:t>
      </w:r>
      <w:r>
        <w:rPr>
          <w:rFonts w:cs="Times New Roman"/>
          <w:szCs w:val="24"/>
        </w:rPr>
        <w:t>iepełnosprawnych zaprezentowały </w:t>
      </w:r>
      <w:r w:rsidRPr="00BA4636">
        <w:rPr>
          <w:rFonts w:cs="Times New Roman"/>
          <w:szCs w:val="24"/>
        </w:rPr>
        <w:t>kilka działań, które zostały zrealizowane w cz</w:t>
      </w:r>
      <w:r>
        <w:rPr>
          <w:rFonts w:cs="Times New Roman"/>
          <w:szCs w:val="24"/>
        </w:rPr>
        <w:t>asie zagrożenia epidemicznego w </w:t>
      </w:r>
      <w:r w:rsidRPr="00BA4636">
        <w:rPr>
          <w:rFonts w:cs="Times New Roman"/>
          <w:szCs w:val="24"/>
        </w:rPr>
        <w:t>2020</w:t>
      </w:r>
      <w:r w:rsidR="004D289B">
        <w:rPr>
          <w:rFonts w:cs="Times New Roman"/>
          <w:szCs w:val="24"/>
        </w:rPr>
        <w:t xml:space="preserve"> r.</w:t>
      </w:r>
      <w:r w:rsidRPr="00BA4636">
        <w:rPr>
          <w:rFonts w:cs="Times New Roman"/>
          <w:szCs w:val="24"/>
        </w:rPr>
        <w:t xml:space="preserve">  z wykorzystaniem nowoczesnych technologii: V Dolnośląski Konwent Regionalny Osób z Niepełnosprawnościami, </w:t>
      </w:r>
      <w:proofErr w:type="spellStart"/>
      <w:r w:rsidRPr="00BA4636">
        <w:rPr>
          <w:rFonts w:cs="Times New Roman"/>
          <w:szCs w:val="24"/>
        </w:rPr>
        <w:t>Audiodeskrypcja</w:t>
      </w:r>
      <w:proofErr w:type="spellEnd"/>
      <w:r w:rsidRPr="00BA4636">
        <w:rPr>
          <w:rFonts w:cs="Times New Roman"/>
          <w:szCs w:val="24"/>
        </w:rPr>
        <w:t xml:space="preserve"> sportowa, Joga przez </w:t>
      </w:r>
      <w:proofErr w:type="spellStart"/>
      <w:r w:rsidRPr="00BA4636">
        <w:rPr>
          <w:rFonts w:cs="Times New Roman"/>
          <w:szCs w:val="24"/>
        </w:rPr>
        <w:t>internet</w:t>
      </w:r>
      <w:proofErr w:type="spellEnd"/>
      <w:r w:rsidRPr="00BA4636">
        <w:rPr>
          <w:rFonts w:cs="Times New Roman"/>
          <w:szCs w:val="24"/>
        </w:rPr>
        <w:t xml:space="preserve">? Dlaczego nie! </w:t>
      </w:r>
    </w:p>
    <w:p w14:paraId="007F9D5C" w14:textId="77777777" w:rsidR="00BA4636" w:rsidRPr="00BA4636" w:rsidRDefault="00BA4636" w:rsidP="003C1988">
      <w:pPr>
        <w:rPr>
          <w:rFonts w:cs="Times New Roman"/>
          <w:szCs w:val="24"/>
        </w:rPr>
      </w:pPr>
    </w:p>
    <w:p w14:paraId="3AC473C4" w14:textId="2E0A4321" w:rsidR="00D96C8C" w:rsidRDefault="00D96C8C" w:rsidP="00D96C8C">
      <w:pPr>
        <w:pStyle w:val="Nagwek3"/>
        <w:rPr>
          <w:lang w:eastAsia="ar-SA"/>
        </w:rPr>
      </w:pPr>
      <w:bookmarkStart w:id="130" w:name="_Toc77513950"/>
      <w:bookmarkStart w:id="131" w:name="_Toc80523104"/>
      <w:r w:rsidRPr="00D96C8C">
        <w:rPr>
          <w:lang w:eastAsia="ar-SA"/>
        </w:rPr>
        <w:t>Działania i inicjatywy realizowane na rzecz osób starszych w województwie dolnośląskim</w:t>
      </w:r>
      <w:bookmarkEnd w:id="130"/>
      <w:bookmarkEnd w:id="131"/>
    </w:p>
    <w:p w14:paraId="5ABE20F5" w14:textId="77777777" w:rsidR="00867139" w:rsidRPr="00867139" w:rsidRDefault="00867139" w:rsidP="00867139">
      <w:pPr>
        <w:rPr>
          <w:lang w:eastAsia="ar-SA"/>
        </w:rPr>
      </w:pPr>
    </w:p>
    <w:p w14:paraId="1D99F987" w14:textId="77777777" w:rsidR="00D96C8C" w:rsidRPr="00BA4636" w:rsidRDefault="00D96C8C" w:rsidP="00D96C8C">
      <w:pPr>
        <w:rPr>
          <w:rFonts w:cs="Times New Roman"/>
          <w:b/>
          <w:szCs w:val="24"/>
        </w:rPr>
      </w:pPr>
      <w:r w:rsidRPr="00BA4636">
        <w:rPr>
          <w:rFonts w:cs="Times New Roman"/>
          <w:b/>
          <w:szCs w:val="24"/>
        </w:rPr>
        <w:t xml:space="preserve">Dokumenty i strategie na poziomie wojewódzkim </w:t>
      </w:r>
    </w:p>
    <w:p w14:paraId="37066E62" w14:textId="77777777" w:rsidR="00D96C8C" w:rsidRPr="005C6286" w:rsidRDefault="00D96C8C" w:rsidP="00D96C8C">
      <w:pPr>
        <w:rPr>
          <w:rFonts w:cs="Times New Roman"/>
          <w:szCs w:val="24"/>
        </w:rPr>
      </w:pPr>
      <w:r w:rsidRPr="005C6286">
        <w:rPr>
          <w:rFonts w:cs="Times New Roman"/>
          <w:szCs w:val="24"/>
        </w:rPr>
        <w:t>Samorząd Województwa Dolnośląskiego w 2020 r. kontynuował działania na rzecz seniorów. W dniu 11 grudnia 2020 r. odbyło się kolejne posiedzenie Dolnośląskiej Społecznej Rady Senioralnej w trybie zdalnym. Gościem specjalnym podczas posiedzenia Rady Senioralnej była Dyrektor Departamentu Polityki Senioralnej przy Ministerstwie Rodziny i Polityki Społecznej, z którą Dolnośląska Społeczna Radą Senioralna nawiązała współpracę.</w:t>
      </w:r>
    </w:p>
    <w:p w14:paraId="0CC5843D" w14:textId="77777777" w:rsidR="00D96C8C" w:rsidRPr="005C6286" w:rsidRDefault="00D96C8C" w:rsidP="00D96C8C">
      <w:pPr>
        <w:rPr>
          <w:rFonts w:cs="Times New Roman"/>
          <w:szCs w:val="24"/>
        </w:rPr>
      </w:pPr>
      <w:r w:rsidRPr="005C6286">
        <w:rPr>
          <w:rFonts w:cs="Times New Roman"/>
          <w:szCs w:val="24"/>
        </w:rPr>
        <w:t xml:space="preserve">Decyzją Rady zostały powołane cztery zespoły zadaniowe: </w:t>
      </w:r>
    </w:p>
    <w:p w14:paraId="17DD4D47" w14:textId="77777777" w:rsidR="00867139" w:rsidRDefault="00D96C8C" w:rsidP="00FE70E3">
      <w:pPr>
        <w:pStyle w:val="Akapitzlist"/>
        <w:numPr>
          <w:ilvl w:val="0"/>
          <w:numId w:val="113"/>
        </w:numPr>
        <w:rPr>
          <w:rFonts w:cs="Times New Roman"/>
          <w:szCs w:val="24"/>
        </w:rPr>
      </w:pPr>
      <w:r w:rsidRPr="00867139">
        <w:rPr>
          <w:rFonts w:cs="Times New Roman"/>
          <w:szCs w:val="24"/>
        </w:rPr>
        <w:t xml:space="preserve">Zespół I – „Zdrowie Seniora - jak wspierać seniorów w obszarze zdrowia”; </w:t>
      </w:r>
    </w:p>
    <w:p w14:paraId="520F2B1E" w14:textId="77777777" w:rsidR="00867139" w:rsidRDefault="00D96C8C" w:rsidP="00FE70E3">
      <w:pPr>
        <w:pStyle w:val="Akapitzlist"/>
        <w:numPr>
          <w:ilvl w:val="0"/>
          <w:numId w:val="113"/>
        </w:numPr>
        <w:rPr>
          <w:rFonts w:cs="Times New Roman"/>
          <w:szCs w:val="24"/>
        </w:rPr>
      </w:pPr>
      <w:r w:rsidRPr="00867139">
        <w:rPr>
          <w:rFonts w:cs="Times New Roman"/>
          <w:szCs w:val="24"/>
        </w:rPr>
        <w:t>Zespół II – „Cyfrowy Senior - wsparcie informatyczne dla seniorów”;</w:t>
      </w:r>
    </w:p>
    <w:p w14:paraId="4BCBD09A" w14:textId="77777777" w:rsidR="00867139" w:rsidRDefault="00D96C8C" w:rsidP="00FE70E3">
      <w:pPr>
        <w:pStyle w:val="Akapitzlist"/>
        <w:numPr>
          <w:ilvl w:val="0"/>
          <w:numId w:val="113"/>
        </w:numPr>
        <w:rPr>
          <w:rFonts w:cs="Times New Roman"/>
          <w:szCs w:val="24"/>
        </w:rPr>
      </w:pPr>
      <w:r w:rsidRPr="00867139">
        <w:rPr>
          <w:rFonts w:cs="Times New Roman"/>
          <w:szCs w:val="24"/>
        </w:rPr>
        <w:t>Zespół III – „Wsparcie psychologiczne Seniorów – kontakt z psychologiem, poradnictwo, ulotki, informatory”;</w:t>
      </w:r>
    </w:p>
    <w:p w14:paraId="6AADA891" w14:textId="761CD95E" w:rsidR="00D96C8C" w:rsidRPr="00867139" w:rsidRDefault="00D96C8C" w:rsidP="00FE70E3">
      <w:pPr>
        <w:pStyle w:val="Akapitzlist"/>
        <w:numPr>
          <w:ilvl w:val="0"/>
          <w:numId w:val="113"/>
        </w:numPr>
        <w:rPr>
          <w:rFonts w:cs="Times New Roman"/>
          <w:szCs w:val="24"/>
        </w:rPr>
      </w:pPr>
      <w:r w:rsidRPr="00867139">
        <w:rPr>
          <w:rFonts w:cs="Times New Roman"/>
          <w:szCs w:val="24"/>
        </w:rPr>
        <w:t xml:space="preserve">Zespół IV – „Współpraca ze środowiskiem lokalnym – zaangażowanie i współpraca z innymi instytucjami”. </w:t>
      </w:r>
    </w:p>
    <w:p w14:paraId="2328A6A2" w14:textId="77777777" w:rsidR="00D96C8C" w:rsidRPr="005C6286" w:rsidRDefault="00D96C8C" w:rsidP="00D96C8C">
      <w:pPr>
        <w:rPr>
          <w:rFonts w:cs="Times New Roman"/>
          <w:szCs w:val="24"/>
        </w:rPr>
      </w:pPr>
      <w:r w:rsidRPr="005C6286">
        <w:rPr>
          <w:rFonts w:cs="Times New Roman"/>
          <w:szCs w:val="24"/>
        </w:rPr>
        <w:lastRenderedPageBreak/>
        <w:t xml:space="preserve">Celem powołania zespołów było usystematyzowanie i rozwiązanie merytorycznych zagadnień zgłoszonych przez członków Rady. </w:t>
      </w:r>
    </w:p>
    <w:p w14:paraId="698D542A" w14:textId="77777777" w:rsidR="00BA4636" w:rsidRDefault="00BA4636" w:rsidP="00D96C8C">
      <w:pPr>
        <w:rPr>
          <w:rFonts w:cs="Times New Roman"/>
          <w:szCs w:val="24"/>
        </w:rPr>
      </w:pPr>
    </w:p>
    <w:p w14:paraId="6DE2BBC0" w14:textId="77777777" w:rsidR="00D96C8C" w:rsidRDefault="00D96C8C" w:rsidP="00D96C8C">
      <w:pPr>
        <w:rPr>
          <w:rFonts w:cs="Times New Roman"/>
          <w:szCs w:val="24"/>
        </w:rPr>
      </w:pPr>
      <w:r w:rsidRPr="005C6286">
        <w:rPr>
          <w:rFonts w:cs="Times New Roman"/>
          <w:szCs w:val="24"/>
        </w:rPr>
        <w:t xml:space="preserve">Zarząd Województwa Dolnośląskiego ogłosił otwarty konkurs ofert na realizację zadań publicznych z zakresu asystentury osób starszych, w ramach którego realizowane były zadania polegające na udostępnieniu usług asystenckich tj. wsparcie seniorów w wykonywaniu podstawowych czynności dnia codziennego, niezbędnych do aktywnego funkcjonowania społecznego (np. wsparcie w przemieszczaniu się do lekarza, punktów usługowych i innych miejsc publicznych oraz asysta w tych miejscach, spędzanie czasu wolnego, w tym wsparcie podczas zajęć kulturalnych, sportowych i rekreacyjnych, turystycznych itp.) oraz opieki </w:t>
      </w:r>
      <w:proofErr w:type="spellStart"/>
      <w:r w:rsidRPr="005C6286">
        <w:rPr>
          <w:rFonts w:cs="Times New Roman"/>
          <w:szCs w:val="24"/>
        </w:rPr>
        <w:t>wytchnieniowej</w:t>
      </w:r>
      <w:proofErr w:type="spellEnd"/>
      <w:r w:rsidRPr="005C6286">
        <w:rPr>
          <w:rFonts w:cs="Times New Roman"/>
          <w:szCs w:val="24"/>
        </w:rPr>
        <w:t xml:space="preserve"> tj. czasowa usługa opiekuńcza nad osobą niesamodzielną, dok</w:t>
      </w:r>
      <w:r w:rsidR="00BA4636">
        <w:rPr>
          <w:rFonts w:cs="Times New Roman"/>
          <w:szCs w:val="24"/>
        </w:rPr>
        <w:t>onująca się w </w:t>
      </w:r>
      <w:r w:rsidRPr="005C6286">
        <w:rPr>
          <w:rFonts w:cs="Times New Roman"/>
          <w:szCs w:val="24"/>
        </w:rPr>
        <w:t>zastępstwie za opiekuna faktycznego w związku z zaistniałym zdarzeniem losowym, potrzebą załatwienia spraw dnia codziennego lub odpoczynkiem opiekuna faktycznego.</w:t>
      </w:r>
    </w:p>
    <w:p w14:paraId="2E49B58E" w14:textId="77777777" w:rsidR="00BA4636" w:rsidRPr="005C6286" w:rsidRDefault="00BA4636" w:rsidP="00D96C8C">
      <w:pPr>
        <w:rPr>
          <w:rFonts w:cs="Times New Roman"/>
          <w:szCs w:val="24"/>
        </w:rPr>
      </w:pPr>
    </w:p>
    <w:p w14:paraId="5CC6C55A" w14:textId="77777777" w:rsidR="00D96C8C" w:rsidRPr="005C6286" w:rsidRDefault="00D96C8C" w:rsidP="00D96C8C">
      <w:pPr>
        <w:rPr>
          <w:rFonts w:cs="Times New Roman"/>
          <w:szCs w:val="24"/>
        </w:rPr>
      </w:pPr>
      <w:r w:rsidRPr="005C6286">
        <w:rPr>
          <w:rFonts w:cs="Times New Roman"/>
          <w:szCs w:val="24"/>
        </w:rPr>
        <w:t>Udzielono 11 dotacji w trybie art. 19a (pozakonkursowym), których celem była m.in. integracja i aktywizacja dolnośląskich seniorów w czasie pandemii, wzmacniania ich kompetencji, wsparcie psychologiczne i informatyczne.</w:t>
      </w:r>
    </w:p>
    <w:p w14:paraId="508DF372" w14:textId="77777777" w:rsidR="00BA4636" w:rsidRDefault="00BA4636" w:rsidP="00D96C8C">
      <w:pPr>
        <w:rPr>
          <w:rFonts w:cs="Times New Roman"/>
          <w:szCs w:val="24"/>
        </w:rPr>
      </w:pPr>
    </w:p>
    <w:p w14:paraId="70C14FE0" w14:textId="05CB83FE" w:rsidR="00D96C8C" w:rsidRDefault="00D96C8C" w:rsidP="00D96C8C">
      <w:pPr>
        <w:rPr>
          <w:rFonts w:cs="Times New Roman"/>
          <w:szCs w:val="24"/>
        </w:rPr>
      </w:pPr>
      <w:r w:rsidRPr="005C6286">
        <w:rPr>
          <w:rFonts w:cs="Times New Roman"/>
          <w:szCs w:val="24"/>
        </w:rPr>
        <w:t xml:space="preserve">Pomoc finansowa w formie dotacji celowej Gminie Legnica na wsparcie Legnickiego Uniwersytetu Trzeciego Wieku przy Centrum Kształcenia Zawodowego i Ustawicznego w Legnicy, w tym na przeciwdziałanie skutkom pandemii SARS-CoV-2 </w:t>
      </w:r>
    </w:p>
    <w:p w14:paraId="6B934E9C" w14:textId="77777777" w:rsidR="00867139" w:rsidRPr="005C6286" w:rsidRDefault="00867139" w:rsidP="00D96C8C">
      <w:pPr>
        <w:rPr>
          <w:rFonts w:cs="Times New Roman"/>
          <w:szCs w:val="24"/>
        </w:rPr>
      </w:pPr>
    </w:p>
    <w:p w14:paraId="4322410E" w14:textId="4935A1E9" w:rsidR="00D96C8C" w:rsidRPr="005C6286" w:rsidRDefault="00D96C8C" w:rsidP="00D96C8C">
      <w:pPr>
        <w:rPr>
          <w:rFonts w:cs="Times New Roman"/>
          <w:szCs w:val="24"/>
        </w:rPr>
      </w:pPr>
      <w:r w:rsidRPr="005C6286">
        <w:rPr>
          <w:rFonts w:cs="Times New Roman"/>
          <w:szCs w:val="24"/>
        </w:rPr>
        <w:t>Udzielono 4 dotacji celowych z przeznaczeniem na wsparcie seniorów działających w Uniwersytetach Trzeciego Wieku dolnośląskich publicznych uczelni wyższych.</w:t>
      </w:r>
    </w:p>
    <w:p w14:paraId="64FC42FA" w14:textId="77777777" w:rsidR="00867139" w:rsidRDefault="00867139" w:rsidP="00D96C8C">
      <w:pPr>
        <w:rPr>
          <w:rFonts w:cs="Times New Roman"/>
          <w:szCs w:val="24"/>
        </w:rPr>
      </w:pPr>
    </w:p>
    <w:p w14:paraId="14269985" w14:textId="1B213BB5" w:rsidR="00D96C8C" w:rsidRPr="005C6286" w:rsidRDefault="00D96C8C" w:rsidP="00D96C8C">
      <w:pPr>
        <w:rPr>
          <w:rFonts w:cs="Times New Roman"/>
          <w:szCs w:val="24"/>
        </w:rPr>
      </w:pPr>
      <w:r w:rsidRPr="005C6286">
        <w:rPr>
          <w:rFonts w:cs="Times New Roman"/>
          <w:szCs w:val="24"/>
        </w:rPr>
        <w:t>W Regionalnym Punkcie Doradczym dla organizacji pozarządowych, działającym przy Dziale Współpracy z Organizacjami Pozarządowymi były udzielane bezpłatne doradztwa dla organizacji senioralnych oraz działających na rzecz osób starszych.</w:t>
      </w:r>
    </w:p>
    <w:p w14:paraId="7A2E928C" w14:textId="77777777" w:rsidR="00867139" w:rsidRDefault="00867139" w:rsidP="00D96C8C">
      <w:pPr>
        <w:rPr>
          <w:rFonts w:cs="Times New Roman"/>
          <w:szCs w:val="24"/>
        </w:rPr>
      </w:pPr>
    </w:p>
    <w:p w14:paraId="27DC3838" w14:textId="39BBF18D" w:rsidR="00D96C8C" w:rsidRPr="005C6286" w:rsidRDefault="00D96C8C" w:rsidP="00D96C8C">
      <w:pPr>
        <w:rPr>
          <w:rFonts w:cs="Times New Roman"/>
          <w:szCs w:val="24"/>
        </w:rPr>
      </w:pPr>
      <w:r w:rsidRPr="005C6286">
        <w:rPr>
          <w:rFonts w:cs="Times New Roman"/>
          <w:szCs w:val="24"/>
        </w:rPr>
        <w:t xml:space="preserve">Prelekcja nt. zakładania konta profilu zaufanego na platformie </w:t>
      </w:r>
      <w:proofErr w:type="spellStart"/>
      <w:r w:rsidRPr="005C6286">
        <w:rPr>
          <w:rFonts w:cs="Times New Roman"/>
          <w:szCs w:val="24"/>
        </w:rPr>
        <w:t>ePUAP</w:t>
      </w:r>
      <w:proofErr w:type="spellEnd"/>
      <w:r w:rsidRPr="005C6286">
        <w:rPr>
          <w:rFonts w:cs="Times New Roman"/>
          <w:szCs w:val="24"/>
        </w:rPr>
        <w:t xml:space="preserve"> dla osób starszych w Legnicy. Podczas spotkania omówiona została i przedstawiona instrukcja zakładania konta profilu zaufanego na platformie </w:t>
      </w:r>
      <w:proofErr w:type="spellStart"/>
      <w:r w:rsidRPr="005C6286">
        <w:rPr>
          <w:rFonts w:cs="Times New Roman"/>
          <w:szCs w:val="24"/>
        </w:rPr>
        <w:t>ePUAP</w:t>
      </w:r>
      <w:proofErr w:type="spellEnd"/>
      <w:r w:rsidRPr="005C6286">
        <w:rPr>
          <w:rFonts w:cs="Times New Roman"/>
          <w:szCs w:val="24"/>
        </w:rPr>
        <w:t>. Organizatorami spotkania było Polskie Stowarzyszenie Szczęśliwych Emerytów z Legnicy oraz Dział Współpracy z Organizacjami Pozarządowymi w Wydziale Rozwoju Społeczeństwa Obywatelskiego UMWD. https://szczesliwi-emeryci.org.pl/2020/09/</w:t>
      </w:r>
    </w:p>
    <w:p w14:paraId="711D5DC3" w14:textId="77777777" w:rsidR="00867139" w:rsidRDefault="00867139" w:rsidP="00D96C8C">
      <w:pPr>
        <w:rPr>
          <w:rFonts w:cs="Times New Roman"/>
          <w:szCs w:val="24"/>
        </w:rPr>
      </w:pPr>
    </w:p>
    <w:p w14:paraId="466578F6" w14:textId="35D6162C" w:rsidR="00D96C8C" w:rsidRPr="005C6286" w:rsidRDefault="00D96C8C" w:rsidP="00D96C8C">
      <w:pPr>
        <w:rPr>
          <w:rFonts w:cs="Times New Roman"/>
          <w:szCs w:val="24"/>
        </w:rPr>
      </w:pPr>
      <w:r w:rsidRPr="005C6286">
        <w:rPr>
          <w:rFonts w:cs="Times New Roman"/>
          <w:szCs w:val="24"/>
        </w:rPr>
        <w:t>Spotkanie z organizacjami senioralnymi oraz działającymi na rzecz osób starszych w Lądku Zdroju podczas którego omówiono źródła pozyskiwania funduszy na działalność organizacji.</w:t>
      </w:r>
    </w:p>
    <w:p w14:paraId="7847590A" w14:textId="77777777" w:rsidR="00867139" w:rsidRDefault="00867139" w:rsidP="00D96C8C">
      <w:pPr>
        <w:rPr>
          <w:rFonts w:cs="Times New Roman"/>
          <w:szCs w:val="24"/>
        </w:rPr>
      </w:pPr>
    </w:p>
    <w:p w14:paraId="3DDE4D2F" w14:textId="074835DF" w:rsidR="00D96C8C" w:rsidRPr="005C6286" w:rsidRDefault="00D96C8C" w:rsidP="00D96C8C">
      <w:pPr>
        <w:rPr>
          <w:rFonts w:cs="Times New Roman"/>
          <w:szCs w:val="24"/>
        </w:rPr>
      </w:pPr>
      <w:r w:rsidRPr="005C6286">
        <w:rPr>
          <w:rFonts w:cs="Times New Roman"/>
          <w:szCs w:val="24"/>
        </w:rPr>
        <w:t xml:space="preserve">Zaangażowanie we współpracę z organizacjami pozarządowymi Teatru im. Heleny Modrzejewskiej w Legnicy, m.in. przy promocji w </w:t>
      </w:r>
      <w:proofErr w:type="spellStart"/>
      <w:r w:rsidRPr="005C6286">
        <w:rPr>
          <w:rFonts w:cs="Times New Roman"/>
          <w:szCs w:val="24"/>
        </w:rPr>
        <w:t>internecie</w:t>
      </w:r>
      <w:proofErr w:type="spellEnd"/>
      <w:r w:rsidRPr="005C6286">
        <w:rPr>
          <w:rFonts w:cs="Times New Roman"/>
          <w:szCs w:val="24"/>
        </w:rPr>
        <w:t xml:space="preserve"> spektakli teatralnych i projektów realizowanych przez teatr, prowadzeniu zajęć z edukacji teatralnej dla seniorów, spektakli i happeningów (podczas lock downów – online).</w:t>
      </w:r>
    </w:p>
    <w:p w14:paraId="56D185DB" w14:textId="5EF4A018" w:rsidR="00867139" w:rsidRDefault="00867139" w:rsidP="00D96C8C">
      <w:pPr>
        <w:rPr>
          <w:rFonts w:cs="Times New Roman"/>
          <w:szCs w:val="24"/>
        </w:rPr>
      </w:pPr>
    </w:p>
    <w:p w14:paraId="69AE951A" w14:textId="77777777" w:rsidR="00641C42" w:rsidRPr="005C6286" w:rsidRDefault="00641C42" w:rsidP="00D96C8C">
      <w:pPr>
        <w:rPr>
          <w:rFonts w:cs="Times New Roman"/>
          <w:szCs w:val="24"/>
        </w:rPr>
      </w:pPr>
    </w:p>
    <w:p w14:paraId="09F8B371" w14:textId="60E0BCF1" w:rsidR="00D96C8C" w:rsidRPr="005C6286" w:rsidRDefault="00D96C8C" w:rsidP="00D96C8C">
      <w:pPr>
        <w:rPr>
          <w:rFonts w:cs="Times New Roman"/>
          <w:szCs w:val="24"/>
        </w:rPr>
      </w:pPr>
      <w:r w:rsidRPr="005C6286">
        <w:rPr>
          <w:rFonts w:cs="Times New Roman"/>
          <w:szCs w:val="24"/>
        </w:rPr>
        <w:lastRenderedPageBreak/>
        <w:t xml:space="preserve">Realizacja Wojewódzkiego Programu „NESTOR”: </w:t>
      </w:r>
    </w:p>
    <w:p w14:paraId="1D8724C0" w14:textId="77777777" w:rsidR="00867139" w:rsidRDefault="00D96C8C" w:rsidP="00FE70E3">
      <w:pPr>
        <w:pStyle w:val="Akapitzlist"/>
        <w:numPr>
          <w:ilvl w:val="0"/>
          <w:numId w:val="114"/>
        </w:numPr>
        <w:rPr>
          <w:rFonts w:cs="Times New Roman"/>
          <w:szCs w:val="24"/>
        </w:rPr>
      </w:pPr>
      <w:r w:rsidRPr="00867139">
        <w:rPr>
          <w:rFonts w:cs="Times New Roman"/>
          <w:szCs w:val="24"/>
        </w:rPr>
        <w:t>nagranie i wytłoczenie płyty zawierającej 37 piosenek z przygotowanego w 2019 r. „Śpiewnika dla seniora”, jako narzędzia pomocniczego w procesie oddziaływań muzykoterapeutycznych, których celem jest wspieranie funkcji poznawczych u osób starszych. Nakład płyty: 4.000 egzemplarzy;</w:t>
      </w:r>
    </w:p>
    <w:p w14:paraId="1DD6E9A1" w14:textId="77777777" w:rsidR="00867139" w:rsidRDefault="00D96C8C" w:rsidP="00FE70E3">
      <w:pPr>
        <w:pStyle w:val="Akapitzlist"/>
        <w:numPr>
          <w:ilvl w:val="0"/>
          <w:numId w:val="114"/>
        </w:numPr>
        <w:rPr>
          <w:rFonts w:cs="Times New Roman"/>
          <w:szCs w:val="24"/>
        </w:rPr>
      </w:pPr>
      <w:r w:rsidRPr="00867139">
        <w:rPr>
          <w:rFonts w:cs="Times New Roman"/>
          <w:szCs w:val="24"/>
        </w:rPr>
        <w:t xml:space="preserve">przygotowanie poradnika poświęconego problematyce </w:t>
      </w:r>
      <w:proofErr w:type="spellStart"/>
      <w:r w:rsidRPr="00867139">
        <w:rPr>
          <w:rFonts w:cs="Times New Roman"/>
          <w:szCs w:val="24"/>
        </w:rPr>
        <w:t>polipragmazji</w:t>
      </w:r>
      <w:proofErr w:type="spellEnd"/>
      <w:r w:rsidRPr="00867139">
        <w:rPr>
          <w:rFonts w:cs="Times New Roman"/>
          <w:szCs w:val="24"/>
        </w:rPr>
        <w:t xml:space="preserve"> (wielolekowości) w wieku senioralnym, mającego na celu przedstawienie istotnych kwestii, zasad, zagrożeń i porad związanych z farmakoterapią w wieku senioralnym.</w:t>
      </w:r>
      <w:r w:rsidR="00867139">
        <w:rPr>
          <w:rFonts w:cs="Times New Roman"/>
          <w:szCs w:val="24"/>
        </w:rPr>
        <w:t xml:space="preserve"> </w:t>
      </w:r>
      <w:r w:rsidRPr="00867139">
        <w:rPr>
          <w:rFonts w:cs="Times New Roman"/>
          <w:szCs w:val="24"/>
        </w:rPr>
        <w:t>Publikacja stanowić będzie XII tom cyklu „BIBLIOTEKA NESTORA” – serii poradników popularyzujących kwestie i problemy łączące się z procesem starzenia się organizmu;</w:t>
      </w:r>
    </w:p>
    <w:p w14:paraId="3E3C9040" w14:textId="3AC46D09" w:rsidR="00D96C8C" w:rsidRDefault="00D96C8C" w:rsidP="00FE70E3">
      <w:pPr>
        <w:pStyle w:val="Akapitzlist"/>
        <w:numPr>
          <w:ilvl w:val="0"/>
          <w:numId w:val="114"/>
        </w:numPr>
        <w:rPr>
          <w:rFonts w:cs="Times New Roman"/>
          <w:szCs w:val="24"/>
        </w:rPr>
      </w:pPr>
      <w:r w:rsidRPr="00867139">
        <w:rPr>
          <w:rFonts w:cs="Times New Roman"/>
          <w:szCs w:val="24"/>
        </w:rPr>
        <w:t>przygotowanie i przeprowadzenie szkolenia „Jak opiekować się osobą starszą w domu? – aspekt praktyczny” skierowanego do osób, które sprawują opiekę nad niesamodzielną osobą starszą, wymagającą stałego wsparcia w codziennym funkcjonowaniu.</w:t>
      </w:r>
      <w:r w:rsidR="00867139" w:rsidRPr="00867139">
        <w:rPr>
          <w:rFonts w:cs="Times New Roman"/>
          <w:szCs w:val="24"/>
        </w:rPr>
        <w:t xml:space="preserve"> W 2020 r. zaplanowano realizację 20 edycji jednodniowego szkolenia we współpracy z ośrodkami pomocy społecznej z terenu województwa dolnośląskiego. Ze względu na pandemię COVID-19 i wynikające z niej ograniczenia, udało się przeprowadzić 10 szkoleń, w których uczestniczyło 182 opiekunów nieformalnych</w:t>
      </w:r>
      <w:r w:rsidR="00867139">
        <w:rPr>
          <w:rFonts w:cs="Times New Roman"/>
          <w:szCs w:val="24"/>
        </w:rPr>
        <w:t>.</w:t>
      </w:r>
    </w:p>
    <w:p w14:paraId="1C97B3AF" w14:textId="290D0110" w:rsidR="00867139" w:rsidRDefault="00867139" w:rsidP="00867139">
      <w:pPr>
        <w:rPr>
          <w:rFonts w:cs="Times New Roman"/>
          <w:szCs w:val="24"/>
        </w:rPr>
      </w:pPr>
    </w:p>
    <w:p w14:paraId="72EE892B" w14:textId="69FC3279" w:rsidR="00867139" w:rsidRPr="00867139" w:rsidRDefault="00867139" w:rsidP="00867139">
      <w:pPr>
        <w:rPr>
          <w:rFonts w:cs="Times New Roman"/>
          <w:szCs w:val="24"/>
        </w:rPr>
      </w:pPr>
      <w:r w:rsidRPr="005C6286">
        <w:rPr>
          <w:rFonts w:cs="Times New Roman"/>
          <w:szCs w:val="24"/>
        </w:rPr>
        <w:t>Prowadzenie na stronie internetowej DOPS bazy podmiotów i organizacji działających na rzecz seniorów w obszarach form wsparcia opiekuńczego, zdrowotnego, rehabilitacyjnego, prawnego, psychologicznego, rekreacyjnego i kulturalnego wg układu powiatowego i gminnego</w:t>
      </w:r>
      <w:r>
        <w:rPr>
          <w:rFonts w:cs="Times New Roman"/>
          <w:szCs w:val="24"/>
        </w:rPr>
        <w:t>.</w:t>
      </w:r>
    </w:p>
    <w:p w14:paraId="459AD85C" w14:textId="77777777" w:rsidR="00867139" w:rsidRDefault="00D96C8C" w:rsidP="00D96C8C">
      <w:pPr>
        <w:rPr>
          <w:rFonts w:cs="Times New Roman"/>
          <w:szCs w:val="24"/>
        </w:rPr>
      </w:pPr>
      <w:r w:rsidRPr="005C6286">
        <w:rPr>
          <w:rFonts w:cs="Times New Roman"/>
          <w:szCs w:val="24"/>
        </w:rPr>
        <w:tab/>
      </w:r>
    </w:p>
    <w:p w14:paraId="51732FD9" w14:textId="6AFB27F4" w:rsidR="00867139" w:rsidRDefault="0022740B" w:rsidP="00D96C8C">
      <w:pPr>
        <w:rPr>
          <w:rFonts w:cs="Times New Roman"/>
          <w:b/>
          <w:bCs/>
          <w:szCs w:val="24"/>
        </w:rPr>
      </w:pPr>
      <w:r w:rsidRPr="0022740B">
        <w:rPr>
          <w:rFonts w:cs="Times New Roman"/>
          <w:b/>
          <w:bCs/>
          <w:szCs w:val="24"/>
        </w:rPr>
        <w:t>Przykłady dobrych praktyk na poziomie powiatu, gminy.</w:t>
      </w:r>
    </w:p>
    <w:p w14:paraId="40389E3F" w14:textId="77777777" w:rsidR="0022740B" w:rsidRPr="005C6286" w:rsidRDefault="0022740B" w:rsidP="00D96C8C">
      <w:pPr>
        <w:rPr>
          <w:rFonts w:cs="Times New Roman"/>
          <w:szCs w:val="24"/>
        </w:rPr>
      </w:pPr>
    </w:p>
    <w:p w14:paraId="6DCB2792" w14:textId="77777777" w:rsidR="00D96C8C" w:rsidRPr="005C6286" w:rsidRDefault="00D96C8C" w:rsidP="00D96C8C">
      <w:pPr>
        <w:rPr>
          <w:rFonts w:cs="Times New Roman"/>
          <w:szCs w:val="24"/>
        </w:rPr>
      </w:pPr>
      <w:r w:rsidRPr="005C6286">
        <w:rPr>
          <w:rFonts w:cs="Times New Roman"/>
          <w:szCs w:val="24"/>
        </w:rPr>
        <w:t xml:space="preserve">Powiat Bolesławiecki </w:t>
      </w:r>
    </w:p>
    <w:p w14:paraId="68D42D8D" w14:textId="714B523E" w:rsidR="00D96C8C" w:rsidRPr="0022740B" w:rsidRDefault="00D96C8C" w:rsidP="0022740B">
      <w:pPr>
        <w:rPr>
          <w:rFonts w:cs="Times New Roman"/>
          <w:szCs w:val="24"/>
        </w:rPr>
      </w:pPr>
      <w:r w:rsidRPr="0022740B">
        <w:rPr>
          <w:rFonts w:cs="Times New Roman"/>
          <w:szCs w:val="24"/>
        </w:rPr>
        <w:t>Przeprowadzono Powiatowy Konkurs Literacki „Zatrzymać w czasie”, którego współorganizatorem była Bolesławiecka Rada Seniorów. Konkurs miał na celu rozwijanie zainteresowań historią własnej rodziny, miasta i regionu, a przede wszystkim wzmacnianie więzi międzypokoleniowych</w:t>
      </w:r>
      <w:r w:rsidR="00AB6D81" w:rsidRPr="0022740B">
        <w:rPr>
          <w:rFonts w:cs="Times New Roman"/>
          <w:szCs w:val="24"/>
        </w:rPr>
        <w:t xml:space="preserve">. </w:t>
      </w:r>
      <w:r w:rsidRPr="0022740B">
        <w:rPr>
          <w:rFonts w:cs="Times New Roman"/>
          <w:szCs w:val="24"/>
        </w:rPr>
        <w:t>Sytuacja zdalnego nauczania uniemożliwiająca między innymi bezpośredni kontakt nauczyciela z uczniem utrudniała pracę wszystkim zainteresowanym jego przebiegiem stronom, zarówno uczestnikom, jak i organizatorom. Uczestnicy konkursu opowiadali historie swoich rodzin, przywoływali wspomnienia związane z różnymi wydarzeniami  utrwalonymi na fotografiach z rodzinnego albumu. Ideą konkursu było nie tylko zapisywanie historii dawno minionej, a więc przejmującej opowieści o pradziadkach, którzy w czasie II wojny światowej ratowali życie innym, ale także o współczesnych babciach i dziadkach.</w:t>
      </w:r>
    </w:p>
    <w:p w14:paraId="2EE46479" w14:textId="77777777" w:rsidR="00D96C8C" w:rsidRPr="005C6286" w:rsidRDefault="00D96C8C" w:rsidP="00D96C8C">
      <w:pPr>
        <w:rPr>
          <w:rFonts w:cs="Times New Roman"/>
          <w:szCs w:val="24"/>
        </w:rPr>
      </w:pPr>
    </w:p>
    <w:p w14:paraId="0AEF3F2A" w14:textId="77777777" w:rsidR="00D96C8C" w:rsidRPr="005C6286" w:rsidRDefault="00D96C8C" w:rsidP="00D96C8C">
      <w:pPr>
        <w:rPr>
          <w:rFonts w:cs="Times New Roman"/>
          <w:szCs w:val="24"/>
        </w:rPr>
      </w:pPr>
      <w:r w:rsidRPr="005C6286">
        <w:rPr>
          <w:rFonts w:cs="Times New Roman"/>
          <w:szCs w:val="24"/>
        </w:rPr>
        <w:t xml:space="preserve">Powiat Wrocławski </w:t>
      </w:r>
    </w:p>
    <w:p w14:paraId="4581E947" w14:textId="77777777" w:rsidR="00AB6D81" w:rsidRPr="0022740B" w:rsidRDefault="00D96C8C" w:rsidP="00FE70E3">
      <w:pPr>
        <w:pStyle w:val="Akapitzlist"/>
        <w:numPr>
          <w:ilvl w:val="0"/>
          <w:numId w:val="123"/>
        </w:numPr>
        <w:rPr>
          <w:rFonts w:cs="Times New Roman"/>
          <w:szCs w:val="24"/>
        </w:rPr>
      </w:pPr>
      <w:r w:rsidRPr="0022740B">
        <w:rPr>
          <w:rFonts w:cs="Times New Roman"/>
          <w:szCs w:val="24"/>
        </w:rPr>
        <w:t xml:space="preserve">Powiatowy Klub Seniora w Kątach Wrocławskich w 2020 r., aby zminimalizować ryzyko pojawienia się negatywnych skutków izolacji, bierności i samotności wdrożył alternatywną formę realizacji zajęć „Twórczy Pakiet dla Seniora”, który stał się szansą na podtrzymywanie relacji i kontaktów z Klubowiczami oraz umożliwił częściowe zaspokojenie potrzeb psychospołecznych seniorów. Pakiety te były zestawami ćwiczeń i zadań wymagającymi kreatywności, uruchomienia wyobraźni i logicznego myślenia. „Twórczy Pakiet dla Seniora” jako jedna z form wspierających, miała zachęcać uczestników </w:t>
      </w:r>
      <w:r w:rsidRPr="0022740B">
        <w:rPr>
          <w:rFonts w:cs="Times New Roman"/>
          <w:szCs w:val="24"/>
        </w:rPr>
        <w:lastRenderedPageBreak/>
        <w:t>pozostających w domach do zwiększonych interakcji i pogłębiania relacji międzypokoleniowych w rodzinie m.in. poprzez wspólne rozwiązywanie zadań i wykonywanie prac plastycznych, aktywizowanie do podejmowania nowych wyzwań i czynności manualnych, przeciwdziałanie rutynie i zobojętnieniu.</w:t>
      </w:r>
    </w:p>
    <w:p w14:paraId="7DC7FC51" w14:textId="474F3A71" w:rsidR="00D96C8C" w:rsidRPr="00AB6D81" w:rsidRDefault="00D96C8C" w:rsidP="00FE70E3">
      <w:pPr>
        <w:pStyle w:val="Akapitzlist"/>
        <w:numPr>
          <w:ilvl w:val="0"/>
          <w:numId w:val="115"/>
        </w:numPr>
        <w:rPr>
          <w:rFonts w:cs="Times New Roman"/>
          <w:szCs w:val="24"/>
        </w:rPr>
      </w:pPr>
      <w:r w:rsidRPr="00AB6D81">
        <w:rPr>
          <w:rFonts w:cs="Times New Roman"/>
          <w:szCs w:val="24"/>
        </w:rPr>
        <w:t>Klubowicze Powiatowego Klubu Seniora w Kątach Wrocławskich uczestniczyli w Powiatowym Integracyjnym Przeglądzie Piosenki „Żeby Szczęśliwym Być”, który odbył się  11 września 2020 r. w Małkowicach. Plenerowe spotkanie integracyjne było okazją do odświeżenia istniejących i budowania nowych relacji ze środowiskiem lokalnym.</w:t>
      </w:r>
    </w:p>
    <w:p w14:paraId="5394A487" w14:textId="77777777" w:rsidR="00D96C8C" w:rsidRPr="005C6286" w:rsidRDefault="00D96C8C" w:rsidP="00D96C8C">
      <w:pPr>
        <w:rPr>
          <w:rFonts w:cs="Times New Roman"/>
          <w:szCs w:val="24"/>
        </w:rPr>
      </w:pPr>
      <w:r w:rsidRPr="005C6286">
        <w:rPr>
          <w:rFonts w:cs="Times New Roman"/>
          <w:szCs w:val="24"/>
        </w:rPr>
        <w:tab/>
      </w:r>
    </w:p>
    <w:p w14:paraId="0878C2A9" w14:textId="77777777" w:rsidR="00D96C8C" w:rsidRPr="005C6286" w:rsidRDefault="00D96C8C" w:rsidP="00D96C8C">
      <w:pPr>
        <w:rPr>
          <w:rFonts w:cs="Times New Roman"/>
          <w:szCs w:val="24"/>
        </w:rPr>
      </w:pPr>
      <w:r w:rsidRPr="005C6286">
        <w:rPr>
          <w:rFonts w:cs="Times New Roman"/>
          <w:szCs w:val="24"/>
        </w:rPr>
        <w:t xml:space="preserve">Gmina Wrocław </w:t>
      </w:r>
    </w:p>
    <w:p w14:paraId="736E6329" w14:textId="77777777" w:rsidR="00AB6D81" w:rsidRDefault="00D96C8C" w:rsidP="00FE70E3">
      <w:pPr>
        <w:pStyle w:val="Akapitzlist"/>
        <w:numPr>
          <w:ilvl w:val="0"/>
          <w:numId w:val="116"/>
        </w:numPr>
        <w:rPr>
          <w:rFonts w:cs="Times New Roman"/>
          <w:szCs w:val="24"/>
        </w:rPr>
      </w:pPr>
      <w:r w:rsidRPr="00AB6D81">
        <w:rPr>
          <w:rFonts w:cs="Times New Roman"/>
          <w:szCs w:val="24"/>
        </w:rPr>
        <w:t>Seniorzy mogli korzystać z 81 dyżurów informacyjnych prowadzonych przez pracowników socjalnych, najczęściej w siedzibie Rad Osiedli, organizacjach pozarządowych, Centrum Aktywności Lokalnej oraz w ramach Punktów Wydawania Żywności. Przeprowadzono 19 inicjatyw społecznych, głównie skierowanych do seniorów tj. „Czytanie bajek i zabawy z seniorami”, „</w:t>
      </w:r>
      <w:proofErr w:type="spellStart"/>
      <w:r w:rsidRPr="00AB6D81">
        <w:rPr>
          <w:rFonts w:cs="Times New Roman"/>
          <w:szCs w:val="24"/>
        </w:rPr>
        <w:t>Senioriada</w:t>
      </w:r>
      <w:proofErr w:type="spellEnd"/>
      <w:r w:rsidRPr="00AB6D81">
        <w:rPr>
          <w:rFonts w:cs="Times New Roman"/>
          <w:szCs w:val="24"/>
        </w:rPr>
        <w:t>”, „Kartka dla seniora”. Mając na uwadze potrzeby i problemy osób starszych, szczególnie dotkniętych izolacją spowodowaną sytuacją pandemiczną w kraju, seniorzy byli odbiorcami 12 akcji socjalnych na rzecz osób w trudnej sytuacji życiowej m.in.: „Paczka dla seniora”, „Paczka Mikołajkowa dla seniora”, „Paczka świąteczna dla seniora”, „Pogotowie kulinarne”, w ramach którego zajmowano się gotowaniem i dostarczaniem posiłków dla seniorów. Organizowano paczki okolicznościowe, żywnościowe i higieniczne oraz przeprowadzono 7 zbiórek odzieży. Od stycznia do października realizowany był przez pracowników MOPS Wrocław projekt socjalny przyczyniający się do poprawy sytuacji życiowej „Od seniora do aktora”, odbyły się warsztaty „Życzliwy senior” oraz „Bezpieczny senior”. Zorganizowano spotkanie edukacyjne na temat rent i ubezpieczeń oraz „Gimnastykę dla seniora”. Wraz z Komisariatem Policji przeprowadzono debatę społeczną skierowaną także do seniorów pod hasłem „Porozmawiajmy o bezpieczeństwie, możesz mieć na nie wpływ”.</w:t>
      </w:r>
    </w:p>
    <w:p w14:paraId="7126F8F4" w14:textId="785124D2" w:rsidR="00AB6D81" w:rsidRDefault="00D96C8C" w:rsidP="00FE70E3">
      <w:pPr>
        <w:pStyle w:val="Akapitzlist"/>
        <w:numPr>
          <w:ilvl w:val="0"/>
          <w:numId w:val="116"/>
        </w:numPr>
        <w:rPr>
          <w:rFonts w:cs="Times New Roman"/>
          <w:szCs w:val="24"/>
        </w:rPr>
      </w:pPr>
      <w:r w:rsidRPr="00AB6D81">
        <w:rPr>
          <w:rFonts w:cs="Times New Roman"/>
          <w:szCs w:val="24"/>
        </w:rPr>
        <w:t>„Danie dla Seniora” to wspólna inicjatywa Wrocławskiego Centrum Rozwoju Społecznego oraz wrocławskich restauracji, łącząca w sobie ideę pomocy najstarszym, samotnym i ubogim seniorom. „Danie dla Seniora” to pełnowartościowy dwudaniowy, ciepły obiad przygotowany specjalnie z myślą osobach starszych, dostosowany do ich potrzeb i oczekiwań. W okresie od 1</w:t>
      </w:r>
      <w:r w:rsidR="008E1432">
        <w:rPr>
          <w:rFonts w:cs="Times New Roman"/>
          <w:szCs w:val="24"/>
        </w:rPr>
        <w:t xml:space="preserve"> maja </w:t>
      </w:r>
      <w:r w:rsidRPr="00AB6D81">
        <w:rPr>
          <w:rFonts w:cs="Times New Roman"/>
          <w:szCs w:val="24"/>
        </w:rPr>
        <w:t>2020 r. do 31</w:t>
      </w:r>
      <w:r w:rsidR="008E1432">
        <w:rPr>
          <w:rFonts w:cs="Times New Roman"/>
          <w:szCs w:val="24"/>
        </w:rPr>
        <w:t xml:space="preserve"> grudnia </w:t>
      </w:r>
      <w:r w:rsidRPr="00AB6D81">
        <w:rPr>
          <w:rFonts w:cs="Times New Roman"/>
          <w:szCs w:val="24"/>
        </w:rPr>
        <w:t>2020 r. pięć restauracji/punktów gastronomicznych wydało wspólnie blisko 1 400 ciepłych posiłków, które trafiły do 30 seniorów, regularnie 2 razy w tygodniu.</w:t>
      </w:r>
      <w:r w:rsidR="00AB6D81">
        <w:rPr>
          <w:rFonts w:cs="Times New Roman"/>
          <w:szCs w:val="24"/>
        </w:rPr>
        <w:t xml:space="preserve"> </w:t>
      </w:r>
    </w:p>
    <w:p w14:paraId="3C2A8424" w14:textId="77777777" w:rsidR="00D96C8C" w:rsidRPr="005C6286" w:rsidRDefault="00D96C8C" w:rsidP="00D96C8C">
      <w:pPr>
        <w:rPr>
          <w:rFonts w:cs="Times New Roman"/>
          <w:szCs w:val="24"/>
        </w:rPr>
      </w:pPr>
    </w:p>
    <w:p w14:paraId="0AACA6B2" w14:textId="77777777" w:rsidR="00AB6D81" w:rsidRDefault="00D96C8C" w:rsidP="00D96C8C">
      <w:pPr>
        <w:rPr>
          <w:rFonts w:cs="Times New Roman"/>
          <w:szCs w:val="24"/>
        </w:rPr>
      </w:pPr>
      <w:r w:rsidRPr="005C6286">
        <w:rPr>
          <w:rFonts w:cs="Times New Roman"/>
          <w:szCs w:val="24"/>
        </w:rPr>
        <w:t xml:space="preserve">Gmina Jelenia Góra </w:t>
      </w:r>
    </w:p>
    <w:p w14:paraId="7B43CB07" w14:textId="77777777" w:rsidR="00AB6D81" w:rsidRPr="0022740B" w:rsidRDefault="00D96C8C" w:rsidP="0022740B">
      <w:pPr>
        <w:rPr>
          <w:rFonts w:cs="Times New Roman"/>
          <w:szCs w:val="24"/>
        </w:rPr>
      </w:pPr>
      <w:r w:rsidRPr="0022740B">
        <w:rPr>
          <w:rFonts w:cs="Times New Roman"/>
          <w:szCs w:val="24"/>
        </w:rPr>
        <w:t xml:space="preserve">W ramach ogłaszanego corocznie przez Prezydenta Miasta Jeleniej Góry konkursu „Wolontariusz Roku”, w 2020 r. wprowadzono cztery nowe kategorie konkursowe, w tym kategorię „wolontariat senioralny” (realizowany przez osoby w wieku 60+). </w:t>
      </w:r>
    </w:p>
    <w:p w14:paraId="6A1B048E" w14:textId="77777777" w:rsidR="008E7452" w:rsidRDefault="008E7452" w:rsidP="00AB6D81">
      <w:pPr>
        <w:rPr>
          <w:rFonts w:cs="Times New Roman"/>
          <w:szCs w:val="24"/>
        </w:rPr>
      </w:pPr>
    </w:p>
    <w:p w14:paraId="317E4725" w14:textId="79987DB2" w:rsidR="00AB6D81" w:rsidRPr="00AB6D81" w:rsidRDefault="00D96C8C" w:rsidP="00AB6D81">
      <w:pPr>
        <w:rPr>
          <w:rFonts w:cs="Times New Roman"/>
          <w:szCs w:val="24"/>
        </w:rPr>
      </w:pPr>
      <w:r w:rsidRPr="00AB6D81">
        <w:rPr>
          <w:rFonts w:cs="Times New Roman"/>
          <w:szCs w:val="24"/>
        </w:rPr>
        <w:t xml:space="preserve">Gmina Polkowice </w:t>
      </w:r>
    </w:p>
    <w:p w14:paraId="2804F28E" w14:textId="718FB777" w:rsidR="00D96C8C" w:rsidRPr="0022740B" w:rsidRDefault="00D96C8C" w:rsidP="0022740B">
      <w:pPr>
        <w:rPr>
          <w:rFonts w:cs="Times New Roman"/>
          <w:szCs w:val="24"/>
        </w:rPr>
      </w:pPr>
      <w:r w:rsidRPr="0022740B">
        <w:rPr>
          <w:rFonts w:cs="Times New Roman"/>
          <w:szCs w:val="24"/>
        </w:rPr>
        <w:t xml:space="preserve">Prowadzenie mieszkań chronionych przyznawanych osobom, które ze względu na trudną sytuacją życiową, wiek, niepełnosprawność lub chorobę potrzebują wsparcia w funkcjonowaniu  w codziennym życiu, ale nie wymagają usług w zakresie świadczonym przez jednostkę całodobowej opieki. Mieszkańcy mają okazję współpracować z asystentem osoby </w:t>
      </w:r>
      <w:r w:rsidRPr="0022740B">
        <w:rPr>
          <w:rFonts w:cs="Times New Roman"/>
          <w:szCs w:val="24"/>
        </w:rPr>
        <w:lastRenderedPageBreak/>
        <w:t>niepełnosprawnej, opiekunką oraz pielęgniarką środowiskową w celu utrzymania jak najdłużej sprawności i aktywności życiowej. W 2020 r. w czterech mieszkaniach, dostosowanych do osób starszych, przebywało 14 osób.</w:t>
      </w:r>
    </w:p>
    <w:p w14:paraId="228BA49B" w14:textId="77777777" w:rsidR="00D96C8C" w:rsidRPr="005C6286" w:rsidRDefault="00D96C8C" w:rsidP="00D96C8C">
      <w:pPr>
        <w:rPr>
          <w:rFonts w:cs="Times New Roman"/>
          <w:szCs w:val="24"/>
        </w:rPr>
      </w:pPr>
    </w:p>
    <w:p w14:paraId="62369F28" w14:textId="3F234152" w:rsidR="00D96C8C" w:rsidRPr="00AB6D81" w:rsidRDefault="00D96C8C" w:rsidP="00D96C8C">
      <w:pPr>
        <w:rPr>
          <w:rFonts w:cs="Times New Roman"/>
          <w:b/>
          <w:bCs/>
          <w:szCs w:val="24"/>
        </w:rPr>
      </w:pPr>
      <w:r w:rsidRPr="00AB6D81">
        <w:rPr>
          <w:rFonts w:cs="Times New Roman"/>
          <w:b/>
          <w:bCs/>
          <w:szCs w:val="24"/>
        </w:rPr>
        <w:t>Przykłady innowacyjnych rozwiązań.</w:t>
      </w:r>
    </w:p>
    <w:p w14:paraId="64849AFE" w14:textId="77777777" w:rsidR="00D96C8C" w:rsidRPr="005C6286" w:rsidRDefault="00D96C8C" w:rsidP="00D96C8C">
      <w:pPr>
        <w:rPr>
          <w:rFonts w:cs="Times New Roman"/>
          <w:szCs w:val="24"/>
        </w:rPr>
      </w:pPr>
      <w:r w:rsidRPr="005C6286">
        <w:rPr>
          <w:rFonts w:cs="Times New Roman"/>
          <w:szCs w:val="24"/>
        </w:rPr>
        <w:t>W 2020 r. Miejski Ośrodek Pomocy Społecznej we Wrocławiu realizował 2 projekty współfinansowane ze środków Europejskiego Funduszu Społecznego w ramach Regionalnego Programu Operacyjnego Województwa Dolnośląskiego 2014-2020. Wśród uczestników były osoby powyżej 60 roku życia.</w:t>
      </w:r>
    </w:p>
    <w:p w14:paraId="6E5644FF" w14:textId="4DD3E15E" w:rsidR="00AB6D81" w:rsidRDefault="00D96C8C" w:rsidP="00FE70E3">
      <w:pPr>
        <w:pStyle w:val="Akapitzlist"/>
        <w:numPr>
          <w:ilvl w:val="0"/>
          <w:numId w:val="117"/>
        </w:numPr>
        <w:rPr>
          <w:rFonts w:cs="Times New Roman"/>
          <w:szCs w:val="24"/>
        </w:rPr>
      </w:pPr>
      <w:r w:rsidRPr="00AB6D81">
        <w:rPr>
          <w:rFonts w:cs="Times New Roman"/>
          <w:b/>
          <w:bCs/>
          <w:szCs w:val="24"/>
        </w:rPr>
        <w:t>Wsparcie seniorów w projekcie „PAS-ja”</w:t>
      </w:r>
      <w:r w:rsidRPr="00AB6D81">
        <w:rPr>
          <w:rFonts w:cs="Times New Roman"/>
          <w:szCs w:val="24"/>
        </w:rPr>
        <w:t>.</w:t>
      </w:r>
      <w:r w:rsidR="00AB6D81">
        <w:rPr>
          <w:rFonts w:cs="Times New Roman"/>
          <w:szCs w:val="24"/>
        </w:rPr>
        <w:t xml:space="preserve"> </w:t>
      </w:r>
      <w:r w:rsidRPr="00AB6D81">
        <w:rPr>
          <w:rFonts w:cs="Times New Roman"/>
          <w:szCs w:val="24"/>
        </w:rPr>
        <w:t>Projekt „PAS-ja” skierowany był do 180 mieszkańców Wrocławia korzystających ze wsparcia MOPS, zagrożonych wykluczeniem społecznym lub ubóstwem. Projekt realizowany był w okresie 25</w:t>
      </w:r>
      <w:r w:rsidR="008E1432">
        <w:rPr>
          <w:rFonts w:cs="Times New Roman"/>
          <w:szCs w:val="24"/>
        </w:rPr>
        <w:t xml:space="preserve"> września </w:t>
      </w:r>
      <w:r w:rsidRPr="00AB6D81">
        <w:rPr>
          <w:rFonts w:cs="Times New Roman"/>
          <w:szCs w:val="24"/>
        </w:rPr>
        <w:t>2018 – 31</w:t>
      </w:r>
      <w:r w:rsidR="00780362">
        <w:rPr>
          <w:rFonts w:cs="Times New Roman"/>
          <w:szCs w:val="24"/>
        </w:rPr>
        <w:t xml:space="preserve"> grudnia </w:t>
      </w:r>
      <w:r w:rsidRPr="00AB6D81">
        <w:rPr>
          <w:rFonts w:cs="Times New Roman"/>
          <w:szCs w:val="24"/>
        </w:rPr>
        <w:t>2020. Jego celem było zwiększenie szans na integrację społeczną, w tym podniesienie zdolności do zatrudnienia tych osób. W ramach całego projektu wsparciem objęto 106 osób (na 214 wszystkich uczestników), które w momencie przystąpienia do projektu  miały ukończony 60 rok życia.</w:t>
      </w:r>
      <w:r w:rsidR="00AB6D81" w:rsidRPr="00AB6D81">
        <w:rPr>
          <w:rFonts w:cs="Times New Roman"/>
          <w:szCs w:val="24"/>
        </w:rPr>
        <w:t xml:space="preserve"> </w:t>
      </w:r>
      <w:r w:rsidRPr="00AB6D81">
        <w:rPr>
          <w:rFonts w:cs="Times New Roman"/>
          <w:szCs w:val="24"/>
        </w:rPr>
        <w:t xml:space="preserve">Wsparcie projektowe świadczono w ramach Programów Aktywności Lokalnej (PAL). W skali całego projektu zorganizowanych zostało 16 takich programów, a wśród nich jeden skierowany specjalnie do seniorów. Program Aktywności Lokalnej „PAS-ja późnej dorosłości” kierowany był stricte do seniorów, a udział w nim wzięło 12 osób. W ramach tego PAL uczestnicy, oprócz objęcia ich intensywną pracą socjalną, wzięli udział w: 1) Akademii Seniora, 2) Treningu Aktywności Społecznej, 3), Treningu „Autoprezentacji”, 4) Akademii Umiejętności Życiowych, 5) Indywidualnym doradztwie rodzinnym, oraz 6) Indywidualnym wsparciu z zakresu nowoczesnych technologii, w ramach którego każdy z nich mógł poznać zasady obsługi komputera, bankomatów, biletomatów, tabletów oraz korzystania z Internetu. </w:t>
      </w:r>
    </w:p>
    <w:p w14:paraId="73F7BC73" w14:textId="5AE597F8" w:rsidR="00D96C8C" w:rsidRPr="00AB6D81" w:rsidRDefault="00D96C8C" w:rsidP="00FE70E3">
      <w:pPr>
        <w:pStyle w:val="Akapitzlist"/>
        <w:numPr>
          <w:ilvl w:val="0"/>
          <w:numId w:val="117"/>
        </w:numPr>
        <w:rPr>
          <w:rFonts w:cs="Times New Roman"/>
          <w:szCs w:val="24"/>
        </w:rPr>
      </w:pPr>
      <w:r w:rsidRPr="00AB6D81">
        <w:rPr>
          <w:rFonts w:cs="Times New Roman"/>
          <w:b/>
          <w:bCs/>
          <w:szCs w:val="24"/>
        </w:rPr>
        <w:t>Wsparcie seniorów w projekcie „TRAMPOLINA – mieszkania wspomagane”</w:t>
      </w:r>
      <w:r w:rsidRPr="00AB6D81">
        <w:rPr>
          <w:rFonts w:cs="Times New Roman"/>
          <w:szCs w:val="24"/>
        </w:rPr>
        <w:t>.</w:t>
      </w:r>
      <w:r w:rsidR="00AB6D81">
        <w:rPr>
          <w:rFonts w:cs="Times New Roman"/>
          <w:szCs w:val="24"/>
        </w:rPr>
        <w:t xml:space="preserve"> </w:t>
      </w:r>
      <w:r w:rsidRPr="00AB6D81">
        <w:rPr>
          <w:rFonts w:cs="Times New Roman"/>
          <w:szCs w:val="24"/>
        </w:rPr>
        <w:t>Projekt „TRAMPOLINA – mieszkania wspomagane” skierowano do 66 osób, w tym 12 osób bezdomnych, które w momencie wejścia do projektu miały ukończony 60 rok życia. Każda z tych osób otrzymała miejsce zamieszkania w mieszkaniu treningowym. Oprócz tego, w 2020 r</w:t>
      </w:r>
      <w:r w:rsidR="004D289B">
        <w:rPr>
          <w:rFonts w:cs="Times New Roman"/>
          <w:szCs w:val="24"/>
        </w:rPr>
        <w:t>.</w:t>
      </w:r>
      <w:r w:rsidRPr="00AB6D81">
        <w:rPr>
          <w:rFonts w:cs="Times New Roman"/>
          <w:szCs w:val="24"/>
        </w:rPr>
        <w:t>, każdy uczestnik z tej grupy miał możliwość skorzystania z następujących form wsparcia: wsparcie opiekuna mieszkania, praca socjalna realizowana metodą towarzyszenia, spotkania z psychologiem, trening umiejętności spędzania wolnego czasu, trening umiejętności społecznych. W związku z zagrożeniem epidemiologicznym związanym z COVID-19 podjęto decyzję o wydłużeniu pobytu w mieszkaniach. Uczestnicy, którzy powinni zakończyć realizację projektu w czerwcu 2020 r. mieli możliwość pozostania w mieszkaniach do końca 2020 r.</w:t>
      </w:r>
    </w:p>
    <w:p w14:paraId="262B126D" w14:textId="77777777" w:rsidR="00AB6D81" w:rsidRDefault="00AB6D81" w:rsidP="00D96C8C">
      <w:pPr>
        <w:rPr>
          <w:rFonts w:cs="Times New Roman"/>
          <w:szCs w:val="24"/>
        </w:rPr>
      </w:pPr>
    </w:p>
    <w:p w14:paraId="5807F3F7" w14:textId="79C8C499" w:rsidR="00D96C8C" w:rsidRPr="005C6286" w:rsidRDefault="00D96C8C" w:rsidP="00D96C8C">
      <w:pPr>
        <w:rPr>
          <w:rFonts w:cs="Times New Roman"/>
          <w:szCs w:val="24"/>
        </w:rPr>
      </w:pPr>
      <w:proofErr w:type="spellStart"/>
      <w:r w:rsidRPr="005C6286">
        <w:rPr>
          <w:rFonts w:cs="Times New Roman"/>
          <w:szCs w:val="24"/>
        </w:rPr>
        <w:t>Teleopieka</w:t>
      </w:r>
      <w:proofErr w:type="spellEnd"/>
      <w:r w:rsidRPr="005C6286">
        <w:rPr>
          <w:rFonts w:cs="Times New Roman"/>
          <w:szCs w:val="24"/>
        </w:rPr>
        <w:t xml:space="preserve"> – Bransoletka Życia.</w:t>
      </w:r>
    </w:p>
    <w:p w14:paraId="44273A13" w14:textId="3503EAD9" w:rsidR="00D96C8C" w:rsidRPr="005C6286" w:rsidRDefault="00D96C8C" w:rsidP="00D96C8C">
      <w:pPr>
        <w:rPr>
          <w:rFonts w:cs="Times New Roman"/>
          <w:szCs w:val="24"/>
        </w:rPr>
      </w:pPr>
      <w:r w:rsidRPr="005C6286">
        <w:rPr>
          <w:rFonts w:cs="Times New Roman"/>
          <w:szCs w:val="24"/>
        </w:rPr>
        <w:t xml:space="preserve">W 2019 </w:t>
      </w:r>
      <w:r w:rsidR="004D289B">
        <w:rPr>
          <w:rFonts w:cs="Times New Roman"/>
          <w:szCs w:val="24"/>
        </w:rPr>
        <w:t xml:space="preserve">r. </w:t>
      </w:r>
      <w:r w:rsidRPr="005C6286">
        <w:rPr>
          <w:rFonts w:cs="Times New Roman"/>
          <w:szCs w:val="24"/>
        </w:rPr>
        <w:t xml:space="preserve">Burmistrz Miasta Jedlina-Zdrój zainicjował zastosowanie nowych technologii w opiece nad osobami starszymi tj. wdrożenie </w:t>
      </w:r>
      <w:proofErr w:type="spellStart"/>
      <w:r w:rsidRPr="005C6286">
        <w:rPr>
          <w:rFonts w:cs="Times New Roman"/>
          <w:szCs w:val="24"/>
        </w:rPr>
        <w:t>Teleopieki</w:t>
      </w:r>
      <w:proofErr w:type="spellEnd"/>
      <w:r w:rsidRPr="005C6286">
        <w:rPr>
          <w:rFonts w:cs="Times New Roman"/>
          <w:szCs w:val="24"/>
        </w:rPr>
        <w:t>. Ofertę skierowano do 16 mieszkańców Gminy w wieku 65+. Przez 12 miesięcy uczestnicy nieodpłatnie korzystali z urządzenia zwanego Bransoletką Życia i objęci byli zdalną opieką medyczną.</w:t>
      </w:r>
    </w:p>
    <w:p w14:paraId="7944F687" w14:textId="4E36448B" w:rsidR="00D96C8C" w:rsidRDefault="00D96C8C" w:rsidP="00D96C8C">
      <w:pPr>
        <w:rPr>
          <w:rFonts w:cs="Times New Roman"/>
          <w:color w:val="FF0000"/>
          <w:szCs w:val="24"/>
        </w:rPr>
      </w:pPr>
    </w:p>
    <w:p w14:paraId="12F05C0B" w14:textId="77777777" w:rsidR="0022740B" w:rsidRDefault="0022740B" w:rsidP="00D96C8C">
      <w:pPr>
        <w:rPr>
          <w:rFonts w:cs="Times New Roman"/>
          <w:color w:val="FF0000"/>
          <w:szCs w:val="24"/>
        </w:rPr>
      </w:pPr>
    </w:p>
    <w:p w14:paraId="65B29712" w14:textId="37BBFAEC" w:rsidR="00D96C8C" w:rsidRDefault="00D96C8C" w:rsidP="00D96C8C">
      <w:pPr>
        <w:pStyle w:val="Nagwek3"/>
      </w:pPr>
      <w:bookmarkStart w:id="132" w:name="_Toc77513951"/>
      <w:bookmarkStart w:id="133" w:name="_Toc80523105"/>
      <w:r w:rsidRPr="00D96C8C">
        <w:lastRenderedPageBreak/>
        <w:t>Działania związane z ochroną seniorów przed negatywnymi skutkami pandemii COVID-19, które zostały podjęte w 2020 r</w:t>
      </w:r>
      <w:r>
        <w:t xml:space="preserve"> w województwie dolnośląskim</w:t>
      </w:r>
      <w:bookmarkEnd w:id="132"/>
      <w:bookmarkEnd w:id="133"/>
    </w:p>
    <w:p w14:paraId="419606BA" w14:textId="77777777" w:rsidR="00AB6D81" w:rsidRPr="00AB6D81" w:rsidRDefault="00AB6D81" w:rsidP="00AB6D81"/>
    <w:p w14:paraId="0F5A7B76" w14:textId="18D88BFE" w:rsidR="00D96C8C" w:rsidRPr="00D96C8C" w:rsidRDefault="00D96C8C" w:rsidP="00D96C8C">
      <w:pPr>
        <w:rPr>
          <w:rFonts w:cs="Times New Roman"/>
          <w:szCs w:val="24"/>
        </w:rPr>
      </w:pPr>
      <w:r w:rsidRPr="00D96C8C">
        <w:rPr>
          <w:rFonts w:cs="Times New Roman"/>
          <w:szCs w:val="24"/>
        </w:rPr>
        <w:t xml:space="preserve">W związku z pandemią COVID-19 w 2020 r. DOPS podjął działania związane z ochroną seniorów przed negatywnymi skutkami pandemii polegające na zakupach maseczek jednorazowych i bawełnianych. Zakupów dokonano w podmiotach z sektora ekonomii społecznej na łączną kwotę 120 000 zł, zakupiono 24 884 st. maseczek jednorazowych i bawełnianych. Maseczki zostały rozdysponowane do instytucji, których celem jest poprawa jakości życia osób starszych oraz ich aktywizacja tj. </w:t>
      </w:r>
      <w:r w:rsidR="008E7452">
        <w:rPr>
          <w:rFonts w:cs="Times New Roman"/>
          <w:szCs w:val="24"/>
        </w:rPr>
        <w:t>uniwersytetów trzeciego wieku</w:t>
      </w:r>
      <w:r w:rsidRPr="00D96C8C">
        <w:rPr>
          <w:rFonts w:cs="Times New Roman"/>
          <w:szCs w:val="24"/>
        </w:rPr>
        <w:t>, Polski</w:t>
      </w:r>
      <w:r w:rsidR="008E7452">
        <w:rPr>
          <w:rFonts w:cs="Times New Roman"/>
          <w:szCs w:val="24"/>
        </w:rPr>
        <w:t>ego</w:t>
      </w:r>
      <w:r w:rsidRPr="00D96C8C">
        <w:rPr>
          <w:rFonts w:cs="Times New Roman"/>
          <w:szCs w:val="24"/>
        </w:rPr>
        <w:t xml:space="preserve"> Związk</w:t>
      </w:r>
      <w:r w:rsidR="008E7452">
        <w:rPr>
          <w:rFonts w:cs="Times New Roman"/>
          <w:szCs w:val="24"/>
        </w:rPr>
        <w:t>u</w:t>
      </w:r>
      <w:r w:rsidRPr="00D96C8C">
        <w:rPr>
          <w:rFonts w:cs="Times New Roman"/>
          <w:szCs w:val="24"/>
        </w:rPr>
        <w:t xml:space="preserve"> Emerytów i Rencistów, Stowarzyszeni</w:t>
      </w:r>
      <w:r w:rsidR="008E7452">
        <w:rPr>
          <w:rFonts w:cs="Times New Roman"/>
          <w:szCs w:val="24"/>
        </w:rPr>
        <w:t>a</w:t>
      </w:r>
      <w:r w:rsidRPr="00D96C8C">
        <w:rPr>
          <w:rFonts w:cs="Times New Roman"/>
          <w:szCs w:val="24"/>
        </w:rPr>
        <w:t xml:space="preserve"> Niewidomych</w:t>
      </w:r>
      <w:r w:rsidR="008E7452">
        <w:rPr>
          <w:rFonts w:cs="Times New Roman"/>
          <w:szCs w:val="24"/>
        </w:rPr>
        <w:t xml:space="preserve"> i </w:t>
      </w:r>
      <w:r w:rsidRPr="00D96C8C">
        <w:rPr>
          <w:rFonts w:cs="Times New Roman"/>
          <w:szCs w:val="24"/>
        </w:rPr>
        <w:t xml:space="preserve"> Stowarzyszeni</w:t>
      </w:r>
      <w:r w:rsidR="008E7452">
        <w:rPr>
          <w:rFonts w:cs="Times New Roman"/>
          <w:szCs w:val="24"/>
        </w:rPr>
        <w:t>a</w:t>
      </w:r>
      <w:r w:rsidRPr="00D96C8C">
        <w:rPr>
          <w:rFonts w:cs="Times New Roman"/>
          <w:szCs w:val="24"/>
        </w:rPr>
        <w:t xml:space="preserve"> Cukrzyków.</w:t>
      </w:r>
    </w:p>
    <w:p w14:paraId="3E4F513F" w14:textId="77777777" w:rsidR="00AB6D81" w:rsidRDefault="00AB6D81" w:rsidP="00D96C8C">
      <w:pPr>
        <w:rPr>
          <w:rFonts w:cs="Times New Roman"/>
          <w:szCs w:val="24"/>
        </w:rPr>
      </w:pPr>
    </w:p>
    <w:p w14:paraId="1D3F2341" w14:textId="1A5EB4EB" w:rsidR="00D96C8C" w:rsidRPr="00D96C8C" w:rsidRDefault="00D96C8C" w:rsidP="00D96C8C">
      <w:pPr>
        <w:rPr>
          <w:rFonts w:cs="Times New Roman"/>
          <w:szCs w:val="24"/>
        </w:rPr>
      </w:pPr>
      <w:r w:rsidRPr="00D96C8C">
        <w:rPr>
          <w:rFonts w:cs="Times New Roman"/>
          <w:szCs w:val="24"/>
        </w:rPr>
        <w:t>Gmina Wrocław już na początku marca 2020 r. podjęła działania związane z zapewnieniem ciągłości funkcjonowania Domów Pomocy Społecznej w stanie epidemii poprzez minimalizowanie zagrożeń tj. wdrożenie procedur podwyższonego standardu epidemiologiczno-sanitarnego, przestrzegano podstawowych zasad higieny poprzez zastosowanie środków bezpieczeństwa i ochrony indywidualnej oraz stosowano się do obowiązujących zaleceń. Szczególne działania dotyczyły organizacji usług dla mieszkańców nowoprzyjętych do DPS oraz mieszkańców powracających ze szpitala lub urlopowanych. Ograniczenia związane z epidemią SARS-CoV-2 dotyczyły organizacji poszczególnych stanowisk pracy poprzez ograniczenie kontaktów pomiędzy pracownikami. Ponadto pracownicy na stanowisku terapeuty zajęciowego oraz kulturalno-oświatowego pracowali indywidualnie z mieszkańcami z zastosowaniem środków ochrony osobistej, a także wobec braku ognisk zakażenia w większych grupach na świeżym powietrzu. Na potrzeby religijne zostały wykorzystane środki komunikacji zdalnej. Dodatkowo zostały ograniczone bezpośrednie kontakty mieszkańców z osobami spoza DPS. Jedynie konieczność wyjazdu mieszkańca na umówioną wizytę lekarską, do lekarza specjalisty została utrzymana. Z uwagi na wprowadzone ograniczenia odwiedzin z zewnątrz, zapewniono w szerszym zakresie mieszkańcom dostęp do urządzeń umożliwiających kontakt z bliskimi (telefon: stacjonarny, komórkowy, tablet, Internet: media społecznościowe – Facebook, Whatsapp). Struktura Miejskiego Centrum Usług Socjalnych we Wrocławiu pozwoliła na elastyczną dystrybucję zasobów, głównie rzeczowych (środki ochronne) i kadrowych – tj. przenoszenie pracowników, w szczególności z zawieszonych czasowo DDP do DPS, w zależności od potrzeb (ogniska SARS-CoV-2) w poszczególnych DPS. Dzięki temu udało się zapewnić ciągłość opieki personelu nad mieszkańcami DPS mimo ognisk SARS-CoV-2 bez wsparcia zewnętrznego.</w:t>
      </w:r>
    </w:p>
    <w:p w14:paraId="2903E6C1" w14:textId="77777777" w:rsidR="00AB6D81" w:rsidRDefault="00AB6D81" w:rsidP="00D96C8C">
      <w:pPr>
        <w:rPr>
          <w:rFonts w:cs="Times New Roman"/>
          <w:szCs w:val="24"/>
        </w:rPr>
      </w:pPr>
    </w:p>
    <w:p w14:paraId="1A382FBC" w14:textId="03ECA85F" w:rsidR="00D96C8C" w:rsidRPr="00D96C8C" w:rsidRDefault="00D96C8C" w:rsidP="00D96C8C">
      <w:pPr>
        <w:rPr>
          <w:rFonts w:cs="Times New Roman"/>
          <w:szCs w:val="24"/>
        </w:rPr>
      </w:pPr>
      <w:r w:rsidRPr="00D96C8C">
        <w:rPr>
          <w:rFonts w:cs="Times New Roman"/>
          <w:szCs w:val="24"/>
        </w:rPr>
        <w:t xml:space="preserve">W 2020 r. na podstawie polecenia Wojewody Dolnośląskiego wynikającego z zapisów art. 11h ust. 1 i 4 ustawy z dnia 2 marca 2020 r. o szczególnych rozwiązaniach związanych z zapobieganiem, przeciwdziałaniem i zwalczaniem COVID-19, innych chorób zakaźnych oraz wywołanych nimi sytuacji kryzysowych, w celu zapobiegania rozprzestrzenianiu się choroby zakaźnej COVID-19 wywołanej wirusem SARS-CoV-2 czasowo została zawieszona działalność ośrodków wsparcia. Czasowe zawieszenie nie dotyczyło prowadzenia i zapewnienia usług świadczonych w formie indywidualnego wsparcia, z pominięciem kontaktu osobistego, w szczególności polegającego na: wsparciu psychologicznym; poradnictwie za pomocą zdalnych środków komunikacji, np.: kontakt telefoniczny, on-line; dostarczaniu uczestnikom posiłku  do   miejsca  zamieszkania;  robieniu  zakupów  osobom  niesamodzielnym; realizacji e-recept </w:t>
      </w:r>
      <w:r w:rsidRPr="00D96C8C">
        <w:rPr>
          <w:rFonts w:cs="Times New Roman"/>
          <w:szCs w:val="24"/>
        </w:rPr>
        <w:lastRenderedPageBreak/>
        <w:t xml:space="preserve">uczestników; pomocy w kontakcie z placówkami służby zdrowia oraz innych niezbędnych działań wspierających uczestników. Wprowadzono zdalne formy działań terapeutycznych polegających m.in. na dostarczaniu kart pracy w celu treningów funkcji poznawczych wśród uczestników, dostarczaniu prasy i książek, prowadzeniu </w:t>
      </w:r>
      <w:proofErr w:type="spellStart"/>
      <w:r w:rsidRPr="00D96C8C">
        <w:rPr>
          <w:rFonts w:cs="Times New Roman"/>
          <w:szCs w:val="24"/>
        </w:rPr>
        <w:t>videogimnastyki</w:t>
      </w:r>
      <w:proofErr w:type="spellEnd"/>
      <w:r w:rsidRPr="00D96C8C">
        <w:rPr>
          <w:rFonts w:cs="Times New Roman"/>
          <w:szCs w:val="24"/>
        </w:rPr>
        <w:t>, czy wsparciu terapeuty podczas rozmów telefonicznych. W okresach funkcjonowania ośrodków wsparcia podczas epidemii obowiązywał podwyższony reżim sanitarny, pracownicy stosowali środki ochrony osobistej (maseczki, przyłbice, rękawiczki jednorazowe). Usługi opiekuńcze i specjalistyczne usługi opiekuńcze były świadczone w mniejszych grupach, tak aby na terenie ośrodka zapewnić zachowanie dystansu i tym samym ograniczyć zagrożenie zakażenia wirusem. Podczas działalności ośrodków wsparcia w czasie pandemii wsparcie było realizowane zarówno poprzez kontakt osobisty, jak i przez telefon oraz przy pomocy dostępnych mediów społecznościowych i komunikatorów, dla tych osób, które takiej pomocy potrzebowały.</w:t>
      </w:r>
    </w:p>
    <w:p w14:paraId="5B87E8AA" w14:textId="77777777" w:rsidR="00AB6D81" w:rsidRDefault="00AB6D81" w:rsidP="00D96C8C">
      <w:pPr>
        <w:rPr>
          <w:rFonts w:cs="Times New Roman"/>
          <w:szCs w:val="24"/>
        </w:rPr>
      </w:pPr>
    </w:p>
    <w:p w14:paraId="788BFED5" w14:textId="15B85454" w:rsidR="00D96C8C" w:rsidRPr="00D96C8C" w:rsidRDefault="00D96C8C" w:rsidP="00D96C8C">
      <w:pPr>
        <w:rPr>
          <w:rFonts w:cs="Times New Roman"/>
          <w:szCs w:val="24"/>
        </w:rPr>
      </w:pPr>
      <w:r w:rsidRPr="00D96C8C">
        <w:rPr>
          <w:rFonts w:cs="Times New Roman"/>
          <w:szCs w:val="24"/>
        </w:rPr>
        <w:t>W 2020 r. w ramach niwelowania skutków COVID-19 oraz przeciwdziałania jej negatywnym konsekwencjom Domy Pomocy Społecznej województwa dolnośląskiego skorzystały z możliwości uzyskania dofinansowania w trzech projektach grantowych:</w:t>
      </w:r>
    </w:p>
    <w:p w14:paraId="5934DE63" w14:textId="64CE1E82" w:rsidR="00AB6D81" w:rsidRDefault="00D96C8C" w:rsidP="00FE70E3">
      <w:pPr>
        <w:pStyle w:val="Akapitzlist"/>
        <w:numPr>
          <w:ilvl w:val="0"/>
          <w:numId w:val="117"/>
        </w:numPr>
        <w:rPr>
          <w:rFonts w:cs="Times New Roman"/>
          <w:szCs w:val="24"/>
        </w:rPr>
      </w:pPr>
      <w:r w:rsidRPr="00AB6D81">
        <w:rPr>
          <w:rFonts w:cs="Times New Roman"/>
          <w:szCs w:val="24"/>
        </w:rPr>
        <w:t>Projekt Wsparcie Dolnośląskich DPS realizowany w okresie od dnia 1</w:t>
      </w:r>
      <w:r w:rsidR="00780362">
        <w:rPr>
          <w:rFonts w:cs="Times New Roman"/>
          <w:szCs w:val="24"/>
        </w:rPr>
        <w:t xml:space="preserve"> sierpnia </w:t>
      </w:r>
      <w:r w:rsidRPr="00AB6D81">
        <w:rPr>
          <w:rFonts w:cs="Times New Roman"/>
          <w:szCs w:val="24"/>
        </w:rPr>
        <w:t>2020 r. do dnia 31</w:t>
      </w:r>
      <w:r w:rsidR="00780362">
        <w:rPr>
          <w:rFonts w:cs="Times New Roman"/>
          <w:szCs w:val="24"/>
        </w:rPr>
        <w:t xml:space="preserve"> grudnia </w:t>
      </w:r>
      <w:r w:rsidRPr="00AB6D81">
        <w:rPr>
          <w:rFonts w:cs="Times New Roman"/>
          <w:szCs w:val="24"/>
        </w:rPr>
        <w:t>2020 r. – Program Operacyjny Wiedza Edukacja Rozwój 2014-2020, Oś priorytetowa II Efektywne polityki publiczne dla rynku pracy, gospodarki i edukacji, Działanie 2.8 Rozwój usług społecznych świadczonych w środowisku lokalnym współfinansowany ze środków Europejskiego Funduszu Społecznego.</w:t>
      </w:r>
    </w:p>
    <w:p w14:paraId="3B4AA908" w14:textId="36645625" w:rsidR="00AB6D81" w:rsidRDefault="00D96C8C" w:rsidP="00FE70E3">
      <w:pPr>
        <w:pStyle w:val="Akapitzlist"/>
        <w:numPr>
          <w:ilvl w:val="0"/>
          <w:numId w:val="117"/>
        </w:numPr>
        <w:rPr>
          <w:rFonts w:cs="Times New Roman"/>
          <w:szCs w:val="24"/>
        </w:rPr>
      </w:pPr>
      <w:r w:rsidRPr="00AB6D81">
        <w:rPr>
          <w:rFonts w:cs="Times New Roman"/>
          <w:szCs w:val="24"/>
        </w:rPr>
        <w:t>Projekt Zapewnienie bezpieczeństwa i opieki pacjentom oraz bezpieczeństwa personelowi zakładów opiekuńczo-leczniczych, domów pomocy społecznej, zakładów pielęgnacyjno-opiekuńczych i hospicjów na czas COVID -19 realizowany w okresie od dnia 1</w:t>
      </w:r>
      <w:r w:rsidR="00780362">
        <w:rPr>
          <w:rFonts w:cs="Times New Roman"/>
          <w:szCs w:val="24"/>
        </w:rPr>
        <w:t xml:space="preserve"> maja </w:t>
      </w:r>
      <w:r w:rsidRPr="00AB6D81">
        <w:rPr>
          <w:rFonts w:cs="Times New Roman"/>
          <w:szCs w:val="24"/>
        </w:rPr>
        <w:t>2020 r. do dnia 31</w:t>
      </w:r>
      <w:r w:rsidR="00780362">
        <w:rPr>
          <w:rFonts w:cs="Times New Roman"/>
          <w:szCs w:val="24"/>
        </w:rPr>
        <w:t xml:space="preserve"> grudnia </w:t>
      </w:r>
      <w:r w:rsidRPr="00AB6D81">
        <w:rPr>
          <w:rFonts w:cs="Times New Roman"/>
          <w:szCs w:val="24"/>
        </w:rPr>
        <w:t>2020 r. Program Operacyjny Wiedza Edukacja Rozwój 2014-2020, Oś priorytetowa V – Wsparcie dla obszaru zdrowia, Działanie 5.2 Działania projakościowe i rozwiązania organizacyjne w systemie ochrony zdrowia ułatwiające dostęp do niedrogich, trwałych oraz wysokiej jakości usług zdrowotnych, współfinansowany ze środków Europejskiego Funduszu Społecznego.</w:t>
      </w:r>
    </w:p>
    <w:p w14:paraId="7AC6F9FB" w14:textId="1D5D5A97" w:rsidR="00D96C8C" w:rsidRPr="00AB6D81" w:rsidRDefault="00D96C8C" w:rsidP="00FE70E3">
      <w:pPr>
        <w:pStyle w:val="Akapitzlist"/>
        <w:numPr>
          <w:ilvl w:val="0"/>
          <w:numId w:val="117"/>
        </w:numPr>
        <w:rPr>
          <w:rFonts w:cs="Times New Roman"/>
          <w:szCs w:val="24"/>
        </w:rPr>
      </w:pPr>
      <w:r w:rsidRPr="00AB6D81">
        <w:rPr>
          <w:rFonts w:cs="Times New Roman"/>
          <w:szCs w:val="24"/>
        </w:rPr>
        <w:t>Projekt Przeciwdziałanie wykluczeniu społecznemu spowodowanemu przez COVID-19 realizowany w okresie od dnia 26</w:t>
      </w:r>
      <w:r w:rsidR="00780362">
        <w:rPr>
          <w:rFonts w:cs="Times New Roman"/>
          <w:szCs w:val="24"/>
        </w:rPr>
        <w:t xml:space="preserve"> października </w:t>
      </w:r>
      <w:r w:rsidRPr="00AB6D81">
        <w:rPr>
          <w:rFonts w:cs="Times New Roman"/>
          <w:szCs w:val="24"/>
        </w:rPr>
        <w:t>2020 r. do dnia 31</w:t>
      </w:r>
      <w:r w:rsidR="00780362">
        <w:rPr>
          <w:rFonts w:cs="Times New Roman"/>
          <w:szCs w:val="24"/>
        </w:rPr>
        <w:t xml:space="preserve"> marca </w:t>
      </w:r>
      <w:r w:rsidRPr="00AB6D81">
        <w:rPr>
          <w:rFonts w:cs="Times New Roman"/>
          <w:szCs w:val="24"/>
        </w:rPr>
        <w:t>2021 r. – Regionalny Program Operacyjny Województwa Dolnośląskiego 2014-2020, Oś priorytetowa: 9 Włączenie społeczne, Działanie 9.3 Dostęp do wysokiej jakości usług zdrowotnych współfinansowany ze środków Europejskiego Funduszu Społecznego.</w:t>
      </w:r>
    </w:p>
    <w:p w14:paraId="11658287" w14:textId="77777777" w:rsidR="00A605EF" w:rsidRPr="0092226B" w:rsidRDefault="00A605EF" w:rsidP="00493925">
      <w:pPr>
        <w:rPr>
          <w:rFonts w:cs="Times New Roman"/>
          <w:color w:val="FF0000"/>
          <w:szCs w:val="24"/>
        </w:rPr>
      </w:pPr>
    </w:p>
    <w:p w14:paraId="7E4D2DAF" w14:textId="468DBAB5" w:rsidR="00D96C8C" w:rsidRDefault="00D96C8C" w:rsidP="00D96C8C">
      <w:pPr>
        <w:pStyle w:val="Nagwek3"/>
      </w:pPr>
      <w:bookmarkStart w:id="134" w:name="_Toc77513952"/>
      <w:bookmarkStart w:id="135" w:name="_Toc80523106"/>
      <w:r>
        <w:t>Infrastruktura społeczna oraz usługi świadczone osobom starszym w 2020 r.</w:t>
      </w:r>
      <w:bookmarkEnd w:id="134"/>
      <w:bookmarkEnd w:id="135"/>
    </w:p>
    <w:p w14:paraId="46409C60" w14:textId="77777777" w:rsidR="00AB6D81" w:rsidRPr="00AB6D81" w:rsidRDefault="00AB6D81" w:rsidP="00AB6D81"/>
    <w:p w14:paraId="71DE9F10" w14:textId="77777777" w:rsidR="008035B3" w:rsidRDefault="00D96C8C" w:rsidP="00D96C8C">
      <w:pPr>
        <w:rPr>
          <w:rFonts w:cs="Times New Roman"/>
          <w:szCs w:val="24"/>
        </w:rPr>
      </w:pPr>
      <w:r w:rsidRPr="00D96C8C">
        <w:rPr>
          <w:rFonts w:cs="Times New Roman"/>
          <w:szCs w:val="24"/>
        </w:rPr>
        <w:t xml:space="preserve">Szczegółowe informacje dotyczące usług oraz infrastruktury społecznej dostępnej dla osób starszych w województwie </w:t>
      </w:r>
      <w:r>
        <w:rPr>
          <w:rFonts w:cs="Times New Roman"/>
          <w:szCs w:val="24"/>
        </w:rPr>
        <w:t>dolnośląskim w 2020 r. przedstawia poniższa tabela</w:t>
      </w:r>
    </w:p>
    <w:p w14:paraId="1A8A6C23" w14:textId="77777777" w:rsidR="00D96C8C" w:rsidRPr="00D96C8C" w:rsidRDefault="00D96C8C" w:rsidP="00D96C8C">
      <w:pPr>
        <w:sectPr w:rsidR="00D96C8C" w:rsidRPr="00D96C8C" w:rsidSect="00E1300F">
          <w:footerReference w:type="default" r:id="rId13"/>
          <w:pgSz w:w="11900" w:h="16838"/>
          <w:pgMar w:top="1384" w:right="1386" w:bottom="1038" w:left="1380" w:header="0" w:footer="567" w:gutter="0"/>
          <w:cols w:space="0" w:equalWidth="0">
            <w:col w:w="9140"/>
          </w:cols>
          <w:docGrid w:linePitch="360"/>
        </w:sectPr>
      </w:pPr>
    </w:p>
    <w:p w14:paraId="4B633C80" w14:textId="3A5B70BD" w:rsidR="00462EAF" w:rsidRPr="00562A8F" w:rsidRDefault="00462EAF" w:rsidP="00462EAF">
      <w:pPr>
        <w:pStyle w:val="Legenda"/>
        <w:keepNext/>
        <w:rPr>
          <w:rFonts w:cs="Times New Roman"/>
          <w:b/>
          <w:i w:val="0"/>
          <w:color w:val="auto"/>
          <w:sz w:val="24"/>
          <w:szCs w:val="24"/>
        </w:rPr>
      </w:pPr>
      <w:bookmarkStart w:id="136" w:name="_Toc49171430"/>
      <w:r w:rsidRPr="00562A8F">
        <w:rPr>
          <w:rFonts w:cs="Times New Roman"/>
          <w:b/>
          <w:i w:val="0"/>
          <w:color w:val="auto"/>
          <w:sz w:val="24"/>
          <w:szCs w:val="24"/>
        </w:rPr>
        <w:lastRenderedPageBreak/>
        <w:t xml:space="preserve">Tabela </w:t>
      </w:r>
      <w:r w:rsidR="005B094D">
        <w:rPr>
          <w:rFonts w:cs="Times New Roman"/>
          <w:b/>
          <w:i w:val="0"/>
          <w:color w:val="auto"/>
          <w:sz w:val="24"/>
          <w:szCs w:val="24"/>
        </w:rPr>
        <w:t>50</w:t>
      </w:r>
      <w:r w:rsidR="00054E88">
        <w:rPr>
          <w:rFonts w:cs="Times New Roman"/>
          <w:b/>
          <w:i w:val="0"/>
          <w:color w:val="auto"/>
          <w:sz w:val="24"/>
          <w:szCs w:val="24"/>
        </w:rPr>
        <w:t>.</w:t>
      </w:r>
      <w:r w:rsidRPr="00562A8F">
        <w:rPr>
          <w:rFonts w:cs="Times New Roman"/>
          <w:b/>
          <w:i w:val="0"/>
          <w:color w:val="auto"/>
          <w:sz w:val="24"/>
          <w:szCs w:val="24"/>
        </w:rPr>
        <w:t xml:space="preserve"> Karta województwa dolnośląskiego</w:t>
      </w:r>
      <w:bookmarkEnd w:id="136"/>
    </w:p>
    <w:tbl>
      <w:tblPr>
        <w:tblStyle w:val="Tabelasiatki5ciemnaakcent2"/>
        <w:tblpPr w:leftFromText="142" w:rightFromText="142" w:vertAnchor="text" w:horzAnchor="margin" w:tblpXSpec="center" w:tblpY="1"/>
        <w:tblW w:w="14741" w:type="dxa"/>
        <w:tblLayout w:type="fixed"/>
        <w:tblLook w:val="04A0" w:firstRow="1" w:lastRow="0" w:firstColumn="1" w:lastColumn="0" w:noHBand="0" w:noVBand="1"/>
      </w:tblPr>
      <w:tblGrid>
        <w:gridCol w:w="2830"/>
        <w:gridCol w:w="3066"/>
        <w:gridCol w:w="53"/>
        <w:gridCol w:w="2895"/>
        <w:gridCol w:w="790"/>
        <w:gridCol w:w="2158"/>
        <w:gridCol w:w="2949"/>
      </w:tblGrid>
      <w:tr w:rsidR="00562A8F" w:rsidRPr="00A06974" w14:paraId="71E5FF76" w14:textId="77777777" w:rsidTr="00562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1" w:type="dxa"/>
            <w:gridSpan w:val="7"/>
          </w:tcPr>
          <w:p w14:paraId="3914E6C6" w14:textId="77777777" w:rsidR="008035B3" w:rsidRPr="00A06974" w:rsidRDefault="008035B3" w:rsidP="004D2D78">
            <w:pPr>
              <w:spacing w:line="240" w:lineRule="auto"/>
              <w:jc w:val="center"/>
              <w:rPr>
                <w:rFonts w:cs="Times New Roman"/>
                <w:b w:val="0"/>
                <w:bCs w:val="0"/>
                <w:color w:val="auto"/>
                <w:sz w:val="20"/>
                <w:szCs w:val="20"/>
              </w:rPr>
            </w:pPr>
            <w:r w:rsidRPr="00A06974">
              <w:rPr>
                <w:rFonts w:cs="Times New Roman"/>
                <w:color w:val="auto"/>
                <w:sz w:val="20"/>
                <w:szCs w:val="20"/>
              </w:rPr>
              <w:t>WOJEWÓDZTWO DOLNOŚLĄSKIE</w:t>
            </w:r>
          </w:p>
        </w:tc>
      </w:tr>
      <w:tr w:rsidR="00562A8F" w:rsidRPr="00A06974" w14:paraId="7C836B40" w14:textId="77777777" w:rsidTr="00562A8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1F86414A" w14:textId="00110890" w:rsidR="008035B3" w:rsidRPr="00A06974" w:rsidRDefault="008035B3" w:rsidP="004D2D78">
            <w:pPr>
              <w:spacing w:line="240" w:lineRule="auto"/>
              <w:jc w:val="center"/>
              <w:rPr>
                <w:rFonts w:cs="Times New Roman"/>
                <w:b w:val="0"/>
                <w:bCs w:val="0"/>
                <w:color w:val="auto"/>
                <w:sz w:val="20"/>
                <w:szCs w:val="20"/>
              </w:rPr>
            </w:pPr>
            <w:r w:rsidRPr="00A06974">
              <w:rPr>
                <w:rFonts w:cs="Times New Roman"/>
                <w:color w:val="auto"/>
                <w:sz w:val="20"/>
                <w:szCs w:val="20"/>
              </w:rPr>
              <w:t>USŁUGI SPOŁECZNE DLA OSÓB STARSZYCH / INFRASTRUKTURA POMOCY SPOLECZNEJ – DANE ZA 20</w:t>
            </w:r>
            <w:r w:rsidR="00AB6D81" w:rsidRPr="00A06974">
              <w:rPr>
                <w:rFonts w:cs="Times New Roman"/>
                <w:color w:val="auto"/>
                <w:sz w:val="20"/>
                <w:szCs w:val="20"/>
              </w:rPr>
              <w:t>20</w:t>
            </w:r>
            <w:r w:rsidRPr="00A06974">
              <w:rPr>
                <w:rFonts w:cs="Times New Roman"/>
                <w:color w:val="auto"/>
                <w:sz w:val="20"/>
                <w:szCs w:val="20"/>
              </w:rPr>
              <w:t xml:space="preserve"> R.</w:t>
            </w:r>
          </w:p>
        </w:tc>
      </w:tr>
      <w:tr w:rsidR="00562A8F" w:rsidRPr="00A06974" w14:paraId="05746AC9" w14:textId="77777777" w:rsidTr="00555766">
        <w:trPr>
          <w:trHeight w:val="7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58B67F5E" w14:textId="77777777" w:rsidR="008035B3" w:rsidRPr="00A06974" w:rsidRDefault="008035B3" w:rsidP="00555766">
            <w:pPr>
              <w:spacing w:line="240" w:lineRule="auto"/>
              <w:jc w:val="left"/>
              <w:rPr>
                <w:rFonts w:eastAsia="Times New Roman" w:cs="Times New Roman"/>
                <w:b w:val="0"/>
                <w:bCs w:val="0"/>
                <w:color w:val="auto"/>
                <w:sz w:val="20"/>
                <w:szCs w:val="20"/>
                <w:lang w:eastAsia="pl-PL"/>
              </w:rPr>
            </w:pPr>
            <w:r w:rsidRPr="00A06974">
              <w:rPr>
                <w:rFonts w:eastAsia="Times New Roman" w:cs="Times New Roman"/>
                <w:color w:val="auto"/>
                <w:sz w:val="20"/>
                <w:szCs w:val="20"/>
                <w:lang w:eastAsia="pl-PL"/>
              </w:rPr>
              <w:t>Instytucje pomocy społecznej, w tym:</w:t>
            </w:r>
          </w:p>
        </w:tc>
        <w:tc>
          <w:tcPr>
            <w:tcW w:w="3066" w:type="dxa"/>
            <w:vAlign w:val="center"/>
          </w:tcPr>
          <w:p w14:paraId="6C412292" w14:textId="77777777" w:rsidR="008035B3" w:rsidRPr="00A06974" w:rsidRDefault="008035B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A06974">
              <w:rPr>
                <w:rFonts w:cs="Times New Roman"/>
                <w:b/>
                <w:sz w:val="20"/>
                <w:szCs w:val="20"/>
              </w:rPr>
              <w:t>Rodzaj placówki</w:t>
            </w:r>
          </w:p>
        </w:tc>
        <w:tc>
          <w:tcPr>
            <w:tcW w:w="2948" w:type="dxa"/>
            <w:gridSpan w:val="2"/>
            <w:vAlign w:val="center"/>
          </w:tcPr>
          <w:p w14:paraId="19D82AAF" w14:textId="77777777" w:rsidR="008035B3" w:rsidRPr="00A06974" w:rsidRDefault="008035B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A06974">
              <w:rPr>
                <w:rFonts w:cs="Times New Roman"/>
                <w:b/>
                <w:sz w:val="20"/>
                <w:szCs w:val="20"/>
              </w:rPr>
              <w:t>Liczba placówek</w:t>
            </w:r>
          </w:p>
        </w:tc>
        <w:tc>
          <w:tcPr>
            <w:tcW w:w="2948" w:type="dxa"/>
            <w:gridSpan w:val="2"/>
            <w:vAlign w:val="center"/>
          </w:tcPr>
          <w:p w14:paraId="14EA47EE" w14:textId="77777777" w:rsidR="008035B3" w:rsidRPr="00A06974" w:rsidRDefault="008035B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A06974">
              <w:rPr>
                <w:rFonts w:cs="Times New Roman"/>
                <w:b/>
                <w:sz w:val="20"/>
                <w:szCs w:val="20"/>
              </w:rPr>
              <w:t>Liczba miejsc dla osób starszych</w:t>
            </w:r>
          </w:p>
        </w:tc>
        <w:tc>
          <w:tcPr>
            <w:tcW w:w="2949" w:type="dxa"/>
            <w:vAlign w:val="center"/>
          </w:tcPr>
          <w:p w14:paraId="7AD62C74" w14:textId="77777777" w:rsidR="008035B3" w:rsidRPr="00A06974" w:rsidRDefault="008035B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A06974">
              <w:rPr>
                <w:rFonts w:cs="Times New Roman"/>
                <w:b/>
                <w:sz w:val="20"/>
                <w:szCs w:val="20"/>
              </w:rPr>
              <w:t>Liczba korzystających osób starszych</w:t>
            </w:r>
          </w:p>
        </w:tc>
      </w:tr>
      <w:tr w:rsidR="0008509F" w:rsidRPr="00A06974" w14:paraId="7C6A9B75" w14:textId="77777777" w:rsidTr="00AD7202">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E31523F" w14:textId="77777777" w:rsidR="0008509F" w:rsidRPr="00A06974" w:rsidRDefault="0008509F" w:rsidP="0008509F">
            <w:pPr>
              <w:spacing w:line="240" w:lineRule="auto"/>
              <w:rPr>
                <w:rFonts w:eastAsia="Times New Roman" w:cs="Times New Roman"/>
                <w:b w:val="0"/>
                <w:bCs w:val="0"/>
                <w:color w:val="auto"/>
                <w:sz w:val="20"/>
                <w:szCs w:val="20"/>
                <w:lang w:eastAsia="pl-PL"/>
              </w:rPr>
            </w:pPr>
          </w:p>
        </w:tc>
        <w:tc>
          <w:tcPr>
            <w:tcW w:w="3066" w:type="dxa"/>
          </w:tcPr>
          <w:p w14:paraId="252D21B1" w14:textId="269CBF7D" w:rsidR="0008509F" w:rsidRPr="0008509F" w:rsidRDefault="0008509F" w:rsidP="0008509F">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8509F">
              <w:rPr>
                <w:sz w:val="20"/>
                <w:szCs w:val="20"/>
              </w:rPr>
              <w:t>Środowiskowe Domy Samopomocy</w:t>
            </w:r>
          </w:p>
        </w:tc>
        <w:tc>
          <w:tcPr>
            <w:tcW w:w="2948" w:type="dxa"/>
            <w:gridSpan w:val="2"/>
          </w:tcPr>
          <w:p w14:paraId="4F723EDE" w14:textId="2CEE4D06" w:rsidR="0008509F" w:rsidRPr="0008509F" w:rsidRDefault="0008509F" w:rsidP="0008509F">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8509F">
              <w:rPr>
                <w:sz w:val="20"/>
                <w:szCs w:val="20"/>
              </w:rPr>
              <w:t>43</w:t>
            </w:r>
          </w:p>
        </w:tc>
        <w:tc>
          <w:tcPr>
            <w:tcW w:w="2948" w:type="dxa"/>
            <w:gridSpan w:val="2"/>
          </w:tcPr>
          <w:p w14:paraId="6CE2B3FF" w14:textId="204F3FB6" w:rsidR="0008509F" w:rsidRPr="0008509F" w:rsidRDefault="0008509F" w:rsidP="0008509F">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8509F">
              <w:rPr>
                <w:sz w:val="20"/>
                <w:szCs w:val="20"/>
              </w:rPr>
              <w:t>1 574</w:t>
            </w:r>
          </w:p>
        </w:tc>
        <w:tc>
          <w:tcPr>
            <w:tcW w:w="2949" w:type="dxa"/>
          </w:tcPr>
          <w:p w14:paraId="50202650" w14:textId="47FBA928" w:rsidR="0008509F" w:rsidRPr="0008509F" w:rsidRDefault="0008509F" w:rsidP="0008509F">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8509F">
              <w:rPr>
                <w:sz w:val="20"/>
                <w:szCs w:val="20"/>
              </w:rPr>
              <w:t>1 643</w:t>
            </w:r>
          </w:p>
        </w:tc>
      </w:tr>
      <w:tr w:rsidR="00562A8F" w:rsidRPr="00A06974" w14:paraId="7A94155C" w14:textId="77777777" w:rsidTr="00555766">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11C73D3" w14:textId="77777777" w:rsidR="008035B3" w:rsidRPr="00A06974" w:rsidRDefault="008035B3" w:rsidP="004D2D78">
            <w:pPr>
              <w:spacing w:line="240" w:lineRule="auto"/>
              <w:rPr>
                <w:rFonts w:eastAsia="Times New Roman" w:cs="Times New Roman"/>
                <w:b w:val="0"/>
                <w:bCs w:val="0"/>
                <w:color w:val="auto"/>
                <w:sz w:val="20"/>
                <w:szCs w:val="20"/>
                <w:lang w:eastAsia="pl-PL"/>
              </w:rPr>
            </w:pPr>
          </w:p>
        </w:tc>
        <w:tc>
          <w:tcPr>
            <w:tcW w:w="3066" w:type="dxa"/>
          </w:tcPr>
          <w:p w14:paraId="1B9462C9" w14:textId="77777777" w:rsidR="008035B3" w:rsidRPr="00A06974" w:rsidRDefault="008035B3" w:rsidP="004D2D7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Dzienne Domy Pomocy</w:t>
            </w:r>
          </w:p>
        </w:tc>
        <w:tc>
          <w:tcPr>
            <w:tcW w:w="2948" w:type="dxa"/>
            <w:gridSpan w:val="2"/>
            <w:vAlign w:val="center"/>
          </w:tcPr>
          <w:p w14:paraId="269E7989" w14:textId="08674D04" w:rsidR="008035B3" w:rsidRPr="00A06974" w:rsidRDefault="00562A8F"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41</w:t>
            </w:r>
          </w:p>
        </w:tc>
        <w:tc>
          <w:tcPr>
            <w:tcW w:w="2948" w:type="dxa"/>
            <w:gridSpan w:val="2"/>
            <w:vAlign w:val="center"/>
          </w:tcPr>
          <w:p w14:paraId="28A93F4F" w14:textId="1B922FC1" w:rsidR="008035B3" w:rsidRPr="00A06974" w:rsidRDefault="00562A8F"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2 064</w:t>
            </w:r>
          </w:p>
        </w:tc>
        <w:tc>
          <w:tcPr>
            <w:tcW w:w="2949" w:type="dxa"/>
            <w:vAlign w:val="center"/>
          </w:tcPr>
          <w:p w14:paraId="7FEE788F" w14:textId="32B014A5" w:rsidR="008035B3" w:rsidRPr="00A06974" w:rsidRDefault="008035B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2</w:t>
            </w:r>
            <w:r w:rsidR="00562A8F" w:rsidRPr="00A06974">
              <w:rPr>
                <w:rFonts w:cs="Times New Roman"/>
                <w:sz w:val="20"/>
                <w:szCs w:val="20"/>
              </w:rPr>
              <w:t xml:space="preserve"> 732</w:t>
            </w:r>
          </w:p>
        </w:tc>
      </w:tr>
      <w:tr w:rsidR="00562A8F" w:rsidRPr="00A06974" w14:paraId="606C0E97" w14:textId="77777777" w:rsidTr="00555766">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E045DBD" w14:textId="77777777" w:rsidR="008035B3" w:rsidRPr="00A06974" w:rsidRDefault="008035B3" w:rsidP="004D2D78">
            <w:pPr>
              <w:spacing w:line="240" w:lineRule="auto"/>
              <w:rPr>
                <w:rFonts w:eastAsia="Times New Roman" w:cs="Times New Roman"/>
                <w:b w:val="0"/>
                <w:bCs w:val="0"/>
                <w:color w:val="auto"/>
                <w:sz w:val="20"/>
                <w:szCs w:val="20"/>
                <w:lang w:eastAsia="pl-PL"/>
              </w:rPr>
            </w:pPr>
          </w:p>
        </w:tc>
        <w:tc>
          <w:tcPr>
            <w:tcW w:w="3066" w:type="dxa"/>
          </w:tcPr>
          <w:p w14:paraId="288CE41E" w14:textId="77777777" w:rsidR="008035B3" w:rsidRPr="00A06974" w:rsidRDefault="008035B3" w:rsidP="004D2D7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Noclegownie, schroniska i domy dla osób bezdomnych</w:t>
            </w:r>
          </w:p>
        </w:tc>
        <w:tc>
          <w:tcPr>
            <w:tcW w:w="2948" w:type="dxa"/>
            <w:gridSpan w:val="2"/>
            <w:vAlign w:val="center"/>
          </w:tcPr>
          <w:p w14:paraId="40181F2D" w14:textId="7B441B91" w:rsidR="008035B3" w:rsidRPr="00A06974" w:rsidRDefault="00562A8F"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28</w:t>
            </w:r>
          </w:p>
        </w:tc>
        <w:tc>
          <w:tcPr>
            <w:tcW w:w="2948" w:type="dxa"/>
            <w:gridSpan w:val="2"/>
            <w:vAlign w:val="center"/>
          </w:tcPr>
          <w:p w14:paraId="7870D7BD" w14:textId="782E82EA" w:rsidR="008035B3" w:rsidRPr="00A06974" w:rsidRDefault="008035B3"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 xml:space="preserve">1 </w:t>
            </w:r>
            <w:r w:rsidR="00562A8F" w:rsidRPr="00A06974">
              <w:rPr>
                <w:rFonts w:cs="Times New Roman"/>
                <w:sz w:val="20"/>
                <w:szCs w:val="20"/>
              </w:rPr>
              <w:t>173</w:t>
            </w:r>
          </w:p>
        </w:tc>
        <w:tc>
          <w:tcPr>
            <w:tcW w:w="2949" w:type="dxa"/>
            <w:vAlign w:val="center"/>
          </w:tcPr>
          <w:p w14:paraId="1C115810" w14:textId="5BAC419C" w:rsidR="008035B3" w:rsidRPr="00A06974" w:rsidRDefault="00193D7E"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3 430</w:t>
            </w:r>
          </w:p>
        </w:tc>
      </w:tr>
      <w:tr w:rsidR="00562A8F" w:rsidRPr="00A06974" w14:paraId="08F3D2EA" w14:textId="77777777" w:rsidTr="00555766">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C789A36" w14:textId="77777777" w:rsidR="008035B3" w:rsidRPr="00A06974" w:rsidRDefault="008035B3" w:rsidP="004D2D78">
            <w:pPr>
              <w:spacing w:line="240" w:lineRule="auto"/>
              <w:rPr>
                <w:rFonts w:eastAsia="Times New Roman" w:cs="Times New Roman"/>
                <w:b w:val="0"/>
                <w:bCs w:val="0"/>
                <w:color w:val="auto"/>
                <w:sz w:val="20"/>
                <w:szCs w:val="20"/>
                <w:lang w:eastAsia="pl-PL"/>
              </w:rPr>
            </w:pPr>
          </w:p>
        </w:tc>
        <w:tc>
          <w:tcPr>
            <w:tcW w:w="3066" w:type="dxa"/>
          </w:tcPr>
          <w:p w14:paraId="29C0DDEA" w14:textId="77777777" w:rsidR="008035B3" w:rsidRPr="00A06974" w:rsidRDefault="008035B3" w:rsidP="004D2D7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Ogrzewalnie</w:t>
            </w:r>
          </w:p>
        </w:tc>
        <w:tc>
          <w:tcPr>
            <w:tcW w:w="2948" w:type="dxa"/>
            <w:gridSpan w:val="2"/>
            <w:vAlign w:val="center"/>
          </w:tcPr>
          <w:p w14:paraId="670E1ABE" w14:textId="77777777" w:rsidR="008035B3" w:rsidRPr="00A06974" w:rsidRDefault="008035B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9</w:t>
            </w:r>
          </w:p>
        </w:tc>
        <w:tc>
          <w:tcPr>
            <w:tcW w:w="2948" w:type="dxa"/>
            <w:gridSpan w:val="2"/>
            <w:vAlign w:val="center"/>
          </w:tcPr>
          <w:p w14:paraId="2324E8D5" w14:textId="4BDD1F21" w:rsidR="008035B3" w:rsidRPr="00A06974" w:rsidRDefault="00562A8F"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283</w:t>
            </w:r>
          </w:p>
        </w:tc>
        <w:tc>
          <w:tcPr>
            <w:tcW w:w="2949" w:type="dxa"/>
            <w:vAlign w:val="center"/>
          </w:tcPr>
          <w:p w14:paraId="5A04E5E1" w14:textId="6A2E1446" w:rsidR="008035B3" w:rsidRPr="00A06974" w:rsidRDefault="00193D7E"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2 482</w:t>
            </w:r>
          </w:p>
        </w:tc>
      </w:tr>
      <w:tr w:rsidR="00562A8F" w:rsidRPr="00A06974" w14:paraId="7048EA5E" w14:textId="77777777" w:rsidTr="00555766">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CEF1D3F" w14:textId="77777777" w:rsidR="008035B3" w:rsidRPr="00A06974" w:rsidRDefault="008035B3" w:rsidP="004D2D78">
            <w:pPr>
              <w:spacing w:line="240" w:lineRule="auto"/>
              <w:rPr>
                <w:rFonts w:eastAsia="Times New Roman" w:cs="Times New Roman"/>
                <w:b w:val="0"/>
                <w:bCs w:val="0"/>
                <w:color w:val="auto"/>
                <w:sz w:val="20"/>
                <w:szCs w:val="20"/>
                <w:lang w:eastAsia="pl-PL"/>
              </w:rPr>
            </w:pPr>
          </w:p>
        </w:tc>
        <w:tc>
          <w:tcPr>
            <w:tcW w:w="3066" w:type="dxa"/>
          </w:tcPr>
          <w:p w14:paraId="4C41C33E" w14:textId="77777777" w:rsidR="008035B3" w:rsidRPr="00A06974" w:rsidRDefault="008035B3" w:rsidP="004D2D7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Kluby Samopomocy</w:t>
            </w:r>
          </w:p>
        </w:tc>
        <w:tc>
          <w:tcPr>
            <w:tcW w:w="2948" w:type="dxa"/>
            <w:gridSpan w:val="2"/>
            <w:vAlign w:val="center"/>
          </w:tcPr>
          <w:p w14:paraId="11EBF4B2" w14:textId="53B38FC7" w:rsidR="008035B3" w:rsidRPr="00A06974" w:rsidRDefault="008035B3"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1</w:t>
            </w:r>
            <w:r w:rsidR="00562A8F" w:rsidRPr="00A06974">
              <w:rPr>
                <w:rFonts w:cs="Times New Roman"/>
                <w:sz w:val="20"/>
                <w:szCs w:val="20"/>
              </w:rPr>
              <w:t>9</w:t>
            </w:r>
          </w:p>
        </w:tc>
        <w:tc>
          <w:tcPr>
            <w:tcW w:w="2948" w:type="dxa"/>
            <w:gridSpan w:val="2"/>
            <w:vAlign w:val="center"/>
          </w:tcPr>
          <w:p w14:paraId="24171BF8" w14:textId="600819CB" w:rsidR="008035B3" w:rsidRPr="00A06974" w:rsidRDefault="00562A8F"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464</w:t>
            </w:r>
          </w:p>
        </w:tc>
        <w:tc>
          <w:tcPr>
            <w:tcW w:w="2949" w:type="dxa"/>
            <w:vAlign w:val="center"/>
          </w:tcPr>
          <w:p w14:paraId="2598C1A0" w14:textId="11B84B46" w:rsidR="008035B3" w:rsidRPr="00A06974" w:rsidRDefault="00193D7E"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522</w:t>
            </w:r>
          </w:p>
        </w:tc>
      </w:tr>
      <w:tr w:rsidR="00562A8F" w:rsidRPr="00A06974" w14:paraId="292DE184" w14:textId="77777777" w:rsidTr="00555766">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85410C9" w14:textId="77777777" w:rsidR="008035B3" w:rsidRPr="00A06974" w:rsidRDefault="008035B3" w:rsidP="004D2D78">
            <w:pPr>
              <w:spacing w:line="240" w:lineRule="auto"/>
              <w:rPr>
                <w:rFonts w:eastAsia="Times New Roman" w:cs="Times New Roman"/>
                <w:b w:val="0"/>
                <w:bCs w:val="0"/>
                <w:color w:val="auto"/>
                <w:sz w:val="20"/>
                <w:szCs w:val="20"/>
                <w:lang w:eastAsia="pl-PL"/>
              </w:rPr>
            </w:pPr>
          </w:p>
        </w:tc>
        <w:tc>
          <w:tcPr>
            <w:tcW w:w="3066" w:type="dxa"/>
          </w:tcPr>
          <w:p w14:paraId="0C14B395" w14:textId="77777777" w:rsidR="008035B3" w:rsidRPr="00A06974" w:rsidRDefault="008035B3" w:rsidP="004D2D7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Placówki zapewniające całodobową opiekę osobom niepełnosprawnym, przewlekle chorym lub osobom w podeszłym wieku</w:t>
            </w:r>
          </w:p>
        </w:tc>
        <w:tc>
          <w:tcPr>
            <w:tcW w:w="2948" w:type="dxa"/>
            <w:gridSpan w:val="2"/>
            <w:vAlign w:val="center"/>
          </w:tcPr>
          <w:p w14:paraId="113A1653" w14:textId="4A12DCBA" w:rsidR="008035B3" w:rsidRPr="00A06974" w:rsidRDefault="008035B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5</w:t>
            </w:r>
            <w:r w:rsidR="00562A8F" w:rsidRPr="00A06974">
              <w:rPr>
                <w:rFonts w:cs="Times New Roman"/>
                <w:sz w:val="20"/>
                <w:szCs w:val="20"/>
              </w:rPr>
              <w:t>9</w:t>
            </w:r>
          </w:p>
        </w:tc>
        <w:tc>
          <w:tcPr>
            <w:tcW w:w="2948" w:type="dxa"/>
            <w:gridSpan w:val="2"/>
            <w:vAlign w:val="center"/>
          </w:tcPr>
          <w:p w14:paraId="7C7734A8" w14:textId="2B614C8F" w:rsidR="008035B3" w:rsidRPr="00A06974" w:rsidRDefault="00562A8F"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2 192</w:t>
            </w:r>
          </w:p>
        </w:tc>
        <w:tc>
          <w:tcPr>
            <w:tcW w:w="2949" w:type="dxa"/>
            <w:vAlign w:val="center"/>
          </w:tcPr>
          <w:p w14:paraId="042C0E51" w14:textId="297C1BB4" w:rsidR="008035B3" w:rsidRPr="00A06974" w:rsidRDefault="008035B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1 6</w:t>
            </w:r>
            <w:r w:rsidR="00193D7E" w:rsidRPr="00A06974">
              <w:rPr>
                <w:rFonts w:cs="Times New Roman"/>
                <w:sz w:val="20"/>
                <w:szCs w:val="20"/>
              </w:rPr>
              <w:t>33</w:t>
            </w:r>
          </w:p>
        </w:tc>
      </w:tr>
      <w:tr w:rsidR="00562A8F" w:rsidRPr="00A06974" w14:paraId="157BC355" w14:textId="77777777" w:rsidTr="00555766">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0313F3F" w14:textId="77777777" w:rsidR="008035B3" w:rsidRPr="00A06974" w:rsidRDefault="008035B3" w:rsidP="004D2D78">
            <w:pPr>
              <w:spacing w:line="240" w:lineRule="auto"/>
              <w:rPr>
                <w:rFonts w:eastAsia="Times New Roman" w:cs="Times New Roman"/>
                <w:b w:val="0"/>
                <w:bCs w:val="0"/>
                <w:color w:val="auto"/>
                <w:sz w:val="20"/>
                <w:szCs w:val="20"/>
                <w:lang w:eastAsia="pl-PL"/>
              </w:rPr>
            </w:pPr>
          </w:p>
        </w:tc>
        <w:tc>
          <w:tcPr>
            <w:tcW w:w="3066" w:type="dxa"/>
          </w:tcPr>
          <w:p w14:paraId="5C5439DD" w14:textId="77777777" w:rsidR="008035B3" w:rsidRPr="00A06974" w:rsidRDefault="008035B3" w:rsidP="004D2D7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Domy Pomocy Społecznej</w:t>
            </w:r>
          </w:p>
        </w:tc>
        <w:tc>
          <w:tcPr>
            <w:tcW w:w="2948" w:type="dxa"/>
            <w:gridSpan w:val="2"/>
            <w:vAlign w:val="center"/>
          </w:tcPr>
          <w:p w14:paraId="263CB54B" w14:textId="79702DB1" w:rsidR="008035B3" w:rsidRPr="00A06974" w:rsidRDefault="00562A8F"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64</w:t>
            </w:r>
          </w:p>
        </w:tc>
        <w:tc>
          <w:tcPr>
            <w:tcW w:w="2948" w:type="dxa"/>
            <w:gridSpan w:val="2"/>
            <w:vAlign w:val="center"/>
          </w:tcPr>
          <w:p w14:paraId="0203C834" w14:textId="4EC2E609" w:rsidR="008035B3" w:rsidRPr="00A06974" w:rsidRDefault="00562A8F"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3 840</w:t>
            </w:r>
          </w:p>
        </w:tc>
        <w:tc>
          <w:tcPr>
            <w:tcW w:w="2949" w:type="dxa"/>
            <w:vAlign w:val="center"/>
          </w:tcPr>
          <w:p w14:paraId="66243114" w14:textId="2325EB45" w:rsidR="008035B3" w:rsidRPr="00A06974" w:rsidRDefault="008035B3"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 xml:space="preserve">3 </w:t>
            </w:r>
            <w:r w:rsidR="00193D7E" w:rsidRPr="00A06974">
              <w:rPr>
                <w:rFonts w:cs="Times New Roman"/>
                <w:sz w:val="20"/>
                <w:szCs w:val="20"/>
              </w:rPr>
              <w:t>537</w:t>
            </w:r>
          </w:p>
        </w:tc>
      </w:tr>
      <w:tr w:rsidR="00562A8F" w:rsidRPr="00A06974" w14:paraId="4E68934A" w14:textId="77777777" w:rsidTr="00555766">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801500C" w14:textId="77777777" w:rsidR="008035B3" w:rsidRPr="00A06974" w:rsidRDefault="008035B3" w:rsidP="004D2D78">
            <w:pPr>
              <w:spacing w:line="240" w:lineRule="auto"/>
              <w:rPr>
                <w:rFonts w:eastAsia="Times New Roman" w:cs="Times New Roman"/>
                <w:b w:val="0"/>
                <w:bCs w:val="0"/>
                <w:color w:val="auto"/>
                <w:sz w:val="20"/>
                <w:szCs w:val="20"/>
                <w:lang w:eastAsia="pl-PL"/>
              </w:rPr>
            </w:pPr>
          </w:p>
        </w:tc>
        <w:tc>
          <w:tcPr>
            <w:tcW w:w="3066" w:type="dxa"/>
          </w:tcPr>
          <w:p w14:paraId="7568B0BA" w14:textId="77777777" w:rsidR="008035B3" w:rsidRPr="00A06974" w:rsidRDefault="008035B3" w:rsidP="004D2D7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Mieszkania chronione ogółem</w:t>
            </w:r>
          </w:p>
        </w:tc>
        <w:tc>
          <w:tcPr>
            <w:tcW w:w="2948" w:type="dxa"/>
            <w:gridSpan w:val="2"/>
            <w:vAlign w:val="center"/>
          </w:tcPr>
          <w:p w14:paraId="4C50BDA4" w14:textId="0FDAD596" w:rsidR="008035B3" w:rsidRPr="00A06974" w:rsidRDefault="008035B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7</w:t>
            </w:r>
            <w:r w:rsidR="00562A8F" w:rsidRPr="00A06974">
              <w:rPr>
                <w:rFonts w:cs="Times New Roman"/>
                <w:sz w:val="20"/>
                <w:szCs w:val="20"/>
              </w:rPr>
              <w:t>3</w:t>
            </w:r>
          </w:p>
        </w:tc>
        <w:tc>
          <w:tcPr>
            <w:tcW w:w="2948" w:type="dxa"/>
            <w:gridSpan w:val="2"/>
            <w:vAlign w:val="center"/>
          </w:tcPr>
          <w:p w14:paraId="50880FF9" w14:textId="33B093F4" w:rsidR="008035B3" w:rsidRPr="00A06974" w:rsidRDefault="00562A8F"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186</w:t>
            </w:r>
          </w:p>
        </w:tc>
        <w:tc>
          <w:tcPr>
            <w:tcW w:w="2949" w:type="dxa"/>
            <w:vAlign w:val="center"/>
          </w:tcPr>
          <w:p w14:paraId="0ED9A3AB" w14:textId="4E629B93" w:rsidR="008035B3" w:rsidRPr="00A06974" w:rsidRDefault="008035B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18</w:t>
            </w:r>
            <w:r w:rsidR="00193D7E" w:rsidRPr="00A06974">
              <w:rPr>
                <w:rFonts w:cs="Times New Roman"/>
                <w:sz w:val="20"/>
                <w:szCs w:val="20"/>
              </w:rPr>
              <w:t>5</w:t>
            </w:r>
          </w:p>
        </w:tc>
      </w:tr>
      <w:tr w:rsidR="00562A8F" w:rsidRPr="00A06974" w14:paraId="778BD2F9" w14:textId="77777777" w:rsidTr="00555766">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CE75241" w14:textId="77777777" w:rsidR="008035B3" w:rsidRPr="00A06974" w:rsidRDefault="008035B3" w:rsidP="004D2D78">
            <w:pPr>
              <w:spacing w:line="240" w:lineRule="auto"/>
              <w:rPr>
                <w:rFonts w:eastAsia="Times New Roman" w:cs="Times New Roman"/>
                <w:b w:val="0"/>
                <w:bCs w:val="0"/>
                <w:color w:val="auto"/>
                <w:sz w:val="20"/>
                <w:szCs w:val="20"/>
                <w:lang w:eastAsia="pl-PL"/>
              </w:rPr>
            </w:pPr>
          </w:p>
        </w:tc>
        <w:tc>
          <w:tcPr>
            <w:tcW w:w="3066" w:type="dxa"/>
          </w:tcPr>
          <w:p w14:paraId="714B4F51" w14:textId="77777777" w:rsidR="008035B3" w:rsidRPr="00A06974" w:rsidRDefault="008035B3" w:rsidP="004D2D7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Ośrodki Interwencji Kryzysowej ogółem</w:t>
            </w:r>
          </w:p>
        </w:tc>
        <w:tc>
          <w:tcPr>
            <w:tcW w:w="2948" w:type="dxa"/>
            <w:gridSpan w:val="2"/>
            <w:vAlign w:val="center"/>
          </w:tcPr>
          <w:p w14:paraId="712ED01B" w14:textId="74BC969B" w:rsidR="008035B3" w:rsidRPr="00A06974" w:rsidRDefault="00562A8F"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20</w:t>
            </w:r>
          </w:p>
        </w:tc>
        <w:tc>
          <w:tcPr>
            <w:tcW w:w="2948" w:type="dxa"/>
            <w:gridSpan w:val="2"/>
            <w:vAlign w:val="center"/>
          </w:tcPr>
          <w:p w14:paraId="2BF29B6A" w14:textId="2E0BC5B5" w:rsidR="008035B3" w:rsidRPr="00A06974" w:rsidRDefault="00562A8F"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w:t>
            </w:r>
          </w:p>
        </w:tc>
        <w:tc>
          <w:tcPr>
            <w:tcW w:w="2949" w:type="dxa"/>
            <w:vAlign w:val="center"/>
          </w:tcPr>
          <w:p w14:paraId="1540F1E0" w14:textId="1A0AD159" w:rsidR="008035B3" w:rsidRPr="00A06974" w:rsidRDefault="008035B3"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2</w:t>
            </w:r>
            <w:r w:rsidR="00193D7E" w:rsidRPr="00A06974">
              <w:rPr>
                <w:rFonts w:cs="Times New Roman"/>
                <w:sz w:val="20"/>
                <w:szCs w:val="20"/>
              </w:rPr>
              <w:t>6 400</w:t>
            </w:r>
          </w:p>
        </w:tc>
      </w:tr>
      <w:tr w:rsidR="0092226B" w:rsidRPr="00A06974" w14:paraId="6E15C038" w14:textId="77777777" w:rsidTr="00555766">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A2987ED" w14:textId="77777777" w:rsidR="008035B3" w:rsidRPr="00A06974" w:rsidRDefault="008035B3" w:rsidP="004D2D78">
            <w:pPr>
              <w:spacing w:line="240" w:lineRule="auto"/>
              <w:rPr>
                <w:rFonts w:eastAsia="Times New Roman" w:cs="Times New Roman"/>
                <w:b w:val="0"/>
                <w:bCs w:val="0"/>
                <w:color w:val="auto"/>
                <w:sz w:val="20"/>
                <w:szCs w:val="20"/>
                <w:lang w:eastAsia="pl-PL"/>
              </w:rPr>
            </w:pPr>
          </w:p>
        </w:tc>
        <w:tc>
          <w:tcPr>
            <w:tcW w:w="3066" w:type="dxa"/>
          </w:tcPr>
          <w:p w14:paraId="36507779" w14:textId="77777777" w:rsidR="008035B3" w:rsidRPr="00A06974" w:rsidRDefault="008035B3" w:rsidP="004D2D7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Jednostki specjalistycznego poradnictwa</w:t>
            </w:r>
          </w:p>
        </w:tc>
        <w:tc>
          <w:tcPr>
            <w:tcW w:w="2948" w:type="dxa"/>
            <w:gridSpan w:val="2"/>
            <w:vAlign w:val="center"/>
          </w:tcPr>
          <w:p w14:paraId="480437C5" w14:textId="67A56045" w:rsidR="008035B3" w:rsidRPr="00A06974" w:rsidRDefault="00193D7E"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5</w:t>
            </w:r>
          </w:p>
        </w:tc>
        <w:tc>
          <w:tcPr>
            <w:tcW w:w="2948" w:type="dxa"/>
            <w:gridSpan w:val="2"/>
            <w:vAlign w:val="center"/>
          </w:tcPr>
          <w:p w14:paraId="64DC6019" w14:textId="77777777" w:rsidR="008035B3" w:rsidRPr="00A06974" w:rsidRDefault="008035B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w:t>
            </w:r>
          </w:p>
        </w:tc>
        <w:tc>
          <w:tcPr>
            <w:tcW w:w="2949" w:type="dxa"/>
            <w:vAlign w:val="center"/>
          </w:tcPr>
          <w:p w14:paraId="755F8F9F" w14:textId="3856C1ED" w:rsidR="008035B3" w:rsidRPr="00A06974" w:rsidRDefault="00193D7E"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1626</w:t>
            </w:r>
          </w:p>
        </w:tc>
      </w:tr>
      <w:tr w:rsidR="00193D7E" w:rsidRPr="00A06974" w14:paraId="020BFE6F" w14:textId="77777777" w:rsidTr="00555766">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5E693A2" w14:textId="77777777" w:rsidR="00193D7E" w:rsidRPr="00A06974" w:rsidRDefault="00193D7E" w:rsidP="004D2D78">
            <w:pPr>
              <w:spacing w:line="240" w:lineRule="auto"/>
              <w:rPr>
                <w:rFonts w:eastAsia="Times New Roman" w:cs="Times New Roman"/>
                <w:b w:val="0"/>
                <w:bCs w:val="0"/>
                <w:sz w:val="20"/>
                <w:szCs w:val="20"/>
                <w:lang w:eastAsia="pl-PL"/>
              </w:rPr>
            </w:pPr>
          </w:p>
        </w:tc>
        <w:tc>
          <w:tcPr>
            <w:tcW w:w="3066" w:type="dxa"/>
          </w:tcPr>
          <w:p w14:paraId="79BA7255" w14:textId="1F9453B0" w:rsidR="00193D7E" w:rsidRPr="00A06974" w:rsidRDefault="00193D7E" w:rsidP="004D2D7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Placówki wsparcia dziennego</w:t>
            </w:r>
          </w:p>
        </w:tc>
        <w:tc>
          <w:tcPr>
            <w:tcW w:w="2948" w:type="dxa"/>
            <w:gridSpan w:val="2"/>
            <w:vAlign w:val="center"/>
          </w:tcPr>
          <w:p w14:paraId="00C127D6" w14:textId="03B96E30" w:rsidR="00193D7E" w:rsidRPr="00A06974" w:rsidRDefault="00193D7E"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15</w:t>
            </w:r>
          </w:p>
        </w:tc>
        <w:tc>
          <w:tcPr>
            <w:tcW w:w="2948" w:type="dxa"/>
            <w:gridSpan w:val="2"/>
            <w:vAlign w:val="center"/>
          </w:tcPr>
          <w:p w14:paraId="0D21E116" w14:textId="5F9BEC16" w:rsidR="00193D7E" w:rsidRPr="00A06974" w:rsidRDefault="00193D7E"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444</w:t>
            </w:r>
          </w:p>
        </w:tc>
        <w:tc>
          <w:tcPr>
            <w:tcW w:w="2949" w:type="dxa"/>
            <w:vAlign w:val="center"/>
          </w:tcPr>
          <w:p w14:paraId="67C4C023" w14:textId="28427A16" w:rsidR="00193D7E" w:rsidRPr="00A06974" w:rsidRDefault="00193D7E"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529</w:t>
            </w:r>
          </w:p>
        </w:tc>
      </w:tr>
      <w:tr w:rsidR="0092226B" w:rsidRPr="00A06974" w14:paraId="6290223B" w14:textId="77777777" w:rsidTr="00555766">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37C0F1E" w14:textId="77777777" w:rsidR="008035B3" w:rsidRPr="00A06974" w:rsidRDefault="008035B3" w:rsidP="004D2D78">
            <w:pPr>
              <w:spacing w:line="240" w:lineRule="auto"/>
              <w:rPr>
                <w:rFonts w:eastAsia="Times New Roman" w:cs="Times New Roman"/>
                <w:b w:val="0"/>
                <w:bCs w:val="0"/>
                <w:color w:val="auto"/>
                <w:sz w:val="20"/>
                <w:szCs w:val="20"/>
                <w:lang w:eastAsia="pl-PL"/>
              </w:rPr>
            </w:pPr>
          </w:p>
        </w:tc>
        <w:tc>
          <w:tcPr>
            <w:tcW w:w="3066" w:type="dxa"/>
          </w:tcPr>
          <w:p w14:paraId="595CC598" w14:textId="77777777" w:rsidR="008035B3" w:rsidRPr="00A06974" w:rsidRDefault="008035B3" w:rsidP="004D2D7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Placówki Senior+, w tym:</w:t>
            </w:r>
          </w:p>
        </w:tc>
        <w:tc>
          <w:tcPr>
            <w:tcW w:w="8845" w:type="dxa"/>
            <w:gridSpan w:val="5"/>
            <w:vAlign w:val="center"/>
          </w:tcPr>
          <w:p w14:paraId="57152DF0" w14:textId="77777777" w:rsidR="008035B3" w:rsidRPr="00A06974" w:rsidRDefault="008035B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9C2933" w:rsidRPr="00A06974" w14:paraId="5741C2DD" w14:textId="77777777" w:rsidTr="00555766">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E7E2DAA" w14:textId="77777777" w:rsidR="009C2933" w:rsidRPr="00A06974" w:rsidRDefault="009C2933" w:rsidP="004D2D78">
            <w:pPr>
              <w:spacing w:line="240" w:lineRule="auto"/>
              <w:rPr>
                <w:rFonts w:eastAsia="Times New Roman" w:cs="Times New Roman"/>
                <w:b w:val="0"/>
                <w:bCs w:val="0"/>
                <w:color w:val="auto"/>
                <w:sz w:val="20"/>
                <w:szCs w:val="20"/>
                <w:lang w:eastAsia="pl-PL"/>
              </w:rPr>
            </w:pPr>
          </w:p>
        </w:tc>
        <w:tc>
          <w:tcPr>
            <w:tcW w:w="3066" w:type="dxa"/>
          </w:tcPr>
          <w:p w14:paraId="59AAB2BD" w14:textId="77777777" w:rsidR="009C2933" w:rsidRPr="00A06974" w:rsidRDefault="009C2933" w:rsidP="004D2D7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Domy Dziennego Pobytu</w:t>
            </w:r>
          </w:p>
        </w:tc>
        <w:tc>
          <w:tcPr>
            <w:tcW w:w="2948" w:type="dxa"/>
            <w:gridSpan w:val="2"/>
            <w:vAlign w:val="center"/>
          </w:tcPr>
          <w:p w14:paraId="0497F0A7" w14:textId="46F14941" w:rsidR="009C2933" w:rsidRPr="00A06974" w:rsidRDefault="009C2933"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25</w:t>
            </w:r>
          </w:p>
        </w:tc>
        <w:tc>
          <w:tcPr>
            <w:tcW w:w="2948" w:type="dxa"/>
            <w:gridSpan w:val="2"/>
            <w:vAlign w:val="center"/>
          </w:tcPr>
          <w:p w14:paraId="53F7F109" w14:textId="285C738E" w:rsidR="009C2933" w:rsidRPr="00A06974" w:rsidRDefault="009C2933"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753</w:t>
            </w:r>
          </w:p>
        </w:tc>
        <w:tc>
          <w:tcPr>
            <w:tcW w:w="2949" w:type="dxa"/>
            <w:vMerge w:val="restart"/>
            <w:vAlign w:val="center"/>
          </w:tcPr>
          <w:p w14:paraId="69E6D337" w14:textId="00617D78" w:rsidR="009C2933" w:rsidRPr="00A06974" w:rsidRDefault="009C2933" w:rsidP="008470A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2 004</w:t>
            </w:r>
          </w:p>
        </w:tc>
      </w:tr>
      <w:tr w:rsidR="009C2933" w:rsidRPr="00A06974" w14:paraId="0DC3D319" w14:textId="77777777" w:rsidTr="00555766">
        <w:trPr>
          <w:trHeight w:val="85"/>
        </w:trPr>
        <w:tc>
          <w:tcPr>
            <w:cnfStyle w:val="001000000000" w:firstRow="0" w:lastRow="0" w:firstColumn="1" w:lastColumn="0" w:oddVBand="0" w:evenVBand="0" w:oddHBand="0" w:evenHBand="0" w:firstRowFirstColumn="0" w:firstRowLastColumn="0" w:lastRowFirstColumn="0" w:lastRowLastColumn="0"/>
            <w:tcW w:w="2830" w:type="dxa"/>
            <w:vMerge/>
          </w:tcPr>
          <w:p w14:paraId="10DD88FB" w14:textId="77777777" w:rsidR="009C2933" w:rsidRPr="00A06974" w:rsidRDefault="009C2933" w:rsidP="004D2D78">
            <w:pPr>
              <w:spacing w:line="240" w:lineRule="auto"/>
              <w:rPr>
                <w:rFonts w:eastAsia="Times New Roman" w:cs="Times New Roman"/>
                <w:b w:val="0"/>
                <w:bCs w:val="0"/>
                <w:color w:val="auto"/>
                <w:sz w:val="20"/>
                <w:szCs w:val="20"/>
                <w:lang w:eastAsia="pl-PL"/>
              </w:rPr>
            </w:pPr>
          </w:p>
        </w:tc>
        <w:tc>
          <w:tcPr>
            <w:tcW w:w="3066" w:type="dxa"/>
          </w:tcPr>
          <w:p w14:paraId="1DDCBFDB" w14:textId="77777777" w:rsidR="009C2933" w:rsidRPr="00A06974" w:rsidRDefault="009C2933" w:rsidP="004D2D7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Kluby Senior+</w:t>
            </w:r>
          </w:p>
        </w:tc>
        <w:tc>
          <w:tcPr>
            <w:tcW w:w="2948" w:type="dxa"/>
            <w:gridSpan w:val="2"/>
            <w:vAlign w:val="center"/>
          </w:tcPr>
          <w:p w14:paraId="38B8F0A7" w14:textId="0F5D3FEF" w:rsidR="009C2933" w:rsidRPr="00A06974" w:rsidRDefault="009C293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50</w:t>
            </w:r>
          </w:p>
        </w:tc>
        <w:tc>
          <w:tcPr>
            <w:tcW w:w="2948" w:type="dxa"/>
            <w:gridSpan w:val="2"/>
            <w:vAlign w:val="center"/>
          </w:tcPr>
          <w:p w14:paraId="29F50412" w14:textId="29FF3031" w:rsidR="009C2933" w:rsidRPr="00A06974" w:rsidRDefault="009C293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1 221</w:t>
            </w:r>
          </w:p>
        </w:tc>
        <w:tc>
          <w:tcPr>
            <w:tcW w:w="2949" w:type="dxa"/>
            <w:vMerge/>
            <w:vAlign w:val="center"/>
          </w:tcPr>
          <w:p w14:paraId="37A9F25E" w14:textId="5BFD3529" w:rsidR="009C2933" w:rsidRPr="00A06974" w:rsidRDefault="009C293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92226B" w:rsidRPr="00A06974" w14:paraId="43B5D2E2" w14:textId="77777777" w:rsidTr="00555766">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636A6720" w14:textId="77777777" w:rsidR="008035B3" w:rsidRPr="00A06974" w:rsidRDefault="008035B3" w:rsidP="00555766">
            <w:pPr>
              <w:spacing w:line="240" w:lineRule="auto"/>
              <w:jc w:val="left"/>
              <w:rPr>
                <w:rFonts w:eastAsia="Times New Roman" w:cs="Times New Roman"/>
                <w:b w:val="0"/>
                <w:bCs w:val="0"/>
                <w:color w:val="auto"/>
                <w:sz w:val="20"/>
                <w:szCs w:val="20"/>
                <w:lang w:eastAsia="pl-PL"/>
              </w:rPr>
            </w:pPr>
            <w:r w:rsidRPr="00A06974">
              <w:rPr>
                <w:rFonts w:eastAsia="Times New Roman" w:cs="Times New Roman"/>
                <w:color w:val="auto"/>
                <w:sz w:val="20"/>
                <w:szCs w:val="20"/>
                <w:lang w:eastAsia="pl-PL"/>
              </w:rPr>
              <w:t>Usługi świadczone osobom starszym</w:t>
            </w:r>
          </w:p>
        </w:tc>
        <w:tc>
          <w:tcPr>
            <w:tcW w:w="3119" w:type="dxa"/>
            <w:gridSpan w:val="2"/>
            <w:vAlign w:val="center"/>
          </w:tcPr>
          <w:p w14:paraId="04030F58" w14:textId="77777777" w:rsidR="008035B3" w:rsidRPr="00A06974" w:rsidRDefault="008035B3"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A06974">
              <w:rPr>
                <w:rFonts w:cs="Times New Roman"/>
                <w:b/>
                <w:sz w:val="20"/>
                <w:szCs w:val="20"/>
              </w:rPr>
              <w:t>Rodzaj usług</w:t>
            </w:r>
          </w:p>
        </w:tc>
        <w:tc>
          <w:tcPr>
            <w:tcW w:w="3685" w:type="dxa"/>
            <w:gridSpan w:val="2"/>
            <w:vAlign w:val="center"/>
          </w:tcPr>
          <w:p w14:paraId="047058D9" w14:textId="77777777" w:rsidR="008035B3" w:rsidRPr="00A06974" w:rsidRDefault="008035B3"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A06974">
              <w:rPr>
                <w:rFonts w:cs="Times New Roman"/>
                <w:b/>
                <w:sz w:val="20"/>
                <w:szCs w:val="20"/>
              </w:rPr>
              <w:t>Liczba osób starszych objętych pomocą</w:t>
            </w:r>
          </w:p>
        </w:tc>
        <w:tc>
          <w:tcPr>
            <w:tcW w:w="5107" w:type="dxa"/>
            <w:gridSpan w:val="2"/>
            <w:vAlign w:val="center"/>
          </w:tcPr>
          <w:p w14:paraId="650D20F2" w14:textId="77777777" w:rsidR="008035B3" w:rsidRPr="00A06974" w:rsidRDefault="008035B3"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A06974">
              <w:rPr>
                <w:rFonts w:cs="Times New Roman"/>
                <w:b/>
                <w:sz w:val="20"/>
                <w:szCs w:val="20"/>
              </w:rPr>
              <w:t>Wysokość środków przeznaczonych na usługi</w:t>
            </w:r>
          </w:p>
        </w:tc>
      </w:tr>
      <w:tr w:rsidR="0092226B" w:rsidRPr="00A06974" w14:paraId="3ECFD00A" w14:textId="77777777" w:rsidTr="00555766">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31680251" w14:textId="77777777" w:rsidR="008035B3" w:rsidRPr="00A06974" w:rsidRDefault="008035B3" w:rsidP="00555766">
            <w:pPr>
              <w:spacing w:line="240" w:lineRule="auto"/>
              <w:jc w:val="left"/>
              <w:rPr>
                <w:rFonts w:eastAsia="Times New Roman" w:cs="Times New Roman"/>
                <w:b w:val="0"/>
                <w:bCs w:val="0"/>
                <w:color w:val="auto"/>
                <w:sz w:val="20"/>
                <w:szCs w:val="20"/>
                <w:lang w:eastAsia="pl-PL"/>
              </w:rPr>
            </w:pPr>
          </w:p>
        </w:tc>
        <w:tc>
          <w:tcPr>
            <w:tcW w:w="3119" w:type="dxa"/>
            <w:gridSpan w:val="2"/>
            <w:vAlign w:val="center"/>
          </w:tcPr>
          <w:p w14:paraId="7E2DAB93" w14:textId="77777777" w:rsidR="008035B3" w:rsidRPr="00A06974" w:rsidRDefault="00391F2A"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Usługi o</w:t>
            </w:r>
            <w:r w:rsidR="008035B3" w:rsidRPr="00A06974">
              <w:rPr>
                <w:rFonts w:cs="Times New Roman"/>
                <w:sz w:val="20"/>
                <w:szCs w:val="20"/>
              </w:rPr>
              <w:t>piekuńcze ogółem</w:t>
            </w:r>
          </w:p>
        </w:tc>
        <w:tc>
          <w:tcPr>
            <w:tcW w:w="3685" w:type="dxa"/>
            <w:gridSpan w:val="2"/>
            <w:vAlign w:val="center"/>
          </w:tcPr>
          <w:p w14:paraId="391C118D" w14:textId="650D513D" w:rsidR="008035B3" w:rsidRPr="00A06974" w:rsidRDefault="00193D7E"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9 600</w:t>
            </w:r>
          </w:p>
        </w:tc>
        <w:tc>
          <w:tcPr>
            <w:tcW w:w="5107" w:type="dxa"/>
            <w:gridSpan w:val="2"/>
            <w:vAlign w:val="center"/>
          </w:tcPr>
          <w:p w14:paraId="04DA1E7A" w14:textId="1E73E440" w:rsidR="008035B3" w:rsidRPr="00A06974" w:rsidRDefault="008035B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5</w:t>
            </w:r>
            <w:r w:rsidR="00193D7E" w:rsidRPr="00A06974">
              <w:rPr>
                <w:rFonts w:cs="Times New Roman"/>
                <w:sz w:val="20"/>
                <w:szCs w:val="20"/>
              </w:rPr>
              <w:t>3 319</w:t>
            </w:r>
            <w:r w:rsidR="00A06974">
              <w:rPr>
                <w:rFonts w:cs="Times New Roman"/>
                <w:sz w:val="20"/>
                <w:szCs w:val="20"/>
              </w:rPr>
              <w:t> </w:t>
            </w:r>
            <w:r w:rsidR="00193D7E" w:rsidRPr="00A06974">
              <w:rPr>
                <w:rFonts w:cs="Times New Roman"/>
                <w:sz w:val="20"/>
                <w:szCs w:val="20"/>
              </w:rPr>
              <w:t>061</w:t>
            </w:r>
            <w:r w:rsidR="00A06974">
              <w:rPr>
                <w:rFonts w:cs="Times New Roman"/>
                <w:sz w:val="20"/>
                <w:szCs w:val="20"/>
              </w:rPr>
              <w:t xml:space="preserve"> zł</w:t>
            </w:r>
          </w:p>
        </w:tc>
      </w:tr>
      <w:tr w:rsidR="0092226B" w:rsidRPr="00A06974" w14:paraId="1621C488" w14:textId="77777777" w:rsidTr="00555766">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456CDF6E" w14:textId="77777777" w:rsidR="008035B3" w:rsidRPr="00A06974" w:rsidRDefault="008035B3" w:rsidP="00555766">
            <w:pPr>
              <w:spacing w:line="240" w:lineRule="auto"/>
              <w:jc w:val="left"/>
              <w:rPr>
                <w:rFonts w:eastAsia="Times New Roman" w:cs="Times New Roman"/>
                <w:b w:val="0"/>
                <w:bCs w:val="0"/>
                <w:color w:val="auto"/>
                <w:sz w:val="20"/>
                <w:szCs w:val="20"/>
                <w:lang w:eastAsia="pl-PL"/>
              </w:rPr>
            </w:pPr>
          </w:p>
        </w:tc>
        <w:tc>
          <w:tcPr>
            <w:tcW w:w="11911" w:type="dxa"/>
            <w:gridSpan w:val="6"/>
            <w:vAlign w:val="center"/>
          </w:tcPr>
          <w:p w14:paraId="7CC469F5" w14:textId="77777777" w:rsidR="008035B3" w:rsidRPr="00A06974" w:rsidRDefault="008035B3"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w tym:</w:t>
            </w:r>
          </w:p>
        </w:tc>
      </w:tr>
      <w:tr w:rsidR="0092226B" w:rsidRPr="00A06974" w14:paraId="01DADEE1" w14:textId="77777777" w:rsidTr="00555766">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287D57DF" w14:textId="77777777" w:rsidR="008035B3" w:rsidRPr="00A06974" w:rsidRDefault="008035B3" w:rsidP="00555766">
            <w:pPr>
              <w:spacing w:line="240" w:lineRule="auto"/>
              <w:jc w:val="left"/>
              <w:rPr>
                <w:rFonts w:eastAsia="Times New Roman" w:cs="Times New Roman"/>
                <w:b w:val="0"/>
                <w:bCs w:val="0"/>
                <w:color w:val="auto"/>
                <w:sz w:val="20"/>
                <w:szCs w:val="20"/>
                <w:lang w:eastAsia="pl-PL"/>
              </w:rPr>
            </w:pPr>
          </w:p>
        </w:tc>
        <w:tc>
          <w:tcPr>
            <w:tcW w:w="3119" w:type="dxa"/>
            <w:gridSpan w:val="2"/>
            <w:vAlign w:val="center"/>
          </w:tcPr>
          <w:p w14:paraId="6BA0BDE8" w14:textId="77777777" w:rsidR="008035B3" w:rsidRPr="00A06974" w:rsidRDefault="00391F2A"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s</w:t>
            </w:r>
            <w:r w:rsidR="008035B3" w:rsidRPr="00A06974">
              <w:rPr>
                <w:rFonts w:cs="Times New Roman"/>
                <w:sz w:val="20"/>
                <w:szCs w:val="20"/>
              </w:rPr>
              <w:t>pecjalistyczne</w:t>
            </w:r>
            <w:r w:rsidRPr="00A06974">
              <w:rPr>
                <w:rFonts w:cs="Times New Roman"/>
                <w:sz w:val="20"/>
                <w:szCs w:val="20"/>
              </w:rPr>
              <w:t xml:space="preserve"> usługi</w:t>
            </w:r>
            <w:r w:rsidR="008035B3" w:rsidRPr="00A06974">
              <w:rPr>
                <w:rFonts w:cs="Times New Roman"/>
                <w:sz w:val="20"/>
                <w:szCs w:val="20"/>
              </w:rPr>
              <w:t xml:space="preserve"> opiekuńcze</w:t>
            </w:r>
          </w:p>
        </w:tc>
        <w:tc>
          <w:tcPr>
            <w:tcW w:w="3685" w:type="dxa"/>
            <w:gridSpan w:val="2"/>
            <w:vAlign w:val="center"/>
          </w:tcPr>
          <w:p w14:paraId="10A25A74" w14:textId="67E0D7B0" w:rsidR="008035B3" w:rsidRPr="00A06974" w:rsidRDefault="00193D7E"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273</w:t>
            </w:r>
          </w:p>
        </w:tc>
        <w:tc>
          <w:tcPr>
            <w:tcW w:w="5107" w:type="dxa"/>
            <w:gridSpan w:val="2"/>
            <w:vAlign w:val="center"/>
          </w:tcPr>
          <w:p w14:paraId="3F74E0A5" w14:textId="070077DF" w:rsidR="008035B3" w:rsidRPr="00A06974" w:rsidRDefault="008035B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1</w:t>
            </w:r>
            <w:r w:rsidR="00193D7E" w:rsidRPr="00A06974">
              <w:rPr>
                <w:rFonts w:cs="Times New Roman"/>
                <w:sz w:val="20"/>
                <w:szCs w:val="20"/>
              </w:rPr>
              <w:t> 360</w:t>
            </w:r>
            <w:r w:rsidR="00A06974">
              <w:rPr>
                <w:rFonts w:cs="Times New Roman"/>
                <w:sz w:val="20"/>
                <w:szCs w:val="20"/>
              </w:rPr>
              <w:t> </w:t>
            </w:r>
            <w:r w:rsidR="00193D7E" w:rsidRPr="00A06974">
              <w:rPr>
                <w:rFonts w:cs="Times New Roman"/>
                <w:sz w:val="20"/>
                <w:szCs w:val="20"/>
              </w:rPr>
              <w:t>744</w:t>
            </w:r>
            <w:r w:rsidR="00A06974">
              <w:rPr>
                <w:rFonts w:cs="Times New Roman"/>
                <w:sz w:val="20"/>
                <w:szCs w:val="20"/>
              </w:rPr>
              <w:t xml:space="preserve"> zł</w:t>
            </w:r>
          </w:p>
        </w:tc>
      </w:tr>
      <w:tr w:rsidR="0092226B" w:rsidRPr="00A06974" w14:paraId="310496B3" w14:textId="77777777" w:rsidTr="0055576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0" w:type="dxa"/>
            <w:vMerge/>
          </w:tcPr>
          <w:p w14:paraId="44A51569" w14:textId="77777777" w:rsidR="008035B3" w:rsidRPr="00A06974" w:rsidRDefault="008035B3" w:rsidP="00555766">
            <w:pPr>
              <w:spacing w:line="240" w:lineRule="auto"/>
              <w:jc w:val="left"/>
              <w:rPr>
                <w:rFonts w:eastAsia="Times New Roman" w:cs="Times New Roman"/>
                <w:b w:val="0"/>
                <w:bCs w:val="0"/>
                <w:color w:val="auto"/>
                <w:sz w:val="20"/>
                <w:szCs w:val="20"/>
                <w:lang w:eastAsia="pl-PL"/>
              </w:rPr>
            </w:pPr>
          </w:p>
        </w:tc>
        <w:tc>
          <w:tcPr>
            <w:tcW w:w="3119" w:type="dxa"/>
            <w:gridSpan w:val="2"/>
            <w:vAlign w:val="center"/>
          </w:tcPr>
          <w:p w14:paraId="0C33356A" w14:textId="77777777" w:rsidR="008035B3" w:rsidRPr="00A06974" w:rsidRDefault="00391F2A"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s</w:t>
            </w:r>
            <w:r w:rsidR="008035B3" w:rsidRPr="00A06974">
              <w:rPr>
                <w:rFonts w:cs="Times New Roman"/>
                <w:sz w:val="20"/>
                <w:szCs w:val="20"/>
              </w:rPr>
              <w:t xml:space="preserve">pecjalistyczne usługi </w:t>
            </w:r>
            <w:r w:rsidRPr="00A06974">
              <w:rPr>
                <w:rFonts w:cs="Times New Roman"/>
                <w:sz w:val="20"/>
                <w:szCs w:val="20"/>
              </w:rPr>
              <w:t xml:space="preserve">opiekuńcze w miejscu zamieszkania </w:t>
            </w:r>
            <w:r w:rsidR="008035B3" w:rsidRPr="00A06974">
              <w:rPr>
                <w:rFonts w:cs="Times New Roman"/>
                <w:sz w:val="20"/>
                <w:szCs w:val="20"/>
              </w:rPr>
              <w:t>dla osób z zaburzeniami psychicznymi</w:t>
            </w:r>
          </w:p>
        </w:tc>
        <w:tc>
          <w:tcPr>
            <w:tcW w:w="3685" w:type="dxa"/>
            <w:gridSpan w:val="2"/>
            <w:vAlign w:val="center"/>
          </w:tcPr>
          <w:p w14:paraId="2394ECF1" w14:textId="61BF0853" w:rsidR="008035B3" w:rsidRPr="00A06974" w:rsidRDefault="00193D7E"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447</w:t>
            </w:r>
          </w:p>
        </w:tc>
        <w:tc>
          <w:tcPr>
            <w:tcW w:w="5107" w:type="dxa"/>
            <w:gridSpan w:val="2"/>
            <w:vAlign w:val="center"/>
          </w:tcPr>
          <w:p w14:paraId="23528D54" w14:textId="35ADED95" w:rsidR="008035B3" w:rsidRPr="00A06974" w:rsidRDefault="00193D7E"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5 748</w:t>
            </w:r>
            <w:r w:rsidR="00A06974">
              <w:rPr>
                <w:rFonts w:cs="Times New Roman"/>
                <w:sz w:val="20"/>
                <w:szCs w:val="20"/>
              </w:rPr>
              <w:t> </w:t>
            </w:r>
            <w:r w:rsidRPr="00A06974">
              <w:rPr>
                <w:rFonts w:cs="Times New Roman"/>
                <w:sz w:val="20"/>
                <w:szCs w:val="20"/>
              </w:rPr>
              <w:t>326</w:t>
            </w:r>
            <w:r w:rsidR="00A06974">
              <w:rPr>
                <w:rFonts w:cs="Times New Roman"/>
                <w:sz w:val="20"/>
                <w:szCs w:val="20"/>
              </w:rPr>
              <w:t xml:space="preserve"> zł</w:t>
            </w:r>
          </w:p>
        </w:tc>
      </w:tr>
      <w:tr w:rsidR="0092226B" w:rsidRPr="00A06974" w14:paraId="766E7E8B" w14:textId="77777777" w:rsidTr="00555766">
        <w:trPr>
          <w:trHeight w:val="19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181619EF" w14:textId="77777777" w:rsidR="008035B3" w:rsidRPr="00A06974" w:rsidRDefault="008035B3" w:rsidP="00555766">
            <w:pPr>
              <w:spacing w:line="240" w:lineRule="auto"/>
              <w:jc w:val="left"/>
              <w:rPr>
                <w:rFonts w:eastAsia="Times New Roman" w:cs="Times New Roman"/>
                <w:b w:val="0"/>
                <w:bCs w:val="0"/>
                <w:color w:val="auto"/>
                <w:sz w:val="20"/>
                <w:szCs w:val="20"/>
                <w:lang w:eastAsia="pl-PL"/>
              </w:rPr>
            </w:pPr>
            <w:r w:rsidRPr="00A06974">
              <w:rPr>
                <w:rFonts w:eastAsia="Times New Roman" w:cs="Times New Roman"/>
                <w:color w:val="auto"/>
                <w:sz w:val="20"/>
                <w:szCs w:val="20"/>
                <w:lang w:eastAsia="pl-PL"/>
              </w:rPr>
              <w:t>Świadczenia pieniężne przyznane osobom starszym</w:t>
            </w:r>
          </w:p>
        </w:tc>
        <w:tc>
          <w:tcPr>
            <w:tcW w:w="3119" w:type="dxa"/>
            <w:gridSpan w:val="2"/>
          </w:tcPr>
          <w:p w14:paraId="22EDB58D" w14:textId="77777777" w:rsidR="008035B3" w:rsidRPr="00A06974" w:rsidRDefault="008035B3" w:rsidP="004D2D78">
            <w:pPr>
              <w:spacing w:line="240"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A06974">
              <w:rPr>
                <w:rFonts w:cs="Times New Roman"/>
                <w:b/>
                <w:sz w:val="20"/>
                <w:szCs w:val="20"/>
              </w:rPr>
              <w:t>Nazwa świadczenia</w:t>
            </w:r>
          </w:p>
        </w:tc>
        <w:tc>
          <w:tcPr>
            <w:tcW w:w="3685" w:type="dxa"/>
            <w:gridSpan w:val="2"/>
            <w:vAlign w:val="center"/>
          </w:tcPr>
          <w:p w14:paraId="145A9FE4" w14:textId="77777777" w:rsidR="008035B3" w:rsidRPr="00A06974" w:rsidRDefault="008035B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A06974">
              <w:rPr>
                <w:rFonts w:cs="Times New Roman"/>
                <w:b/>
                <w:sz w:val="20"/>
                <w:szCs w:val="20"/>
              </w:rPr>
              <w:t>Liczba osób starszych</w:t>
            </w:r>
          </w:p>
        </w:tc>
        <w:tc>
          <w:tcPr>
            <w:tcW w:w="5107" w:type="dxa"/>
            <w:gridSpan w:val="2"/>
            <w:vAlign w:val="center"/>
          </w:tcPr>
          <w:p w14:paraId="73B4B41C" w14:textId="77777777" w:rsidR="008035B3" w:rsidRPr="00A06974" w:rsidRDefault="008035B3"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A06974">
              <w:rPr>
                <w:rFonts w:cs="Times New Roman"/>
                <w:b/>
                <w:sz w:val="20"/>
                <w:szCs w:val="20"/>
              </w:rPr>
              <w:t>Kwota świadczenia</w:t>
            </w:r>
          </w:p>
        </w:tc>
      </w:tr>
      <w:tr w:rsidR="004F390B" w:rsidRPr="00A06974" w14:paraId="6851B733" w14:textId="77777777" w:rsidTr="00555766">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07F99BC0" w14:textId="77777777" w:rsidR="004F390B" w:rsidRPr="00A06974" w:rsidRDefault="004F390B" w:rsidP="00555766">
            <w:pPr>
              <w:spacing w:line="240" w:lineRule="auto"/>
              <w:jc w:val="left"/>
              <w:rPr>
                <w:rFonts w:eastAsia="Times New Roman" w:cs="Times New Roman"/>
                <w:b w:val="0"/>
                <w:bCs w:val="0"/>
                <w:color w:val="auto"/>
                <w:sz w:val="20"/>
                <w:szCs w:val="20"/>
                <w:lang w:eastAsia="pl-PL"/>
              </w:rPr>
            </w:pPr>
          </w:p>
        </w:tc>
        <w:tc>
          <w:tcPr>
            <w:tcW w:w="3119" w:type="dxa"/>
            <w:gridSpan w:val="2"/>
          </w:tcPr>
          <w:p w14:paraId="0DD8D4F8" w14:textId="77777777" w:rsidR="004F390B" w:rsidRPr="00A06974" w:rsidRDefault="004F390B" w:rsidP="004F390B">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Zasiłek stały</w:t>
            </w:r>
          </w:p>
        </w:tc>
        <w:tc>
          <w:tcPr>
            <w:tcW w:w="3685" w:type="dxa"/>
            <w:gridSpan w:val="2"/>
            <w:vAlign w:val="center"/>
          </w:tcPr>
          <w:p w14:paraId="526ED4C2" w14:textId="7F9509F0" w:rsidR="004F390B" w:rsidRPr="00A06974" w:rsidRDefault="004F390B"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13 668</w:t>
            </w:r>
          </w:p>
        </w:tc>
        <w:tc>
          <w:tcPr>
            <w:tcW w:w="5107" w:type="dxa"/>
            <w:gridSpan w:val="2"/>
            <w:vAlign w:val="center"/>
          </w:tcPr>
          <w:p w14:paraId="00E4E5D4" w14:textId="3E440695" w:rsidR="004F390B" w:rsidRPr="00A06974" w:rsidRDefault="004F390B"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sz w:val="20"/>
                <w:szCs w:val="20"/>
              </w:rPr>
              <w:t>73 563</w:t>
            </w:r>
            <w:r w:rsidR="00A06974">
              <w:rPr>
                <w:sz w:val="20"/>
                <w:szCs w:val="20"/>
              </w:rPr>
              <w:t> </w:t>
            </w:r>
            <w:r w:rsidRPr="00A06974">
              <w:rPr>
                <w:sz w:val="20"/>
                <w:szCs w:val="20"/>
              </w:rPr>
              <w:t>121</w:t>
            </w:r>
            <w:r w:rsidR="00A06974">
              <w:rPr>
                <w:sz w:val="20"/>
                <w:szCs w:val="20"/>
              </w:rPr>
              <w:t xml:space="preserve"> zł</w:t>
            </w:r>
          </w:p>
        </w:tc>
      </w:tr>
      <w:tr w:rsidR="004F390B" w:rsidRPr="00A06974" w14:paraId="54C8298E" w14:textId="77777777" w:rsidTr="00555766">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21EE20C8" w14:textId="77777777" w:rsidR="004F390B" w:rsidRPr="00A06974" w:rsidRDefault="004F390B" w:rsidP="00555766">
            <w:pPr>
              <w:spacing w:line="240" w:lineRule="auto"/>
              <w:jc w:val="left"/>
              <w:rPr>
                <w:rFonts w:eastAsia="Times New Roman" w:cs="Times New Roman"/>
                <w:b w:val="0"/>
                <w:bCs w:val="0"/>
                <w:color w:val="auto"/>
                <w:sz w:val="20"/>
                <w:szCs w:val="20"/>
                <w:lang w:eastAsia="pl-PL"/>
              </w:rPr>
            </w:pPr>
          </w:p>
        </w:tc>
        <w:tc>
          <w:tcPr>
            <w:tcW w:w="3119" w:type="dxa"/>
            <w:gridSpan w:val="2"/>
          </w:tcPr>
          <w:p w14:paraId="476C6442" w14:textId="77777777" w:rsidR="004F390B" w:rsidRPr="00A06974" w:rsidRDefault="004F390B" w:rsidP="004F390B">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Zasiłek okresowy</w:t>
            </w:r>
          </w:p>
        </w:tc>
        <w:tc>
          <w:tcPr>
            <w:tcW w:w="3685" w:type="dxa"/>
            <w:gridSpan w:val="2"/>
            <w:vAlign w:val="center"/>
          </w:tcPr>
          <w:p w14:paraId="244F1C62" w14:textId="5C62E8D2" w:rsidR="004F390B" w:rsidRPr="00A06974" w:rsidRDefault="004F390B"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17 925</w:t>
            </w:r>
          </w:p>
        </w:tc>
        <w:tc>
          <w:tcPr>
            <w:tcW w:w="5107" w:type="dxa"/>
            <w:gridSpan w:val="2"/>
            <w:vAlign w:val="center"/>
          </w:tcPr>
          <w:p w14:paraId="0A009E5E" w14:textId="4E22544E" w:rsidR="004F390B" w:rsidRPr="00A06974" w:rsidRDefault="004F390B"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sz w:val="20"/>
                <w:szCs w:val="20"/>
              </w:rPr>
              <w:t>37 181</w:t>
            </w:r>
            <w:r w:rsidR="00A06974">
              <w:rPr>
                <w:sz w:val="20"/>
                <w:szCs w:val="20"/>
              </w:rPr>
              <w:t> </w:t>
            </w:r>
            <w:r w:rsidRPr="00A06974">
              <w:rPr>
                <w:sz w:val="20"/>
                <w:szCs w:val="20"/>
              </w:rPr>
              <w:t>887</w:t>
            </w:r>
            <w:r w:rsidR="00A06974">
              <w:rPr>
                <w:sz w:val="20"/>
                <w:szCs w:val="20"/>
              </w:rPr>
              <w:t xml:space="preserve"> zł</w:t>
            </w:r>
          </w:p>
        </w:tc>
      </w:tr>
      <w:tr w:rsidR="004F390B" w:rsidRPr="00A06974" w14:paraId="74114093" w14:textId="77777777" w:rsidTr="00555766">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1DEF0946" w14:textId="77777777" w:rsidR="004F390B" w:rsidRPr="00A06974" w:rsidRDefault="004F390B" w:rsidP="00555766">
            <w:pPr>
              <w:spacing w:line="240" w:lineRule="auto"/>
              <w:jc w:val="left"/>
              <w:rPr>
                <w:rFonts w:eastAsia="Times New Roman" w:cs="Times New Roman"/>
                <w:b w:val="0"/>
                <w:bCs w:val="0"/>
                <w:color w:val="auto"/>
                <w:sz w:val="20"/>
                <w:szCs w:val="20"/>
                <w:lang w:eastAsia="pl-PL"/>
              </w:rPr>
            </w:pPr>
          </w:p>
        </w:tc>
        <w:tc>
          <w:tcPr>
            <w:tcW w:w="3119" w:type="dxa"/>
            <w:gridSpan w:val="2"/>
          </w:tcPr>
          <w:p w14:paraId="7643905A" w14:textId="77777777" w:rsidR="004F390B" w:rsidRPr="00A06974" w:rsidRDefault="004F390B" w:rsidP="004F390B">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Zasiłek celowy</w:t>
            </w:r>
          </w:p>
        </w:tc>
        <w:tc>
          <w:tcPr>
            <w:tcW w:w="3685" w:type="dxa"/>
            <w:gridSpan w:val="2"/>
            <w:vAlign w:val="center"/>
          </w:tcPr>
          <w:p w14:paraId="1905C94E" w14:textId="316A94E4" w:rsidR="004F390B" w:rsidRPr="00A06974" w:rsidRDefault="004F390B"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sz w:val="20"/>
                <w:szCs w:val="20"/>
              </w:rPr>
              <w:t>35 546</w:t>
            </w:r>
          </w:p>
        </w:tc>
        <w:tc>
          <w:tcPr>
            <w:tcW w:w="5107" w:type="dxa"/>
            <w:gridSpan w:val="2"/>
            <w:vAlign w:val="center"/>
          </w:tcPr>
          <w:p w14:paraId="0E086B83" w14:textId="5ECFEC43" w:rsidR="004F390B" w:rsidRPr="00A06974" w:rsidRDefault="004F390B" w:rsidP="00555766">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sz w:val="20"/>
                <w:szCs w:val="20"/>
              </w:rPr>
              <w:t>36 153</w:t>
            </w:r>
            <w:r w:rsidR="00A06974">
              <w:rPr>
                <w:sz w:val="20"/>
                <w:szCs w:val="20"/>
              </w:rPr>
              <w:t> </w:t>
            </w:r>
            <w:r w:rsidRPr="00A06974">
              <w:rPr>
                <w:sz w:val="20"/>
                <w:szCs w:val="20"/>
              </w:rPr>
              <w:t>680</w:t>
            </w:r>
            <w:r w:rsidR="00A06974">
              <w:rPr>
                <w:sz w:val="20"/>
                <w:szCs w:val="20"/>
              </w:rPr>
              <w:t xml:space="preserve"> zł</w:t>
            </w:r>
          </w:p>
        </w:tc>
      </w:tr>
      <w:tr w:rsidR="004F390B" w:rsidRPr="00A06974" w14:paraId="66159A52" w14:textId="77777777" w:rsidTr="00555766">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54E74C40" w14:textId="77777777" w:rsidR="004F390B" w:rsidRPr="00A06974" w:rsidRDefault="004F390B" w:rsidP="00555766">
            <w:pPr>
              <w:spacing w:line="240" w:lineRule="auto"/>
              <w:jc w:val="left"/>
              <w:rPr>
                <w:rFonts w:eastAsia="Times New Roman" w:cs="Times New Roman"/>
                <w:b w:val="0"/>
                <w:bCs w:val="0"/>
                <w:color w:val="auto"/>
                <w:sz w:val="20"/>
                <w:szCs w:val="20"/>
                <w:lang w:eastAsia="pl-PL"/>
              </w:rPr>
            </w:pPr>
          </w:p>
        </w:tc>
        <w:tc>
          <w:tcPr>
            <w:tcW w:w="3119" w:type="dxa"/>
            <w:gridSpan w:val="2"/>
          </w:tcPr>
          <w:p w14:paraId="48650F09" w14:textId="77777777" w:rsidR="004F390B" w:rsidRPr="00A06974" w:rsidRDefault="004F390B" w:rsidP="004F390B">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Specjalny zasiłek celowy</w:t>
            </w:r>
          </w:p>
        </w:tc>
        <w:tc>
          <w:tcPr>
            <w:tcW w:w="3685" w:type="dxa"/>
            <w:gridSpan w:val="2"/>
            <w:vAlign w:val="center"/>
          </w:tcPr>
          <w:p w14:paraId="67FEB9AA" w14:textId="1792B4E1" w:rsidR="004F390B" w:rsidRPr="00A06974" w:rsidRDefault="004F390B"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6 919</w:t>
            </w:r>
          </w:p>
        </w:tc>
        <w:tc>
          <w:tcPr>
            <w:tcW w:w="5107" w:type="dxa"/>
            <w:gridSpan w:val="2"/>
            <w:vAlign w:val="center"/>
          </w:tcPr>
          <w:p w14:paraId="32259017" w14:textId="697804AB" w:rsidR="004F390B" w:rsidRPr="00A06974" w:rsidRDefault="004F390B" w:rsidP="00555766">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sz w:val="20"/>
                <w:szCs w:val="20"/>
              </w:rPr>
              <w:t>4 360</w:t>
            </w:r>
            <w:r w:rsidR="00A06974">
              <w:rPr>
                <w:sz w:val="20"/>
                <w:szCs w:val="20"/>
              </w:rPr>
              <w:t> </w:t>
            </w:r>
            <w:r w:rsidRPr="00A06974">
              <w:rPr>
                <w:sz w:val="20"/>
                <w:szCs w:val="20"/>
              </w:rPr>
              <w:t>887</w:t>
            </w:r>
            <w:r w:rsidR="00A06974">
              <w:rPr>
                <w:sz w:val="20"/>
                <w:szCs w:val="20"/>
              </w:rPr>
              <w:t xml:space="preserve"> zł</w:t>
            </w:r>
          </w:p>
        </w:tc>
      </w:tr>
      <w:tr w:rsidR="0092226B" w:rsidRPr="00A06974" w14:paraId="79628381" w14:textId="77777777" w:rsidTr="00562A8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65CE1F11" w14:textId="77777777" w:rsidR="008035B3" w:rsidRPr="00A06974" w:rsidRDefault="008035B3" w:rsidP="00555766">
            <w:pPr>
              <w:spacing w:line="240" w:lineRule="auto"/>
              <w:jc w:val="left"/>
              <w:rPr>
                <w:rFonts w:cs="Times New Roman"/>
                <w:bCs w:val="0"/>
                <w:color w:val="auto"/>
                <w:sz w:val="20"/>
                <w:szCs w:val="20"/>
                <w:lang w:eastAsia="pl-PL"/>
              </w:rPr>
            </w:pPr>
            <w:r w:rsidRPr="00A06974">
              <w:rPr>
                <w:rFonts w:cs="Times New Roman"/>
                <w:color w:val="auto"/>
                <w:sz w:val="20"/>
                <w:szCs w:val="20"/>
                <w:lang w:eastAsia="pl-PL"/>
              </w:rPr>
              <w:t>Największe problemy/niedogodności w świadczeniu opieki nad osobami starszymi (np. zasoby kadrowe, rzeczowe, finansowe itp.)</w:t>
            </w:r>
          </w:p>
        </w:tc>
        <w:tc>
          <w:tcPr>
            <w:tcW w:w="11911" w:type="dxa"/>
            <w:gridSpan w:val="6"/>
          </w:tcPr>
          <w:p w14:paraId="2F8AC2DE" w14:textId="6A3BE906" w:rsidR="008035B3" w:rsidRPr="00A06974" w:rsidRDefault="008035B3" w:rsidP="004D2D7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b/>
                <w:sz w:val="20"/>
                <w:szCs w:val="20"/>
              </w:rPr>
              <w:t>1.</w:t>
            </w:r>
            <w:r w:rsidRPr="00A06974">
              <w:rPr>
                <w:rFonts w:cs="Times New Roman"/>
                <w:sz w:val="20"/>
                <w:szCs w:val="20"/>
              </w:rPr>
              <w:t xml:space="preserve"> </w:t>
            </w:r>
            <w:r w:rsidR="004F390B" w:rsidRPr="00A06974">
              <w:rPr>
                <w:sz w:val="20"/>
                <w:szCs w:val="20"/>
              </w:rPr>
              <w:t xml:space="preserve"> </w:t>
            </w:r>
            <w:r w:rsidR="004F390B" w:rsidRPr="00A06974">
              <w:rPr>
                <w:rFonts w:cs="Times New Roman"/>
                <w:sz w:val="20"/>
                <w:szCs w:val="20"/>
              </w:rPr>
              <w:t>Brak kwalifikacji części osób wykonujących usługi opiekuńcze.</w:t>
            </w:r>
          </w:p>
        </w:tc>
      </w:tr>
      <w:tr w:rsidR="0092226B" w:rsidRPr="00A06974" w14:paraId="2BD0E503" w14:textId="77777777" w:rsidTr="00562A8F">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535BE94B" w14:textId="77777777" w:rsidR="008035B3" w:rsidRPr="00A06974" w:rsidRDefault="008035B3" w:rsidP="00555766">
            <w:pPr>
              <w:spacing w:line="240" w:lineRule="auto"/>
              <w:jc w:val="left"/>
              <w:rPr>
                <w:rFonts w:cs="Times New Roman"/>
                <w:b w:val="0"/>
                <w:bCs w:val="0"/>
                <w:color w:val="auto"/>
                <w:sz w:val="20"/>
                <w:szCs w:val="20"/>
                <w:lang w:eastAsia="pl-PL"/>
              </w:rPr>
            </w:pPr>
          </w:p>
        </w:tc>
        <w:tc>
          <w:tcPr>
            <w:tcW w:w="11911" w:type="dxa"/>
            <w:gridSpan w:val="6"/>
          </w:tcPr>
          <w:p w14:paraId="0811BEC9" w14:textId="3030ED6F" w:rsidR="008035B3" w:rsidRPr="00A06974" w:rsidRDefault="008035B3" w:rsidP="004D2D7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b/>
                <w:sz w:val="20"/>
                <w:szCs w:val="20"/>
              </w:rPr>
              <w:t>2.</w:t>
            </w:r>
            <w:r w:rsidRPr="00A06974">
              <w:rPr>
                <w:rFonts w:cs="Times New Roman"/>
                <w:sz w:val="20"/>
                <w:szCs w:val="20"/>
              </w:rPr>
              <w:t xml:space="preserve"> </w:t>
            </w:r>
            <w:r w:rsidR="004F390B" w:rsidRPr="00A06974">
              <w:rPr>
                <w:sz w:val="20"/>
                <w:szCs w:val="20"/>
              </w:rPr>
              <w:t xml:space="preserve"> </w:t>
            </w:r>
            <w:r w:rsidR="004F390B" w:rsidRPr="00A06974">
              <w:rPr>
                <w:rFonts w:cs="Times New Roman"/>
                <w:sz w:val="20"/>
                <w:szCs w:val="20"/>
              </w:rPr>
              <w:t>Brak osób zainteresowanych świadczeniem usług i częsta zmiana opiekunów.</w:t>
            </w:r>
          </w:p>
        </w:tc>
      </w:tr>
      <w:tr w:rsidR="0092226B" w:rsidRPr="00A06974" w14:paraId="65D9FFF1" w14:textId="77777777" w:rsidTr="00562A8F">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07EE5C37" w14:textId="77777777" w:rsidR="008035B3" w:rsidRPr="00A06974" w:rsidRDefault="008035B3" w:rsidP="00555766">
            <w:pPr>
              <w:spacing w:line="240" w:lineRule="auto"/>
              <w:jc w:val="left"/>
              <w:rPr>
                <w:rFonts w:cs="Times New Roman"/>
                <w:b w:val="0"/>
                <w:bCs w:val="0"/>
                <w:color w:val="auto"/>
                <w:sz w:val="20"/>
                <w:szCs w:val="20"/>
                <w:lang w:eastAsia="pl-PL"/>
              </w:rPr>
            </w:pPr>
          </w:p>
        </w:tc>
        <w:tc>
          <w:tcPr>
            <w:tcW w:w="11911" w:type="dxa"/>
            <w:gridSpan w:val="6"/>
          </w:tcPr>
          <w:p w14:paraId="5E545F54" w14:textId="176779A0" w:rsidR="008035B3" w:rsidRPr="00A06974" w:rsidRDefault="008035B3" w:rsidP="004D2D7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A06974">
              <w:rPr>
                <w:rFonts w:cs="Times New Roman"/>
                <w:b/>
                <w:sz w:val="20"/>
                <w:szCs w:val="20"/>
              </w:rPr>
              <w:t>3.</w:t>
            </w:r>
            <w:r w:rsidRPr="00A06974">
              <w:rPr>
                <w:rFonts w:cs="Times New Roman"/>
                <w:sz w:val="20"/>
                <w:szCs w:val="20"/>
              </w:rPr>
              <w:t xml:space="preserve"> </w:t>
            </w:r>
            <w:r w:rsidR="004F390B" w:rsidRPr="00A06974">
              <w:rPr>
                <w:rFonts w:cs="Times New Roman"/>
                <w:sz w:val="20"/>
                <w:szCs w:val="20"/>
              </w:rPr>
              <w:t>Ograniczony budżet gminy i brak możliwości zapewnienia wszystkim potrzebującym osobom starszym pomocy i wsparcia w oczekiwanym zakresie.</w:t>
            </w:r>
          </w:p>
        </w:tc>
      </w:tr>
      <w:tr w:rsidR="0092226B" w:rsidRPr="00A06974" w14:paraId="729DCEED" w14:textId="77777777" w:rsidTr="00562A8F">
        <w:trPr>
          <w:trHeight w:val="442"/>
        </w:trPr>
        <w:tc>
          <w:tcPr>
            <w:cnfStyle w:val="001000000000" w:firstRow="0" w:lastRow="0" w:firstColumn="1" w:lastColumn="0" w:oddVBand="0" w:evenVBand="0" w:oddHBand="0" w:evenHBand="0" w:firstRowFirstColumn="0" w:firstRowLastColumn="0" w:lastRowFirstColumn="0" w:lastRowLastColumn="0"/>
            <w:tcW w:w="2830" w:type="dxa"/>
          </w:tcPr>
          <w:p w14:paraId="773CA600" w14:textId="77777777" w:rsidR="008035B3" w:rsidRPr="00A06974" w:rsidRDefault="008035B3" w:rsidP="00555766">
            <w:pPr>
              <w:spacing w:line="240" w:lineRule="auto"/>
              <w:jc w:val="left"/>
              <w:rPr>
                <w:rFonts w:cs="Times New Roman"/>
                <w:b w:val="0"/>
                <w:bCs w:val="0"/>
                <w:color w:val="auto"/>
                <w:sz w:val="20"/>
                <w:szCs w:val="20"/>
                <w:lang w:eastAsia="pl-PL"/>
              </w:rPr>
            </w:pPr>
            <w:r w:rsidRPr="00A06974">
              <w:rPr>
                <w:rFonts w:cs="Times New Roman"/>
                <w:color w:val="auto"/>
                <w:sz w:val="20"/>
                <w:szCs w:val="20"/>
                <w:lang w:eastAsia="pl-PL"/>
              </w:rPr>
              <w:t>Stopień zaspokojenia potrzeb w zakresie usług opiekuńczych</w:t>
            </w:r>
          </w:p>
        </w:tc>
        <w:tc>
          <w:tcPr>
            <w:tcW w:w="11911" w:type="dxa"/>
            <w:gridSpan w:val="6"/>
          </w:tcPr>
          <w:p w14:paraId="1BA3B685" w14:textId="06E051A0" w:rsidR="008035B3" w:rsidRPr="00A06974" w:rsidRDefault="004F390B" w:rsidP="004D2D7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6974">
              <w:rPr>
                <w:rFonts w:cs="Times New Roman"/>
                <w:sz w:val="20"/>
                <w:szCs w:val="20"/>
              </w:rPr>
              <w:t xml:space="preserve">W 2020 r. 157 gmin województwa dolnośląskiego zapewniało osobom starszym opiekę w miejscu zamieszkania, skierowaną głównie na pomoc w zaspokajaniu codziennych potrzeb życiowych, opiekę higieniczną, czy zaleconą przez lekarza pielęgnację. Ponadto 34 gminy realizowały usługi opiekuńcze dla osób w wieku 75 lat i więcej w ramach Programu „Opieka 75+”. Usługi opiekuńcze przyznano 627 osobom, w tym 24 specjalistyczne usługi opiekuńcze. Na realizację Programu wykorzystano dotację w wysokości 1 173 289,33 zł. Świadczenie usług w ramach Programu „Opieka 75+” przyczyniło się w szczególności do poprawy jakości i komfortu życia osób objętych świadczeniami, zwiększenia poczucia bezpieczeństwa osób starszych i możliwość pozostania w środowisku, bez konieczności umieszczania w placówkach zapewniających całodobową opiekę. W województwie dolnośląskim realizowano także program </w:t>
            </w:r>
            <w:proofErr w:type="spellStart"/>
            <w:r w:rsidRPr="00A06974">
              <w:rPr>
                <w:rFonts w:cs="Times New Roman"/>
                <w:sz w:val="20"/>
                <w:szCs w:val="20"/>
              </w:rPr>
              <w:t>MRiPS</w:t>
            </w:r>
            <w:proofErr w:type="spellEnd"/>
            <w:r w:rsidRPr="00A06974">
              <w:rPr>
                <w:rFonts w:cs="Times New Roman"/>
                <w:sz w:val="20"/>
                <w:szCs w:val="20"/>
              </w:rPr>
              <w:t xml:space="preserve"> pod nazwą „Wspieraj Seniora”, w ramach którego wsparciem objęto 4 643 seniorów, zgłoszonych przez Infolinię, jak i poza nią. W ramach Programu 4 128 seniorów w wieku 70 lat i więcej, którzy w stanie epidemii zdecydowali się na pozostanie w domu, mieli możliwość skorzystania z usługi wsparcia, polegającej na dostarczeniu zakupów zgodnie ze wskazanym zakresem. Dostarczano artykuły podstawowej potrzeby, w tym artykuły spożywcze, czy środki higieny osobistej. Seniorzy zgłaszali potrzeby poprzez Infolinię uruchomioną w ramach programu Solidarnościowy Korpus Wsparcia Seniora lub poza Infolinią.  Do Programu włączyło się 490 wolontariuszy, którzy dostarczali seniorom zakupy lub pomagali w obowiązkach domowych. Całkowity koszt realizacji Programu „Wspieraj Seniora” wyniósł 1 401 262,12 zł. Wysokość środków z dotacji z budżetu państwa na realizację Programu wyniosła 1 026 120,00 zł, natomiast wysokość środków z wkładu własnego to kwota  375 142,12 zł.</w:t>
            </w:r>
          </w:p>
        </w:tc>
      </w:tr>
    </w:tbl>
    <w:p w14:paraId="2B18464C" w14:textId="77777777" w:rsidR="001A6CD0" w:rsidRPr="00A06974" w:rsidRDefault="001A6CD0" w:rsidP="001A6CD0">
      <w:pPr>
        <w:tabs>
          <w:tab w:val="left" w:pos="5400"/>
        </w:tabs>
        <w:rPr>
          <w:rFonts w:eastAsia="Times New Roman" w:cs="Times New Roman"/>
          <w:b/>
          <w:sz w:val="22"/>
          <w:lang w:eastAsia="pl-PL"/>
        </w:rPr>
      </w:pPr>
      <w:r w:rsidRPr="00A06974">
        <w:rPr>
          <w:rFonts w:eastAsia="Times New Roman" w:cs="Times New Roman"/>
          <w:b/>
          <w:sz w:val="22"/>
          <w:lang w:eastAsia="pl-PL"/>
        </w:rPr>
        <w:t xml:space="preserve">Źródło: Dane Wojewody Dolnośląskiego. </w:t>
      </w:r>
    </w:p>
    <w:p w14:paraId="5D4D902C" w14:textId="77777777" w:rsidR="008035B3" w:rsidRPr="00A06974" w:rsidRDefault="008035B3" w:rsidP="000B40AE">
      <w:pPr>
        <w:pStyle w:val="Legenda"/>
        <w:keepNext/>
        <w:rPr>
          <w:rFonts w:cs="Times New Roman"/>
          <w:b/>
          <w:i w:val="0"/>
          <w:color w:val="FF0000"/>
          <w:sz w:val="20"/>
          <w:szCs w:val="20"/>
        </w:rPr>
      </w:pPr>
    </w:p>
    <w:p w14:paraId="03A0DB87" w14:textId="77777777" w:rsidR="008B1494" w:rsidRPr="00A06974" w:rsidRDefault="008B1494" w:rsidP="003C1988">
      <w:pPr>
        <w:rPr>
          <w:rFonts w:cs="Times New Roman"/>
          <w:color w:val="FF0000"/>
          <w:sz w:val="20"/>
          <w:szCs w:val="20"/>
          <w:lang w:eastAsia="ar-SA"/>
        </w:rPr>
      </w:pPr>
    </w:p>
    <w:p w14:paraId="4D1280F7" w14:textId="77777777" w:rsidR="002C64F2" w:rsidRPr="0092226B" w:rsidRDefault="002C64F2" w:rsidP="00CB509F">
      <w:pPr>
        <w:pStyle w:val="Nagwek2"/>
        <w:spacing w:before="0"/>
        <w:rPr>
          <w:rFonts w:eastAsia="Times New Roman" w:cs="Times New Roman"/>
          <w:color w:val="FF0000"/>
          <w:sz w:val="24"/>
          <w:szCs w:val="24"/>
          <w:lang w:eastAsia="ar-SA"/>
        </w:rPr>
        <w:sectPr w:rsidR="002C64F2" w:rsidRPr="0092226B" w:rsidSect="00080A38">
          <w:pgSz w:w="16838" w:h="11900" w:orient="landscape"/>
          <w:pgMar w:top="1380" w:right="1384" w:bottom="1386" w:left="1038" w:header="0" w:footer="567" w:gutter="0"/>
          <w:cols w:space="0" w:equalWidth="0">
            <w:col w:w="9140"/>
          </w:cols>
          <w:docGrid w:linePitch="360"/>
        </w:sectPr>
      </w:pPr>
    </w:p>
    <w:p w14:paraId="59EA630A" w14:textId="77777777" w:rsidR="0050177A" w:rsidRPr="00AB61C9" w:rsidRDefault="005F0A32" w:rsidP="00AF051D">
      <w:pPr>
        <w:pStyle w:val="Nagwek2"/>
        <w:spacing w:before="240" w:after="240"/>
        <w:ind w:left="432"/>
        <w:rPr>
          <w:rFonts w:eastAsia="Times New Roman" w:cs="Times New Roman"/>
          <w:sz w:val="40"/>
          <w:szCs w:val="24"/>
          <w:lang w:eastAsia="ar-SA"/>
        </w:rPr>
      </w:pPr>
      <w:bookmarkStart w:id="137" w:name="_Toc80523107"/>
      <w:r w:rsidRPr="00AB61C9">
        <w:rPr>
          <w:rFonts w:eastAsia="Times New Roman" w:cs="Times New Roman"/>
          <w:sz w:val="40"/>
          <w:szCs w:val="24"/>
          <w:lang w:eastAsia="ar-SA"/>
        </w:rPr>
        <w:lastRenderedPageBreak/>
        <w:t>Województwo kujawsko-p</w:t>
      </w:r>
      <w:r w:rsidR="00475EFA" w:rsidRPr="00AB61C9">
        <w:rPr>
          <w:rFonts w:eastAsia="Times New Roman" w:cs="Times New Roman"/>
          <w:sz w:val="40"/>
          <w:szCs w:val="24"/>
          <w:lang w:eastAsia="ar-SA"/>
        </w:rPr>
        <w:t>omorskie</w:t>
      </w:r>
      <w:bookmarkEnd w:id="137"/>
    </w:p>
    <w:p w14:paraId="0FE65246" w14:textId="1FCA1FA9" w:rsidR="00E3427E" w:rsidRDefault="00E3427E" w:rsidP="00645E38">
      <w:pPr>
        <w:pStyle w:val="Nagwek3"/>
        <w:rPr>
          <w:lang w:eastAsia="ar-SA"/>
        </w:rPr>
      </w:pPr>
      <w:bookmarkStart w:id="138" w:name="_Toc77513954"/>
      <w:bookmarkStart w:id="139" w:name="_Toc80523108"/>
      <w:r w:rsidRPr="005B6EB7">
        <w:rPr>
          <w:lang w:eastAsia="ar-SA"/>
        </w:rPr>
        <w:t>Aktywność ekonomiczna i warunki bytowe</w:t>
      </w:r>
      <w:bookmarkEnd w:id="138"/>
      <w:bookmarkEnd w:id="139"/>
    </w:p>
    <w:p w14:paraId="282D49AF" w14:textId="77777777" w:rsidR="009B2F0C" w:rsidRPr="009B2F0C" w:rsidRDefault="009B2F0C" w:rsidP="009B2F0C">
      <w:pPr>
        <w:rPr>
          <w:lang w:eastAsia="ar-SA"/>
        </w:rPr>
      </w:pPr>
    </w:p>
    <w:p w14:paraId="11EF0087" w14:textId="77777777" w:rsidR="00E3427E" w:rsidRDefault="00E3427E" w:rsidP="00E3427E">
      <w:pPr>
        <w:rPr>
          <w:rFonts w:cs="Times New Roman"/>
          <w:szCs w:val="24"/>
        </w:rPr>
      </w:pPr>
      <w:r w:rsidRPr="00967338">
        <w:rPr>
          <w:rFonts w:cs="Times New Roman"/>
          <w:szCs w:val="24"/>
        </w:rPr>
        <w:t>W 2020 r. w województwie kujawsko-pomorskim przeciętny miesięczny dochód rozporządzalny przypadający na 1 osobę w gospodarstwach domowych wyniósł  1845 zł. Na dochód rozporządzalny gospodarstwa domowego składają się przede wszystkim dochody z pracy najemnej oraz dochody ze świadczeń społecznych. W 2020 r. ich udział w dochodzie rozporządzalnym wyniósł odpowiednio 47,7% i 35,3%. W 2020 r. przeciętne miesięczne wydatki na 1 osobę w gospodarstwach domowych wyniosły 1169 zł.  Na żywność i napoje bezalkoholowe gospodarstwa domowe przeznaczały przeciętnie 28,1% ogólnej kwoty wydatków, na opłaty z tytułu użytkowania mieszkania lub domu i za korzystanie z nośników energii  - 19,6%, a na zdrowie – 5,1%.</w:t>
      </w:r>
    </w:p>
    <w:p w14:paraId="18F3FE42" w14:textId="77777777" w:rsidR="00E3427E" w:rsidRPr="00967338" w:rsidRDefault="00E3427E" w:rsidP="00E3427E">
      <w:pPr>
        <w:rPr>
          <w:rFonts w:cs="Times New Roman"/>
          <w:szCs w:val="24"/>
        </w:rPr>
      </w:pPr>
    </w:p>
    <w:p w14:paraId="636DDAD4" w14:textId="77777777" w:rsidR="00E3427E" w:rsidRDefault="00E3427E" w:rsidP="00E3427E">
      <w:pPr>
        <w:rPr>
          <w:rFonts w:cs="Times New Roman"/>
          <w:szCs w:val="24"/>
        </w:rPr>
      </w:pPr>
      <w:r w:rsidRPr="00967338">
        <w:rPr>
          <w:rFonts w:cs="Times New Roman"/>
          <w:szCs w:val="24"/>
        </w:rPr>
        <w:t>W 2020 r. swoją sytuację materialną jako bardzo dobrą i raczej dobrą oceniło 41,8% gospodarstw domowych. Udział gospodarstw określających swoją sytuację materialną jako przeciętną wyniósł 51,0%, a raczej złą i złą ukształtował się na poziomie 7,2%.</w:t>
      </w:r>
    </w:p>
    <w:p w14:paraId="0870E158" w14:textId="77777777" w:rsidR="00E3427E" w:rsidRPr="00967338" w:rsidRDefault="00E3427E" w:rsidP="00E3427E">
      <w:pPr>
        <w:rPr>
          <w:rFonts w:cs="Times New Roman"/>
          <w:szCs w:val="24"/>
        </w:rPr>
      </w:pPr>
    </w:p>
    <w:p w14:paraId="6D8196C7" w14:textId="77777777" w:rsidR="00E3427E" w:rsidRPr="005B6EB7" w:rsidRDefault="00E3427E" w:rsidP="00E3427E">
      <w:pPr>
        <w:rPr>
          <w:rFonts w:cs="Times New Roman"/>
          <w:szCs w:val="24"/>
        </w:rPr>
      </w:pPr>
      <w:r w:rsidRPr="00967338">
        <w:rPr>
          <w:rFonts w:cs="Times New Roman"/>
          <w:szCs w:val="24"/>
        </w:rPr>
        <w:t>W analizowanym roku przeciętna liczba osób w gospodarstwie domowym ukształtowała się na poziomie 2,61. Przeciętna powierzchnia użytkowa mieszkania zajmowana przez gospodarstwo domowe wyniosła 74,66 m</w:t>
      </w:r>
      <w:r w:rsidRPr="00AB61C9">
        <w:rPr>
          <w:rFonts w:cs="Times New Roman"/>
          <w:szCs w:val="24"/>
          <w:vertAlign w:val="superscript"/>
        </w:rPr>
        <w:t>2</w:t>
      </w:r>
      <w:r w:rsidRPr="00967338">
        <w:rPr>
          <w:rFonts w:cs="Times New Roman"/>
          <w:szCs w:val="24"/>
        </w:rPr>
        <w:t>.</w:t>
      </w:r>
    </w:p>
    <w:p w14:paraId="1F8237C5" w14:textId="77777777" w:rsidR="00E3427E" w:rsidRDefault="00E3427E" w:rsidP="00E3427E">
      <w:pPr>
        <w:rPr>
          <w:rFonts w:cs="Times New Roman"/>
          <w:b/>
          <w:color w:val="FF0000"/>
          <w:szCs w:val="24"/>
          <w:lang w:eastAsia="ar-SA"/>
        </w:rPr>
      </w:pPr>
    </w:p>
    <w:p w14:paraId="61A2548F" w14:textId="6428E32E" w:rsidR="00E3427E" w:rsidRDefault="00E3427E" w:rsidP="00E3427E">
      <w:pPr>
        <w:pStyle w:val="Legenda"/>
        <w:keepNext/>
        <w:rPr>
          <w:rFonts w:cs="Times New Roman"/>
          <w:b/>
          <w:i w:val="0"/>
          <w:color w:val="auto"/>
          <w:sz w:val="24"/>
        </w:rPr>
      </w:pPr>
      <w:r w:rsidRPr="00432294">
        <w:rPr>
          <w:rFonts w:cs="Times New Roman"/>
          <w:b/>
          <w:i w:val="0"/>
          <w:color w:val="auto"/>
          <w:sz w:val="24"/>
        </w:rPr>
        <w:t xml:space="preserve">Tabela </w:t>
      </w:r>
      <w:r w:rsidR="005B094D">
        <w:rPr>
          <w:rFonts w:cs="Times New Roman"/>
          <w:b/>
          <w:i w:val="0"/>
          <w:color w:val="auto"/>
          <w:sz w:val="24"/>
        </w:rPr>
        <w:t>51</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 xml:space="preserve">Aktywność ekonomiczna osób starszych w województwie kujawsko-pomorskim </w:t>
      </w:r>
    </w:p>
    <w:tbl>
      <w:tblPr>
        <w:tblStyle w:val="Tabelasiatki6kolorowaakcent2"/>
        <w:tblpPr w:leftFromText="141" w:rightFromText="141" w:vertAnchor="text" w:tblpXSpec="center" w:tblpY="1"/>
        <w:tblW w:w="9214" w:type="dxa"/>
        <w:tblLayout w:type="fixed"/>
        <w:tblLook w:val="04A0" w:firstRow="1" w:lastRow="0" w:firstColumn="1" w:lastColumn="0" w:noHBand="0" w:noVBand="1"/>
      </w:tblPr>
      <w:tblGrid>
        <w:gridCol w:w="1705"/>
        <w:gridCol w:w="3969"/>
        <w:gridCol w:w="3540"/>
      </w:tblGrid>
      <w:tr w:rsidR="00E3427E" w:rsidRPr="00E3427E" w14:paraId="3D300D0F" w14:textId="77777777" w:rsidTr="00EB7DC7">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214" w:type="dxa"/>
            <w:gridSpan w:val="3"/>
          </w:tcPr>
          <w:p w14:paraId="2B92E38B" w14:textId="77777777" w:rsidR="00E3427E" w:rsidRPr="00E3427E" w:rsidRDefault="00E3427E" w:rsidP="00EB7DC7">
            <w:pPr>
              <w:jc w:val="center"/>
              <w:rPr>
                <w:rFonts w:cs="Times New Roman"/>
                <w:color w:val="auto"/>
                <w:sz w:val="20"/>
                <w:szCs w:val="20"/>
              </w:rPr>
            </w:pPr>
            <w:r w:rsidRPr="00E3427E">
              <w:rPr>
                <w:rFonts w:cs="Times New Roman"/>
                <w:color w:val="auto"/>
                <w:sz w:val="20"/>
                <w:szCs w:val="20"/>
                <w:lang w:eastAsia="pl-PL"/>
              </w:rPr>
              <w:t>AKTYWNOŚĆ EKONOMICZNA OSÓB STARSZYCH – DANE ZA 2020 R.</w:t>
            </w:r>
          </w:p>
        </w:tc>
      </w:tr>
      <w:tr w:rsidR="00E3427E" w:rsidRPr="00E3427E" w14:paraId="4695A4A9" w14:textId="77777777" w:rsidTr="00EB7DC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674" w:type="dxa"/>
            <w:gridSpan w:val="2"/>
          </w:tcPr>
          <w:p w14:paraId="7771CFD0" w14:textId="77777777" w:rsidR="00E3427E" w:rsidRPr="00E3427E" w:rsidRDefault="00E3427E" w:rsidP="00EB7DC7">
            <w:pPr>
              <w:rPr>
                <w:rFonts w:cs="Times New Roman"/>
                <w:color w:val="auto"/>
                <w:sz w:val="20"/>
                <w:szCs w:val="20"/>
              </w:rPr>
            </w:pPr>
            <w:r w:rsidRPr="00E3427E">
              <w:rPr>
                <w:rFonts w:cs="Times New Roman"/>
                <w:color w:val="auto"/>
                <w:sz w:val="20"/>
                <w:szCs w:val="20"/>
              </w:rPr>
              <w:t>Podział</w:t>
            </w:r>
          </w:p>
        </w:tc>
        <w:tc>
          <w:tcPr>
            <w:tcW w:w="3540" w:type="dxa"/>
          </w:tcPr>
          <w:p w14:paraId="643E56D2" w14:textId="77777777" w:rsidR="00E3427E" w:rsidRPr="00E3427E" w:rsidRDefault="00E3427E"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E3427E">
              <w:rPr>
                <w:rFonts w:cs="Times New Roman"/>
                <w:b/>
                <w:color w:val="auto"/>
                <w:sz w:val="20"/>
                <w:szCs w:val="20"/>
              </w:rPr>
              <w:t>Liczba</w:t>
            </w:r>
          </w:p>
        </w:tc>
      </w:tr>
      <w:tr w:rsidR="00E3427E" w:rsidRPr="00E3427E" w14:paraId="3235A39E"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75DAB039" w14:textId="77777777" w:rsidR="00E3427E" w:rsidRPr="00E3427E" w:rsidRDefault="00E3427E" w:rsidP="00EB7DC7">
            <w:pPr>
              <w:rPr>
                <w:rFonts w:cs="Times New Roman"/>
                <w:b w:val="0"/>
                <w:color w:val="auto"/>
                <w:sz w:val="20"/>
                <w:szCs w:val="20"/>
                <w:lang w:eastAsia="pl-PL"/>
              </w:rPr>
            </w:pPr>
            <w:r w:rsidRPr="00E3427E">
              <w:rPr>
                <w:rFonts w:cs="Times New Roman"/>
                <w:color w:val="auto"/>
                <w:sz w:val="20"/>
                <w:szCs w:val="20"/>
                <w:lang w:eastAsia="pl-PL"/>
              </w:rPr>
              <w:t>Osoby aktywne zawodowo razem (w tys.)</w:t>
            </w:r>
          </w:p>
        </w:tc>
        <w:tc>
          <w:tcPr>
            <w:tcW w:w="3969" w:type="dxa"/>
          </w:tcPr>
          <w:p w14:paraId="61A769D3"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ogółem</w:t>
            </w:r>
          </w:p>
        </w:tc>
        <w:tc>
          <w:tcPr>
            <w:tcW w:w="3540" w:type="dxa"/>
          </w:tcPr>
          <w:p w14:paraId="6E93ABE0"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897</w:t>
            </w:r>
          </w:p>
        </w:tc>
      </w:tr>
      <w:tr w:rsidR="00E3427E" w:rsidRPr="00E3427E" w14:paraId="009C191A" w14:textId="77777777" w:rsidTr="00EB7DC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705" w:type="dxa"/>
            <w:vMerge/>
          </w:tcPr>
          <w:p w14:paraId="4ED2A5F6" w14:textId="77777777" w:rsidR="00E3427E" w:rsidRPr="00E3427E" w:rsidRDefault="00E3427E" w:rsidP="00EB7DC7">
            <w:pPr>
              <w:rPr>
                <w:rFonts w:cs="Times New Roman"/>
                <w:b w:val="0"/>
                <w:color w:val="auto"/>
                <w:sz w:val="20"/>
                <w:szCs w:val="20"/>
                <w:lang w:eastAsia="pl-PL"/>
              </w:rPr>
            </w:pPr>
          </w:p>
        </w:tc>
        <w:tc>
          <w:tcPr>
            <w:tcW w:w="3969" w:type="dxa"/>
          </w:tcPr>
          <w:p w14:paraId="0235A5BD"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w tym w wieku 60+</w:t>
            </w:r>
          </w:p>
        </w:tc>
        <w:tc>
          <w:tcPr>
            <w:tcW w:w="3540" w:type="dxa"/>
          </w:tcPr>
          <w:p w14:paraId="5F23EF31"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68</w:t>
            </w:r>
          </w:p>
        </w:tc>
      </w:tr>
      <w:tr w:rsidR="00E3427E" w:rsidRPr="00E3427E" w14:paraId="33D97A87"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7F7BACF2" w14:textId="77777777" w:rsidR="00E3427E" w:rsidRPr="00E3427E" w:rsidRDefault="00E3427E" w:rsidP="00EB7DC7">
            <w:pPr>
              <w:rPr>
                <w:rFonts w:cs="Times New Roman"/>
                <w:b w:val="0"/>
                <w:color w:val="auto"/>
                <w:sz w:val="20"/>
                <w:szCs w:val="20"/>
                <w:lang w:eastAsia="pl-PL"/>
              </w:rPr>
            </w:pPr>
            <w:r w:rsidRPr="00E3427E">
              <w:rPr>
                <w:rFonts w:cs="Times New Roman"/>
                <w:color w:val="auto"/>
                <w:sz w:val="20"/>
                <w:szCs w:val="20"/>
                <w:lang w:eastAsia="pl-PL"/>
              </w:rPr>
              <w:t xml:space="preserve">Osoby aktywne zawodowo </w:t>
            </w:r>
            <w:r w:rsidRPr="00E3427E">
              <w:rPr>
                <w:rFonts w:cs="Times New Roman"/>
                <w:color w:val="auto"/>
                <w:sz w:val="20"/>
                <w:szCs w:val="20"/>
                <w:lang w:eastAsia="pl-PL"/>
              </w:rPr>
              <w:br/>
              <w:t>– pracujący (w tys.)</w:t>
            </w:r>
          </w:p>
        </w:tc>
        <w:tc>
          <w:tcPr>
            <w:tcW w:w="3969" w:type="dxa"/>
          </w:tcPr>
          <w:p w14:paraId="46A6AA17"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Ogółem</w:t>
            </w:r>
          </w:p>
        </w:tc>
        <w:tc>
          <w:tcPr>
            <w:tcW w:w="3540" w:type="dxa"/>
          </w:tcPr>
          <w:p w14:paraId="02D80236"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870</w:t>
            </w:r>
          </w:p>
        </w:tc>
      </w:tr>
      <w:tr w:rsidR="00E3427E" w:rsidRPr="00E3427E" w14:paraId="0050FCB3" w14:textId="77777777" w:rsidTr="00EB7D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05" w:type="dxa"/>
            <w:vMerge/>
          </w:tcPr>
          <w:p w14:paraId="393E6DA1" w14:textId="77777777" w:rsidR="00E3427E" w:rsidRPr="00E3427E" w:rsidRDefault="00E3427E" w:rsidP="00EB7DC7">
            <w:pPr>
              <w:rPr>
                <w:rFonts w:cs="Times New Roman"/>
                <w:b w:val="0"/>
                <w:color w:val="auto"/>
                <w:sz w:val="20"/>
                <w:szCs w:val="20"/>
                <w:lang w:eastAsia="pl-PL"/>
              </w:rPr>
            </w:pPr>
          </w:p>
        </w:tc>
        <w:tc>
          <w:tcPr>
            <w:tcW w:w="3969" w:type="dxa"/>
          </w:tcPr>
          <w:p w14:paraId="2B008923"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w tym w wieku 60+</w:t>
            </w:r>
          </w:p>
        </w:tc>
        <w:tc>
          <w:tcPr>
            <w:tcW w:w="3540" w:type="dxa"/>
          </w:tcPr>
          <w:p w14:paraId="4E99E0C6"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67</w:t>
            </w:r>
          </w:p>
        </w:tc>
      </w:tr>
      <w:tr w:rsidR="00E3427E" w:rsidRPr="00E3427E" w14:paraId="705B7D9C"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3DFB20AA" w14:textId="77777777" w:rsidR="00E3427E" w:rsidRPr="00E3427E" w:rsidRDefault="00E3427E" w:rsidP="00EB7DC7">
            <w:pPr>
              <w:rPr>
                <w:rFonts w:cs="Times New Roman"/>
                <w:b w:val="0"/>
                <w:color w:val="auto"/>
                <w:sz w:val="20"/>
                <w:szCs w:val="20"/>
                <w:lang w:eastAsia="pl-PL"/>
              </w:rPr>
            </w:pPr>
            <w:r w:rsidRPr="00E3427E">
              <w:rPr>
                <w:rFonts w:cs="Times New Roman"/>
                <w:color w:val="auto"/>
                <w:sz w:val="20"/>
                <w:szCs w:val="20"/>
                <w:lang w:eastAsia="pl-PL"/>
              </w:rPr>
              <w:t>Osoby bierne zawodowo (w tys.)</w:t>
            </w:r>
          </w:p>
        </w:tc>
        <w:tc>
          <w:tcPr>
            <w:tcW w:w="3969" w:type="dxa"/>
          </w:tcPr>
          <w:p w14:paraId="6620F818"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ogółem</w:t>
            </w:r>
          </w:p>
        </w:tc>
        <w:tc>
          <w:tcPr>
            <w:tcW w:w="3540" w:type="dxa"/>
          </w:tcPr>
          <w:p w14:paraId="19DA8CE2"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746</w:t>
            </w:r>
          </w:p>
        </w:tc>
      </w:tr>
      <w:tr w:rsidR="00E3427E" w:rsidRPr="00E3427E" w14:paraId="0B0364F5" w14:textId="77777777" w:rsidTr="00EB7DC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705" w:type="dxa"/>
            <w:vMerge/>
          </w:tcPr>
          <w:p w14:paraId="00EEBCC4" w14:textId="77777777" w:rsidR="00E3427E" w:rsidRPr="00E3427E" w:rsidRDefault="00E3427E" w:rsidP="00EB7DC7">
            <w:pPr>
              <w:rPr>
                <w:rFonts w:cs="Times New Roman"/>
                <w:b w:val="0"/>
                <w:color w:val="auto"/>
                <w:sz w:val="20"/>
                <w:szCs w:val="20"/>
                <w:lang w:eastAsia="pl-PL"/>
              </w:rPr>
            </w:pPr>
          </w:p>
        </w:tc>
        <w:tc>
          <w:tcPr>
            <w:tcW w:w="3969" w:type="dxa"/>
          </w:tcPr>
          <w:p w14:paraId="61CC5EAD"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w tym w wieku 60+</w:t>
            </w:r>
          </w:p>
        </w:tc>
        <w:tc>
          <w:tcPr>
            <w:tcW w:w="3540" w:type="dxa"/>
          </w:tcPr>
          <w:p w14:paraId="78590AE1"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445</w:t>
            </w:r>
          </w:p>
        </w:tc>
      </w:tr>
      <w:tr w:rsidR="00E3427E" w:rsidRPr="00E3427E" w14:paraId="1AD4FF1A"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1C44D15D" w14:textId="77777777" w:rsidR="00E3427E" w:rsidRPr="00E3427E" w:rsidRDefault="00E3427E" w:rsidP="00EB7DC7">
            <w:pPr>
              <w:rPr>
                <w:rFonts w:cs="Times New Roman"/>
                <w:b w:val="0"/>
                <w:color w:val="auto"/>
                <w:sz w:val="20"/>
                <w:szCs w:val="20"/>
                <w:lang w:eastAsia="pl-PL"/>
              </w:rPr>
            </w:pPr>
            <w:r w:rsidRPr="00E3427E">
              <w:rPr>
                <w:rFonts w:cs="Times New Roman"/>
                <w:color w:val="auto"/>
                <w:sz w:val="20"/>
                <w:szCs w:val="20"/>
                <w:lang w:eastAsia="pl-PL"/>
              </w:rPr>
              <w:t>Współczynnik aktywności zawodowej %</w:t>
            </w:r>
          </w:p>
        </w:tc>
        <w:tc>
          <w:tcPr>
            <w:tcW w:w="3969" w:type="dxa"/>
          </w:tcPr>
          <w:p w14:paraId="1720A5C5"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Ogółem</w:t>
            </w:r>
          </w:p>
        </w:tc>
        <w:tc>
          <w:tcPr>
            <w:tcW w:w="3540" w:type="dxa"/>
          </w:tcPr>
          <w:p w14:paraId="5A8426E5"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54,6</w:t>
            </w:r>
          </w:p>
        </w:tc>
      </w:tr>
      <w:tr w:rsidR="00E3427E" w:rsidRPr="00E3427E" w14:paraId="364FBAEF" w14:textId="77777777" w:rsidTr="00EB7D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05" w:type="dxa"/>
            <w:vMerge/>
          </w:tcPr>
          <w:p w14:paraId="784B4F19" w14:textId="77777777" w:rsidR="00E3427E" w:rsidRPr="00E3427E" w:rsidRDefault="00E3427E" w:rsidP="00EB7DC7">
            <w:pPr>
              <w:rPr>
                <w:rFonts w:cs="Times New Roman"/>
                <w:b w:val="0"/>
                <w:color w:val="auto"/>
                <w:sz w:val="20"/>
                <w:szCs w:val="20"/>
                <w:lang w:eastAsia="pl-PL"/>
              </w:rPr>
            </w:pPr>
          </w:p>
        </w:tc>
        <w:tc>
          <w:tcPr>
            <w:tcW w:w="3969" w:type="dxa"/>
          </w:tcPr>
          <w:p w14:paraId="7C267D4C"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w tym w wieku 60+</w:t>
            </w:r>
          </w:p>
        </w:tc>
        <w:tc>
          <w:tcPr>
            <w:tcW w:w="3540" w:type="dxa"/>
          </w:tcPr>
          <w:p w14:paraId="6BA1B954"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13,3</w:t>
            </w:r>
          </w:p>
        </w:tc>
      </w:tr>
      <w:tr w:rsidR="00E3427E" w:rsidRPr="00E3427E" w14:paraId="5C00858A" w14:textId="77777777" w:rsidTr="00EB7DC7">
        <w:trPr>
          <w:trHeight w:val="143"/>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2BC34090" w14:textId="77777777" w:rsidR="00E3427E" w:rsidRPr="00E3427E" w:rsidRDefault="00E3427E" w:rsidP="00EB7DC7">
            <w:pPr>
              <w:rPr>
                <w:rFonts w:cs="Times New Roman"/>
                <w:b w:val="0"/>
                <w:color w:val="auto"/>
                <w:sz w:val="20"/>
                <w:szCs w:val="20"/>
                <w:lang w:eastAsia="pl-PL"/>
              </w:rPr>
            </w:pPr>
            <w:r w:rsidRPr="00E3427E">
              <w:rPr>
                <w:rFonts w:cs="Times New Roman"/>
                <w:color w:val="auto"/>
                <w:sz w:val="20"/>
                <w:szCs w:val="20"/>
                <w:lang w:eastAsia="pl-PL"/>
              </w:rPr>
              <w:t>Wskaźnik zatrudnienia %</w:t>
            </w:r>
          </w:p>
        </w:tc>
        <w:tc>
          <w:tcPr>
            <w:tcW w:w="3969" w:type="dxa"/>
          </w:tcPr>
          <w:p w14:paraId="7C9090B4"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ogółem</w:t>
            </w:r>
          </w:p>
        </w:tc>
        <w:tc>
          <w:tcPr>
            <w:tcW w:w="3540" w:type="dxa"/>
          </w:tcPr>
          <w:p w14:paraId="510C32AA"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52,9</w:t>
            </w:r>
          </w:p>
        </w:tc>
      </w:tr>
      <w:tr w:rsidR="00E3427E" w:rsidRPr="00E3427E" w14:paraId="057C94BA" w14:textId="77777777" w:rsidTr="00EB7DC7">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705" w:type="dxa"/>
            <w:vMerge/>
          </w:tcPr>
          <w:p w14:paraId="1B0FDA8C" w14:textId="77777777" w:rsidR="00E3427E" w:rsidRPr="00E3427E" w:rsidRDefault="00E3427E" w:rsidP="00EB7DC7">
            <w:pPr>
              <w:rPr>
                <w:rFonts w:cs="Times New Roman"/>
                <w:b w:val="0"/>
                <w:color w:val="auto"/>
                <w:sz w:val="20"/>
                <w:szCs w:val="20"/>
                <w:lang w:eastAsia="pl-PL"/>
              </w:rPr>
            </w:pPr>
          </w:p>
        </w:tc>
        <w:tc>
          <w:tcPr>
            <w:tcW w:w="3969" w:type="dxa"/>
          </w:tcPr>
          <w:p w14:paraId="4A3FF76A"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w tym w wieku 60+</w:t>
            </w:r>
          </w:p>
        </w:tc>
        <w:tc>
          <w:tcPr>
            <w:tcW w:w="3540" w:type="dxa"/>
          </w:tcPr>
          <w:p w14:paraId="13036D16"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13,1</w:t>
            </w:r>
          </w:p>
        </w:tc>
      </w:tr>
      <w:tr w:rsidR="00E3427E" w:rsidRPr="00E3427E" w14:paraId="7BFB0037" w14:textId="77777777" w:rsidTr="00EB7DC7">
        <w:trPr>
          <w:trHeight w:val="282"/>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17624BBC" w14:textId="77777777" w:rsidR="00E3427E" w:rsidRPr="00E3427E" w:rsidRDefault="00E3427E" w:rsidP="00EB7DC7">
            <w:pPr>
              <w:rPr>
                <w:rFonts w:cs="Times New Roman"/>
                <w:b w:val="0"/>
                <w:color w:val="auto"/>
                <w:sz w:val="20"/>
                <w:szCs w:val="20"/>
                <w:lang w:eastAsia="pl-PL"/>
              </w:rPr>
            </w:pPr>
            <w:r w:rsidRPr="00E3427E">
              <w:rPr>
                <w:rFonts w:eastAsia="Times New Roman" w:cs="Times New Roman"/>
                <w:color w:val="auto"/>
                <w:sz w:val="20"/>
                <w:szCs w:val="20"/>
                <w:lang w:eastAsia="pl-PL"/>
              </w:rPr>
              <w:t xml:space="preserve">Osoby bierne zawodowo  w wieku 60 lat i więcej według wybranych przyczyn bierności </w:t>
            </w:r>
            <w:r w:rsidRPr="00E3427E">
              <w:rPr>
                <w:rFonts w:eastAsia="Times New Roman" w:cs="Times New Roman"/>
                <w:color w:val="auto"/>
                <w:sz w:val="20"/>
                <w:szCs w:val="20"/>
                <w:lang w:eastAsia="pl-PL"/>
              </w:rPr>
              <w:br/>
              <w:t>(w tys.)</w:t>
            </w:r>
          </w:p>
        </w:tc>
        <w:tc>
          <w:tcPr>
            <w:tcW w:w="3969" w:type="dxa"/>
          </w:tcPr>
          <w:p w14:paraId="31002C90"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ogółem</w:t>
            </w:r>
          </w:p>
        </w:tc>
        <w:tc>
          <w:tcPr>
            <w:tcW w:w="3540" w:type="dxa"/>
          </w:tcPr>
          <w:p w14:paraId="6EBA4BCE"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445</w:t>
            </w:r>
          </w:p>
        </w:tc>
      </w:tr>
      <w:tr w:rsidR="00E3427E" w:rsidRPr="00E3427E" w14:paraId="796F3ADA"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705" w:type="dxa"/>
            <w:vMerge/>
          </w:tcPr>
          <w:p w14:paraId="67442AD9" w14:textId="77777777" w:rsidR="00E3427E" w:rsidRPr="00E3427E" w:rsidRDefault="00E3427E" w:rsidP="00EB7DC7">
            <w:pPr>
              <w:rPr>
                <w:rFonts w:eastAsia="Times New Roman" w:cs="Times New Roman"/>
                <w:b w:val="0"/>
                <w:bCs w:val="0"/>
                <w:color w:val="auto"/>
                <w:sz w:val="20"/>
                <w:szCs w:val="20"/>
                <w:lang w:eastAsia="pl-PL"/>
              </w:rPr>
            </w:pPr>
          </w:p>
        </w:tc>
        <w:tc>
          <w:tcPr>
            <w:tcW w:w="7509" w:type="dxa"/>
            <w:gridSpan w:val="2"/>
          </w:tcPr>
          <w:p w14:paraId="3D2CC430"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w tym:</w:t>
            </w:r>
          </w:p>
        </w:tc>
      </w:tr>
      <w:tr w:rsidR="00E3427E" w:rsidRPr="00E3427E" w14:paraId="22314FEF" w14:textId="77777777" w:rsidTr="00EB7DC7">
        <w:trPr>
          <w:trHeight w:val="280"/>
        </w:trPr>
        <w:tc>
          <w:tcPr>
            <w:cnfStyle w:val="001000000000" w:firstRow="0" w:lastRow="0" w:firstColumn="1" w:lastColumn="0" w:oddVBand="0" w:evenVBand="0" w:oddHBand="0" w:evenHBand="0" w:firstRowFirstColumn="0" w:firstRowLastColumn="0" w:lastRowFirstColumn="0" w:lastRowLastColumn="0"/>
            <w:tcW w:w="1705" w:type="dxa"/>
            <w:vMerge/>
          </w:tcPr>
          <w:p w14:paraId="3B31C018" w14:textId="77777777" w:rsidR="00E3427E" w:rsidRPr="00E3427E" w:rsidRDefault="00E3427E" w:rsidP="00EB7DC7">
            <w:pPr>
              <w:rPr>
                <w:rFonts w:eastAsia="Times New Roman" w:cs="Times New Roman"/>
                <w:b w:val="0"/>
                <w:bCs w:val="0"/>
                <w:color w:val="auto"/>
                <w:sz w:val="20"/>
                <w:szCs w:val="20"/>
                <w:lang w:eastAsia="pl-PL"/>
              </w:rPr>
            </w:pPr>
          </w:p>
        </w:tc>
        <w:tc>
          <w:tcPr>
            <w:tcW w:w="3969" w:type="dxa"/>
          </w:tcPr>
          <w:p w14:paraId="7EA33F24"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E3427E">
              <w:rPr>
                <w:rFonts w:eastAsia="Times New Roman" w:cs="Times New Roman"/>
                <w:color w:val="auto"/>
                <w:sz w:val="20"/>
                <w:szCs w:val="20"/>
                <w:lang w:eastAsia="pl-PL"/>
              </w:rPr>
              <w:t>osoby nieposzukujące pracy - razem</w:t>
            </w:r>
          </w:p>
        </w:tc>
        <w:tc>
          <w:tcPr>
            <w:tcW w:w="3540" w:type="dxa"/>
          </w:tcPr>
          <w:p w14:paraId="57BA53E5"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445</w:t>
            </w:r>
          </w:p>
        </w:tc>
      </w:tr>
      <w:tr w:rsidR="00E3427E" w:rsidRPr="00E3427E" w14:paraId="2E01F0E6"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705" w:type="dxa"/>
            <w:vMerge/>
          </w:tcPr>
          <w:p w14:paraId="58D45233" w14:textId="77777777" w:rsidR="00E3427E" w:rsidRPr="00E3427E" w:rsidRDefault="00E3427E" w:rsidP="00EB7DC7">
            <w:pPr>
              <w:rPr>
                <w:rFonts w:eastAsia="Times New Roman" w:cs="Times New Roman"/>
                <w:b w:val="0"/>
                <w:bCs w:val="0"/>
                <w:color w:val="auto"/>
                <w:sz w:val="20"/>
                <w:szCs w:val="20"/>
                <w:lang w:eastAsia="pl-PL"/>
              </w:rPr>
            </w:pPr>
          </w:p>
        </w:tc>
        <w:tc>
          <w:tcPr>
            <w:tcW w:w="3969" w:type="dxa"/>
          </w:tcPr>
          <w:p w14:paraId="64624837"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eastAsia="Times New Roman" w:cs="Times New Roman"/>
                <w:color w:val="auto"/>
                <w:sz w:val="20"/>
                <w:szCs w:val="20"/>
                <w:lang w:eastAsia="pl-PL"/>
              </w:rPr>
              <w:t>osoby nieposzukujące pracy - emerytura</w:t>
            </w:r>
          </w:p>
        </w:tc>
        <w:tc>
          <w:tcPr>
            <w:tcW w:w="3540" w:type="dxa"/>
          </w:tcPr>
          <w:p w14:paraId="29795015"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399</w:t>
            </w:r>
          </w:p>
        </w:tc>
      </w:tr>
      <w:tr w:rsidR="00E3427E" w:rsidRPr="00E3427E" w14:paraId="5EE4F91D" w14:textId="77777777" w:rsidTr="00EB7DC7">
        <w:trPr>
          <w:trHeight w:val="280"/>
        </w:trPr>
        <w:tc>
          <w:tcPr>
            <w:cnfStyle w:val="001000000000" w:firstRow="0" w:lastRow="0" w:firstColumn="1" w:lastColumn="0" w:oddVBand="0" w:evenVBand="0" w:oddHBand="0" w:evenHBand="0" w:firstRowFirstColumn="0" w:firstRowLastColumn="0" w:lastRowFirstColumn="0" w:lastRowLastColumn="0"/>
            <w:tcW w:w="1705" w:type="dxa"/>
            <w:vMerge/>
          </w:tcPr>
          <w:p w14:paraId="1B837508" w14:textId="77777777" w:rsidR="00E3427E" w:rsidRPr="00E3427E" w:rsidRDefault="00E3427E" w:rsidP="00EB7DC7">
            <w:pPr>
              <w:rPr>
                <w:rFonts w:eastAsia="Times New Roman" w:cs="Times New Roman"/>
                <w:b w:val="0"/>
                <w:bCs w:val="0"/>
                <w:color w:val="auto"/>
                <w:sz w:val="20"/>
                <w:szCs w:val="20"/>
                <w:lang w:eastAsia="pl-PL"/>
              </w:rPr>
            </w:pPr>
          </w:p>
        </w:tc>
        <w:tc>
          <w:tcPr>
            <w:tcW w:w="3969" w:type="dxa"/>
          </w:tcPr>
          <w:p w14:paraId="1D2D86B4"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eastAsia="Times New Roman" w:cs="Times New Roman"/>
                <w:color w:val="auto"/>
                <w:sz w:val="20"/>
                <w:szCs w:val="20"/>
                <w:lang w:eastAsia="pl-PL"/>
              </w:rPr>
              <w:t>osoby nieposzukujące pracy - choroba, niepełnosprawność</w:t>
            </w:r>
          </w:p>
        </w:tc>
        <w:tc>
          <w:tcPr>
            <w:tcW w:w="3540" w:type="dxa"/>
          </w:tcPr>
          <w:p w14:paraId="76957636"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29</w:t>
            </w:r>
          </w:p>
        </w:tc>
      </w:tr>
      <w:tr w:rsidR="00E3427E" w:rsidRPr="00E3427E" w14:paraId="3259D195" w14:textId="77777777" w:rsidTr="00EB7D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1135C559" w14:textId="77777777" w:rsidR="00E3427E" w:rsidRPr="00E3427E" w:rsidRDefault="00E3427E" w:rsidP="00EB7DC7">
            <w:pPr>
              <w:rPr>
                <w:rFonts w:eastAsia="Times New Roman" w:cs="Times New Roman"/>
                <w:b w:val="0"/>
                <w:bCs w:val="0"/>
                <w:color w:val="auto"/>
                <w:sz w:val="20"/>
                <w:szCs w:val="20"/>
                <w:lang w:eastAsia="pl-PL"/>
              </w:rPr>
            </w:pPr>
            <w:r w:rsidRPr="00E3427E">
              <w:rPr>
                <w:rFonts w:eastAsia="Times New Roman" w:cs="Times New Roman"/>
                <w:color w:val="auto"/>
                <w:sz w:val="20"/>
                <w:szCs w:val="20"/>
                <w:lang w:eastAsia="pl-PL"/>
              </w:rPr>
              <w:lastRenderedPageBreak/>
              <w:t>Osoby bezrobotne zarejestrowane w urzędach pracy (w tys.)</w:t>
            </w:r>
          </w:p>
        </w:tc>
        <w:tc>
          <w:tcPr>
            <w:tcW w:w="3969" w:type="dxa"/>
          </w:tcPr>
          <w:p w14:paraId="56E0ABD1"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ogółem</w:t>
            </w:r>
          </w:p>
        </w:tc>
        <w:tc>
          <w:tcPr>
            <w:tcW w:w="3540" w:type="dxa"/>
          </w:tcPr>
          <w:p w14:paraId="042C4B85"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73,5</w:t>
            </w:r>
          </w:p>
        </w:tc>
      </w:tr>
      <w:tr w:rsidR="00E3427E" w:rsidRPr="00E3427E" w14:paraId="2A7BB999" w14:textId="77777777" w:rsidTr="00EB7DC7">
        <w:trPr>
          <w:trHeight w:val="284"/>
        </w:trPr>
        <w:tc>
          <w:tcPr>
            <w:cnfStyle w:val="001000000000" w:firstRow="0" w:lastRow="0" w:firstColumn="1" w:lastColumn="0" w:oddVBand="0" w:evenVBand="0" w:oddHBand="0" w:evenHBand="0" w:firstRowFirstColumn="0" w:firstRowLastColumn="0" w:lastRowFirstColumn="0" w:lastRowLastColumn="0"/>
            <w:tcW w:w="1705" w:type="dxa"/>
            <w:vMerge/>
          </w:tcPr>
          <w:p w14:paraId="3ACA17AC" w14:textId="77777777" w:rsidR="00E3427E" w:rsidRPr="00E3427E" w:rsidRDefault="00E3427E" w:rsidP="00EB7DC7">
            <w:pPr>
              <w:rPr>
                <w:rFonts w:eastAsia="Times New Roman" w:cs="Times New Roman"/>
                <w:b w:val="0"/>
                <w:bCs w:val="0"/>
                <w:color w:val="auto"/>
                <w:sz w:val="20"/>
                <w:szCs w:val="20"/>
                <w:lang w:eastAsia="pl-PL"/>
              </w:rPr>
            </w:pPr>
          </w:p>
        </w:tc>
        <w:tc>
          <w:tcPr>
            <w:tcW w:w="3969" w:type="dxa"/>
          </w:tcPr>
          <w:p w14:paraId="75FAF374"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w tym w wieku 60+</w:t>
            </w:r>
          </w:p>
        </w:tc>
        <w:tc>
          <w:tcPr>
            <w:tcW w:w="3540" w:type="dxa"/>
          </w:tcPr>
          <w:p w14:paraId="375A9E67"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4,0</w:t>
            </w:r>
          </w:p>
        </w:tc>
      </w:tr>
      <w:tr w:rsidR="00E3427E" w:rsidRPr="00E3427E" w14:paraId="1E0C73E0" w14:textId="77777777" w:rsidTr="00EB7DC7">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678BF6CD" w14:textId="77777777" w:rsidR="00E3427E" w:rsidRPr="00E3427E" w:rsidRDefault="00E3427E" w:rsidP="00EB7DC7">
            <w:pPr>
              <w:rPr>
                <w:rFonts w:eastAsia="Times New Roman" w:cs="Times New Roman"/>
                <w:b w:val="0"/>
                <w:bCs w:val="0"/>
                <w:color w:val="auto"/>
                <w:sz w:val="20"/>
                <w:szCs w:val="20"/>
                <w:lang w:eastAsia="pl-PL"/>
              </w:rPr>
            </w:pPr>
            <w:r w:rsidRPr="00E3427E">
              <w:rPr>
                <w:rFonts w:eastAsia="Times New Roman" w:cs="Times New Roman"/>
                <w:color w:val="auto"/>
                <w:sz w:val="20"/>
                <w:szCs w:val="20"/>
                <w:lang w:eastAsia="pl-PL"/>
              </w:rPr>
              <w:t xml:space="preserve">Osoby pobierające renty </w:t>
            </w:r>
            <w:r w:rsidRPr="00E3427E">
              <w:rPr>
                <w:rFonts w:eastAsia="Times New Roman" w:cs="Times New Roman"/>
                <w:color w:val="auto"/>
                <w:sz w:val="20"/>
                <w:szCs w:val="20"/>
                <w:lang w:eastAsia="pl-PL"/>
              </w:rPr>
              <w:br/>
              <w:t xml:space="preserve">i emerytury </w:t>
            </w:r>
          </w:p>
        </w:tc>
        <w:tc>
          <w:tcPr>
            <w:tcW w:w="7509" w:type="dxa"/>
            <w:gridSpan w:val="2"/>
          </w:tcPr>
          <w:p w14:paraId="7F87F69A" w14:textId="77777777" w:rsidR="00E3427E" w:rsidRPr="00E3427E" w:rsidRDefault="00E3427E" w:rsidP="00EB7DC7">
            <w:pPr>
              <w:tabs>
                <w:tab w:val="left" w:pos="1725"/>
                <w:tab w:val="center" w:pos="2363"/>
              </w:tabs>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E3427E">
              <w:rPr>
                <w:rFonts w:cs="Times New Roman"/>
                <w:b/>
                <w:color w:val="auto"/>
                <w:sz w:val="20"/>
                <w:szCs w:val="20"/>
              </w:rPr>
              <w:t>ZUS</w:t>
            </w:r>
          </w:p>
        </w:tc>
      </w:tr>
      <w:tr w:rsidR="00E3427E" w:rsidRPr="00E3427E" w14:paraId="3136C3B1" w14:textId="77777777" w:rsidTr="00EB7DC7">
        <w:trPr>
          <w:trHeight w:val="189"/>
        </w:trPr>
        <w:tc>
          <w:tcPr>
            <w:cnfStyle w:val="001000000000" w:firstRow="0" w:lastRow="0" w:firstColumn="1" w:lastColumn="0" w:oddVBand="0" w:evenVBand="0" w:oddHBand="0" w:evenHBand="0" w:firstRowFirstColumn="0" w:firstRowLastColumn="0" w:lastRowFirstColumn="0" w:lastRowLastColumn="0"/>
            <w:tcW w:w="1705" w:type="dxa"/>
            <w:vMerge/>
          </w:tcPr>
          <w:p w14:paraId="5EC60AA6" w14:textId="77777777" w:rsidR="00E3427E" w:rsidRPr="00E3427E" w:rsidRDefault="00E3427E" w:rsidP="00EB7DC7">
            <w:pPr>
              <w:rPr>
                <w:rFonts w:eastAsia="Times New Roman" w:cs="Times New Roman"/>
                <w:b w:val="0"/>
                <w:bCs w:val="0"/>
                <w:color w:val="auto"/>
                <w:sz w:val="20"/>
                <w:szCs w:val="20"/>
                <w:lang w:eastAsia="pl-PL"/>
              </w:rPr>
            </w:pPr>
          </w:p>
        </w:tc>
        <w:tc>
          <w:tcPr>
            <w:tcW w:w="3969" w:type="dxa"/>
          </w:tcPr>
          <w:p w14:paraId="6E937DEF" w14:textId="77777777" w:rsidR="00E3427E" w:rsidRPr="00E3427E" w:rsidRDefault="00E3427E" w:rsidP="00EB7DC7">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E3427E">
              <w:rPr>
                <w:rFonts w:cs="Times New Roman"/>
                <w:b/>
                <w:color w:val="auto"/>
                <w:sz w:val="20"/>
                <w:szCs w:val="20"/>
              </w:rPr>
              <w:t>Rodzaj świadczenia</w:t>
            </w:r>
          </w:p>
        </w:tc>
        <w:tc>
          <w:tcPr>
            <w:tcW w:w="3540" w:type="dxa"/>
          </w:tcPr>
          <w:p w14:paraId="2B532ECA" w14:textId="77777777" w:rsidR="00E3427E" w:rsidRPr="00E3427E" w:rsidRDefault="00E3427E" w:rsidP="00EB7DC7">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E3427E">
              <w:rPr>
                <w:rFonts w:cs="Times New Roman"/>
                <w:b/>
                <w:color w:val="auto"/>
                <w:sz w:val="20"/>
                <w:szCs w:val="20"/>
              </w:rPr>
              <w:t>Przeciętna miesięczna liczba emerytów i rencistów (w tys.)</w:t>
            </w:r>
          </w:p>
        </w:tc>
      </w:tr>
      <w:tr w:rsidR="00E3427E" w:rsidRPr="00E3427E" w14:paraId="6A7D74E3" w14:textId="77777777" w:rsidTr="00EB7DC7">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705" w:type="dxa"/>
            <w:vMerge/>
          </w:tcPr>
          <w:p w14:paraId="1CFE1BA5" w14:textId="77777777" w:rsidR="00E3427E" w:rsidRPr="00E3427E" w:rsidRDefault="00E3427E" w:rsidP="00EB7DC7">
            <w:pPr>
              <w:rPr>
                <w:rFonts w:eastAsia="Times New Roman" w:cs="Times New Roman"/>
                <w:b w:val="0"/>
                <w:bCs w:val="0"/>
                <w:color w:val="auto"/>
                <w:sz w:val="20"/>
                <w:szCs w:val="20"/>
                <w:lang w:eastAsia="pl-PL"/>
              </w:rPr>
            </w:pPr>
          </w:p>
        </w:tc>
        <w:tc>
          <w:tcPr>
            <w:tcW w:w="3969" w:type="dxa"/>
          </w:tcPr>
          <w:p w14:paraId="5B774136"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Emerytury</w:t>
            </w:r>
          </w:p>
        </w:tc>
        <w:tc>
          <w:tcPr>
            <w:tcW w:w="3540" w:type="dxa"/>
          </w:tcPr>
          <w:p w14:paraId="090D9E45"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301,1</w:t>
            </w:r>
          </w:p>
        </w:tc>
      </w:tr>
      <w:tr w:rsidR="00E3427E" w:rsidRPr="00E3427E" w14:paraId="6855E894" w14:textId="77777777" w:rsidTr="00EB7DC7">
        <w:trPr>
          <w:trHeight w:val="142"/>
        </w:trPr>
        <w:tc>
          <w:tcPr>
            <w:cnfStyle w:val="001000000000" w:firstRow="0" w:lastRow="0" w:firstColumn="1" w:lastColumn="0" w:oddVBand="0" w:evenVBand="0" w:oddHBand="0" w:evenHBand="0" w:firstRowFirstColumn="0" w:firstRowLastColumn="0" w:lastRowFirstColumn="0" w:lastRowLastColumn="0"/>
            <w:tcW w:w="1705" w:type="dxa"/>
            <w:vMerge/>
          </w:tcPr>
          <w:p w14:paraId="69FA0EAA" w14:textId="77777777" w:rsidR="00E3427E" w:rsidRPr="00E3427E" w:rsidRDefault="00E3427E" w:rsidP="00EB7DC7">
            <w:pPr>
              <w:rPr>
                <w:rFonts w:eastAsia="Times New Roman" w:cs="Times New Roman"/>
                <w:b w:val="0"/>
                <w:bCs w:val="0"/>
                <w:color w:val="auto"/>
                <w:sz w:val="20"/>
                <w:szCs w:val="20"/>
                <w:lang w:eastAsia="pl-PL"/>
              </w:rPr>
            </w:pPr>
          </w:p>
        </w:tc>
        <w:tc>
          <w:tcPr>
            <w:tcW w:w="3969" w:type="dxa"/>
          </w:tcPr>
          <w:p w14:paraId="391186AB"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Renty z tytułu niezdolności do pracy</w:t>
            </w:r>
          </w:p>
        </w:tc>
        <w:tc>
          <w:tcPr>
            <w:tcW w:w="3540" w:type="dxa"/>
          </w:tcPr>
          <w:p w14:paraId="70683213"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44,5</w:t>
            </w:r>
          </w:p>
        </w:tc>
      </w:tr>
      <w:tr w:rsidR="00E3427E" w:rsidRPr="00E3427E" w14:paraId="3B8F3452" w14:textId="77777777" w:rsidTr="00EB7DC7">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705" w:type="dxa"/>
            <w:vMerge/>
          </w:tcPr>
          <w:p w14:paraId="42C86256" w14:textId="77777777" w:rsidR="00E3427E" w:rsidRPr="00E3427E" w:rsidRDefault="00E3427E" w:rsidP="00EB7DC7">
            <w:pPr>
              <w:rPr>
                <w:rFonts w:eastAsia="Times New Roman" w:cs="Times New Roman"/>
                <w:b w:val="0"/>
                <w:bCs w:val="0"/>
                <w:color w:val="auto"/>
                <w:sz w:val="20"/>
                <w:szCs w:val="20"/>
                <w:lang w:eastAsia="pl-PL"/>
              </w:rPr>
            </w:pPr>
          </w:p>
        </w:tc>
        <w:tc>
          <w:tcPr>
            <w:tcW w:w="3969" w:type="dxa"/>
          </w:tcPr>
          <w:p w14:paraId="1C715EA7"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Renty rodzinne</w:t>
            </w:r>
          </w:p>
        </w:tc>
        <w:tc>
          <w:tcPr>
            <w:tcW w:w="3540" w:type="dxa"/>
          </w:tcPr>
          <w:p w14:paraId="4448E53D"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67,1</w:t>
            </w:r>
          </w:p>
        </w:tc>
      </w:tr>
      <w:tr w:rsidR="00E3427E" w:rsidRPr="00E3427E" w14:paraId="03DB6500" w14:textId="77777777" w:rsidTr="00EB7DC7">
        <w:trPr>
          <w:trHeight w:val="284"/>
        </w:trPr>
        <w:tc>
          <w:tcPr>
            <w:cnfStyle w:val="001000000000" w:firstRow="0" w:lastRow="0" w:firstColumn="1" w:lastColumn="0" w:oddVBand="0" w:evenVBand="0" w:oddHBand="0" w:evenHBand="0" w:firstRowFirstColumn="0" w:firstRowLastColumn="0" w:lastRowFirstColumn="0" w:lastRowLastColumn="0"/>
            <w:tcW w:w="1705" w:type="dxa"/>
            <w:vMerge/>
          </w:tcPr>
          <w:p w14:paraId="7FD6FB7C" w14:textId="77777777" w:rsidR="00E3427E" w:rsidRPr="00E3427E" w:rsidRDefault="00E3427E" w:rsidP="00EB7DC7">
            <w:pPr>
              <w:rPr>
                <w:rFonts w:eastAsia="Times New Roman" w:cs="Times New Roman"/>
                <w:b w:val="0"/>
                <w:bCs w:val="0"/>
                <w:color w:val="auto"/>
                <w:sz w:val="20"/>
                <w:szCs w:val="20"/>
                <w:lang w:eastAsia="pl-PL"/>
              </w:rPr>
            </w:pPr>
          </w:p>
        </w:tc>
        <w:tc>
          <w:tcPr>
            <w:tcW w:w="7509" w:type="dxa"/>
            <w:gridSpan w:val="2"/>
          </w:tcPr>
          <w:p w14:paraId="757AD21C" w14:textId="77777777" w:rsidR="00E3427E" w:rsidRPr="00E3427E" w:rsidRDefault="00E3427E" w:rsidP="00EB7DC7">
            <w:pPr>
              <w:tabs>
                <w:tab w:val="left" w:pos="1507"/>
                <w:tab w:val="center" w:pos="2363"/>
              </w:tabs>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E3427E">
              <w:rPr>
                <w:rFonts w:cs="Times New Roman"/>
                <w:b/>
                <w:color w:val="auto"/>
                <w:sz w:val="20"/>
                <w:szCs w:val="20"/>
              </w:rPr>
              <w:t>KRUS</w:t>
            </w:r>
          </w:p>
        </w:tc>
      </w:tr>
      <w:tr w:rsidR="00E3427E" w:rsidRPr="00E3427E" w14:paraId="40D54E26" w14:textId="77777777" w:rsidTr="00EB7DC7">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705" w:type="dxa"/>
            <w:vMerge/>
          </w:tcPr>
          <w:p w14:paraId="12BE68F9" w14:textId="77777777" w:rsidR="00E3427E" w:rsidRPr="00E3427E" w:rsidRDefault="00E3427E" w:rsidP="00EB7DC7">
            <w:pPr>
              <w:rPr>
                <w:rFonts w:eastAsia="Times New Roman" w:cs="Times New Roman"/>
                <w:b w:val="0"/>
                <w:bCs w:val="0"/>
                <w:color w:val="auto"/>
                <w:sz w:val="20"/>
                <w:szCs w:val="20"/>
                <w:lang w:eastAsia="pl-PL"/>
              </w:rPr>
            </w:pPr>
          </w:p>
        </w:tc>
        <w:tc>
          <w:tcPr>
            <w:tcW w:w="3969" w:type="dxa"/>
          </w:tcPr>
          <w:p w14:paraId="2DCDE63C" w14:textId="77777777" w:rsidR="00E3427E" w:rsidRPr="00E3427E" w:rsidRDefault="00E3427E"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E3427E">
              <w:rPr>
                <w:rFonts w:cs="Times New Roman"/>
                <w:b/>
                <w:color w:val="auto"/>
                <w:sz w:val="20"/>
                <w:szCs w:val="20"/>
              </w:rPr>
              <w:t>Rodzaj świadczenia</w:t>
            </w:r>
          </w:p>
        </w:tc>
        <w:tc>
          <w:tcPr>
            <w:tcW w:w="3540" w:type="dxa"/>
          </w:tcPr>
          <w:p w14:paraId="4F06541A" w14:textId="77777777" w:rsidR="00E3427E" w:rsidRPr="00E3427E" w:rsidRDefault="00E3427E"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E3427E">
              <w:rPr>
                <w:rFonts w:cs="Times New Roman"/>
                <w:b/>
                <w:color w:val="auto"/>
                <w:sz w:val="20"/>
                <w:szCs w:val="20"/>
              </w:rPr>
              <w:t>Przeciętna miesięczna liczba emerytów i rencistów (w tys.)</w:t>
            </w:r>
          </w:p>
        </w:tc>
      </w:tr>
      <w:tr w:rsidR="00E3427E" w:rsidRPr="00E3427E" w14:paraId="033C98CE"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1705" w:type="dxa"/>
            <w:vMerge/>
          </w:tcPr>
          <w:p w14:paraId="5223E670" w14:textId="77777777" w:rsidR="00E3427E" w:rsidRPr="00E3427E" w:rsidRDefault="00E3427E" w:rsidP="00EB7DC7">
            <w:pPr>
              <w:rPr>
                <w:rFonts w:eastAsia="Times New Roman" w:cs="Times New Roman"/>
                <w:b w:val="0"/>
                <w:bCs w:val="0"/>
                <w:color w:val="auto"/>
                <w:sz w:val="20"/>
                <w:szCs w:val="20"/>
                <w:lang w:eastAsia="pl-PL"/>
              </w:rPr>
            </w:pPr>
          </w:p>
        </w:tc>
        <w:tc>
          <w:tcPr>
            <w:tcW w:w="3969" w:type="dxa"/>
          </w:tcPr>
          <w:p w14:paraId="464C4056"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Emerytury</w:t>
            </w:r>
          </w:p>
        </w:tc>
        <w:tc>
          <w:tcPr>
            <w:tcW w:w="3540" w:type="dxa"/>
          </w:tcPr>
          <w:p w14:paraId="764D016D"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56,8</w:t>
            </w:r>
          </w:p>
        </w:tc>
      </w:tr>
      <w:tr w:rsidR="00E3427E" w:rsidRPr="00E3427E" w14:paraId="30614E51" w14:textId="77777777" w:rsidTr="00EB7DC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705" w:type="dxa"/>
            <w:vMerge/>
          </w:tcPr>
          <w:p w14:paraId="46BEC105" w14:textId="77777777" w:rsidR="00E3427E" w:rsidRPr="00E3427E" w:rsidRDefault="00E3427E" w:rsidP="00EB7DC7">
            <w:pPr>
              <w:rPr>
                <w:rFonts w:eastAsia="Times New Roman" w:cs="Times New Roman"/>
                <w:b w:val="0"/>
                <w:bCs w:val="0"/>
                <w:color w:val="auto"/>
                <w:sz w:val="20"/>
                <w:szCs w:val="20"/>
                <w:lang w:eastAsia="pl-PL"/>
              </w:rPr>
            </w:pPr>
          </w:p>
        </w:tc>
        <w:tc>
          <w:tcPr>
            <w:tcW w:w="3969" w:type="dxa"/>
          </w:tcPr>
          <w:p w14:paraId="1EFFC0C7"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Renty z tytułu niezdolności do pracy</w:t>
            </w:r>
          </w:p>
        </w:tc>
        <w:tc>
          <w:tcPr>
            <w:tcW w:w="3540" w:type="dxa"/>
          </w:tcPr>
          <w:p w14:paraId="5493423F" w14:textId="77777777" w:rsidR="00E3427E" w:rsidRPr="00E3427E" w:rsidRDefault="00E3427E"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E3427E">
              <w:rPr>
                <w:rFonts w:cs="Times New Roman"/>
                <w:color w:val="auto"/>
                <w:sz w:val="20"/>
                <w:szCs w:val="20"/>
              </w:rPr>
              <w:t>13,2</w:t>
            </w:r>
          </w:p>
        </w:tc>
      </w:tr>
      <w:tr w:rsidR="00E3427E" w:rsidRPr="00E3427E" w14:paraId="770FEFC7"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1705" w:type="dxa"/>
            <w:vMerge/>
          </w:tcPr>
          <w:p w14:paraId="200654B1" w14:textId="77777777" w:rsidR="00E3427E" w:rsidRPr="00E3427E" w:rsidRDefault="00E3427E" w:rsidP="00EB7DC7">
            <w:pPr>
              <w:rPr>
                <w:rFonts w:eastAsia="Times New Roman" w:cs="Times New Roman"/>
                <w:b w:val="0"/>
                <w:bCs w:val="0"/>
                <w:color w:val="auto"/>
                <w:sz w:val="20"/>
                <w:szCs w:val="20"/>
                <w:lang w:eastAsia="pl-PL"/>
              </w:rPr>
            </w:pPr>
          </w:p>
        </w:tc>
        <w:tc>
          <w:tcPr>
            <w:tcW w:w="3969" w:type="dxa"/>
          </w:tcPr>
          <w:p w14:paraId="2DEBC6EB"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Renty rodzinne</w:t>
            </w:r>
          </w:p>
        </w:tc>
        <w:tc>
          <w:tcPr>
            <w:tcW w:w="3540" w:type="dxa"/>
          </w:tcPr>
          <w:p w14:paraId="493AFD30" w14:textId="77777777" w:rsidR="00E3427E" w:rsidRPr="00E3427E" w:rsidRDefault="00E3427E"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E3427E">
              <w:rPr>
                <w:rFonts w:cs="Times New Roman"/>
                <w:color w:val="auto"/>
                <w:sz w:val="20"/>
                <w:szCs w:val="20"/>
              </w:rPr>
              <w:t>2,4</w:t>
            </w:r>
          </w:p>
        </w:tc>
      </w:tr>
    </w:tbl>
    <w:p w14:paraId="396EA13A" w14:textId="77777777" w:rsidR="00E3427E" w:rsidRDefault="00E3427E" w:rsidP="00E3427E">
      <w:pPr>
        <w:tabs>
          <w:tab w:val="left" w:pos="5400"/>
        </w:tabs>
        <w:rPr>
          <w:rFonts w:eastAsia="Times New Roman" w:cs="Times New Roman"/>
          <w:b/>
          <w:szCs w:val="24"/>
          <w:lang w:eastAsia="pl-PL"/>
        </w:rPr>
      </w:pPr>
      <w:r w:rsidRPr="00432294">
        <w:rPr>
          <w:rFonts w:eastAsia="Times New Roman" w:cs="Times New Roman"/>
          <w:b/>
          <w:szCs w:val="24"/>
          <w:lang w:eastAsia="pl-PL"/>
        </w:rPr>
        <w:t xml:space="preserve">Źródło: </w:t>
      </w:r>
      <w:r w:rsidRPr="00377FB8">
        <w:rPr>
          <w:rFonts w:eastAsia="Times New Roman" w:cs="Times New Roman"/>
          <w:b/>
          <w:szCs w:val="24"/>
          <w:lang w:eastAsia="pl-PL"/>
        </w:rPr>
        <w:t>GUS</w:t>
      </w:r>
      <w:r w:rsidRPr="00432294">
        <w:rPr>
          <w:rFonts w:eastAsia="Times New Roman" w:cs="Times New Roman"/>
          <w:b/>
          <w:szCs w:val="24"/>
          <w:lang w:eastAsia="pl-PL"/>
        </w:rPr>
        <w:t xml:space="preserve">. </w:t>
      </w:r>
    </w:p>
    <w:p w14:paraId="642BF254" w14:textId="77777777" w:rsidR="00E3427E" w:rsidRDefault="00E3427E" w:rsidP="00493925">
      <w:pPr>
        <w:rPr>
          <w:rFonts w:cs="Times New Roman"/>
          <w:b/>
          <w:color w:val="FF0000"/>
          <w:szCs w:val="24"/>
          <w:lang w:eastAsia="ar-SA"/>
        </w:rPr>
      </w:pPr>
    </w:p>
    <w:p w14:paraId="04FC6C91" w14:textId="16A6469B" w:rsidR="00BA4636" w:rsidRDefault="00BA4636" w:rsidP="00BA4636">
      <w:pPr>
        <w:pStyle w:val="Nagwek3"/>
        <w:rPr>
          <w:lang w:eastAsia="ar-SA"/>
        </w:rPr>
      </w:pPr>
      <w:bookmarkStart w:id="140" w:name="_Toc77513955"/>
      <w:bookmarkStart w:id="141" w:name="_Toc80523109"/>
      <w:r>
        <w:rPr>
          <w:lang w:eastAsia="ar-SA"/>
        </w:rPr>
        <w:t>Sytuacja osób niepełnosprawnych i ich opiekunów</w:t>
      </w:r>
      <w:bookmarkEnd w:id="140"/>
      <w:bookmarkEnd w:id="141"/>
    </w:p>
    <w:p w14:paraId="03EF72B7" w14:textId="77777777" w:rsidR="008454C8" w:rsidRPr="008454C8" w:rsidRDefault="008454C8" w:rsidP="008454C8">
      <w:pPr>
        <w:rPr>
          <w:lang w:eastAsia="ar-SA"/>
        </w:rPr>
      </w:pPr>
    </w:p>
    <w:p w14:paraId="4C62B9B6" w14:textId="77777777" w:rsidR="00645E38" w:rsidRDefault="00645E38" w:rsidP="00645E38">
      <w:pPr>
        <w:rPr>
          <w:rFonts w:cs="Times New Roman"/>
          <w:szCs w:val="24"/>
        </w:rPr>
      </w:pPr>
      <w:r w:rsidRPr="00645E38">
        <w:rPr>
          <w:rFonts w:cs="Times New Roman"/>
          <w:szCs w:val="24"/>
        </w:rPr>
        <w:t>Osoby ze znacznym stopniem niepełnosprawności wymagają całkowitej opieki i pielęgnacji w związku z niezdolnością do samodzielnej egzystencji, co oznacza niezdolność do zaspokajania podstawowych potrzeb życiowych. Rolą opiekuna tych osób jest stała asysta i udział we wszystkich czynnościach życiowych, co wymaga na ogół rezygnacji z pracy zawodowej. Zabezpieczenie możliwości prowadzenia gospodarstwa domowego, kontynuacji leczenia i rehabilitacji wymaga również nakładów finansowych zagwarantowanych w systemie wsparcia</w:t>
      </w:r>
    </w:p>
    <w:p w14:paraId="0A2C5B80" w14:textId="4BF9E212" w:rsidR="00645E38" w:rsidRPr="00645E38" w:rsidRDefault="00645E38" w:rsidP="00645E38">
      <w:pPr>
        <w:rPr>
          <w:rFonts w:cs="Times New Roman"/>
          <w:szCs w:val="24"/>
        </w:rPr>
      </w:pPr>
      <w:r w:rsidRPr="00645E38">
        <w:rPr>
          <w:rFonts w:cs="Times New Roman"/>
          <w:szCs w:val="24"/>
        </w:rPr>
        <w:t xml:space="preserve">. </w:t>
      </w:r>
    </w:p>
    <w:p w14:paraId="62BEED3A" w14:textId="77777777" w:rsidR="00645E38" w:rsidRPr="00645E38" w:rsidRDefault="00645E38" w:rsidP="00645E38">
      <w:pPr>
        <w:rPr>
          <w:rFonts w:cs="Times New Roman"/>
          <w:szCs w:val="24"/>
        </w:rPr>
      </w:pPr>
      <w:r w:rsidRPr="00645E38">
        <w:rPr>
          <w:rFonts w:cs="Times New Roman"/>
          <w:szCs w:val="24"/>
        </w:rPr>
        <w:t xml:space="preserve">Niezależnie od znacznych ograniczeń istnieją też częściowe ograniczenia, które wymagają współudziału osób drugich w pełnieniu ról życiowych. Obciążenie dla opiekuna w tym przypadku nie jest całkowite, jednak nie mniej uciążliwe i wyczerpujące. Przewidziane prawem różne formy pomocy jak np. opieka </w:t>
      </w:r>
      <w:proofErr w:type="spellStart"/>
      <w:r w:rsidRPr="00645E38">
        <w:rPr>
          <w:rFonts w:cs="Times New Roman"/>
          <w:szCs w:val="24"/>
        </w:rPr>
        <w:t>wytchnieniowa</w:t>
      </w:r>
      <w:proofErr w:type="spellEnd"/>
      <w:r w:rsidRPr="00645E38">
        <w:rPr>
          <w:rFonts w:cs="Times New Roman"/>
          <w:szCs w:val="24"/>
        </w:rPr>
        <w:t xml:space="preserve"> pozwalają na utrzymanie  potencjału opiekuńczego, chociaż w wielu przypadkach nie zawsze to wystarcza.</w:t>
      </w:r>
    </w:p>
    <w:p w14:paraId="4E7483D3" w14:textId="77777777" w:rsidR="00645E38" w:rsidRDefault="00645E38" w:rsidP="00645E38">
      <w:pPr>
        <w:rPr>
          <w:rFonts w:cs="Times New Roman"/>
          <w:szCs w:val="24"/>
        </w:rPr>
      </w:pPr>
    </w:p>
    <w:p w14:paraId="21519659" w14:textId="17E295FF" w:rsidR="00645E38" w:rsidRDefault="00645E38" w:rsidP="00645E38">
      <w:pPr>
        <w:rPr>
          <w:rFonts w:cs="Times New Roman"/>
          <w:szCs w:val="24"/>
        </w:rPr>
      </w:pPr>
      <w:r w:rsidRPr="00645E38">
        <w:rPr>
          <w:rFonts w:cs="Times New Roman"/>
          <w:szCs w:val="24"/>
        </w:rPr>
        <w:t>Na podstawie zestawień statystycznych sporządzonych w oparciu o dane z Elektronicznego</w:t>
      </w:r>
      <w:r>
        <w:rPr>
          <w:rFonts w:cs="Times New Roman"/>
          <w:szCs w:val="24"/>
        </w:rPr>
        <w:t xml:space="preserve"> </w:t>
      </w:r>
      <w:r w:rsidRPr="00645E38">
        <w:rPr>
          <w:rFonts w:cs="Times New Roman"/>
          <w:szCs w:val="24"/>
        </w:rPr>
        <w:t xml:space="preserve">Krajowego Systemu Monitoringu Orzekania </w:t>
      </w:r>
      <w:r>
        <w:rPr>
          <w:rFonts w:cs="Times New Roman"/>
          <w:szCs w:val="24"/>
        </w:rPr>
        <w:t xml:space="preserve"> </w:t>
      </w:r>
      <w:r w:rsidRPr="00645E38">
        <w:rPr>
          <w:rFonts w:cs="Times New Roman"/>
          <w:szCs w:val="24"/>
        </w:rPr>
        <w:t>o Niepełnosprawności można wskazać, iż szacowana liczba osób po 16 roku życia zaliczonych do stopnia niepełnosprawności prawomocnym orzeczeniem lub wyrokiem sądu w województwie kujawsko-pomorskim według stanu na rok 2020 wynosiła 152.307, z czego szacowana liczebność osób w wieku 60 lat</w:t>
      </w:r>
      <w:r>
        <w:rPr>
          <w:rFonts w:cs="Times New Roman"/>
          <w:szCs w:val="24"/>
        </w:rPr>
        <w:t xml:space="preserve"> </w:t>
      </w:r>
      <w:r w:rsidRPr="00645E38">
        <w:rPr>
          <w:rFonts w:cs="Times New Roman"/>
          <w:szCs w:val="24"/>
        </w:rPr>
        <w:t xml:space="preserve">i więcej wynosiła 80.730 (53%). Wśród orzeczeń wydanych dla tej grupy wiekowej 35.809 zawiera jeden symbol przyczyny niepełnosprawności, 32.950 – dwa symbole, a 11.971 – trzy symbole. Najczęstsze przyczyny niepełnosprawności osób w wieku 60 lat i więcej to: 05-R upośledzenie narządu ruchu – 44.018 osób, 07-S  choroby układów oddechowego i krążenia – 32.039 osób, 10-N choroby neurologiczne 20.080 osób oraz 03-L zaburzenia głosu, mowy i choroby słuchu – 11.287 osób. </w:t>
      </w:r>
    </w:p>
    <w:p w14:paraId="6AA11886" w14:textId="77777777" w:rsidR="00645E38" w:rsidRPr="00645E38" w:rsidRDefault="00645E38" w:rsidP="00645E38">
      <w:pPr>
        <w:rPr>
          <w:rFonts w:cs="Times New Roman"/>
          <w:szCs w:val="24"/>
        </w:rPr>
      </w:pPr>
    </w:p>
    <w:p w14:paraId="6C6830C0" w14:textId="0F442F77" w:rsidR="00BA4636" w:rsidRDefault="00645E38" w:rsidP="00645E38">
      <w:pPr>
        <w:rPr>
          <w:rFonts w:cs="Times New Roman"/>
          <w:szCs w:val="24"/>
        </w:rPr>
      </w:pPr>
      <w:r w:rsidRPr="00645E38">
        <w:rPr>
          <w:rFonts w:cs="Times New Roman"/>
          <w:szCs w:val="24"/>
        </w:rPr>
        <w:lastRenderedPageBreak/>
        <w:t>Natomiast liczba orzeczeń wydanych zarówno przez powiatowe zespoły do spraw orzekania o niepełnosprawności w województwie kujawsko-pomorskim (PZON), jak i Wojewódzki Zespół do Spraw Orzekania o Niepełnosprawności w Bydgoszczy (WZON) w 2020 r. wyniosła ogółem 42.954, z tego dla osób 60+ 16.541 (38%).</w:t>
      </w:r>
    </w:p>
    <w:p w14:paraId="45DDA36C" w14:textId="77777777" w:rsidR="00645E38" w:rsidRPr="00645E38" w:rsidRDefault="00645E38" w:rsidP="00645E38">
      <w:pPr>
        <w:rPr>
          <w:rFonts w:cs="Times New Roman"/>
          <w:szCs w:val="24"/>
        </w:rPr>
      </w:pPr>
    </w:p>
    <w:p w14:paraId="742338A6" w14:textId="49ED46D8" w:rsidR="005C6286" w:rsidRDefault="005C6286" w:rsidP="005C6286">
      <w:pPr>
        <w:pStyle w:val="Nagwek3"/>
        <w:rPr>
          <w:lang w:eastAsia="ar-SA"/>
        </w:rPr>
      </w:pPr>
      <w:bookmarkStart w:id="142" w:name="_Toc77513956"/>
      <w:bookmarkStart w:id="143" w:name="_Toc80523110"/>
      <w:r w:rsidRPr="005C6286">
        <w:rPr>
          <w:lang w:eastAsia="ar-SA"/>
        </w:rPr>
        <w:t>Działania i inicjatywy realizowane na rzecz osób starszych w województwie</w:t>
      </w:r>
      <w:r w:rsidR="00645E38">
        <w:rPr>
          <w:lang w:eastAsia="ar-SA"/>
        </w:rPr>
        <w:t xml:space="preserve"> kujawsko-pomorskim</w:t>
      </w:r>
      <w:bookmarkEnd w:id="142"/>
      <w:bookmarkEnd w:id="143"/>
    </w:p>
    <w:p w14:paraId="06411EBC" w14:textId="77777777" w:rsidR="005C6286" w:rsidRDefault="005C6286" w:rsidP="00493925">
      <w:pPr>
        <w:rPr>
          <w:rFonts w:cs="Times New Roman"/>
          <w:b/>
          <w:color w:val="FF0000"/>
          <w:szCs w:val="24"/>
          <w:lang w:eastAsia="ar-SA"/>
        </w:rPr>
      </w:pPr>
    </w:p>
    <w:p w14:paraId="0B44D177" w14:textId="77777777" w:rsidR="005C6286" w:rsidRDefault="005C6286" w:rsidP="005C6286">
      <w:pPr>
        <w:spacing w:after="120"/>
        <w:rPr>
          <w:rFonts w:cs="Times New Roman"/>
          <w:szCs w:val="24"/>
        </w:rPr>
      </w:pPr>
      <w:r w:rsidRPr="00055A7F">
        <w:rPr>
          <w:rFonts w:cs="Times New Roman"/>
          <w:szCs w:val="24"/>
        </w:rPr>
        <w:t>Problematyka osób starszych została ujęta w następujących dokumentach:</w:t>
      </w:r>
    </w:p>
    <w:p w14:paraId="14798A48" w14:textId="54EE5D2C" w:rsidR="005C6286" w:rsidRPr="00865CB7" w:rsidRDefault="005C6286" w:rsidP="00FE70E3">
      <w:pPr>
        <w:pStyle w:val="Akapitzlist"/>
        <w:numPr>
          <w:ilvl w:val="0"/>
          <w:numId w:val="118"/>
        </w:numPr>
        <w:spacing w:after="120"/>
        <w:rPr>
          <w:rFonts w:cs="Times New Roman"/>
          <w:szCs w:val="24"/>
        </w:rPr>
      </w:pPr>
      <w:r w:rsidRPr="00865CB7">
        <w:rPr>
          <w:rFonts w:eastAsia="Times New Roman" w:cs="Times New Roman"/>
          <w:b/>
          <w:szCs w:val="24"/>
          <w:lang w:eastAsia="pl-PL"/>
        </w:rPr>
        <w:t>Strategii Rozwoju Województwa Kujawsko-Pomorskiego do roku 2020 – Plan Modernizacji 2020+.</w:t>
      </w:r>
      <w:r w:rsidRPr="00865CB7">
        <w:rPr>
          <w:rFonts w:eastAsia="Times New Roman" w:cs="Times New Roman"/>
          <w:szCs w:val="24"/>
          <w:lang w:eastAsia="pl-PL"/>
        </w:rPr>
        <w:t xml:space="preserve"> W ramach celu „Aktywne społeczeństwo i sprawne usługi” wyróżniono m.in. sferę solidarności międzypokoleniowej. W odpowiedzi na prognozowane zmiany demograficzne, związane ze zwiększeniem liczby osób starszych, realizowane </w:t>
      </w:r>
      <w:r w:rsidRPr="00865CB7">
        <w:rPr>
          <w:rFonts w:eastAsia="Times New Roman" w:cs="Times New Roman"/>
          <w:szCs w:val="24"/>
          <w:lang w:eastAsia="pl-PL"/>
        </w:rPr>
        <w:br/>
        <w:t xml:space="preserve">są działania mające na celu stworzenie jak najlepszych warunków życia tej grupie społecznej oraz przeciwdziałanie jej wykluczeniu społecznemu. Intensywne działania </w:t>
      </w:r>
      <w:r w:rsidRPr="00865CB7">
        <w:rPr>
          <w:rFonts w:eastAsia="Times New Roman" w:cs="Times New Roman"/>
          <w:szCs w:val="24"/>
          <w:lang w:eastAsia="pl-PL"/>
        </w:rPr>
        <w:br/>
        <w:t>są prowadzone na rzecz dostosowania funkcjonowania usług publicznych oraz przestrzeni publicznych do potrzeb wszystkich pokoleń oraz rozwoju form opieki nad ludnością starszą.</w:t>
      </w:r>
    </w:p>
    <w:p w14:paraId="23C33087" w14:textId="1592A3C9" w:rsidR="00865CB7" w:rsidRPr="00865CB7" w:rsidRDefault="005C6286" w:rsidP="00865CB7">
      <w:pPr>
        <w:pStyle w:val="Akapitzlist"/>
        <w:spacing w:after="120"/>
        <w:ind w:left="360"/>
        <w:contextualSpacing w:val="0"/>
        <w:rPr>
          <w:rFonts w:cs="Times New Roman"/>
          <w:szCs w:val="24"/>
        </w:rPr>
      </w:pPr>
      <w:r w:rsidRPr="0081029F">
        <w:rPr>
          <w:rFonts w:eastAsia="Times New Roman" w:cs="Times New Roman"/>
          <w:szCs w:val="24"/>
          <w:lang w:eastAsia="pl-PL"/>
        </w:rPr>
        <w:t>Kontynuowano prace nad przygotowaniem Regionalnego Modelu Usług Opiekuńczych:</w:t>
      </w:r>
      <w:r w:rsidR="00865CB7">
        <w:rPr>
          <w:rFonts w:eastAsia="Times New Roman" w:cs="Times New Roman"/>
          <w:szCs w:val="24"/>
          <w:lang w:eastAsia="pl-PL"/>
        </w:rPr>
        <w:t xml:space="preserve"> </w:t>
      </w:r>
      <w:r w:rsidRPr="00865CB7">
        <w:rPr>
          <w:rFonts w:cs="Times New Roman"/>
          <w:szCs w:val="24"/>
        </w:rPr>
        <w:t>Sporządzono opracowanie pn. „</w:t>
      </w:r>
      <w:r w:rsidRPr="00865CB7">
        <w:rPr>
          <w:rFonts w:cs="Times New Roman"/>
          <w:i/>
          <w:iCs/>
          <w:szCs w:val="24"/>
        </w:rPr>
        <w:t>Regionalny Model Usług Opiekuńczych”</w:t>
      </w:r>
      <w:r w:rsidRPr="00865CB7">
        <w:rPr>
          <w:rFonts w:cs="Times New Roman"/>
          <w:szCs w:val="24"/>
        </w:rPr>
        <w:t>, w którym scharakteryzowane zostały formy pomocy realizowane na terenie województwa kujawsko-pomorskiego, w podziale na ofertę pomocy środowiskowej, instytucjonalnej i medycznej. W opisach uwzględniono m.in. podstawę prawną funkcjonowania, rodzaje oferowanego wsparcia, podmioty organizujące daną pomoc, źródła finansowania, zakres świadczonych usług, ścieżkę postępowania oraz zasady przyznawania usług.</w:t>
      </w:r>
      <w:r w:rsidR="00865CB7">
        <w:rPr>
          <w:rFonts w:cs="Times New Roman"/>
          <w:szCs w:val="24"/>
        </w:rPr>
        <w:t xml:space="preserve"> </w:t>
      </w:r>
      <w:r w:rsidRPr="00865CB7">
        <w:rPr>
          <w:rFonts w:cs="Times New Roman"/>
          <w:szCs w:val="24"/>
        </w:rPr>
        <w:t>W ofercie pomocy środowiskowej scharakteryzowano: usługi opiekuńcze w miejscu zamieszkania; usługi dziennego opiekuna na obszarach wiejskich; sąsiedzkie usługi opiekuńcze; wolontariat opiekuńczy; dzienne domy pomocy; kluby samopomocy i kluby seniora.</w:t>
      </w:r>
      <w:r w:rsidR="00865CB7">
        <w:rPr>
          <w:rFonts w:cs="Times New Roman"/>
          <w:szCs w:val="24"/>
        </w:rPr>
        <w:t xml:space="preserve"> </w:t>
      </w:r>
      <w:r w:rsidRPr="00865CB7">
        <w:rPr>
          <w:rFonts w:cs="Times New Roman"/>
          <w:szCs w:val="24"/>
        </w:rPr>
        <w:t>Wyodrębniono pośrednie formy pomocy środowiskowej: ofertę mieszkalnictwa senioralnego; mieszkania chronione dla osób niesamodzielnych; gospodarstwa opiekuńcze w ramach tzw. zielonej opieki; rodzinne domy pomocy.</w:t>
      </w:r>
      <w:r w:rsidR="00865CB7">
        <w:rPr>
          <w:rFonts w:cs="Times New Roman"/>
          <w:szCs w:val="24"/>
        </w:rPr>
        <w:t xml:space="preserve"> </w:t>
      </w:r>
      <w:r w:rsidRPr="00865CB7">
        <w:rPr>
          <w:rFonts w:cs="Times New Roman"/>
          <w:szCs w:val="24"/>
        </w:rPr>
        <w:t>W ofercie pomocy instytucjonalnej opisano: domy pomocy społecznej; placówki całodobowej opieki.</w:t>
      </w:r>
      <w:r w:rsidR="00865CB7">
        <w:rPr>
          <w:rFonts w:cs="Times New Roman"/>
          <w:szCs w:val="24"/>
        </w:rPr>
        <w:t xml:space="preserve"> </w:t>
      </w:r>
      <w:r w:rsidRPr="00865CB7">
        <w:rPr>
          <w:rFonts w:cs="Times New Roman"/>
          <w:szCs w:val="24"/>
        </w:rPr>
        <w:t>W katalogu pomocy medycznej opisano: dzienne</w:t>
      </w:r>
      <w:r w:rsidR="00865CB7">
        <w:rPr>
          <w:rFonts w:cs="Times New Roman"/>
          <w:szCs w:val="24"/>
        </w:rPr>
        <w:t xml:space="preserve"> </w:t>
      </w:r>
      <w:r w:rsidRPr="00865CB7">
        <w:rPr>
          <w:rFonts w:cs="Times New Roman"/>
          <w:szCs w:val="24"/>
        </w:rPr>
        <w:t>domy opieki medycznej; zakłady opiekuńcze (ZOL/ZPO); hospicja stacjonarne.</w:t>
      </w:r>
    </w:p>
    <w:p w14:paraId="743F80D4" w14:textId="77777777" w:rsidR="00865CB7" w:rsidRPr="00865CB7" w:rsidRDefault="005C6286" w:rsidP="00FE70E3">
      <w:pPr>
        <w:pStyle w:val="Akapitzlist"/>
        <w:numPr>
          <w:ilvl w:val="0"/>
          <w:numId w:val="118"/>
        </w:numPr>
        <w:spacing w:after="120"/>
        <w:contextualSpacing w:val="0"/>
        <w:rPr>
          <w:rFonts w:cs="Times New Roman"/>
          <w:szCs w:val="24"/>
        </w:rPr>
      </w:pPr>
      <w:r w:rsidRPr="00865CB7">
        <w:rPr>
          <w:rFonts w:cs="Times New Roman"/>
          <w:b/>
        </w:rPr>
        <w:t>Strategii Polityki Społecznej Województwa Kujawsko-Pomorskiego do roku 2020.</w:t>
      </w:r>
      <w:r w:rsidRPr="00865CB7">
        <w:rPr>
          <w:rFonts w:cs="Times New Roman"/>
        </w:rPr>
        <w:t xml:space="preserve"> W</w:t>
      </w:r>
      <w:r w:rsidR="00865CB7">
        <w:rPr>
          <w:rFonts w:cs="Times New Roman"/>
        </w:rPr>
        <w:t> </w:t>
      </w:r>
      <w:r w:rsidRPr="00865CB7">
        <w:rPr>
          <w:rFonts w:cs="Times New Roman"/>
        </w:rPr>
        <w:t xml:space="preserve">ramach II </w:t>
      </w:r>
      <w:r w:rsidRPr="00865CB7">
        <w:rPr>
          <w:rFonts w:cs="Times New Roman"/>
          <w:bCs/>
        </w:rPr>
        <w:t>celu strategicznego „</w:t>
      </w:r>
      <w:r w:rsidRPr="00865CB7">
        <w:rPr>
          <w:rFonts w:cs="Times New Roman"/>
        </w:rPr>
        <w:t xml:space="preserve">Wzrost poziomu jakości życia mieszkańców regionu poprzez zwiększenie dostępności do różnego rodzaju usług społecznych” wyróżniono </w:t>
      </w:r>
      <w:r w:rsidRPr="00865CB7">
        <w:rPr>
          <w:rFonts w:cs="Times New Roman"/>
          <w:bCs/>
        </w:rPr>
        <w:t xml:space="preserve">Priorytet 4 </w:t>
      </w:r>
      <w:r w:rsidRPr="00865CB7">
        <w:rPr>
          <w:rFonts w:cs="Times New Roman"/>
        </w:rPr>
        <w:t xml:space="preserve">„Przeciwdziałanie negatywnym skutkom przemian demograficznych”, w tym </w:t>
      </w:r>
      <w:r w:rsidRPr="00865CB7">
        <w:rPr>
          <w:rFonts w:cs="Times New Roman"/>
          <w:bCs/>
        </w:rPr>
        <w:t>Cel szczegółowy 4.1 „</w:t>
      </w:r>
      <w:r w:rsidRPr="00865CB7">
        <w:rPr>
          <w:rFonts w:cs="Times New Roman"/>
        </w:rPr>
        <w:t xml:space="preserve">Zwiększenie dostępu do usług społecznych dla osób starszych”. </w:t>
      </w:r>
      <w:r w:rsidR="00865CB7">
        <w:rPr>
          <w:rFonts w:cs="Times New Roman"/>
        </w:rPr>
        <w:t xml:space="preserve"> </w:t>
      </w:r>
      <w:r w:rsidRPr="00865CB7">
        <w:rPr>
          <w:rFonts w:cs="Times New Roman"/>
        </w:rPr>
        <w:t>Zaplanowane zostały działania upowszechniające i wspierające programy mające na celu aktywizację osób starszych oraz wzmacniające relacje międzypokoleniowe, w tym także wolontariat seniorów, rozwijające i upowszechniające usługi społeczne i placówki oferujące pomoc dzienną seniorom oraz rozwijające całodobowe usługi opiekuńcze i rehabilitacyjne dla osób starszych.</w:t>
      </w:r>
    </w:p>
    <w:p w14:paraId="3C53D9B9" w14:textId="77777777" w:rsidR="00865CB7" w:rsidRPr="00865CB7" w:rsidRDefault="005C6286" w:rsidP="00FE70E3">
      <w:pPr>
        <w:pStyle w:val="Akapitzlist"/>
        <w:numPr>
          <w:ilvl w:val="0"/>
          <w:numId w:val="118"/>
        </w:numPr>
        <w:spacing w:after="120"/>
        <w:contextualSpacing w:val="0"/>
        <w:rPr>
          <w:rFonts w:cs="Times New Roman"/>
          <w:szCs w:val="24"/>
        </w:rPr>
      </w:pPr>
      <w:r w:rsidRPr="00865CB7">
        <w:rPr>
          <w:rFonts w:cs="Times New Roman"/>
          <w:b/>
        </w:rPr>
        <w:lastRenderedPageBreak/>
        <w:t>Regionalnym Programie Operacyjnym Województwa Kujawsko-Pomorskiego na lata 2014-2020.</w:t>
      </w:r>
      <w:r w:rsidRPr="00865CB7">
        <w:rPr>
          <w:rFonts w:cs="Times New Roman"/>
        </w:rPr>
        <w:t xml:space="preserve"> Regionalny Program Operacyjny to dokument planistyczny dla działań jednostek samorządu terytorialnego, które mają zostać podjęte w celu wsparcia województwa lub regionu. </w:t>
      </w:r>
      <w:r w:rsidR="00865CB7">
        <w:rPr>
          <w:rFonts w:cs="Times New Roman"/>
        </w:rPr>
        <w:t xml:space="preserve"> </w:t>
      </w:r>
      <w:r w:rsidRPr="00865CB7">
        <w:rPr>
          <w:rFonts w:cs="Times New Roman"/>
        </w:rPr>
        <w:t xml:space="preserve">W ramach programu wyznaczono 11 osi priorytetowych, podzielonych według najważniejszych celów. Każda oś jest wewnętrznie pogrupowana wedle działań </w:t>
      </w:r>
      <w:r w:rsidR="00865CB7">
        <w:rPr>
          <w:rFonts w:cs="Times New Roman"/>
        </w:rPr>
        <w:t xml:space="preserve"> </w:t>
      </w:r>
      <w:r w:rsidRPr="00865CB7">
        <w:rPr>
          <w:rFonts w:cs="Times New Roman"/>
        </w:rPr>
        <w:t>i poddziałań. W ramach osi priorytetowej 9. Solidarne społeczeństwo, realizowane działania mają na celu m.in. zwiększenie dostępu do usług opiekuńczych dla</w:t>
      </w:r>
      <w:r w:rsidR="00865CB7">
        <w:rPr>
          <w:rFonts w:cs="Times New Roman"/>
        </w:rPr>
        <w:t xml:space="preserve"> </w:t>
      </w:r>
      <w:r w:rsidRPr="00865CB7">
        <w:rPr>
          <w:rFonts w:cs="Times New Roman"/>
        </w:rPr>
        <w:t>osób starszych, niesamodzielnych i niepełnosprawnych.</w:t>
      </w:r>
      <w:r w:rsidR="00865CB7">
        <w:rPr>
          <w:rFonts w:cs="Times New Roman"/>
        </w:rPr>
        <w:t xml:space="preserve"> </w:t>
      </w:r>
      <w:r w:rsidRPr="00865CB7">
        <w:rPr>
          <w:rFonts w:eastAsia="CIDFont+F4" w:cs="Times New Roman"/>
        </w:rPr>
        <w:t>Do 31 grudnia 2020 r. w ramach realizacji projektów współfinansowanych ze środków RPO WK-P 2014-2020 osiągnięto m.in. wybrane efekty rzeczowe w obszarze pomoc społeczna:</w:t>
      </w:r>
    </w:p>
    <w:p w14:paraId="027A32F1" w14:textId="77777777" w:rsidR="00865CB7" w:rsidRPr="00865CB7" w:rsidRDefault="005C6286" w:rsidP="00FE70E3">
      <w:pPr>
        <w:pStyle w:val="Akapitzlist"/>
        <w:numPr>
          <w:ilvl w:val="1"/>
          <w:numId w:val="118"/>
        </w:numPr>
        <w:spacing w:after="120"/>
        <w:contextualSpacing w:val="0"/>
        <w:rPr>
          <w:rFonts w:cs="Times New Roman"/>
          <w:szCs w:val="24"/>
        </w:rPr>
      </w:pPr>
      <w:r w:rsidRPr="00865CB7">
        <w:rPr>
          <w:rFonts w:cs="Times New Roman"/>
          <w:szCs w:val="24"/>
        </w:rPr>
        <w:t xml:space="preserve">4 804 </w:t>
      </w:r>
      <w:r w:rsidRPr="00865CB7">
        <w:rPr>
          <w:rFonts w:eastAsia="CIDFont+F4" w:cs="Times New Roman"/>
          <w:szCs w:val="24"/>
        </w:rPr>
        <w:t>osoby zagrożone ubóstwem lub wykluczeniem społecznym objęto usługami asystenckimi i opiekuńczymi świadczonymi w społeczności lokalnej,</w:t>
      </w:r>
    </w:p>
    <w:p w14:paraId="17637E36" w14:textId="7E176B3A" w:rsidR="005C6286" w:rsidRPr="00865CB7" w:rsidRDefault="005C6286" w:rsidP="00FE70E3">
      <w:pPr>
        <w:pStyle w:val="Akapitzlist"/>
        <w:numPr>
          <w:ilvl w:val="1"/>
          <w:numId w:val="118"/>
        </w:numPr>
        <w:spacing w:after="120"/>
        <w:contextualSpacing w:val="0"/>
        <w:rPr>
          <w:rFonts w:cs="Times New Roman"/>
          <w:szCs w:val="24"/>
        </w:rPr>
      </w:pPr>
      <w:r w:rsidRPr="00865CB7">
        <w:rPr>
          <w:rFonts w:cs="Times New Roman"/>
          <w:szCs w:val="24"/>
        </w:rPr>
        <w:t xml:space="preserve">330 </w:t>
      </w:r>
      <w:r w:rsidRPr="00865CB7">
        <w:rPr>
          <w:rFonts w:eastAsia="CIDFont+F4" w:cs="Times New Roman"/>
          <w:szCs w:val="24"/>
        </w:rPr>
        <w:t>miejsc świadczenia usług asystenckich i opiekuńczych, utworzonych w programie i istniejących po zakończeniu projektu</w:t>
      </w:r>
      <w:r w:rsidRPr="00C71F1C">
        <w:rPr>
          <w:rStyle w:val="Odwoanieprzypisudolnego"/>
          <w:rFonts w:eastAsia="CIDFont+F4" w:cs="Times New Roman"/>
          <w:szCs w:val="24"/>
        </w:rPr>
        <w:footnoteReference w:id="35"/>
      </w:r>
      <w:r w:rsidRPr="00865CB7">
        <w:rPr>
          <w:rFonts w:eastAsia="CIDFont+F4" w:cs="Times New Roman"/>
          <w:szCs w:val="24"/>
        </w:rPr>
        <w:t>.</w:t>
      </w:r>
    </w:p>
    <w:p w14:paraId="63799CEF" w14:textId="77777777" w:rsidR="00865CB7" w:rsidRPr="00865CB7" w:rsidRDefault="00865CB7" w:rsidP="00942717">
      <w:pPr>
        <w:pStyle w:val="Akapitzlist"/>
        <w:spacing w:after="120"/>
        <w:ind w:left="1080"/>
        <w:contextualSpacing w:val="0"/>
        <w:rPr>
          <w:rFonts w:cs="Times New Roman"/>
          <w:szCs w:val="24"/>
        </w:rPr>
      </w:pPr>
    </w:p>
    <w:p w14:paraId="3FC08930" w14:textId="77777777" w:rsidR="005C6286" w:rsidRPr="00865CB7" w:rsidRDefault="005C6286" w:rsidP="00865CB7">
      <w:pPr>
        <w:rPr>
          <w:b/>
          <w:bCs/>
        </w:rPr>
      </w:pPr>
      <w:r w:rsidRPr="00865CB7">
        <w:rPr>
          <w:b/>
          <w:bCs/>
        </w:rPr>
        <w:t>Programy wspierające aktywność społeczną, zdrowotną, kulturalną, edukacyjną, sportową i obywatelską osób starszych.</w:t>
      </w:r>
    </w:p>
    <w:p w14:paraId="4D841BA6" w14:textId="57A2DFD7" w:rsidR="00865CB7" w:rsidRDefault="005C6286" w:rsidP="00865CB7">
      <w:pPr>
        <w:rPr>
          <w:b/>
          <w:i/>
          <w:iCs/>
        </w:rPr>
      </w:pPr>
      <w:r w:rsidRPr="00865CB7">
        <w:rPr>
          <w:u w:val="single"/>
        </w:rPr>
        <w:t>Kujawsko-Pomorski Program Pomocy Społecznej i Włączenia Społecznego na lata 2019-2020</w:t>
      </w:r>
      <w:r w:rsidRPr="00865CB7">
        <w:rPr>
          <w:b/>
          <w:bCs/>
          <w:u w:val="single"/>
        </w:rPr>
        <w:t xml:space="preserve"> </w:t>
      </w:r>
      <w:r w:rsidRPr="00C71F1C">
        <w:t>jest integralną częścią Strategii Polityki Społecznej oraz Strategii Rozwoju Województw</w:t>
      </w:r>
      <w:r w:rsidRPr="00A12FF0">
        <w:t>a</w:t>
      </w:r>
      <w:r w:rsidRPr="00A12FF0">
        <w:rPr>
          <w:iCs/>
        </w:rPr>
        <w:t>.</w:t>
      </w:r>
      <w:r w:rsidRPr="00A12FF0">
        <w:rPr>
          <w:i/>
          <w:iCs/>
        </w:rPr>
        <w:t xml:space="preserve"> </w:t>
      </w:r>
      <w:r w:rsidRPr="00A12FF0">
        <w:rPr>
          <w:rFonts w:eastAsia="CIDFont+F4"/>
        </w:rPr>
        <w:t>W</w:t>
      </w:r>
      <w:r w:rsidR="00865CB7">
        <w:rPr>
          <w:rFonts w:eastAsia="CIDFont+F4"/>
        </w:rPr>
        <w:t> </w:t>
      </w:r>
      <w:r w:rsidRPr="00A12FF0">
        <w:rPr>
          <w:rFonts w:eastAsia="CIDFont+F4"/>
        </w:rPr>
        <w:t>2020 r</w:t>
      </w:r>
      <w:r w:rsidR="004D289B">
        <w:rPr>
          <w:rFonts w:eastAsia="CIDFont+F4"/>
        </w:rPr>
        <w:t>.</w:t>
      </w:r>
      <w:r w:rsidRPr="00A12FF0">
        <w:rPr>
          <w:rFonts w:eastAsia="CIDFont+F4"/>
        </w:rPr>
        <w:t xml:space="preserve"> osiągnięto m.in. następujące wskaźniki w obszarze wsparcia osób starszych: </w:t>
      </w:r>
    </w:p>
    <w:p w14:paraId="4A74E98F" w14:textId="77777777" w:rsidR="00865CB7" w:rsidRPr="00865CB7" w:rsidRDefault="005C6286" w:rsidP="00FE70E3">
      <w:pPr>
        <w:pStyle w:val="Akapitzlist"/>
        <w:numPr>
          <w:ilvl w:val="0"/>
          <w:numId w:val="119"/>
        </w:numPr>
        <w:rPr>
          <w:b/>
          <w:i/>
          <w:iCs/>
        </w:rPr>
      </w:pPr>
      <w:r w:rsidRPr="00865CB7">
        <w:rPr>
          <w:rFonts w:eastAsia="CIDFont+F4" w:cs="Times New Roman"/>
          <w:szCs w:val="24"/>
        </w:rPr>
        <w:t>1 684 osoby, które skorzystały z usług Regionalnego Centrum Informacji Senioralnej;</w:t>
      </w:r>
    </w:p>
    <w:p w14:paraId="288CE267" w14:textId="77777777" w:rsidR="00865CB7" w:rsidRPr="00865CB7" w:rsidRDefault="005C6286" w:rsidP="00FE70E3">
      <w:pPr>
        <w:pStyle w:val="Akapitzlist"/>
        <w:numPr>
          <w:ilvl w:val="0"/>
          <w:numId w:val="119"/>
        </w:numPr>
        <w:rPr>
          <w:b/>
          <w:i/>
          <w:iCs/>
        </w:rPr>
      </w:pPr>
      <w:r w:rsidRPr="00865CB7">
        <w:rPr>
          <w:rFonts w:eastAsia="CIDFont+F4" w:cs="Times New Roman"/>
          <w:szCs w:val="24"/>
        </w:rPr>
        <w:t xml:space="preserve">210 osób niesamodzielnych objętych zostało wsparciem </w:t>
      </w:r>
      <w:proofErr w:type="spellStart"/>
      <w:r w:rsidRPr="00865CB7">
        <w:rPr>
          <w:rFonts w:eastAsia="CIDFont+F4" w:cs="Times New Roman"/>
          <w:szCs w:val="24"/>
        </w:rPr>
        <w:t>teleopieki</w:t>
      </w:r>
      <w:proofErr w:type="spellEnd"/>
      <w:r w:rsidRPr="00865CB7">
        <w:rPr>
          <w:rFonts w:eastAsia="CIDFont+F4" w:cs="Times New Roman"/>
          <w:szCs w:val="24"/>
        </w:rPr>
        <w:t xml:space="preserve">; </w:t>
      </w:r>
    </w:p>
    <w:p w14:paraId="3BD84B83" w14:textId="1E8D29E4" w:rsidR="005C6286" w:rsidRPr="00865CB7" w:rsidRDefault="005C6286" w:rsidP="00FE70E3">
      <w:pPr>
        <w:pStyle w:val="Akapitzlist"/>
        <w:numPr>
          <w:ilvl w:val="0"/>
          <w:numId w:val="119"/>
        </w:numPr>
        <w:rPr>
          <w:b/>
          <w:i/>
          <w:iCs/>
        </w:rPr>
      </w:pPr>
      <w:r w:rsidRPr="00865CB7">
        <w:rPr>
          <w:rFonts w:eastAsia="CIDFont+F4" w:cs="Times New Roman"/>
          <w:szCs w:val="24"/>
        </w:rPr>
        <w:t>52 osoby, które uczestniczyły w konferencjach i spotkaniach, prezentujących dobre praktyki w obszarze pomocy i wsparcia osób starszych</w:t>
      </w:r>
      <w:r w:rsidRPr="00C71F1C">
        <w:rPr>
          <w:rStyle w:val="Odwoanieprzypisudolnego"/>
          <w:rFonts w:eastAsia="CIDFont+F4" w:cs="Times New Roman"/>
          <w:szCs w:val="24"/>
        </w:rPr>
        <w:footnoteReference w:id="36"/>
      </w:r>
      <w:r w:rsidRPr="00865CB7">
        <w:rPr>
          <w:rFonts w:eastAsia="CIDFont+F4" w:cs="Times New Roman"/>
          <w:szCs w:val="24"/>
        </w:rPr>
        <w:t>.</w:t>
      </w:r>
    </w:p>
    <w:p w14:paraId="73D5C1C5" w14:textId="77777777" w:rsidR="005C6286" w:rsidRPr="00A12FF0" w:rsidRDefault="005C6286" w:rsidP="005C6286">
      <w:pPr>
        <w:pStyle w:val="Akapitzlist"/>
        <w:autoSpaceDE w:val="0"/>
        <w:autoSpaceDN w:val="0"/>
        <w:adjustRightInd w:val="0"/>
        <w:spacing w:after="120"/>
        <w:ind w:left="1146"/>
        <w:rPr>
          <w:rFonts w:eastAsia="CIDFont+F4" w:cs="Times New Roman"/>
          <w:color w:val="FF0000"/>
          <w:sz w:val="16"/>
          <w:szCs w:val="16"/>
        </w:rPr>
      </w:pPr>
    </w:p>
    <w:p w14:paraId="0E2636AB" w14:textId="115D53F5" w:rsidR="005C6286" w:rsidRDefault="005C6286" w:rsidP="008454C8">
      <w:pPr>
        <w:rPr>
          <w:rFonts w:eastAsia="CIDFont+F4"/>
        </w:rPr>
      </w:pPr>
      <w:r w:rsidRPr="00865CB7">
        <w:rPr>
          <w:lang w:eastAsia="pl-PL"/>
        </w:rPr>
        <w:t xml:space="preserve">Program profilaktyki zakażeń </w:t>
      </w:r>
      <w:proofErr w:type="spellStart"/>
      <w:r w:rsidRPr="00865CB7">
        <w:rPr>
          <w:lang w:eastAsia="pl-PL"/>
        </w:rPr>
        <w:t>pneumokokowych</w:t>
      </w:r>
      <w:proofErr w:type="spellEnd"/>
      <w:r w:rsidRPr="00865CB7">
        <w:rPr>
          <w:lang w:eastAsia="pl-PL"/>
        </w:rPr>
        <w:t xml:space="preserve"> wśród osób dorosłych w oparciu </w:t>
      </w:r>
      <w:r w:rsidRPr="00865CB7">
        <w:rPr>
          <w:lang w:eastAsia="pl-PL"/>
        </w:rPr>
        <w:br/>
        <w:t>o szczepienia przeciwko pneumokokom w województwie kujawsko-pomorskim.</w:t>
      </w:r>
      <w:r w:rsidR="00865CB7">
        <w:t xml:space="preserve"> </w:t>
      </w:r>
      <w:r w:rsidRPr="00865CB7">
        <w:t>Realizowany jest przez samorząd województwa we współpracy z jednostkami samorządu terytorialnego (od 2017 r.), które wyraziły wolę realizacji i podmiotami leczniczymi wybranymi w drodze postępowania konkursowego.</w:t>
      </w:r>
      <w:r w:rsidR="00865CB7">
        <w:t xml:space="preserve"> </w:t>
      </w:r>
      <w:r w:rsidRPr="00C71F1C">
        <w:t xml:space="preserve">Do programu zostały zaproszone osoby w wieku powyżej 65 lat, zameldowane na terenie województwa kujawsko-pomorskiego, które nie były szczepione szczepionką przeciwko pneumokokom i należą do grupy ryzyka – osoby leczące się z powodu przewlekłego nieżytu oskrzeli i astmy oskrzelowej. </w:t>
      </w:r>
      <w:r w:rsidR="00865CB7">
        <w:t xml:space="preserve"> </w:t>
      </w:r>
      <w:r w:rsidRPr="00C71F1C">
        <w:rPr>
          <w:color w:val="000000"/>
        </w:rPr>
        <w:t>Zrealizowano wszystkie zaplanowane na 2020 r. działania, ale nie osiągnięto 100% wskaźników (zaplanowano udział 1 705 osób w Programie, a zaszczepionych zostało 1 485 osób co stanowiło 87,1%). Na obniżenie tego wskaźnika wpływ miały: czasowy brak szczepionek na rynku oraz problemy kadrowo-organizacyjne związane z sytuacją epidemiczną. Wskaźnik powyżej 70% zgłaszalności w programach przesiewowych jest wskaźnikiem świadczącym o wysokiej efektywności Programu. W 2020 r. działania realizowano w partnerstwie z 27 jednostkami samorządu terytorialnego</w:t>
      </w:r>
      <w:r w:rsidRPr="00C71F1C">
        <w:rPr>
          <w:rStyle w:val="Odwoanieprzypisudolnego"/>
          <w:rFonts w:eastAsia="CIDFont+F4" w:cs="Times New Roman"/>
          <w:szCs w:val="24"/>
        </w:rPr>
        <w:footnoteReference w:id="37"/>
      </w:r>
      <w:r w:rsidRPr="00C71F1C">
        <w:rPr>
          <w:rFonts w:eastAsia="CIDFont+F4"/>
        </w:rPr>
        <w:t>.</w:t>
      </w:r>
    </w:p>
    <w:p w14:paraId="446A90CE" w14:textId="77777777" w:rsidR="008454C8" w:rsidRPr="00865CB7" w:rsidRDefault="008454C8" w:rsidP="008454C8"/>
    <w:p w14:paraId="28A7E948" w14:textId="1A695047" w:rsidR="008454C8" w:rsidRDefault="005C6286" w:rsidP="008454C8">
      <w:pPr>
        <w:spacing w:after="120"/>
        <w:rPr>
          <w:rFonts w:cs="Times New Roman"/>
          <w:szCs w:val="24"/>
        </w:rPr>
      </w:pPr>
      <w:r w:rsidRPr="008454C8">
        <w:rPr>
          <w:rFonts w:eastAsia="Times New Roman" w:cs="Times New Roman"/>
          <w:bCs/>
          <w:szCs w:val="24"/>
          <w:u w:val="single"/>
          <w:lang w:eastAsia="pl-PL"/>
        </w:rPr>
        <w:t>Kujawsko-Pomorski Program Badań Przesiewowych w Kierunku Tętniaka Aorty Brzusznej</w:t>
      </w:r>
      <w:r w:rsidRPr="008454C8">
        <w:rPr>
          <w:rFonts w:eastAsia="Times New Roman" w:cs="Times New Roman"/>
          <w:szCs w:val="24"/>
          <w:lang w:eastAsia="pl-PL"/>
        </w:rPr>
        <w:t xml:space="preserve"> realizowany jest w województwie kujawsko-pomorskim od 2012</w:t>
      </w:r>
      <w:r w:rsidR="004D289B">
        <w:rPr>
          <w:rFonts w:eastAsia="Times New Roman" w:cs="Times New Roman"/>
          <w:szCs w:val="24"/>
          <w:lang w:eastAsia="pl-PL"/>
        </w:rPr>
        <w:t xml:space="preserve"> r.</w:t>
      </w:r>
      <w:r w:rsidRPr="008454C8">
        <w:rPr>
          <w:rFonts w:eastAsia="Times New Roman" w:cs="Times New Roman"/>
          <w:szCs w:val="24"/>
          <w:lang w:eastAsia="pl-PL"/>
        </w:rPr>
        <w:t xml:space="preserve">. Celem programu jest zwiększenie wczesnej wykrywalności tętniaków aorty brzusznej, zmniejszenie śmiertelności związanej z pękniętym tętniakiem aorty brzusznej oraz zwiększenie wiedzy mieszkańców regionu na temat tętniaka aorty brzusznej i czynników ryzyka. </w:t>
      </w:r>
      <w:r w:rsidRPr="008454C8">
        <w:rPr>
          <w:rFonts w:cs="Times New Roman"/>
          <w:szCs w:val="24"/>
        </w:rPr>
        <w:t>Program skierowany jest do mężczyzn w wieku 65-74 lata, palących papierosy, będących mieszkańcami województwa kujawsko-pomorskiego.</w:t>
      </w:r>
      <w:r w:rsidR="008454C8">
        <w:rPr>
          <w:rFonts w:cs="Times New Roman"/>
          <w:szCs w:val="24"/>
        </w:rPr>
        <w:t xml:space="preserve"> </w:t>
      </w:r>
      <w:r w:rsidRPr="00C71F1C">
        <w:rPr>
          <w:rFonts w:cs="Times New Roman"/>
          <w:color w:val="000000"/>
          <w:szCs w:val="24"/>
        </w:rPr>
        <w:t>Zrealizowano wszystkie zaplanowane na 2020 r. działania, ale nie osiągnięto 100% wskaźników (zaplanowano udział 800 osób w Programie, natomiast przebadanych zostało 370 osób, co stanowiło 46%). Wskaźnik nie został osiągnięty w 100% ze względu na niską świadomość zdrowotną oraz sytuację związaną z pandemią COVID-19</w:t>
      </w:r>
      <w:r w:rsidRPr="00C71F1C">
        <w:rPr>
          <w:rStyle w:val="Odwoanieprzypisudolnego"/>
          <w:rFonts w:eastAsia="CIDFont+F4" w:cs="Times New Roman"/>
          <w:szCs w:val="24"/>
        </w:rPr>
        <w:footnoteReference w:id="38"/>
      </w:r>
      <w:r w:rsidRPr="00C71F1C">
        <w:rPr>
          <w:rFonts w:eastAsia="CIDFont+F4" w:cs="Times New Roman"/>
          <w:szCs w:val="24"/>
        </w:rPr>
        <w:t>.</w:t>
      </w:r>
    </w:p>
    <w:p w14:paraId="60009CF7" w14:textId="456AAE27" w:rsidR="005C6286" w:rsidRPr="008454C8" w:rsidRDefault="005C6286" w:rsidP="008454C8">
      <w:pPr>
        <w:rPr>
          <w:u w:val="single"/>
        </w:rPr>
      </w:pPr>
      <w:r w:rsidRPr="008454C8">
        <w:rPr>
          <w:u w:val="single"/>
        </w:rPr>
        <w:t xml:space="preserve">Program zapobiegania upadkom dla seniorów w województwie kujawsko-pomorskim. </w:t>
      </w:r>
    </w:p>
    <w:p w14:paraId="6D097399" w14:textId="78C4E573" w:rsidR="005C6286" w:rsidRDefault="005C6286" w:rsidP="008454C8">
      <w:pPr>
        <w:rPr>
          <w:rFonts w:eastAsia="CIDFont+F4"/>
        </w:rPr>
      </w:pPr>
      <w:r w:rsidRPr="00780731">
        <w:rPr>
          <w:rFonts w:eastAsia="Times New Roman"/>
          <w:lang w:eastAsia="pl-PL"/>
        </w:rPr>
        <w:t>Głównym celem programu jest zmniejszenie liczby upadków i urazów wśród osób po 60 roku życia uczestniczących w programie. Cele szczegółowe programu to:</w:t>
      </w:r>
      <w:r w:rsidR="008454C8">
        <w:rPr>
          <w:rFonts w:eastAsia="Times New Roman"/>
          <w:lang w:eastAsia="pl-PL"/>
        </w:rPr>
        <w:t xml:space="preserve"> </w:t>
      </w:r>
      <w:r w:rsidRPr="00C71F1C">
        <w:rPr>
          <w:rFonts w:eastAsia="Times New Roman"/>
          <w:lang w:eastAsia="pl-PL"/>
        </w:rPr>
        <w:t>poprawa sprawności fizycznej oraz wykształcenie nawyków systematycznych ćwiczeń fizycznych wśród uczestników programu;</w:t>
      </w:r>
      <w:r w:rsidR="008454C8">
        <w:rPr>
          <w:rFonts w:eastAsia="Times New Roman"/>
          <w:lang w:eastAsia="pl-PL"/>
        </w:rPr>
        <w:t xml:space="preserve"> </w:t>
      </w:r>
      <w:r w:rsidRPr="00C71F1C">
        <w:rPr>
          <w:rFonts w:eastAsia="Times New Roman"/>
          <w:lang w:eastAsia="pl-PL"/>
        </w:rPr>
        <w:t>zwiększenie wiedzy uczestników programu dotyczącej wpływu</w:t>
      </w:r>
      <w:r w:rsidR="008454C8">
        <w:rPr>
          <w:rFonts w:eastAsia="Times New Roman"/>
          <w:lang w:eastAsia="pl-PL"/>
        </w:rPr>
        <w:t xml:space="preserve"> </w:t>
      </w:r>
      <w:r w:rsidRPr="00C71F1C">
        <w:rPr>
          <w:rFonts w:eastAsia="Times New Roman"/>
          <w:lang w:eastAsia="pl-PL"/>
        </w:rPr>
        <w:t>aktywności fizycznej na zdrowie;</w:t>
      </w:r>
      <w:r w:rsidR="008454C8">
        <w:rPr>
          <w:rFonts w:eastAsia="Times New Roman"/>
          <w:lang w:eastAsia="pl-PL"/>
        </w:rPr>
        <w:t xml:space="preserve"> </w:t>
      </w:r>
      <w:r w:rsidRPr="00C71F1C">
        <w:rPr>
          <w:rFonts w:eastAsia="Times New Roman"/>
          <w:lang w:eastAsia="pl-PL"/>
        </w:rPr>
        <w:t>zwiększenie liczby trenerów przygotowanych do pracy z osobami powyżej 60 r.ż.</w:t>
      </w:r>
      <w:r w:rsidR="008454C8">
        <w:rPr>
          <w:rFonts w:eastAsia="Times New Roman"/>
          <w:lang w:eastAsia="pl-PL"/>
        </w:rPr>
        <w:t xml:space="preserve"> </w:t>
      </w:r>
      <w:r w:rsidRPr="00C71F1C">
        <w:rPr>
          <w:rFonts w:eastAsia="Times New Roman"/>
          <w:lang w:eastAsia="pl-PL"/>
        </w:rPr>
        <w:t xml:space="preserve">Program skierowany jest do osób w wieku od 60 r.ż. zamieszkałych na terenie gmin </w:t>
      </w:r>
      <w:r w:rsidR="008454C8">
        <w:rPr>
          <w:rFonts w:eastAsia="Times New Roman"/>
          <w:lang w:eastAsia="pl-PL"/>
        </w:rPr>
        <w:t xml:space="preserve"> </w:t>
      </w:r>
      <w:r w:rsidRPr="00C71F1C">
        <w:rPr>
          <w:rFonts w:eastAsia="Times New Roman"/>
          <w:lang w:eastAsia="pl-PL"/>
        </w:rPr>
        <w:t>z województwa kujawsko-pomorskiego, które zadeklarowały swój udział w programie.</w:t>
      </w:r>
      <w:r w:rsidR="008454C8">
        <w:rPr>
          <w:rFonts w:eastAsia="Times New Roman"/>
          <w:lang w:eastAsia="pl-PL"/>
        </w:rPr>
        <w:t xml:space="preserve"> </w:t>
      </w:r>
      <w:r w:rsidRPr="00C71F1C">
        <w:rPr>
          <w:color w:val="000000"/>
        </w:rPr>
        <w:t xml:space="preserve">Z uwagi na pogarszającą się sytuację epidemiczną związaną z COVID-19 oraz wprowadzaniem kolejnych obostrzeń zalecono zawieszenie ćwiczeń fizycznych w formie stacjonarnej w ramach Programu. Część osób ćwiczyła w ramach zajęć prowadzonych </w:t>
      </w:r>
      <w:r>
        <w:rPr>
          <w:color w:val="000000"/>
        </w:rPr>
        <w:br/>
      </w:r>
      <w:r w:rsidRPr="00C71F1C">
        <w:rPr>
          <w:color w:val="000000"/>
        </w:rPr>
        <w:t>on-line</w:t>
      </w:r>
      <w:r w:rsidRPr="00C71F1C">
        <w:rPr>
          <w:rStyle w:val="Odwoanieprzypisudolnego"/>
          <w:rFonts w:eastAsia="CIDFont+F4" w:cs="Times New Roman"/>
          <w:szCs w:val="24"/>
        </w:rPr>
        <w:footnoteReference w:id="39"/>
      </w:r>
      <w:r w:rsidRPr="00C71F1C">
        <w:rPr>
          <w:rFonts w:eastAsia="CIDFont+F4"/>
        </w:rPr>
        <w:t>.</w:t>
      </w:r>
    </w:p>
    <w:p w14:paraId="34A36E54" w14:textId="77777777" w:rsidR="008454C8" w:rsidRPr="008454C8" w:rsidRDefault="008454C8" w:rsidP="008454C8">
      <w:pPr>
        <w:rPr>
          <w:rFonts w:eastAsia="Times New Roman"/>
          <w:lang w:eastAsia="pl-PL"/>
        </w:rPr>
      </w:pPr>
    </w:p>
    <w:p w14:paraId="689DFFA3" w14:textId="0C4BCE70" w:rsidR="005C6286" w:rsidRPr="008454C8" w:rsidRDefault="005C6286" w:rsidP="008454C8">
      <w:pPr>
        <w:rPr>
          <w:b/>
          <w:bCs/>
        </w:rPr>
      </w:pPr>
      <w:r w:rsidRPr="008454C8">
        <w:rPr>
          <w:b/>
          <w:bCs/>
        </w:rPr>
        <w:t>Przykłady dobrych praktyk na poziomie powiatu, gminy.</w:t>
      </w:r>
    </w:p>
    <w:p w14:paraId="1064F5AC" w14:textId="77777777" w:rsidR="005C6286" w:rsidRPr="00C71F1C" w:rsidRDefault="005C6286" w:rsidP="008454C8">
      <w:r w:rsidRPr="00C71F1C">
        <w:t>„Energia Integracji” - projekt integracji międzypokoleniowej w Toruniu</w:t>
      </w:r>
      <w:r>
        <w:t>.</w:t>
      </w:r>
    </w:p>
    <w:p w14:paraId="0FBF4D4E" w14:textId="53CBD468" w:rsidR="005C6286" w:rsidRPr="00A13742" w:rsidRDefault="005C6286" w:rsidP="008454C8">
      <w:pPr>
        <w:rPr>
          <w:rFonts w:eastAsia="Times New Roman"/>
          <w:lang w:eastAsia="pl-PL"/>
        </w:rPr>
      </w:pPr>
      <w:r w:rsidRPr="00C71F1C">
        <w:rPr>
          <w:rFonts w:eastAsia="Times New Roman"/>
          <w:lang w:eastAsia="pl-PL"/>
        </w:rPr>
        <w:t>Energia Integracji to nowatorski projekt Fundacji Archipelag Inicjatyw, którego ideą była integracja wychowanków Centrum Placówek Opiekuńczo-Wychowawczych „Młody Las” z seniorami skupionymi wokół toruńskiej Kamienicy Inicjatyw w przestrzeni centrum „Drugie</w:t>
      </w:r>
      <w:r>
        <w:rPr>
          <w:rFonts w:eastAsia="Times New Roman"/>
          <w:lang w:eastAsia="pl-PL"/>
        </w:rPr>
        <w:t xml:space="preserve"> </w:t>
      </w:r>
      <w:r w:rsidRPr="00C71F1C">
        <w:rPr>
          <w:rFonts w:eastAsia="Times New Roman"/>
          <w:lang w:eastAsia="pl-PL"/>
        </w:rPr>
        <w:t>Piętro”. W ramach projektu odbywały się raz w tygodniu spotkania międzypokoleniowe. Polegały one na wspólne</w:t>
      </w:r>
      <w:r>
        <w:rPr>
          <w:rFonts w:eastAsia="Times New Roman"/>
          <w:lang w:eastAsia="pl-PL"/>
        </w:rPr>
        <w:t xml:space="preserve">j zabawie, rozmowie, spacerach </w:t>
      </w:r>
      <w:r w:rsidRPr="00C71F1C">
        <w:rPr>
          <w:rFonts w:eastAsia="Times New Roman"/>
          <w:lang w:eastAsia="pl-PL"/>
        </w:rPr>
        <w:t>i organizowaniu różnych form warsztatowych.</w:t>
      </w:r>
      <w:r w:rsidR="008454C8">
        <w:rPr>
          <w:rFonts w:eastAsia="Times New Roman"/>
          <w:lang w:eastAsia="pl-PL"/>
        </w:rPr>
        <w:t xml:space="preserve"> </w:t>
      </w:r>
      <w:r w:rsidRPr="00C71F1C">
        <w:rPr>
          <w:rFonts w:eastAsia="Times New Roman"/>
          <w:lang w:eastAsia="pl-PL"/>
        </w:rPr>
        <w:t>Pomysł wyrósł na bazie potrzeby przeplatania się ludzi skupionych w różnych grupach społecznych i środowiskach oraz wzajemnego wzrastania w różnorodności. Fundacja Archipelag Inicjatyw od początku swojego istnienia promuje i realizuje ideę międzypokoleniowości, a integracja dzieci z Młodego Lasu z seniorami jest jej kolejnym krokiem.</w:t>
      </w:r>
      <w:r w:rsidR="008454C8">
        <w:rPr>
          <w:rFonts w:eastAsia="Times New Roman"/>
          <w:lang w:eastAsia="pl-PL"/>
        </w:rPr>
        <w:t xml:space="preserve"> </w:t>
      </w:r>
      <w:r w:rsidRPr="00C71F1C">
        <w:rPr>
          <w:rFonts w:eastAsia="Times New Roman"/>
          <w:lang w:eastAsia="pl-PL"/>
        </w:rPr>
        <w:t>Organizator projektu - Fundacja Archipelag Inicjatyw.</w:t>
      </w:r>
      <w:r>
        <w:rPr>
          <w:rFonts w:eastAsia="Times New Roman"/>
          <w:lang w:eastAsia="pl-PL"/>
        </w:rPr>
        <w:t xml:space="preserve"> </w:t>
      </w:r>
      <w:r w:rsidRPr="00C71F1C">
        <w:rPr>
          <w:rFonts w:eastAsia="Times New Roman"/>
          <w:lang w:eastAsia="pl-PL"/>
        </w:rPr>
        <w:t>Partnerzy projektu - Centrum Placówek Opiekuńczo-Wychowawczych „Młody Las” oraz Kamienica Inicjatyw</w:t>
      </w:r>
      <w:r w:rsidRPr="00C71F1C">
        <w:rPr>
          <w:rStyle w:val="Odwoanieprzypisudolnego"/>
          <w:rFonts w:eastAsia="Times New Roman" w:cs="Times New Roman"/>
          <w:szCs w:val="24"/>
          <w:lang w:eastAsia="pl-PL"/>
        </w:rPr>
        <w:footnoteReference w:id="40"/>
      </w:r>
      <w:r>
        <w:rPr>
          <w:rFonts w:eastAsia="Times New Roman"/>
          <w:lang w:eastAsia="pl-PL"/>
        </w:rPr>
        <w:t>.</w:t>
      </w:r>
    </w:p>
    <w:p w14:paraId="22D905E6" w14:textId="77777777" w:rsidR="008454C8" w:rsidRDefault="008454C8" w:rsidP="008454C8">
      <w:pPr>
        <w:rPr>
          <w:rFonts w:eastAsia="Times New Roman"/>
          <w:lang w:eastAsia="pl-PL"/>
        </w:rPr>
      </w:pPr>
    </w:p>
    <w:p w14:paraId="39056C53" w14:textId="4DA089F3" w:rsidR="005C6286" w:rsidRDefault="005C6286" w:rsidP="008454C8">
      <w:pPr>
        <w:rPr>
          <w:rFonts w:eastAsia="Times New Roman"/>
          <w:lang w:eastAsia="pl-PL"/>
        </w:rPr>
      </w:pPr>
      <w:r w:rsidRPr="00C71F1C">
        <w:rPr>
          <w:rFonts w:eastAsia="Times New Roman"/>
          <w:lang w:eastAsia="pl-PL"/>
        </w:rPr>
        <w:t>Dom Dobrych Praktyk w Solcu Kujawskim</w:t>
      </w:r>
      <w:r>
        <w:rPr>
          <w:rFonts w:eastAsia="Times New Roman"/>
          <w:lang w:eastAsia="pl-PL"/>
        </w:rPr>
        <w:t>.</w:t>
      </w:r>
    </w:p>
    <w:p w14:paraId="20196E77" w14:textId="48DB47B6" w:rsidR="005C6286" w:rsidRDefault="005C6286" w:rsidP="008454C8">
      <w:r w:rsidRPr="00C71F1C">
        <w:t>W kamienicy na soleckim rynku przy Placu Jana Pawła II nr 4 powstał Dom Dobrych Praktyk. Działania w zrewitalizowanym budynku</w:t>
      </w:r>
      <w:r>
        <w:t xml:space="preserve"> są skierowane przede wszystkim </w:t>
      </w:r>
      <w:r w:rsidRPr="00C71F1C">
        <w:t xml:space="preserve">do osób starszych, osób niepełnosprawnych i niesamodzielnych. W kamienicy powstały trzy mieszkania </w:t>
      </w:r>
      <w:r w:rsidRPr="00C71F1C">
        <w:lastRenderedPageBreak/>
        <w:t>wspomagane, Klub Senior +, klub samopomocy dla opiekunów osób niepełnosprawnych i niesamodzielnych. Są tam również realizowane usługi opiekuńcze. Kamienica jest także miejscem realizacji szeregu projektów społecznych.</w:t>
      </w:r>
    </w:p>
    <w:p w14:paraId="4B861221" w14:textId="77777777" w:rsidR="008454C8" w:rsidRPr="00C71F1C" w:rsidRDefault="008454C8" w:rsidP="008454C8"/>
    <w:p w14:paraId="0AAF9B8F" w14:textId="77777777" w:rsidR="005C6286" w:rsidRDefault="005C6286" w:rsidP="008454C8">
      <w:pPr>
        <w:rPr>
          <w:rFonts w:eastAsia="Times New Roman"/>
          <w:lang w:eastAsia="pl-PL"/>
        </w:rPr>
      </w:pPr>
      <w:r w:rsidRPr="00C71F1C">
        <w:rPr>
          <w:rFonts w:eastAsia="Times New Roman"/>
          <w:lang w:eastAsia="pl-PL"/>
        </w:rPr>
        <w:t>Złota rączka dla bydgoskich seniorów</w:t>
      </w:r>
      <w:r>
        <w:rPr>
          <w:rFonts w:eastAsia="Times New Roman"/>
          <w:lang w:eastAsia="pl-PL"/>
        </w:rPr>
        <w:t>.</w:t>
      </w:r>
    </w:p>
    <w:p w14:paraId="16997889" w14:textId="17B142EE" w:rsidR="005C6286" w:rsidRPr="00C71F1C" w:rsidRDefault="005C6286" w:rsidP="008454C8">
      <w:pPr>
        <w:rPr>
          <w:rFonts w:eastAsia="Times New Roman"/>
          <w:lang w:eastAsia="pl-PL"/>
        </w:rPr>
      </w:pPr>
      <w:r w:rsidRPr="00C71F1C">
        <w:rPr>
          <w:rFonts w:eastAsia="Times New Roman"/>
          <w:lang w:eastAsia="pl-PL"/>
        </w:rPr>
        <w:t>Program „Złota Rączka” w Bydgoszczy działa od października 2018 r</w:t>
      </w:r>
      <w:r w:rsidR="004D289B">
        <w:rPr>
          <w:rFonts w:eastAsia="Times New Roman"/>
          <w:lang w:eastAsia="pl-PL"/>
        </w:rPr>
        <w:t>.</w:t>
      </w:r>
      <w:r w:rsidRPr="00C71F1C">
        <w:rPr>
          <w:rFonts w:eastAsia="Times New Roman"/>
          <w:lang w:eastAsia="pl-PL"/>
        </w:rPr>
        <w:t xml:space="preserve"> i skierowany jest do osób powyżej 65 roku życia, samotnych i niepełnosprawnych, prowadzących jednoosobowe</w:t>
      </w:r>
      <w:r w:rsidR="008454C8">
        <w:rPr>
          <w:rFonts w:eastAsia="Times New Roman"/>
          <w:lang w:eastAsia="pl-PL"/>
        </w:rPr>
        <w:t xml:space="preserve"> </w:t>
      </w:r>
      <w:r w:rsidRPr="00C71F1C">
        <w:rPr>
          <w:rFonts w:eastAsia="Times New Roman"/>
          <w:lang w:eastAsia="pl-PL"/>
        </w:rPr>
        <w:t>gospodarstwo, których dochód nie przekracza kwoty 1402,00 zł netto.</w:t>
      </w:r>
      <w:r w:rsidR="008454C8">
        <w:rPr>
          <w:rFonts w:eastAsia="Times New Roman"/>
          <w:lang w:eastAsia="pl-PL"/>
        </w:rPr>
        <w:t xml:space="preserve"> </w:t>
      </w:r>
      <w:r w:rsidRPr="00C71F1C">
        <w:rPr>
          <w:rFonts w:eastAsia="Times New Roman"/>
          <w:lang w:eastAsia="pl-PL"/>
        </w:rPr>
        <w:t>Polega na świadczeniu pomocy w nieskomplik</w:t>
      </w:r>
      <w:r>
        <w:rPr>
          <w:rFonts w:eastAsia="Times New Roman"/>
          <w:lang w:eastAsia="pl-PL"/>
        </w:rPr>
        <w:t xml:space="preserve">owanych sprawach technicznych </w:t>
      </w:r>
      <w:r w:rsidRPr="00C71F1C">
        <w:rPr>
          <w:rFonts w:eastAsia="Times New Roman"/>
          <w:lang w:eastAsia="pl-PL"/>
        </w:rPr>
        <w:t>i drobnych naprawach, które nie wymagają specjalistycznej wiedzy i uprawnień, natychmiastowej interwencji i nie są świadczone w ramach innych umów np. przez wspólnotę mieszkaniową czy administrację budynku.</w:t>
      </w:r>
      <w:r w:rsidR="008454C8">
        <w:rPr>
          <w:rFonts w:eastAsia="Times New Roman"/>
          <w:lang w:eastAsia="pl-PL"/>
        </w:rPr>
        <w:t xml:space="preserve"> </w:t>
      </w:r>
      <w:r w:rsidRPr="00C71F1C">
        <w:rPr>
          <w:rFonts w:eastAsia="Times New Roman"/>
          <w:lang w:eastAsia="pl-PL"/>
        </w:rPr>
        <w:t>Dotychczas z programu skorzystało 109 gospodarstw domowych - w sumie wykonano 139 usług.</w:t>
      </w:r>
      <w:r>
        <w:rPr>
          <w:rFonts w:eastAsia="Times New Roman"/>
          <w:lang w:eastAsia="pl-PL"/>
        </w:rPr>
        <w:t xml:space="preserve"> </w:t>
      </w:r>
      <w:r w:rsidRPr="00C71F1C">
        <w:rPr>
          <w:rFonts w:eastAsia="Times New Roman"/>
          <w:lang w:eastAsia="pl-PL"/>
        </w:rPr>
        <w:t xml:space="preserve">Wykonawcą usług naprawczych są pracownicy techniczni MOPS. Usługa wraz </w:t>
      </w:r>
      <w:r w:rsidRPr="00C71F1C">
        <w:rPr>
          <w:rFonts w:eastAsia="Times New Roman"/>
          <w:lang w:eastAsia="pl-PL"/>
        </w:rPr>
        <w:br/>
        <w:t xml:space="preserve">z materiałami potrzebnymi do jej wykonania nie może przekroczyć 50 zł brutto - tylko </w:t>
      </w:r>
      <w:r w:rsidR="008454C8">
        <w:rPr>
          <w:rFonts w:eastAsia="Times New Roman"/>
          <w:lang w:eastAsia="pl-PL"/>
        </w:rPr>
        <w:t xml:space="preserve"> </w:t>
      </w:r>
      <w:r w:rsidRPr="00C71F1C">
        <w:rPr>
          <w:rFonts w:eastAsia="Times New Roman"/>
          <w:lang w:eastAsia="pl-PL"/>
        </w:rPr>
        <w:t>w tym przypadku naprawa będzie bezpłatna. Natomiast koszt materiałów przewyższający tę</w:t>
      </w:r>
      <w:r w:rsidR="008454C8">
        <w:rPr>
          <w:rFonts w:eastAsia="Times New Roman"/>
          <w:lang w:eastAsia="pl-PL"/>
        </w:rPr>
        <w:t xml:space="preserve"> </w:t>
      </w:r>
      <w:r w:rsidRPr="00C71F1C">
        <w:rPr>
          <w:rFonts w:eastAsia="Times New Roman"/>
          <w:lang w:eastAsia="pl-PL"/>
        </w:rPr>
        <w:t>kwotę pokrywany będzie ze środków własnych osoby zgłaszającej usterkę lub naprawę.</w:t>
      </w:r>
      <w:r w:rsidR="008454C8">
        <w:rPr>
          <w:rFonts w:eastAsia="Times New Roman"/>
          <w:lang w:eastAsia="pl-PL"/>
        </w:rPr>
        <w:t xml:space="preserve"> </w:t>
      </w:r>
      <w:r w:rsidRPr="00C71F1C">
        <w:rPr>
          <w:rFonts w:eastAsia="Times New Roman"/>
          <w:lang w:eastAsia="pl-PL"/>
        </w:rPr>
        <w:t>Z programu "Złota rączka" mieszkańcy mogą korzystać maksymalnie co 3 miesiące.</w:t>
      </w:r>
    </w:p>
    <w:p w14:paraId="741C6ABB" w14:textId="77777777" w:rsidR="008454C8" w:rsidRDefault="008454C8" w:rsidP="008454C8">
      <w:pPr>
        <w:rPr>
          <w:rFonts w:eastAsia="Times New Roman"/>
          <w:lang w:eastAsia="pl-PL"/>
        </w:rPr>
      </w:pPr>
    </w:p>
    <w:p w14:paraId="7AAC5C3E" w14:textId="013785F8" w:rsidR="008454C8" w:rsidRPr="00C71F1C" w:rsidRDefault="005C6286" w:rsidP="008454C8">
      <w:pPr>
        <w:rPr>
          <w:rFonts w:eastAsia="Times New Roman"/>
          <w:lang w:eastAsia="pl-PL"/>
        </w:rPr>
      </w:pPr>
      <w:r w:rsidRPr="00C71F1C">
        <w:rPr>
          <w:rFonts w:eastAsia="Times New Roman"/>
          <w:lang w:eastAsia="pl-PL"/>
        </w:rPr>
        <w:t>Projekt „Senior z klasą”</w:t>
      </w:r>
      <w:r>
        <w:rPr>
          <w:rFonts w:eastAsia="Times New Roman"/>
          <w:lang w:eastAsia="pl-PL"/>
        </w:rPr>
        <w:t>.</w:t>
      </w:r>
    </w:p>
    <w:p w14:paraId="1D1DDF43" w14:textId="1EBCB793" w:rsidR="008454C8" w:rsidRDefault="005C6286" w:rsidP="008454C8">
      <w:r w:rsidRPr="003F0DA9">
        <w:rPr>
          <w:rStyle w:val="Pogrubienie"/>
          <w:rFonts w:eastAsiaTheme="majorEastAsia"/>
          <w:b w:val="0"/>
        </w:rPr>
        <w:t xml:space="preserve">W Brześciu Kujawskim realizowano projekt pn. „Senior </w:t>
      </w:r>
      <w:r>
        <w:rPr>
          <w:rStyle w:val="Pogrubienie"/>
          <w:rFonts w:eastAsiaTheme="majorEastAsia"/>
          <w:b w:val="0"/>
        </w:rPr>
        <w:t xml:space="preserve">z klasą”, który był skierowany </w:t>
      </w:r>
      <w:r w:rsidR="008454C8">
        <w:rPr>
          <w:rStyle w:val="Pogrubienie"/>
          <w:rFonts w:eastAsiaTheme="majorEastAsia"/>
          <w:b w:val="0"/>
        </w:rPr>
        <w:t xml:space="preserve"> </w:t>
      </w:r>
      <w:r w:rsidRPr="003F0DA9">
        <w:rPr>
          <w:rStyle w:val="Pogrubienie"/>
          <w:rFonts w:eastAsiaTheme="majorEastAsia"/>
          <w:b w:val="0"/>
        </w:rPr>
        <w:t>do mieszkańców gminy w wieku 60+.</w:t>
      </w:r>
      <w:r>
        <w:rPr>
          <w:rStyle w:val="Pogrubienie"/>
          <w:rFonts w:eastAsiaTheme="majorEastAsia"/>
          <w:b w:val="0"/>
        </w:rPr>
        <w:t xml:space="preserve"> </w:t>
      </w:r>
      <w:r w:rsidRPr="00C71F1C">
        <w:t>Projekt obejmował m.in.:</w:t>
      </w:r>
      <w:r w:rsidR="008454C8">
        <w:t xml:space="preserve"> </w:t>
      </w:r>
      <w:r w:rsidRPr="00C71F1C">
        <w:t>wykonanie profesjonalnego makijażu, fryzury i sesji zdjęciowej (portret);</w:t>
      </w:r>
      <w:r w:rsidR="008454C8">
        <w:t xml:space="preserve"> </w:t>
      </w:r>
      <w:r w:rsidRPr="00C71F1C">
        <w:t>prezentację wykonanych portretów w formie wystawy.</w:t>
      </w:r>
      <w:r w:rsidR="008454C8">
        <w:t xml:space="preserve"> </w:t>
      </w:r>
      <w:r w:rsidRPr="00C71F1C">
        <w:t xml:space="preserve">Projekt realizowany był w ramach „Inicjuj z FIO 2.0” współfinansowanego przez Narodowy Instytut Wolności – Centrum Rozwoju Społeczeństwa Obywatelskiego </w:t>
      </w:r>
      <w:r w:rsidR="008454C8">
        <w:t xml:space="preserve"> </w:t>
      </w:r>
      <w:r w:rsidRPr="00C71F1C">
        <w:t>ze środków Programu Funduszu Inicjatyw Obywatelskich na lata 2014-2020.</w:t>
      </w:r>
      <w:r w:rsidR="008454C8">
        <w:t xml:space="preserve"> </w:t>
      </w:r>
    </w:p>
    <w:p w14:paraId="220070A5" w14:textId="77777777" w:rsidR="008454C8" w:rsidRDefault="008454C8" w:rsidP="008454C8"/>
    <w:p w14:paraId="54DB5754" w14:textId="1E0ADE57" w:rsidR="005C6286" w:rsidRPr="00C71F1C" w:rsidRDefault="005C6286" w:rsidP="008454C8">
      <w:r w:rsidRPr="00C71F1C">
        <w:t>Rehabilitacja w domu pacjenta w gminie Gostycyn</w:t>
      </w:r>
      <w:r>
        <w:t>.</w:t>
      </w:r>
    </w:p>
    <w:p w14:paraId="7DB21DDC" w14:textId="5BA8953B" w:rsidR="005C6286" w:rsidRDefault="005C6286" w:rsidP="008454C8">
      <w:pPr>
        <w:rPr>
          <w:rFonts w:eastAsia="Times New Roman"/>
          <w:lang w:eastAsia="pl-PL"/>
        </w:rPr>
      </w:pPr>
      <w:r w:rsidRPr="00C71F1C">
        <w:rPr>
          <w:rFonts w:eastAsia="Times New Roman"/>
          <w:lang w:eastAsia="pl-PL"/>
        </w:rPr>
        <w:t>W gminie Gostycyn dostępne są indywidualne usługi rehabilitacyjne w domu pacjenta. Spółdzielnia Socjalna „Borowi</w:t>
      </w:r>
      <w:r>
        <w:rPr>
          <w:rFonts w:eastAsia="Times New Roman"/>
          <w:lang w:eastAsia="pl-PL"/>
        </w:rPr>
        <w:t xml:space="preserve">acki Wigor” oferuje terapię po: </w:t>
      </w:r>
      <w:r w:rsidRPr="00C71F1C">
        <w:rPr>
          <w:rFonts w:eastAsia="Times New Roman"/>
          <w:lang w:eastAsia="pl-PL"/>
        </w:rPr>
        <w:t>udarach i urazach neurologicznych, wypadkach komunikacyjnych, urazach ortopedycznych, zabiegach operacyjnych.</w:t>
      </w:r>
      <w:r>
        <w:rPr>
          <w:rFonts w:eastAsia="Times New Roman"/>
          <w:lang w:eastAsia="pl-PL"/>
        </w:rPr>
        <w:t xml:space="preserve"> </w:t>
      </w:r>
      <w:r w:rsidRPr="00C71F1C">
        <w:rPr>
          <w:rFonts w:eastAsia="Times New Roman"/>
          <w:lang w:eastAsia="pl-PL"/>
        </w:rPr>
        <w:t>Terapia w domu pacjenta trwa około 1h. Formy terapii dobierane są zawsze w zależności od możliwości i stanu pacjenta.</w:t>
      </w:r>
    </w:p>
    <w:p w14:paraId="353073CA" w14:textId="77777777" w:rsidR="005C6286" w:rsidRPr="00A5617D" w:rsidRDefault="005C6286" w:rsidP="005C6286">
      <w:pPr>
        <w:spacing w:after="120"/>
        <w:rPr>
          <w:rFonts w:eastAsia="Times New Roman" w:cs="Times New Roman"/>
          <w:sz w:val="16"/>
          <w:szCs w:val="16"/>
          <w:lang w:eastAsia="pl-PL"/>
        </w:rPr>
      </w:pPr>
    </w:p>
    <w:p w14:paraId="1ED6D165" w14:textId="77777777" w:rsidR="005C6286" w:rsidRPr="008454C8" w:rsidRDefault="005C6286" w:rsidP="008454C8">
      <w:pPr>
        <w:rPr>
          <w:b/>
          <w:bCs/>
        </w:rPr>
      </w:pPr>
      <w:r w:rsidRPr="008454C8">
        <w:rPr>
          <w:b/>
          <w:bCs/>
        </w:rPr>
        <w:t>Przykłady innowacyjnych rozwiązań.</w:t>
      </w:r>
    </w:p>
    <w:p w14:paraId="322BCE55" w14:textId="77777777" w:rsidR="005C6286" w:rsidRPr="00C71F1C" w:rsidRDefault="005C6286" w:rsidP="008454C8">
      <w:r w:rsidRPr="00C71F1C">
        <w:t>Mieszkania dla seniorów w Toruniu</w:t>
      </w:r>
      <w:r>
        <w:t>.</w:t>
      </w:r>
    </w:p>
    <w:p w14:paraId="2C582A59" w14:textId="1410981F" w:rsidR="005C6286" w:rsidRPr="00C71F1C" w:rsidRDefault="005C6286" w:rsidP="008454C8">
      <w:pPr>
        <w:rPr>
          <w:rFonts w:eastAsia="Times New Roman"/>
          <w:lang w:eastAsia="pl-PL"/>
        </w:rPr>
      </w:pPr>
      <w:r w:rsidRPr="00C71F1C">
        <w:rPr>
          <w:rFonts w:eastAsia="Times New Roman"/>
          <w:lang w:eastAsia="pl-PL"/>
        </w:rPr>
        <w:t>Gmina Miasta Toruń we współpracy z Toruńskim Towarzystwem Budownictwa Społecznego wybudowała przy ul. Watzenrodego 15 oraz 15A w Toruniu dwa dwupiętrowe budynki wielorodzinne z mieszkaniami przeznaczonymi dla osób starszych i niepełnosprawnych. Łącznie znajduje się w nich 48 lokali mieszkalnych o powierzchni od 33,04 m</w:t>
      </w:r>
      <w:r w:rsidRPr="00C71F1C">
        <w:rPr>
          <w:rFonts w:eastAsia="Times New Roman"/>
          <w:vertAlign w:val="superscript"/>
          <w:lang w:eastAsia="pl-PL"/>
        </w:rPr>
        <w:t>2</w:t>
      </w:r>
      <w:r w:rsidRPr="00C71F1C">
        <w:rPr>
          <w:rFonts w:eastAsia="Times New Roman"/>
          <w:lang w:eastAsia="pl-PL"/>
        </w:rPr>
        <w:t xml:space="preserve"> do 48,08 m</w:t>
      </w:r>
      <w:r w:rsidRPr="00C71F1C">
        <w:rPr>
          <w:rFonts w:eastAsia="Times New Roman"/>
          <w:vertAlign w:val="superscript"/>
          <w:lang w:eastAsia="pl-PL"/>
        </w:rPr>
        <w:t>2</w:t>
      </w:r>
      <w:r w:rsidRPr="00C71F1C">
        <w:rPr>
          <w:rFonts w:eastAsia="Times New Roman"/>
          <w:lang w:eastAsia="pl-PL"/>
        </w:rPr>
        <w:t>. Są to mieszkania dwu</w:t>
      </w:r>
      <w:r>
        <w:rPr>
          <w:rFonts w:eastAsia="Times New Roman"/>
          <w:lang w:eastAsia="pl-PL"/>
        </w:rPr>
        <w:t xml:space="preserve">pokojowe z osobną kuchnią bądź </w:t>
      </w:r>
      <w:r w:rsidRPr="00C71F1C">
        <w:rPr>
          <w:rFonts w:eastAsia="Times New Roman"/>
          <w:lang w:eastAsia="pl-PL"/>
        </w:rPr>
        <w:t>z aneksem kuchennym. Na parterze budynku przy ul.</w:t>
      </w:r>
      <w:r>
        <w:rPr>
          <w:rFonts w:eastAsia="Times New Roman"/>
          <w:lang w:eastAsia="pl-PL"/>
        </w:rPr>
        <w:t xml:space="preserve"> Watzenrodego 15 zlokalizowane </w:t>
      </w:r>
      <w:r w:rsidRPr="00C71F1C">
        <w:rPr>
          <w:rFonts w:eastAsia="Times New Roman"/>
          <w:lang w:eastAsia="pl-PL"/>
        </w:rPr>
        <w:t>są m.in. Klub Seniora i Dom Dziennego Pobytu. Zajęcia w Klubie Seniora oraz w Domu Dziennego Pobytu przeznaczone są dla 30 osób, także n</w:t>
      </w:r>
      <w:r>
        <w:rPr>
          <w:rFonts w:eastAsia="Times New Roman"/>
          <w:lang w:eastAsia="pl-PL"/>
        </w:rPr>
        <w:t xml:space="preserve">iemieszkających w tych blokach. </w:t>
      </w:r>
      <w:r w:rsidRPr="00C71F1C">
        <w:rPr>
          <w:rFonts w:eastAsia="Times New Roman"/>
          <w:lang w:eastAsia="pl-PL"/>
        </w:rPr>
        <w:t>Ważnym elementem mieszkań j</w:t>
      </w:r>
      <w:r>
        <w:rPr>
          <w:rFonts w:eastAsia="Times New Roman"/>
          <w:lang w:eastAsia="pl-PL"/>
        </w:rPr>
        <w:t xml:space="preserve">est również usługa </w:t>
      </w:r>
      <w:proofErr w:type="spellStart"/>
      <w:r>
        <w:rPr>
          <w:rFonts w:eastAsia="Times New Roman"/>
          <w:lang w:eastAsia="pl-PL"/>
        </w:rPr>
        <w:t>teleopieki</w:t>
      </w:r>
      <w:proofErr w:type="spellEnd"/>
      <w:r>
        <w:rPr>
          <w:rFonts w:eastAsia="Times New Roman"/>
          <w:lang w:eastAsia="pl-PL"/>
        </w:rPr>
        <w:t>.</w:t>
      </w:r>
      <w:r w:rsidR="008454C8">
        <w:rPr>
          <w:rFonts w:eastAsia="Times New Roman"/>
          <w:lang w:eastAsia="pl-PL"/>
        </w:rPr>
        <w:t xml:space="preserve"> </w:t>
      </w:r>
      <w:r w:rsidRPr="00C71F1C">
        <w:rPr>
          <w:rFonts w:eastAsia="Times New Roman"/>
          <w:lang w:eastAsia="pl-PL"/>
        </w:rPr>
        <w:t>Za najem lokalu obowiązuje czynsz w wysokości 7,57 zł/m</w:t>
      </w:r>
      <w:r w:rsidRPr="00C71F1C">
        <w:rPr>
          <w:rFonts w:eastAsia="Times New Roman"/>
          <w:vertAlign w:val="superscript"/>
          <w:lang w:eastAsia="pl-PL"/>
        </w:rPr>
        <w:t>2</w:t>
      </w:r>
      <w:r w:rsidRPr="00C71F1C">
        <w:rPr>
          <w:rFonts w:eastAsia="Times New Roman"/>
          <w:lang w:eastAsia="pl-PL"/>
        </w:rPr>
        <w:t xml:space="preserve">. Oferta wynajmu tych mieszkań skierowana jest do osób, które obecnie są najemcami mieszkań komunalnych </w:t>
      </w:r>
      <w:r w:rsidRPr="00C71F1C">
        <w:rPr>
          <w:rFonts w:eastAsia="Times New Roman"/>
          <w:lang w:eastAsia="pl-PL"/>
        </w:rPr>
        <w:lastRenderedPageBreak/>
        <w:t>należących do GMT, lub są potencjalnymi najemcami tych mieszkań, tj. znajdują się na listach mieszkaniowych. Są to:</w:t>
      </w:r>
    </w:p>
    <w:p w14:paraId="241252A7" w14:textId="77777777" w:rsidR="008454C8" w:rsidRDefault="005C6286" w:rsidP="00FE70E3">
      <w:pPr>
        <w:pStyle w:val="Akapitzlist"/>
        <w:numPr>
          <w:ilvl w:val="0"/>
          <w:numId w:val="120"/>
        </w:numPr>
        <w:rPr>
          <w:rFonts w:eastAsia="Times New Roman"/>
          <w:lang w:eastAsia="pl-PL"/>
        </w:rPr>
      </w:pPr>
      <w:r w:rsidRPr="008454C8">
        <w:rPr>
          <w:rFonts w:eastAsia="Times New Roman"/>
          <w:lang w:eastAsia="pl-PL"/>
        </w:rPr>
        <w:t>osoby niesamodzielne (np. z uwagi na niepełnosprawność lub chorobę, które ograniczają samodzielność);</w:t>
      </w:r>
    </w:p>
    <w:p w14:paraId="10124BC9" w14:textId="0B6E5DD4" w:rsidR="005C6286" w:rsidRPr="008454C8" w:rsidRDefault="005C6286" w:rsidP="00FE70E3">
      <w:pPr>
        <w:pStyle w:val="Akapitzlist"/>
        <w:numPr>
          <w:ilvl w:val="0"/>
          <w:numId w:val="120"/>
        </w:numPr>
        <w:rPr>
          <w:rFonts w:eastAsia="Times New Roman"/>
          <w:lang w:eastAsia="pl-PL"/>
        </w:rPr>
      </w:pPr>
      <w:r w:rsidRPr="008454C8">
        <w:rPr>
          <w:rFonts w:eastAsia="Times New Roman"/>
          <w:lang w:eastAsia="pl-PL"/>
        </w:rPr>
        <w:t>osoby zagrożone ubóstwem lub wykluczeniem społecznym, w tym: osoby korzystające ze świadczeń pomocy społecznej lub kwalifikujące się do objęcia przez pomoc społeczną;</w:t>
      </w:r>
    </w:p>
    <w:p w14:paraId="28F228E0" w14:textId="77777777" w:rsidR="005C6286" w:rsidRPr="00C71F1C" w:rsidRDefault="005C6286" w:rsidP="008454C8">
      <w:pPr>
        <w:rPr>
          <w:rFonts w:eastAsia="Times New Roman"/>
          <w:lang w:eastAsia="pl-PL"/>
        </w:rPr>
      </w:pPr>
      <w:r w:rsidRPr="00C71F1C">
        <w:rPr>
          <w:rFonts w:eastAsia="Times New Roman"/>
          <w:lang w:eastAsia="pl-PL"/>
        </w:rPr>
        <w:t>mieszkające lub pracujące lub uczące się na terenie Gminy Toruń.</w:t>
      </w:r>
    </w:p>
    <w:p w14:paraId="6D16DE75" w14:textId="183BDFCF" w:rsidR="005C6286" w:rsidRPr="00C71F1C" w:rsidRDefault="005C6286" w:rsidP="008454C8">
      <w:pPr>
        <w:rPr>
          <w:rFonts w:eastAsia="Times New Roman"/>
          <w:lang w:eastAsia="pl-PL"/>
        </w:rPr>
      </w:pPr>
      <w:r w:rsidRPr="00C71F1C">
        <w:rPr>
          <w:rFonts w:eastAsia="Times New Roman"/>
          <w:lang w:eastAsia="pl-PL"/>
        </w:rPr>
        <w:t>W pierwszej kolejności wsparcie było kierowane do osób, których dochód nie przekracza 150% właściwego kryterium dochodowego, tj. dochód dla osoby samotnej – 1 051,50 zł, dochód dla gospodarstwa domowego wieloosobowego 792,00 zł na osobę.</w:t>
      </w:r>
    </w:p>
    <w:p w14:paraId="21611A7A" w14:textId="54B521C7" w:rsidR="005C6286" w:rsidRDefault="005C6286" w:rsidP="005C6286">
      <w:pPr>
        <w:pStyle w:val="NormalnyWeb"/>
        <w:spacing w:after="120"/>
        <w:rPr>
          <w:color w:val="FF0000"/>
        </w:rPr>
      </w:pPr>
    </w:p>
    <w:p w14:paraId="29FBEB89" w14:textId="77777777" w:rsidR="008454C8" w:rsidRPr="00B21975" w:rsidRDefault="008454C8" w:rsidP="008454C8">
      <w:r w:rsidRPr="00B21975">
        <w:t>Symulatory odczuć starczych.</w:t>
      </w:r>
    </w:p>
    <w:p w14:paraId="40879D9E" w14:textId="76B352F2" w:rsidR="008454C8" w:rsidRPr="00B21975" w:rsidRDefault="008454C8" w:rsidP="008454C8">
      <w:r w:rsidRPr="00B21975">
        <w:t xml:space="preserve">Przygotowano i ogłoszono postępowanie na zakup i dostawę 3 symulatorów odczuć starczych (kombinezonów geriatrycznych). W 2021 r. planowane jest nawiązanie współpracy ze szkołami podstawowymi i ponadpodstawowymi z naszego województwa, celem zorganizowania akcji informacyjno-edukacyjnych mających na celu kształtowanie u młodego pokolenia postaw wyrozumiałości, empatii i pomocowości skierowanych </w:t>
      </w:r>
      <w:r>
        <w:t xml:space="preserve"> </w:t>
      </w:r>
      <w:r w:rsidRPr="00B21975">
        <w:t>do osób starszych. Służyć temu będą właśnie kombinezony geriatryczne. Uczniowie zakładając kombinezon będą mogli poczuć dolegliwości związane z procesem starzenia się, takie jak: problemy ze wzrokiem, ograniczenia</w:t>
      </w:r>
      <w:r>
        <w:t xml:space="preserve"> </w:t>
      </w:r>
      <w:r w:rsidRPr="00B21975">
        <w:t xml:space="preserve">swobody ruchów, kłopoty </w:t>
      </w:r>
      <w:r>
        <w:t xml:space="preserve"> </w:t>
      </w:r>
      <w:r w:rsidRPr="00B21975">
        <w:t>z utrzymaniem równowagi, kłopoty ze słuchem, problemy z</w:t>
      </w:r>
      <w:r>
        <w:t> </w:t>
      </w:r>
      <w:r w:rsidRPr="00B21975">
        <w:t>chwytaniem.</w:t>
      </w:r>
    </w:p>
    <w:p w14:paraId="43DDAB28" w14:textId="77777777" w:rsidR="008454C8" w:rsidRDefault="008454C8" w:rsidP="005C6286">
      <w:pPr>
        <w:pStyle w:val="NormalnyWeb"/>
        <w:spacing w:after="120"/>
        <w:rPr>
          <w:color w:val="FF0000"/>
        </w:rPr>
      </w:pPr>
    </w:p>
    <w:p w14:paraId="36A35FAE" w14:textId="6E9064FA" w:rsidR="008454C8" w:rsidRPr="008454C8" w:rsidRDefault="008454C8" w:rsidP="008454C8">
      <w:pPr>
        <w:rPr>
          <w:b/>
          <w:bCs/>
        </w:rPr>
      </w:pPr>
      <w:r w:rsidRPr="008454C8">
        <w:rPr>
          <w:b/>
          <w:bCs/>
        </w:rPr>
        <w:t>Pozostałe działania</w:t>
      </w:r>
    </w:p>
    <w:p w14:paraId="016D6535" w14:textId="77777777" w:rsidR="005C6286" w:rsidRPr="00E5483A" w:rsidRDefault="005C6286" w:rsidP="008454C8">
      <w:r w:rsidRPr="00C71F1C">
        <w:t>Elektroniczny system wsparcia niesamodzieln</w:t>
      </w:r>
      <w:r>
        <w:t>ych osób starszych – TELEOPIEKA.</w:t>
      </w:r>
    </w:p>
    <w:p w14:paraId="2C94373B" w14:textId="3EA3A1FA" w:rsidR="005C6286" w:rsidRDefault="005C6286" w:rsidP="008454C8">
      <w:pPr>
        <w:rPr>
          <w:color w:val="000000"/>
        </w:rPr>
      </w:pPr>
      <w:r w:rsidRPr="00C71F1C">
        <w:t xml:space="preserve">Usługa </w:t>
      </w:r>
      <w:proofErr w:type="spellStart"/>
      <w:r w:rsidRPr="00C71F1C">
        <w:t>teleopieki</w:t>
      </w:r>
      <w:proofErr w:type="spellEnd"/>
      <w:r w:rsidRPr="00C71F1C">
        <w:t xml:space="preserve"> świadczona była dla 210 niesamodzielnych osób starszych. Zrealizowano ok.</w:t>
      </w:r>
      <w:r w:rsidR="008454C8">
        <w:t xml:space="preserve"> 3</w:t>
      </w:r>
      <w:r w:rsidRPr="00C71F1C">
        <w:t xml:space="preserve">00 wizyt u uczestników </w:t>
      </w:r>
      <w:proofErr w:type="spellStart"/>
      <w:r w:rsidRPr="00C71F1C">
        <w:t>teleopieki</w:t>
      </w:r>
      <w:proofErr w:type="spellEnd"/>
      <w:r w:rsidRPr="00C71F1C">
        <w:t xml:space="preserve"> w celu podpisania Aneksu do Umowy, serwisu Bransoletek życia oraz Rekrutacji nowych Uczestników Projektu.</w:t>
      </w:r>
      <w:r w:rsidR="008454C8">
        <w:t xml:space="preserve"> </w:t>
      </w:r>
      <w:r w:rsidRPr="00C71F1C">
        <w:t xml:space="preserve">W związku z przedłużeniem projektu o kolejny rok, konieczne było przeprowadzenie </w:t>
      </w:r>
      <w:r>
        <w:t>n</w:t>
      </w:r>
      <w:r w:rsidRPr="00C71F1C">
        <w:t>owych postępowań na świadczenie usługi w takim samym zakresie.</w:t>
      </w:r>
      <w:r w:rsidR="008454C8">
        <w:t xml:space="preserve"> </w:t>
      </w:r>
      <w:r w:rsidRPr="00C71F1C">
        <w:rPr>
          <w:color w:val="000000"/>
        </w:rPr>
        <w:t xml:space="preserve">W związku z sytuacją pandemii w 2020 r. pracownicy RCIS dokonywali systematycznych połączeń telefonicznych z wszystkimi użytkownikami </w:t>
      </w:r>
      <w:proofErr w:type="spellStart"/>
      <w:r w:rsidRPr="00C71F1C">
        <w:rPr>
          <w:color w:val="000000"/>
        </w:rPr>
        <w:t>teleopieki</w:t>
      </w:r>
      <w:proofErr w:type="spellEnd"/>
      <w:r w:rsidRPr="00C71F1C">
        <w:rPr>
          <w:color w:val="000000"/>
        </w:rPr>
        <w:t xml:space="preserve"> i ustalali czy każda z osób jest </w:t>
      </w:r>
      <w:proofErr w:type="spellStart"/>
      <w:r w:rsidRPr="00C71F1C">
        <w:rPr>
          <w:color w:val="000000"/>
        </w:rPr>
        <w:t>zaopiekowana</w:t>
      </w:r>
      <w:proofErr w:type="spellEnd"/>
      <w:r w:rsidRPr="00C71F1C">
        <w:rPr>
          <w:color w:val="000000"/>
        </w:rPr>
        <w:t>, czy ma kto jej dostarczać potrzebne zakupy. W przypadku, kiedy osoby te nie miały wystarczającego wsparcia ze strony rodziny/sąsiadów, wówczas otrzymywały dane kontaktowe do instytucji w swojej miejscowości, które tego typu pomoc świadczą. Sytuacja była na bieżąco monitorowana.</w:t>
      </w:r>
    </w:p>
    <w:p w14:paraId="2689BD2D" w14:textId="77777777" w:rsidR="008454C8" w:rsidRPr="008454C8" w:rsidRDefault="008454C8" w:rsidP="008454C8"/>
    <w:p w14:paraId="5207D239" w14:textId="77777777" w:rsidR="005C6286" w:rsidRDefault="005C6286" w:rsidP="008454C8">
      <w:r w:rsidRPr="00C71F1C">
        <w:t>Zorganizowanie cyklu spotkań on-line pn. „</w:t>
      </w:r>
      <w:proofErr w:type="spellStart"/>
      <w:r w:rsidRPr="00C71F1C">
        <w:t>InfoSenior</w:t>
      </w:r>
      <w:proofErr w:type="spellEnd"/>
      <w:r w:rsidRPr="00C71F1C">
        <w:t xml:space="preserve"> - webinaria”</w:t>
      </w:r>
      <w:r>
        <w:t>.</w:t>
      </w:r>
    </w:p>
    <w:p w14:paraId="6B74F148" w14:textId="5881FED4" w:rsidR="005C6286" w:rsidRDefault="005C6286" w:rsidP="008454C8">
      <w:r w:rsidRPr="00C71F1C">
        <w:t>Cykl webinariów obejmował 4 spo</w:t>
      </w:r>
      <w:r>
        <w:t xml:space="preserve">tkania w tematyce orzecznictwa </w:t>
      </w:r>
      <w:r w:rsidRPr="00C71F1C">
        <w:t xml:space="preserve">o niepełnosprawności, zdrowia osób starszych, nowych technologii oraz praw seniora. Spotkania odbyły się 10, 17 i 25 listopada oraz 1 grudnia 2020 r. </w:t>
      </w:r>
      <w:r w:rsidR="008454C8">
        <w:t xml:space="preserve"> </w:t>
      </w:r>
      <w:r w:rsidRPr="00C71F1C">
        <w:t xml:space="preserve">Na spotkania zarejestrowało się łącznie 120 osób, z czego 52 osoby wzięły czynny udział. </w:t>
      </w:r>
      <w:r w:rsidR="008454C8">
        <w:t xml:space="preserve"> </w:t>
      </w:r>
      <w:r w:rsidRPr="00C71F1C">
        <w:t>Ich Wykonawcą na zlecenie Regionalnego Ośrodka Polityki Społecznej w Toruniu był Krajowy Instytut Gospodarki Senioralnej z Warszawy.</w:t>
      </w:r>
    </w:p>
    <w:p w14:paraId="25594BC5" w14:textId="6D71EC92" w:rsidR="008454C8" w:rsidRDefault="008454C8" w:rsidP="008454C8"/>
    <w:p w14:paraId="468D8BB5" w14:textId="3F358388" w:rsidR="008454C8" w:rsidRDefault="008454C8" w:rsidP="008454C8"/>
    <w:p w14:paraId="0303DE03" w14:textId="77777777" w:rsidR="008454C8" w:rsidRDefault="008454C8" w:rsidP="008454C8"/>
    <w:p w14:paraId="005945FB" w14:textId="37F3F70C" w:rsidR="005C6286" w:rsidRPr="00B21975" w:rsidRDefault="005C6286" w:rsidP="008454C8">
      <w:r w:rsidRPr="00C71F1C">
        <w:lastRenderedPageBreak/>
        <w:t>Zestawy „Pierwszej Pomocy dla Seniora”</w:t>
      </w:r>
      <w:r>
        <w:t>.</w:t>
      </w:r>
    </w:p>
    <w:p w14:paraId="1B4FF959" w14:textId="5F99E24E" w:rsidR="005C6286" w:rsidRDefault="005C6286" w:rsidP="008454C8">
      <w:r w:rsidRPr="00B21975">
        <w:t xml:space="preserve">Przygotowano i ogłoszono postępowanie na usługę zaprojektowania i wykonania 3000 zestawów „Pierwszej pomocy dla seniora”, w których skład weszły tzw. „Koperty Życia”, magnesy informacyjne, gdzie zlokalizowana jest Koperta Życia, pojemniki na leki oraz opaski silikonowe SOS. </w:t>
      </w:r>
      <w:r w:rsidRPr="00C71F1C">
        <w:t>Zestawy będą dystrybuowane w 2021 r</w:t>
      </w:r>
      <w:r w:rsidR="004D289B">
        <w:t>.</w:t>
      </w:r>
      <w:r w:rsidRPr="00C71F1C">
        <w:t xml:space="preserve"> zainteresowanym</w:t>
      </w:r>
      <w:r w:rsidR="008454C8">
        <w:t xml:space="preserve"> </w:t>
      </w:r>
      <w:r w:rsidRPr="00C71F1C">
        <w:t>instytucjom/organizacjom senioralnym.</w:t>
      </w:r>
    </w:p>
    <w:p w14:paraId="677CCDA0" w14:textId="77777777" w:rsidR="005C6286" w:rsidRDefault="005C6286" w:rsidP="00493925">
      <w:pPr>
        <w:rPr>
          <w:rFonts w:cs="Times New Roman"/>
          <w:color w:val="FF0000"/>
          <w:szCs w:val="24"/>
        </w:rPr>
      </w:pPr>
    </w:p>
    <w:p w14:paraId="39E96C23" w14:textId="0A34D0DE" w:rsidR="005C6286" w:rsidRDefault="005C6286" w:rsidP="005C6286">
      <w:pPr>
        <w:pStyle w:val="Nagwek3"/>
      </w:pPr>
      <w:bookmarkStart w:id="144" w:name="_Toc77513957"/>
      <w:bookmarkStart w:id="145" w:name="_Toc80523111"/>
      <w:r w:rsidRPr="005C6286">
        <w:t>Działania związane z ochroną seniorów przed negatywnymi skutkami pandemii COVID-19, które zostały podjęte w 2020 r. w województwie</w:t>
      </w:r>
      <w:r w:rsidR="00645E38">
        <w:t xml:space="preserve"> kujawsko-pomorskim</w:t>
      </w:r>
      <w:bookmarkEnd w:id="144"/>
      <w:bookmarkEnd w:id="145"/>
    </w:p>
    <w:p w14:paraId="4AE63B9A" w14:textId="77777777" w:rsidR="005C6286" w:rsidRPr="005C6286" w:rsidRDefault="005C6286" w:rsidP="005C6286"/>
    <w:p w14:paraId="7D896852" w14:textId="77777777" w:rsidR="005C6286" w:rsidRPr="008454C8" w:rsidRDefault="005C6286" w:rsidP="008454C8">
      <w:pPr>
        <w:rPr>
          <w:lang w:eastAsia="pl-PL"/>
        </w:rPr>
      </w:pPr>
      <w:r w:rsidRPr="008454C8">
        <w:rPr>
          <w:b/>
          <w:bCs/>
          <w:lang w:eastAsia="pl-PL"/>
        </w:rPr>
        <w:t xml:space="preserve">Działania Regionalnego Ośrodka Polityki Społecznej w Toruniu w związku </w:t>
      </w:r>
      <w:r w:rsidRPr="008454C8">
        <w:rPr>
          <w:b/>
          <w:bCs/>
          <w:lang w:eastAsia="pl-PL"/>
        </w:rPr>
        <w:br/>
        <w:t>z pandemią COVID-19</w:t>
      </w:r>
      <w:r w:rsidRPr="008454C8">
        <w:rPr>
          <w:lang w:eastAsia="pl-PL"/>
        </w:rPr>
        <w:t>.</w:t>
      </w:r>
    </w:p>
    <w:p w14:paraId="1B7408C7" w14:textId="77777777" w:rsidR="005C6286" w:rsidRDefault="005C6286" w:rsidP="008454C8">
      <w:pPr>
        <w:rPr>
          <w:color w:val="000000"/>
        </w:rPr>
      </w:pPr>
      <w:r w:rsidRPr="00C71F1C">
        <w:rPr>
          <w:color w:val="000000"/>
        </w:rPr>
        <w:t xml:space="preserve">Realizowano projekty mające na celu wsparcie osób starszych i kadry świadczącej usługi społeczne. Wsparcie polegało na: zapewnieniu niezbędnych środków ochrony, testów </w:t>
      </w:r>
      <w:r>
        <w:rPr>
          <w:color w:val="000000"/>
        </w:rPr>
        <w:br/>
      </w:r>
      <w:r w:rsidRPr="00C71F1C">
        <w:rPr>
          <w:color w:val="000000"/>
        </w:rPr>
        <w:t>na obecność wirusa, dopłat do wynagrodzeń. Wsparciem w zakresie zwalczania lub przeciwdziałania skutkom pandemii COVID-19 objęto 298 podmiotów, granty na cele zapobiegania skutkom COVID-19 otrzymało 139 podmiotów</w:t>
      </w:r>
      <w:r>
        <w:rPr>
          <w:color w:val="000000"/>
        </w:rPr>
        <w:t>, w tym między innymi:</w:t>
      </w:r>
    </w:p>
    <w:p w14:paraId="48C3AD0D" w14:textId="77777777" w:rsidR="0022740B" w:rsidRDefault="005C6286" w:rsidP="00FE70E3">
      <w:pPr>
        <w:pStyle w:val="Akapitzlist"/>
        <w:numPr>
          <w:ilvl w:val="0"/>
          <w:numId w:val="121"/>
        </w:numPr>
        <w:rPr>
          <w:color w:val="000000"/>
        </w:rPr>
      </w:pPr>
      <w:r w:rsidRPr="0022740B">
        <w:rPr>
          <w:color w:val="000000"/>
        </w:rPr>
        <w:t xml:space="preserve">w ramach projektu </w:t>
      </w:r>
      <w:r w:rsidRPr="0022740B">
        <w:rPr>
          <w:bCs/>
          <w:color w:val="000000"/>
        </w:rPr>
        <w:t>„Kooperacja – efektywna i skuteczna</w:t>
      </w:r>
      <w:r w:rsidRPr="0022740B">
        <w:rPr>
          <w:color w:val="000000"/>
        </w:rPr>
        <w:t xml:space="preserve">”, wsparcie w postaci zakupu środków ochrony: żeli antybakteryjnych, rękawic jednorazowych, płynów </w:t>
      </w:r>
      <w:r w:rsidRPr="0022740B">
        <w:rPr>
          <w:color w:val="000000"/>
        </w:rPr>
        <w:br/>
        <w:t xml:space="preserve">do dezynfekcji powierzchni, urządzeń do oczyszczania powietrza, urządzeń </w:t>
      </w:r>
      <w:r w:rsidRPr="0022740B">
        <w:rPr>
          <w:color w:val="000000"/>
        </w:rPr>
        <w:br/>
        <w:t xml:space="preserve">do dezynfekcji poprzez natrysk, lamp bakteriobójczych zaplanowano m.in. dla: domów pomocy społecznej, placówek świadczących usługi opiekuńcze, hospicjów, ośrodków pomocy społecznej, mieszkań chronionych, specjalistycznych ośrodków wsparcia dla ofiar przemocy, domu dla samotnych matek, powiatowych centów pomocy rodzinie; </w:t>
      </w:r>
    </w:p>
    <w:p w14:paraId="4FB7DB07" w14:textId="77777777" w:rsidR="0022740B" w:rsidRDefault="005C6286" w:rsidP="00FE70E3">
      <w:pPr>
        <w:pStyle w:val="Akapitzlist"/>
        <w:numPr>
          <w:ilvl w:val="0"/>
          <w:numId w:val="121"/>
        </w:numPr>
        <w:rPr>
          <w:color w:val="000000"/>
        </w:rPr>
      </w:pPr>
      <w:r w:rsidRPr="0022740B">
        <w:rPr>
          <w:color w:val="000000"/>
        </w:rPr>
        <w:t>w ramach projektu „Pogodna jesień życia na Kujawach i Pomorzu…”:</w:t>
      </w:r>
      <w:r w:rsidR="0022740B">
        <w:rPr>
          <w:color w:val="000000"/>
        </w:rPr>
        <w:t xml:space="preserve"> </w:t>
      </w:r>
    </w:p>
    <w:p w14:paraId="00ACD9B6" w14:textId="77777777" w:rsidR="0022740B" w:rsidRPr="0022740B" w:rsidRDefault="005C6286" w:rsidP="00FE70E3">
      <w:pPr>
        <w:pStyle w:val="Akapitzlist"/>
        <w:numPr>
          <w:ilvl w:val="1"/>
          <w:numId w:val="121"/>
        </w:numPr>
        <w:rPr>
          <w:color w:val="000000"/>
        </w:rPr>
      </w:pPr>
      <w:r w:rsidRPr="00C71F1C">
        <w:t>prowadzono infolinię Regionalnego Centrum Informacji Senioralnej, gdzie można było uzyskać informacje nt. realizo</w:t>
      </w:r>
      <w:r>
        <w:t xml:space="preserve">wanych form wsparcia w związku </w:t>
      </w:r>
      <w:r>
        <w:br/>
      </w:r>
      <w:r w:rsidRPr="00C71F1C">
        <w:t>z pandemią COVID-19;</w:t>
      </w:r>
    </w:p>
    <w:p w14:paraId="336887AA" w14:textId="77777777" w:rsidR="0022740B" w:rsidRPr="0022740B" w:rsidRDefault="005C6286" w:rsidP="00FE70E3">
      <w:pPr>
        <w:pStyle w:val="Akapitzlist"/>
        <w:numPr>
          <w:ilvl w:val="1"/>
          <w:numId w:val="121"/>
        </w:numPr>
        <w:rPr>
          <w:color w:val="000000"/>
        </w:rPr>
      </w:pPr>
      <w:r w:rsidRPr="00C71F1C">
        <w:t>podjęto współpracę z dziennymi domami pobytu (ok. 55 placówkami) oraz dziennymi domami opieki medycznej (kontakt z 4 Centrami Koordynacji Opieki Medycznej dla 10 DDOM) świadczącymi pomoc dla ponad 2000 osób starszych, samotnych i niepełnosprawnych z naszego województwa. Kontakt z ww. instytucjami w zakresie moni</w:t>
      </w:r>
      <w:r>
        <w:t xml:space="preserve">torowania aktualnej sytuacji </w:t>
      </w:r>
      <w:r w:rsidRPr="00C71F1C">
        <w:t xml:space="preserve">w placówkach, podejmowanych działaniach w związku epidemią </w:t>
      </w:r>
      <w:proofErr w:type="spellStart"/>
      <w:r w:rsidRPr="00C71F1C">
        <w:t>koronawirusa</w:t>
      </w:r>
      <w:proofErr w:type="spellEnd"/>
      <w:r w:rsidRPr="00C71F1C">
        <w:t xml:space="preserve"> i ewentualnym wsparciu;</w:t>
      </w:r>
    </w:p>
    <w:p w14:paraId="09064031" w14:textId="77777777" w:rsidR="0022740B" w:rsidRPr="0022740B" w:rsidRDefault="005C6286" w:rsidP="00FE70E3">
      <w:pPr>
        <w:pStyle w:val="Akapitzlist"/>
        <w:numPr>
          <w:ilvl w:val="1"/>
          <w:numId w:val="121"/>
        </w:numPr>
        <w:rPr>
          <w:color w:val="000000"/>
        </w:rPr>
      </w:pPr>
      <w:r w:rsidRPr="00C71F1C">
        <w:t>utrzymywano stały kontakt z uczestnika</w:t>
      </w:r>
      <w:r>
        <w:t xml:space="preserve">mi objętymi usługą </w:t>
      </w:r>
      <w:proofErr w:type="spellStart"/>
      <w:r>
        <w:t>teleopieki</w:t>
      </w:r>
      <w:proofErr w:type="spellEnd"/>
      <w:r>
        <w:t xml:space="preserve">. </w:t>
      </w:r>
      <w:r w:rsidRPr="00C71F1C">
        <w:t>Na bieżąco monitorowanie sytuacji u 178 osób;</w:t>
      </w:r>
    </w:p>
    <w:p w14:paraId="560483A2" w14:textId="77777777" w:rsidR="0022740B" w:rsidRPr="0022740B" w:rsidRDefault="005C6286" w:rsidP="00FE70E3">
      <w:pPr>
        <w:pStyle w:val="Akapitzlist"/>
        <w:numPr>
          <w:ilvl w:val="1"/>
          <w:numId w:val="121"/>
        </w:numPr>
        <w:rPr>
          <w:color w:val="000000"/>
        </w:rPr>
      </w:pPr>
      <w:r w:rsidRPr="00C71F1C">
        <w:t xml:space="preserve">zbierano i przygotowywano informacje o ofercie pomocowej dedykowanej osobom starszym, samotnym i niepełnosprawnym w związku z epidemią </w:t>
      </w:r>
      <w:proofErr w:type="spellStart"/>
      <w:r w:rsidRPr="00C71F1C">
        <w:t>koronawirusa</w:t>
      </w:r>
      <w:proofErr w:type="spellEnd"/>
      <w:r w:rsidRPr="00C71F1C">
        <w:t>, realizowanej przez samorządy gminne i miejskie naszego województwa;</w:t>
      </w:r>
    </w:p>
    <w:p w14:paraId="0BC743FB" w14:textId="447EF833" w:rsidR="005C6286" w:rsidRPr="0022740B" w:rsidRDefault="005C6286" w:rsidP="00FE70E3">
      <w:pPr>
        <w:pStyle w:val="Akapitzlist"/>
        <w:numPr>
          <w:ilvl w:val="0"/>
          <w:numId w:val="121"/>
        </w:numPr>
        <w:rPr>
          <w:color w:val="000000"/>
        </w:rPr>
      </w:pPr>
      <w:r w:rsidRPr="0022740B">
        <w:rPr>
          <w:color w:val="000000"/>
        </w:rPr>
        <w:t>realizowano projekt „</w:t>
      </w:r>
      <w:r w:rsidRPr="0022740B">
        <w:rPr>
          <w:bCs/>
          <w:color w:val="000000"/>
        </w:rPr>
        <w:t>Pomagamy skutecznie</w:t>
      </w:r>
      <w:r w:rsidRPr="0022740B">
        <w:rPr>
          <w:color w:val="000000"/>
        </w:rPr>
        <w:t xml:space="preserve">”, którego celem było podjęcie działań minimalizujących w jak największym stopniu skutki pandemii COVID-19 oraz ograniczających rozprzestrzenianie się wirusa w DPS na terenie województwa kujawsko-pomorskiego w okresie od 1 czerwca do 31 grudnia 2020 r.; </w:t>
      </w:r>
    </w:p>
    <w:p w14:paraId="5C6D1389" w14:textId="77777777" w:rsidR="008454C8" w:rsidRPr="00767D9D" w:rsidRDefault="008454C8" w:rsidP="008454C8">
      <w:pPr>
        <w:rPr>
          <w:color w:val="000000"/>
        </w:rPr>
      </w:pPr>
    </w:p>
    <w:p w14:paraId="6F271B29" w14:textId="77777777" w:rsidR="005C6286" w:rsidRPr="0022740B" w:rsidRDefault="005C6286" w:rsidP="0022740B">
      <w:pPr>
        <w:rPr>
          <w:b/>
          <w:bCs/>
          <w:lang w:eastAsia="pl-PL"/>
        </w:rPr>
      </w:pPr>
      <w:r w:rsidRPr="0022740B">
        <w:rPr>
          <w:b/>
          <w:bCs/>
          <w:lang w:eastAsia="pl-PL"/>
        </w:rPr>
        <w:lastRenderedPageBreak/>
        <w:t>Dzienne domy pobytu/pomocy.</w:t>
      </w:r>
    </w:p>
    <w:p w14:paraId="295CEDA3" w14:textId="77777777" w:rsidR="0022740B" w:rsidRDefault="005C6286" w:rsidP="0022740B">
      <w:r>
        <w:t>Na podstawie decyzji Wojewody Kujawsko-Pomorskiego, w</w:t>
      </w:r>
      <w:r w:rsidRPr="00C71F1C">
        <w:t xml:space="preserve"> związku ze stanem epidemicznym </w:t>
      </w:r>
      <w:r>
        <w:t>w kraju,</w:t>
      </w:r>
      <w:r w:rsidRPr="00C71F1C">
        <w:t xml:space="preserve"> </w:t>
      </w:r>
      <w:r>
        <w:t xml:space="preserve">instytucje pomocy społecznej wsparcia dziennego miały okresowo zawieszaną działalność stacjonarną. </w:t>
      </w:r>
      <w:r w:rsidRPr="00C71F1C">
        <w:t>W jej miejsce realiz</w:t>
      </w:r>
      <w:r>
        <w:t xml:space="preserve">owały zastępcze formy wsparcia </w:t>
      </w:r>
      <w:r w:rsidRPr="00C71F1C">
        <w:t>w środowisku, takie jak:</w:t>
      </w:r>
    </w:p>
    <w:p w14:paraId="4CC3A7A4" w14:textId="77777777" w:rsidR="0022740B" w:rsidRDefault="005C6286" w:rsidP="00FE70E3">
      <w:pPr>
        <w:pStyle w:val="Akapitzlist"/>
        <w:numPr>
          <w:ilvl w:val="0"/>
          <w:numId w:val="122"/>
        </w:numPr>
      </w:pPr>
      <w:r w:rsidRPr="00C71F1C">
        <w:t xml:space="preserve">bieżący kontakt telefoniczny z osobami objętymi wsparciem i członkami ich rodzin </w:t>
      </w:r>
      <w:r>
        <w:br/>
      </w:r>
      <w:r w:rsidRPr="00C71F1C">
        <w:t>w celu diagnozowania bieżących potrzeb oraz zorientowania się m.in. o stanie zdrowia i samopoczuciu;</w:t>
      </w:r>
    </w:p>
    <w:p w14:paraId="1863EF7E" w14:textId="77777777" w:rsidR="0022740B" w:rsidRDefault="005C6286" w:rsidP="00FE70E3">
      <w:pPr>
        <w:pStyle w:val="Akapitzlist"/>
        <w:numPr>
          <w:ilvl w:val="0"/>
          <w:numId w:val="122"/>
        </w:numPr>
      </w:pPr>
      <w:r w:rsidRPr="00C71F1C">
        <w:t xml:space="preserve">prowadzenie </w:t>
      </w:r>
      <w:proofErr w:type="spellStart"/>
      <w:r w:rsidRPr="00C71F1C">
        <w:t>teleporad</w:t>
      </w:r>
      <w:proofErr w:type="spellEnd"/>
      <w:r w:rsidRPr="00C71F1C">
        <w:t xml:space="preserve"> i </w:t>
      </w:r>
      <w:proofErr w:type="spellStart"/>
      <w:r w:rsidRPr="00C71F1C">
        <w:t>telewizyt</w:t>
      </w:r>
      <w:proofErr w:type="spellEnd"/>
      <w:r w:rsidRPr="00C71F1C">
        <w:t xml:space="preserve"> specjalistycznych; udzielanie wskazówek, jak kontynuować terapię, jak się aktywizować, jaką dietę stosować w przypadku danej choroby itp.; </w:t>
      </w:r>
    </w:p>
    <w:p w14:paraId="0E6B8AAA" w14:textId="77777777" w:rsidR="0022740B" w:rsidRDefault="005C6286" w:rsidP="00FE70E3">
      <w:pPr>
        <w:pStyle w:val="Akapitzlist"/>
        <w:numPr>
          <w:ilvl w:val="0"/>
          <w:numId w:val="122"/>
        </w:numPr>
      </w:pPr>
      <w:r w:rsidRPr="00C71F1C">
        <w:t>zajęcia online – np. zajęcia z fizjoterapeutą prowadzone przez Internet;</w:t>
      </w:r>
    </w:p>
    <w:p w14:paraId="52EAA8CB" w14:textId="77777777" w:rsidR="0022740B" w:rsidRDefault="005C6286" w:rsidP="00FE70E3">
      <w:pPr>
        <w:pStyle w:val="Akapitzlist"/>
        <w:numPr>
          <w:ilvl w:val="0"/>
          <w:numId w:val="122"/>
        </w:numPr>
      </w:pPr>
      <w:r w:rsidRPr="00C71F1C">
        <w:t xml:space="preserve">opracowywanie zestawów materiałów i ćwiczeń, dostosowanych do możliwości psychoruchowych </w:t>
      </w:r>
      <w:r>
        <w:t>uczestników zajęć</w:t>
      </w:r>
      <w:r w:rsidRPr="00C71F1C">
        <w:t xml:space="preserve"> i ich cyklicznie przekazywanie w formie elektronicznej lub drukowanej ( w zależności od potrzeb);</w:t>
      </w:r>
    </w:p>
    <w:p w14:paraId="4D9D9905" w14:textId="77777777" w:rsidR="0022740B" w:rsidRDefault="005C6286" w:rsidP="00FE70E3">
      <w:pPr>
        <w:pStyle w:val="Akapitzlist"/>
        <w:numPr>
          <w:ilvl w:val="0"/>
          <w:numId w:val="122"/>
        </w:numPr>
      </w:pPr>
      <w:r w:rsidRPr="00C71F1C">
        <w:t>w przypadku długoterminowej opieki środowiskowej i w sytuacjach tego wymagających – wizytowanie środowisk, z zachowaniem odpowiednich środków bezpieczeństwa (po uprzednim wywiadzie epidemiologicznym i z odpowiednim wyposażeniem: maseczki, rękawiczki jednorazowe, środki do dezynfekcji, żele antybakteryjne);</w:t>
      </w:r>
    </w:p>
    <w:p w14:paraId="3AC0F2A0" w14:textId="77777777" w:rsidR="0022740B" w:rsidRDefault="005C6286" w:rsidP="00FE70E3">
      <w:pPr>
        <w:pStyle w:val="Akapitzlist"/>
        <w:numPr>
          <w:ilvl w:val="0"/>
          <w:numId w:val="122"/>
        </w:numPr>
      </w:pPr>
      <w:r w:rsidRPr="00C71F1C">
        <w:t>wydawanie posiłków na miejscu (z zachowaniem odpowiednich środków ostrożności) – gotowe dania i ciepłe posiłki;</w:t>
      </w:r>
    </w:p>
    <w:p w14:paraId="7D131E1F" w14:textId="77777777" w:rsidR="0022740B" w:rsidRDefault="005C6286" w:rsidP="00FE70E3">
      <w:pPr>
        <w:pStyle w:val="Akapitzlist"/>
        <w:numPr>
          <w:ilvl w:val="0"/>
          <w:numId w:val="122"/>
        </w:numPr>
      </w:pPr>
      <w:r w:rsidRPr="00C71F1C">
        <w:t>wydawanie żywności na miejscu – w postaci suchego prowiantu;</w:t>
      </w:r>
    </w:p>
    <w:p w14:paraId="46485267" w14:textId="77777777" w:rsidR="0022740B" w:rsidRDefault="005C6286" w:rsidP="00FE70E3">
      <w:pPr>
        <w:pStyle w:val="Akapitzlist"/>
        <w:numPr>
          <w:ilvl w:val="0"/>
          <w:numId w:val="122"/>
        </w:numPr>
      </w:pPr>
      <w:r w:rsidRPr="00C71F1C">
        <w:t>dowożenie posiłków;</w:t>
      </w:r>
    </w:p>
    <w:p w14:paraId="2CA2CA47" w14:textId="77777777" w:rsidR="0022740B" w:rsidRDefault="005C6286" w:rsidP="00FE70E3">
      <w:pPr>
        <w:pStyle w:val="Akapitzlist"/>
        <w:numPr>
          <w:ilvl w:val="0"/>
          <w:numId w:val="122"/>
        </w:numPr>
      </w:pPr>
      <w:r w:rsidRPr="00C71F1C">
        <w:t>dowożenie żywności – w postaci suchego prowiantu;</w:t>
      </w:r>
    </w:p>
    <w:p w14:paraId="6C7B465D" w14:textId="77777777" w:rsidR="0022740B" w:rsidRDefault="005C6286" w:rsidP="00FE70E3">
      <w:pPr>
        <w:pStyle w:val="Akapitzlist"/>
        <w:numPr>
          <w:ilvl w:val="0"/>
          <w:numId w:val="122"/>
        </w:numPr>
      </w:pPr>
      <w:r w:rsidRPr="00C71F1C">
        <w:t>robienie zakupów: produktów codziennych, jak i leków;</w:t>
      </w:r>
    </w:p>
    <w:p w14:paraId="7113EC7F" w14:textId="77777777" w:rsidR="0022740B" w:rsidRDefault="005C6286" w:rsidP="00FE70E3">
      <w:pPr>
        <w:pStyle w:val="Akapitzlist"/>
        <w:numPr>
          <w:ilvl w:val="0"/>
          <w:numId w:val="122"/>
        </w:numPr>
      </w:pPr>
      <w:r w:rsidRPr="00C71F1C">
        <w:t xml:space="preserve">wsparcie opiekunów faktycznych poprzez </w:t>
      </w:r>
      <w:proofErr w:type="spellStart"/>
      <w:r w:rsidRPr="00C71F1C">
        <w:t>teleporady</w:t>
      </w:r>
      <w:proofErr w:type="spellEnd"/>
      <w:r w:rsidRPr="00C71F1C">
        <w:t xml:space="preserve"> z psychologiem, doradcą zawodowym, prawnikiem, terapeutą;</w:t>
      </w:r>
    </w:p>
    <w:p w14:paraId="5506D2EC" w14:textId="77777777" w:rsidR="0022740B" w:rsidRDefault="005C6286" w:rsidP="00FE70E3">
      <w:pPr>
        <w:pStyle w:val="Akapitzlist"/>
        <w:numPr>
          <w:ilvl w:val="0"/>
          <w:numId w:val="122"/>
        </w:numPr>
      </w:pPr>
      <w:r w:rsidRPr="00C71F1C">
        <w:t>udostępnianie pomieszczeń w dzien</w:t>
      </w:r>
      <w:r>
        <w:t xml:space="preserve">nych domach pobytu pod miejsca </w:t>
      </w:r>
      <w:r w:rsidRPr="00C71F1C">
        <w:t>na kwarantannę;</w:t>
      </w:r>
    </w:p>
    <w:p w14:paraId="26C9570A" w14:textId="77777777" w:rsidR="0022740B" w:rsidRDefault="005C6286" w:rsidP="00FE70E3">
      <w:pPr>
        <w:pStyle w:val="Akapitzlist"/>
        <w:numPr>
          <w:ilvl w:val="0"/>
          <w:numId w:val="122"/>
        </w:numPr>
      </w:pPr>
      <w:r w:rsidRPr="00C71F1C">
        <w:t>współpraca z ośrodkami pomocy społecznej w celu wsparcia środowisk najbardziej potrzebujących;</w:t>
      </w:r>
    </w:p>
    <w:p w14:paraId="7CDEF63B" w14:textId="77777777" w:rsidR="0022740B" w:rsidRDefault="005C6286" w:rsidP="00FE70E3">
      <w:pPr>
        <w:pStyle w:val="Akapitzlist"/>
        <w:numPr>
          <w:ilvl w:val="0"/>
          <w:numId w:val="122"/>
        </w:numPr>
      </w:pPr>
      <w:r w:rsidRPr="00C71F1C">
        <w:t>współpraca np.</w:t>
      </w:r>
      <w:r>
        <w:t xml:space="preserve"> z</w:t>
      </w:r>
      <w:r w:rsidRPr="00C71F1C">
        <w:t xml:space="preserve"> podmiotami medycznymi w sytuacji konieczności pilnej konsultacji medycznej;</w:t>
      </w:r>
    </w:p>
    <w:p w14:paraId="68E720EC" w14:textId="77777777" w:rsidR="0022740B" w:rsidRDefault="005C6286" w:rsidP="00FE70E3">
      <w:pPr>
        <w:pStyle w:val="Akapitzlist"/>
        <w:numPr>
          <w:ilvl w:val="0"/>
          <w:numId w:val="122"/>
        </w:numPr>
      </w:pPr>
      <w:r w:rsidRPr="00C71F1C">
        <w:t>udział w akcjach szycia maseczek i ich dystrybucja wśród mieszkańców;</w:t>
      </w:r>
    </w:p>
    <w:p w14:paraId="6547AF24" w14:textId="77777777" w:rsidR="0022740B" w:rsidRPr="0022740B" w:rsidRDefault="005C6286" w:rsidP="00FE70E3">
      <w:pPr>
        <w:pStyle w:val="Akapitzlist"/>
        <w:numPr>
          <w:ilvl w:val="0"/>
          <w:numId w:val="122"/>
        </w:numPr>
      </w:pPr>
      <w:r w:rsidRPr="0022740B">
        <w:rPr>
          <w:color w:val="000000"/>
          <w:lang w:eastAsia="pl-PL"/>
        </w:rPr>
        <w:t>pomoc w wypełnianiu wniosków pomocowych PFRON;</w:t>
      </w:r>
    </w:p>
    <w:p w14:paraId="359D6E85" w14:textId="0A16DAB0" w:rsidR="005C6286" w:rsidRPr="0022740B" w:rsidRDefault="005C6286" w:rsidP="00FE70E3">
      <w:pPr>
        <w:pStyle w:val="Akapitzlist"/>
        <w:numPr>
          <w:ilvl w:val="0"/>
          <w:numId w:val="122"/>
        </w:numPr>
      </w:pPr>
      <w:r w:rsidRPr="0022740B">
        <w:rPr>
          <w:color w:val="000000"/>
          <w:lang w:eastAsia="pl-PL"/>
        </w:rPr>
        <w:t>aktywność w mediach społecznościowych i/lub stronach internatowych placówek  (prezentowanie prowadzonych działań, prac uczestników) – utrzymywanie w ten sposób kontaktów z podopiecznymi i członkami ich rodzin</w:t>
      </w:r>
      <w:r w:rsidRPr="00C71F1C">
        <w:rPr>
          <w:rStyle w:val="Odwoanieprzypisudolnego"/>
          <w:rFonts w:cs="Times New Roman"/>
          <w:color w:val="000000"/>
          <w:szCs w:val="24"/>
          <w:lang w:eastAsia="pl-PL"/>
        </w:rPr>
        <w:footnoteReference w:id="41"/>
      </w:r>
      <w:r w:rsidRPr="0022740B">
        <w:rPr>
          <w:color w:val="000000"/>
          <w:lang w:eastAsia="pl-PL"/>
        </w:rPr>
        <w:t>.</w:t>
      </w:r>
    </w:p>
    <w:p w14:paraId="06C7DD82" w14:textId="4B2F005A" w:rsidR="0022740B" w:rsidRDefault="0022740B" w:rsidP="00641C42"/>
    <w:p w14:paraId="652D4C31" w14:textId="25FA4F13" w:rsidR="00641C42" w:rsidRDefault="00641C42" w:rsidP="00641C42"/>
    <w:p w14:paraId="0EB842FA" w14:textId="25532590" w:rsidR="00641C42" w:rsidRDefault="00641C42" w:rsidP="00641C42"/>
    <w:p w14:paraId="01D4DEEE" w14:textId="1576C41F" w:rsidR="00641C42" w:rsidRDefault="00641C42" w:rsidP="00641C42"/>
    <w:p w14:paraId="084E8ED7" w14:textId="77777777" w:rsidR="00641C42" w:rsidRPr="00692FA4" w:rsidRDefault="00641C42" w:rsidP="00641C42"/>
    <w:p w14:paraId="73A5C0DA" w14:textId="77777777" w:rsidR="005C6286" w:rsidRPr="0022740B" w:rsidRDefault="005C6286" w:rsidP="0022740B">
      <w:pPr>
        <w:rPr>
          <w:b/>
          <w:bCs/>
          <w:lang w:eastAsia="pl-PL"/>
        </w:rPr>
      </w:pPr>
      <w:r w:rsidRPr="0022740B">
        <w:rPr>
          <w:b/>
          <w:bCs/>
          <w:lang w:eastAsia="pl-PL"/>
        </w:rPr>
        <w:lastRenderedPageBreak/>
        <w:t>Dzienne domy opieki medycznej.</w:t>
      </w:r>
    </w:p>
    <w:p w14:paraId="38E4518C" w14:textId="3C896B44" w:rsidR="005C6286" w:rsidRDefault="005C6286" w:rsidP="0022740B">
      <w:pPr>
        <w:rPr>
          <w:lang w:eastAsia="pl-PL"/>
        </w:rPr>
      </w:pPr>
      <w:r w:rsidRPr="00D229D6">
        <w:rPr>
          <w:lang w:eastAsia="pl-PL"/>
        </w:rPr>
        <w:t xml:space="preserve">W związku z pandemią </w:t>
      </w:r>
      <w:proofErr w:type="spellStart"/>
      <w:r w:rsidRPr="00D229D6">
        <w:rPr>
          <w:lang w:eastAsia="pl-PL"/>
        </w:rPr>
        <w:t>koronawirusa</w:t>
      </w:r>
      <w:proofErr w:type="spellEnd"/>
      <w:r w:rsidRPr="00D229D6">
        <w:rPr>
          <w:lang w:eastAsia="pl-PL"/>
        </w:rPr>
        <w:t xml:space="preserve"> i obostrzeniami nałożonymi przez rząd przez kilka miesięcy dzienne domy opieki medycznej miały zawieszoną działalność stacjonarną, jednak w jej miejsce oferowały pacjentom m.in. następujące formy wsparcia: </w:t>
      </w:r>
      <w:proofErr w:type="spellStart"/>
      <w:r w:rsidRPr="00D229D6">
        <w:rPr>
          <w:lang w:eastAsia="pl-PL"/>
        </w:rPr>
        <w:t>teleporady</w:t>
      </w:r>
      <w:proofErr w:type="spellEnd"/>
      <w:r w:rsidRPr="00D229D6">
        <w:rPr>
          <w:lang w:eastAsia="pl-PL"/>
        </w:rPr>
        <w:t xml:space="preserve">, </w:t>
      </w:r>
      <w:proofErr w:type="spellStart"/>
      <w:r w:rsidRPr="00D229D6">
        <w:rPr>
          <w:lang w:eastAsia="pl-PL"/>
        </w:rPr>
        <w:t>telewizyty</w:t>
      </w:r>
      <w:proofErr w:type="spellEnd"/>
      <w:r w:rsidRPr="00D229D6">
        <w:rPr>
          <w:lang w:eastAsia="pl-PL"/>
        </w:rPr>
        <w:t>, terapię zajęciową, wizyty domowe, wyposażenie w niezbędne recepty, dowożenie posiłków</w:t>
      </w:r>
      <w:r w:rsidRPr="00C71F1C">
        <w:rPr>
          <w:rStyle w:val="Odwoanieprzypisudolnego"/>
          <w:rFonts w:cs="Times New Roman"/>
          <w:szCs w:val="24"/>
          <w:lang w:eastAsia="pl-PL"/>
        </w:rPr>
        <w:footnoteReference w:id="42"/>
      </w:r>
      <w:r w:rsidRPr="00D229D6">
        <w:rPr>
          <w:lang w:eastAsia="pl-PL"/>
        </w:rPr>
        <w:t>.</w:t>
      </w:r>
    </w:p>
    <w:p w14:paraId="7EE4DB87" w14:textId="77777777" w:rsidR="0022740B" w:rsidRPr="00D229D6" w:rsidRDefault="0022740B" w:rsidP="0022740B">
      <w:pPr>
        <w:rPr>
          <w:lang w:eastAsia="pl-PL"/>
        </w:rPr>
      </w:pPr>
    </w:p>
    <w:p w14:paraId="2A19467F" w14:textId="77777777" w:rsidR="005C6286" w:rsidRPr="0022740B" w:rsidRDefault="005C6286" w:rsidP="0022740B">
      <w:pPr>
        <w:rPr>
          <w:b/>
          <w:bCs/>
        </w:rPr>
      </w:pPr>
      <w:r w:rsidRPr="0022740B">
        <w:rPr>
          <w:b/>
          <w:bCs/>
        </w:rPr>
        <w:t>Książka dla Seniora.</w:t>
      </w:r>
    </w:p>
    <w:p w14:paraId="26B2396D" w14:textId="77777777" w:rsidR="005C6286" w:rsidRPr="006763F9" w:rsidRDefault="005C6286" w:rsidP="0022740B">
      <w:pPr>
        <w:rPr>
          <w:rFonts w:eastAsia="Times New Roman"/>
          <w:lang w:eastAsia="pl-PL"/>
        </w:rPr>
      </w:pPr>
      <w:r w:rsidRPr="006763F9">
        <w:rPr>
          <w:rFonts w:eastAsia="Times New Roman"/>
          <w:lang w:eastAsia="pl-PL"/>
        </w:rPr>
        <w:t>Z myślą o osobach starszych, które w sytuacji pandemicznej pozostawały w domach, Marszałek Województwa Kujawsko-Pomorskiego zainicjował projekt „Książka dla Seniora”</w:t>
      </w:r>
      <w:r>
        <w:rPr>
          <w:rFonts w:eastAsia="Times New Roman"/>
          <w:lang w:eastAsia="pl-PL"/>
        </w:rPr>
        <w:t>.</w:t>
      </w:r>
      <w:r w:rsidRPr="006763F9">
        <w:rPr>
          <w:rFonts w:eastAsia="Times New Roman"/>
          <w:lang w:eastAsia="pl-PL"/>
        </w:rPr>
        <w:t xml:space="preserve"> </w:t>
      </w:r>
    </w:p>
    <w:p w14:paraId="1737F5BC" w14:textId="3010B711" w:rsidR="005C6286" w:rsidRPr="006763F9" w:rsidRDefault="005C6286" w:rsidP="0022740B">
      <w:r w:rsidRPr="006763F9">
        <w:t>Projekt miał na celu ułatwienie osobom starszym, które są najbardziej narażone na ciężki przebieg choroby, dostępu do literatury w momencie zamknięcia bibliotek oraz znacznych ograniczeń przemieszczania się.</w:t>
      </w:r>
      <w:r w:rsidR="0022740B">
        <w:t xml:space="preserve"> </w:t>
      </w:r>
      <w:r w:rsidRPr="006763F9">
        <w:t>Książki w pierwszej kolejności trafiły do podop</w:t>
      </w:r>
      <w:r>
        <w:t xml:space="preserve">iecznych dziennych domów pobytu </w:t>
      </w:r>
      <w:r w:rsidR="0022740B">
        <w:t xml:space="preserve"> </w:t>
      </w:r>
      <w:r w:rsidRPr="006763F9">
        <w:t>a</w:t>
      </w:r>
      <w:r>
        <w:t xml:space="preserve"> </w:t>
      </w:r>
      <w:r w:rsidRPr="006763F9">
        <w:t>następie, dzięki współpracy z samorządami lokalnymi, do seniorów z regionu.</w:t>
      </w:r>
      <w:r w:rsidR="0022740B">
        <w:t xml:space="preserve"> </w:t>
      </w:r>
      <w:r w:rsidRPr="006763F9">
        <w:t>Mieszkańcy naszego województwa mogli zostawiać publikacje w specjalnie</w:t>
      </w:r>
      <w:r>
        <w:t xml:space="preserve"> </w:t>
      </w:r>
      <w:r w:rsidRPr="006763F9">
        <w:t>oznakowanych</w:t>
      </w:r>
      <w:r>
        <w:t xml:space="preserve"> </w:t>
      </w:r>
      <w:r w:rsidRPr="006763F9">
        <w:t xml:space="preserve">kartonach, </w:t>
      </w:r>
      <w:r w:rsidRPr="006763F9">
        <w:rPr>
          <w:rFonts w:eastAsia="Times New Roman"/>
          <w:lang w:eastAsia="pl-PL"/>
        </w:rPr>
        <w:t>które umieszczon</w:t>
      </w:r>
      <w:r>
        <w:rPr>
          <w:rFonts w:eastAsia="Times New Roman"/>
          <w:lang w:eastAsia="pl-PL"/>
        </w:rPr>
        <w:t xml:space="preserve">o przed Urzędem Marszałkowskim </w:t>
      </w:r>
      <w:r w:rsidRPr="006763F9">
        <w:rPr>
          <w:rFonts w:eastAsia="Times New Roman"/>
          <w:lang w:eastAsia="pl-PL"/>
        </w:rPr>
        <w:t>w Toruniu oraz przed przedstawicielstwami w innych miastach.</w:t>
      </w:r>
      <w:r w:rsidR="0022740B">
        <w:t xml:space="preserve"> </w:t>
      </w:r>
      <w:r w:rsidRPr="006763F9">
        <w:t xml:space="preserve">W </w:t>
      </w:r>
      <w:r w:rsidRPr="006763F9">
        <w:rPr>
          <w:rFonts w:eastAsia="Times New Roman"/>
          <w:lang w:eastAsia="pl-PL"/>
        </w:rPr>
        <w:t>celu zachowania najwyższych środków ostrożności książki były naświetlane promieniowaniem ultrafioletowym</w:t>
      </w:r>
      <w:r w:rsidRPr="006763F9">
        <w:rPr>
          <w:rStyle w:val="Odwoanieprzypisudolnego"/>
          <w:rFonts w:eastAsia="Times New Roman" w:cs="Times New Roman"/>
          <w:szCs w:val="24"/>
          <w:lang w:eastAsia="pl-PL"/>
        </w:rPr>
        <w:footnoteReference w:id="43"/>
      </w:r>
      <w:r w:rsidRPr="006763F9">
        <w:rPr>
          <w:rFonts w:eastAsia="Times New Roman"/>
          <w:lang w:eastAsia="pl-PL"/>
        </w:rPr>
        <w:t xml:space="preserve">. </w:t>
      </w:r>
    </w:p>
    <w:p w14:paraId="0054EB94" w14:textId="77777777" w:rsidR="005C6286" w:rsidRDefault="005C6286" w:rsidP="00493925">
      <w:pPr>
        <w:rPr>
          <w:rFonts w:cs="Times New Roman"/>
          <w:color w:val="FF0000"/>
          <w:szCs w:val="24"/>
        </w:rPr>
      </w:pPr>
    </w:p>
    <w:p w14:paraId="54DE408A" w14:textId="153B0A68" w:rsidR="00D96C8C" w:rsidRDefault="00D96C8C" w:rsidP="00D96C8C">
      <w:pPr>
        <w:pStyle w:val="Nagwek3"/>
      </w:pPr>
      <w:bookmarkStart w:id="146" w:name="_Toc77513958"/>
      <w:bookmarkStart w:id="147" w:name="_Toc80523112"/>
      <w:r>
        <w:t>Infrastruktura społeczna oraz usługi świadczone osobom starszym w 2020 r.</w:t>
      </w:r>
      <w:bookmarkEnd w:id="146"/>
      <w:bookmarkEnd w:id="147"/>
    </w:p>
    <w:p w14:paraId="150AFEE4" w14:textId="77777777" w:rsidR="000B1B06" w:rsidRPr="000B1B06" w:rsidRDefault="000B1B06" w:rsidP="000B1B06"/>
    <w:p w14:paraId="6D5EDBAD" w14:textId="7218F627" w:rsidR="00D96C8C" w:rsidRDefault="00D96C8C" w:rsidP="00D96C8C">
      <w:pPr>
        <w:rPr>
          <w:rFonts w:cs="Times New Roman"/>
          <w:szCs w:val="24"/>
        </w:rPr>
      </w:pPr>
      <w:r w:rsidRPr="00D96C8C">
        <w:rPr>
          <w:rFonts w:cs="Times New Roman"/>
          <w:szCs w:val="24"/>
        </w:rPr>
        <w:t xml:space="preserve">Szczegółowe informacje dotyczące usług oraz infrastruktury społecznej dostępnej dla osób starszych w województwie </w:t>
      </w:r>
      <w:r w:rsidR="0027745A">
        <w:rPr>
          <w:rFonts w:cs="Times New Roman"/>
          <w:szCs w:val="24"/>
        </w:rPr>
        <w:t>kujawsko-pomorskim</w:t>
      </w:r>
      <w:r>
        <w:rPr>
          <w:rFonts w:cs="Times New Roman"/>
          <w:szCs w:val="24"/>
        </w:rPr>
        <w:t xml:space="preserve"> w 2020 r. przedstawia poniższa tabela</w:t>
      </w:r>
    </w:p>
    <w:p w14:paraId="6B1E7980" w14:textId="77777777" w:rsidR="00D96C8C" w:rsidRPr="0092226B" w:rsidRDefault="00D96C8C" w:rsidP="00493925">
      <w:pPr>
        <w:rPr>
          <w:rFonts w:cs="Times New Roman"/>
          <w:color w:val="FF0000"/>
          <w:szCs w:val="24"/>
        </w:rPr>
      </w:pPr>
    </w:p>
    <w:p w14:paraId="0B2814DF" w14:textId="77777777" w:rsidR="00BF4703" w:rsidRPr="0092226B" w:rsidRDefault="00BF4703" w:rsidP="00493925">
      <w:pPr>
        <w:pStyle w:val="Akapitzlist"/>
        <w:ind w:left="426"/>
        <w:contextualSpacing w:val="0"/>
        <w:rPr>
          <w:rFonts w:cs="Times New Roman"/>
          <w:color w:val="FF0000"/>
          <w:szCs w:val="24"/>
        </w:rPr>
      </w:pPr>
    </w:p>
    <w:p w14:paraId="1BB55BBF" w14:textId="77777777" w:rsidR="00A46DB9" w:rsidRPr="0092226B" w:rsidRDefault="00A46DB9" w:rsidP="003C1988">
      <w:pPr>
        <w:rPr>
          <w:color w:val="FF0000"/>
          <w:lang w:eastAsia="ar-SA"/>
        </w:rPr>
        <w:sectPr w:rsidR="00A46DB9" w:rsidRPr="0092226B" w:rsidSect="00080A38">
          <w:pgSz w:w="11900" w:h="16838"/>
          <w:pgMar w:top="1384" w:right="1386" w:bottom="1038" w:left="1380" w:header="0" w:footer="567" w:gutter="0"/>
          <w:cols w:space="0" w:equalWidth="0">
            <w:col w:w="9140"/>
          </w:cols>
          <w:docGrid w:linePitch="360"/>
        </w:sectPr>
      </w:pPr>
    </w:p>
    <w:p w14:paraId="178D72B9" w14:textId="6B4139E1" w:rsidR="005F20F3" w:rsidRPr="00645E38" w:rsidRDefault="005F20F3" w:rsidP="005F20F3">
      <w:pPr>
        <w:pStyle w:val="Legenda"/>
        <w:keepNext/>
        <w:rPr>
          <w:rFonts w:cs="Times New Roman"/>
          <w:b/>
          <w:i w:val="0"/>
          <w:color w:val="auto"/>
          <w:sz w:val="24"/>
        </w:rPr>
      </w:pPr>
      <w:bookmarkStart w:id="148" w:name="_Toc49171431"/>
      <w:r w:rsidRPr="00645E38">
        <w:rPr>
          <w:rFonts w:cs="Times New Roman"/>
          <w:b/>
          <w:i w:val="0"/>
          <w:color w:val="auto"/>
          <w:sz w:val="24"/>
        </w:rPr>
        <w:lastRenderedPageBreak/>
        <w:t xml:space="preserve">Tabela </w:t>
      </w:r>
      <w:r w:rsidR="005B094D">
        <w:rPr>
          <w:rFonts w:cs="Times New Roman"/>
          <w:b/>
          <w:i w:val="0"/>
          <w:color w:val="auto"/>
          <w:sz w:val="24"/>
        </w:rPr>
        <w:t>52</w:t>
      </w:r>
      <w:r w:rsidR="00054E88">
        <w:rPr>
          <w:rFonts w:cs="Times New Roman"/>
          <w:b/>
          <w:i w:val="0"/>
          <w:color w:val="auto"/>
          <w:sz w:val="24"/>
        </w:rPr>
        <w:t>.</w:t>
      </w:r>
      <w:r w:rsidR="005B094D">
        <w:rPr>
          <w:rFonts w:cs="Times New Roman"/>
          <w:b/>
          <w:i w:val="0"/>
          <w:color w:val="auto"/>
          <w:sz w:val="24"/>
        </w:rPr>
        <w:t xml:space="preserve"> </w:t>
      </w:r>
      <w:r w:rsidRPr="00645E38">
        <w:rPr>
          <w:rFonts w:cs="Times New Roman"/>
          <w:b/>
          <w:i w:val="0"/>
          <w:color w:val="auto"/>
          <w:sz w:val="24"/>
        </w:rPr>
        <w:t>Karta województwa kujawsko-pomorskiego</w:t>
      </w:r>
      <w:bookmarkEnd w:id="148"/>
    </w:p>
    <w:tbl>
      <w:tblPr>
        <w:tblStyle w:val="Tabelasiatki5ciemnaakcent2"/>
        <w:tblpPr w:leftFromText="142" w:rightFromText="142" w:vertAnchor="text" w:horzAnchor="margin" w:tblpXSpec="center" w:tblpY="1"/>
        <w:tblW w:w="14741" w:type="dxa"/>
        <w:tblLayout w:type="fixed"/>
        <w:tblLook w:val="04A0" w:firstRow="1" w:lastRow="0" w:firstColumn="1" w:lastColumn="0" w:noHBand="0" w:noVBand="1"/>
      </w:tblPr>
      <w:tblGrid>
        <w:gridCol w:w="2830"/>
        <w:gridCol w:w="3066"/>
        <w:gridCol w:w="53"/>
        <w:gridCol w:w="2895"/>
        <w:gridCol w:w="790"/>
        <w:gridCol w:w="2158"/>
        <w:gridCol w:w="2949"/>
      </w:tblGrid>
      <w:tr w:rsidR="00645E38" w:rsidRPr="00645E38" w14:paraId="4FBBC8D9" w14:textId="77777777" w:rsidTr="00645E38">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2D772B10" w14:textId="1AA926D6" w:rsidR="00645E38" w:rsidRPr="00087470" w:rsidRDefault="00645E38" w:rsidP="00645E38">
            <w:pPr>
              <w:tabs>
                <w:tab w:val="left" w:pos="3161"/>
              </w:tabs>
              <w:spacing w:line="240" w:lineRule="auto"/>
              <w:jc w:val="center"/>
              <w:rPr>
                <w:color w:val="auto"/>
                <w:sz w:val="20"/>
                <w:szCs w:val="20"/>
              </w:rPr>
            </w:pPr>
            <w:r w:rsidRPr="00087470">
              <w:rPr>
                <w:color w:val="auto"/>
                <w:sz w:val="20"/>
                <w:szCs w:val="20"/>
              </w:rPr>
              <w:t>WOJEWÓDZTWO KUJAWSKO-POMORSKIE</w:t>
            </w:r>
          </w:p>
        </w:tc>
      </w:tr>
      <w:tr w:rsidR="00645E38" w:rsidRPr="00645E38" w14:paraId="75DC9DCA" w14:textId="77777777" w:rsidTr="00645E3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2876EFDC" w14:textId="194B06F6" w:rsidR="004B7613" w:rsidRPr="00087470" w:rsidRDefault="004B7613" w:rsidP="004B7613">
            <w:pPr>
              <w:spacing w:line="240" w:lineRule="auto"/>
              <w:rPr>
                <w:color w:val="auto"/>
                <w:sz w:val="20"/>
                <w:szCs w:val="20"/>
              </w:rPr>
            </w:pPr>
            <w:r w:rsidRPr="00087470">
              <w:rPr>
                <w:color w:val="auto"/>
                <w:sz w:val="20"/>
                <w:szCs w:val="20"/>
              </w:rPr>
              <w:t>USŁUGI SPOŁECZNE DLA OSÓB STARSZYCH / INFRASTRUKTURA POMOCY SPOLECZNEJ – DANE ZA 20</w:t>
            </w:r>
            <w:r w:rsidR="0027745A" w:rsidRPr="00087470">
              <w:rPr>
                <w:color w:val="auto"/>
                <w:sz w:val="20"/>
                <w:szCs w:val="20"/>
              </w:rPr>
              <w:t>20</w:t>
            </w:r>
            <w:r w:rsidRPr="00087470">
              <w:rPr>
                <w:color w:val="auto"/>
                <w:sz w:val="20"/>
                <w:szCs w:val="20"/>
              </w:rPr>
              <w:t xml:space="preserve"> R.</w:t>
            </w:r>
          </w:p>
        </w:tc>
      </w:tr>
      <w:tr w:rsidR="00645E38" w:rsidRPr="00645E38" w14:paraId="41A3984B" w14:textId="77777777" w:rsidTr="00645E38">
        <w:trPr>
          <w:trHeight w:val="7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2B9E4A8A" w14:textId="5CAEE500" w:rsidR="004B7613" w:rsidRPr="00087470" w:rsidRDefault="004B7613" w:rsidP="004B7613">
            <w:pPr>
              <w:spacing w:line="240" w:lineRule="auto"/>
              <w:rPr>
                <w:rFonts w:eastAsia="Times New Roman"/>
                <w:b w:val="0"/>
                <w:bCs w:val="0"/>
                <w:color w:val="auto"/>
                <w:sz w:val="20"/>
                <w:szCs w:val="20"/>
                <w:lang w:eastAsia="pl-PL"/>
              </w:rPr>
            </w:pPr>
            <w:r w:rsidRPr="00087470">
              <w:rPr>
                <w:rFonts w:eastAsia="Times New Roman"/>
                <w:color w:val="auto"/>
                <w:sz w:val="20"/>
                <w:szCs w:val="20"/>
                <w:lang w:eastAsia="pl-PL"/>
              </w:rPr>
              <w:t>Instytucje pomocy społecznej, w tym</w:t>
            </w:r>
            <w:r w:rsidR="00087470" w:rsidRPr="00087470">
              <w:rPr>
                <w:rFonts w:eastAsia="Times New Roman"/>
                <w:color w:val="auto"/>
                <w:sz w:val="20"/>
                <w:szCs w:val="20"/>
                <w:lang w:eastAsia="pl-PL"/>
              </w:rPr>
              <w:t>:</w:t>
            </w:r>
          </w:p>
        </w:tc>
        <w:tc>
          <w:tcPr>
            <w:tcW w:w="3066" w:type="dxa"/>
          </w:tcPr>
          <w:p w14:paraId="729E6938" w14:textId="77777777" w:rsidR="004B7613" w:rsidRPr="00087470" w:rsidRDefault="004B7613" w:rsidP="004B7613">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87470">
              <w:rPr>
                <w:b/>
                <w:sz w:val="20"/>
                <w:szCs w:val="20"/>
              </w:rPr>
              <w:t>Rodzaj placówki</w:t>
            </w:r>
          </w:p>
        </w:tc>
        <w:tc>
          <w:tcPr>
            <w:tcW w:w="2948" w:type="dxa"/>
            <w:gridSpan w:val="2"/>
          </w:tcPr>
          <w:p w14:paraId="4237886C" w14:textId="77777777" w:rsidR="004B7613" w:rsidRPr="00087470" w:rsidRDefault="004B7613" w:rsidP="004B7613">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87470">
              <w:rPr>
                <w:b/>
                <w:sz w:val="20"/>
                <w:szCs w:val="20"/>
              </w:rPr>
              <w:t>Liczba placówek</w:t>
            </w:r>
          </w:p>
        </w:tc>
        <w:tc>
          <w:tcPr>
            <w:tcW w:w="2948" w:type="dxa"/>
            <w:gridSpan w:val="2"/>
          </w:tcPr>
          <w:p w14:paraId="67797378" w14:textId="4144D838" w:rsidR="004B7613" w:rsidRPr="00087470" w:rsidRDefault="004B7613" w:rsidP="004B7613">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87470">
              <w:rPr>
                <w:b/>
                <w:sz w:val="20"/>
                <w:szCs w:val="20"/>
              </w:rPr>
              <w:t>Liczba miejsc dla osób starszych</w:t>
            </w:r>
          </w:p>
        </w:tc>
        <w:tc>
          <w:tcPr>
            <w:tcW w:w="2949" w:type="dxa"/>
          </w:tcPr>
          <w:p w14:paraId="394FB370" w14:textId="77777777" w:rsidR="004B7613" w:rsidRPr="00087470" w:rsidRDefault="004B7613" w:rsidP="004B7613">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087470">
              <w:rPr>
                <w:b/>
                <w:sz w:val="20"/>
                <w:szCs w:val="20"/>
              </w:rPr>
              <w:t>Liczba korzystających osób starszych</w:t>
            </w:r>
          </w:p>
        </w:tc>
      </w:tr>
      <w:tr w:rsidR="00FD7A40" w:rsidRPr="00645E38" w14:paraId="743C8C28" w14:textId="77777777" w:rsidTr="00645E3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3B500CC" w14:textId="77777777" w:rsidR="00FD7A40" w:rsidRPr="00087470" w:rsidRDefault="00FD7A40" w:rsidP="00FD7A40">
            <w:pPr>
              <w:spacing w:line="240" w:lineRule="auto"/>
              <w:rPr>
                <w:rFonts w:eastAsia="Times New Roman"/>
                <w:color w:val="auto"/>
                <w:sz w:val="20"/>
                <w:szCs w:val="20"/>
                <w:lang w:eastAsia="pl-PL"/>
              </w:rPr>
            </w:pPr>
          </w:p>
        </w:tc>
        <w:tc>
          <w:tcPr>
            <w:tcW w:w="3066" w:type="dxa"/>
          </w:tcPr>
          <w:p w14:paraId="21EC59E5" w14:textId="77777777" w:rsidR="00FD7A40" w:rsidRPr="00087470" w:rsidRDefault="00FD7A40" w:rsidP="00FD7A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Środowiskowe Domy Samopomocy</w:t>
            </w:r>
          </w:p>
        </w:tc>
        <w:tc>
          <w:tcPr>
            <w:tcW w:w="2948" w:type="dxa"/>
            <w:gridSpan w:val="2"/>
          </w:tcPr>
          <w:p w14:paraId="03415A1F" w14:textId="39C21E3D"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51</w:t>
            </w:r>
          </w:p>
        </w:tc>
        <w:tc>
          <w:tcPr>
            <w:tcW w:w="2948" w:type="dxa"/>
            <w:gridSpan w:val="2"/>
          </w:tcPr>
          <w:p w14:paraId="7D2B0603" w14:textId="3DBB8ECC"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1 861</w:t>
            </w:r>
          </w:p>
        </w:tc>
        <w:tc>
          <w:tcPr>
            <w:tcW w:w="2949" w:type="dxa"/>
          </w:tcPr>
          <w:p w14:paraId="7692AE7B" w14:textId="4ECC0F1F"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559</w:t>
            </w:r>
          </w:p>
        </w:tc>
      </w:tr>
      <w:tr w:rsidR="00FD7A40" w:rsidRPr="00645E38" w14:paraId="7FEDF9B7" w14:textId="77777777" w:rsidTr="00645E38">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1D9D4E3" w14:textId="77777777" w:rsidR="00FD7A40" w:rsidRPr="00087470" w:rsidRDefault="00FD7A40" w:rsidP="00FD7A40">
            <w:pPr>
              <w:spacing w:line="240" w:lineRule="auto"/>
              <w:rPr>
                <w:rFonts w:eastAsia="Times New Roman"/>
                <w:color w:val="auto"/>
                <w:sz w:val="20"/>
                <w:szCs w:val="20"/>
                <w:lang w:eastAsia="pl-PL"/>
              </w:rPr>
            </w:pPr>
          </w:p>
        </w:tc>
        <w:tc>
          <w:tcPr>
            <w:tcW w:w="3066" w:type="dxa"/>
          </w:tcPr>
          <w:p w14:paraId="2CC8FA22" w14:textId="77777777" w:rsidR="00FD7A40" w:rsidRPr="00087470" w:rsidRDefault="00FD7A40" w:rsidP="00FD7A4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Dzienne Domy Pomocy</w:t>
            </w:r>
          </w:p>
        </w:tc>
        <w:tc>
          <w:tcPr>
            <w:tcW w:w="2948" w:type="dxa"/>
            <w:gridSpan w:val="2"/>
          </w:tcPr>
          <w:p w14:paraId="3530B2E2" w14:textId="3E8DECC2"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22</w:t>
            </w:r>
          </w:p>
        </w:tc>
        <w:tc>
          <w:tcPr>
            <w:tcW w:w="2948" w:type="dxa"/>
            <w:gridSpan w:val="2"/>
          </w:tcPr>
          <w:p w14:paraId="284B5B59" w14:textId="290C13DC"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791</w:t>
            </w:r>
          </w:p>
        </w:tc>
        <w:tc>
          <w:tcPr>
            <w:tcW w:w="2949" w:type="dxa"/>
          </w:tcPr>
          <w:p w14:paraId="6DFC379A" w14:textId="18BBA97F"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868</w:t>
            </w:r>
          </w:p>
        </w:tc>
      </w:tr>
      <w:tr w:rsidR="00FD7A40" w:rsidRPr="00645E38" w14:paraId="0AF7D136" w14:textId="77777777" w:rsidTr="00645E3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791DB89" w14:textId="77777777" w:rsidR="00FD7A40" w:rsidRPr="00087470" w:rsidRDefault="00FD7A40" w:rsidP="00FD7A40">
            <w:pPr>
              <w:spacing w:line="240" w:lineRule="auto"/>
              <w:rPr>
                <w:rFonts w:eastAsia="Times New Roman"/>
                <w:color w:val="auto"/>
                <w:sz w:val="20"/>
                <w:szCs w:val="20"/>
                <w:lang w:eastAsia="pl-PL"/>
              </w:rPr>
            </w:pPr>
          </w:p>
        </w:tc>
        <w:tc>
          <w:tcPr>
            <w:tcW w:w="3066" w:type="dxa"/>
          </w:tcPr>
          <w:p w14:paraId="61A012ED" w14:textId="77777777" w:rsidR="00FD7A40" w:rsidRPr="00087470" w:rsidRDefault="00FD7A40" w:rsidP="00FD7A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Noclegownie, schroniska i domy dla osób bezdomnych</w:t>
            </w:r>
          </w:p>
        </w:tc>
        <w:tc>
          <w:tcPr>
            <w:tcW w:w="2948" w:type="dxa"/>
            <w:gridSpan w:val="2"/>
          </w:tcPr>
          <w:p w14:paraId="5502E71D" w14:textId="3E134476"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16</w:t>
            </w:r>
          </w:p>
        </w:tc>
        <w:tc>
          <w:tcPr>
            <w:tcW w:w="2948" w:type="dxa"/>
            <w:gridSpan w:val="2"/>
          </w:tcPr>
          <w:p w14:paraId="6B691548" w14:textId="2D6DD854"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865</w:t>
            </w:r>
          </w:p>
        </w:tc>
        <w:tc>
          <w:tcPr>
            <w:tcW w:w="2949" w:type="dxa"/>
          </w:tcPr>
          <w:p w14:paraId="39624B84" w14:textId="21D7A8F6"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555</w:t>
            </w:r>
          </w:p>
        </w:tc>
      </w:tr>
      <w:tr w:rsidR="00FD7A40" w:rsidRPr="00645E38" w14:paraId="3147CC18" w14:textId="77777777" w:rsidTr="00645E38">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021B851" w14:textId="77777777" w:rsidR="00FD7A40" w:rsidRPr="00087470" w:rsidRDefault="00FD7A40" w:rsidP="00FD7A40">
            <w:pPr>
              <w:spacing w:line="240" w:lineRule="auto"/>
              <w:rPr>
                <w:rFonts w:eastAsia="Times New Roman"/>
                <w:color w:val="auto"/>
                <w:sz w:val="20"/>
                <w:szCs w:val="20"/>
                <w:lang w:eastAsia="pl-PL"/>
              </w:rPr>
            </w:pPr>
          </w:p>
        </w:tc>
        <w:tc>
          <w:tcPr>
            <w:tcW w:w="3066" w:type="dxa"/>
          </w:tcPr>
          <w:p w14:paraId="08A8E202" w14:textId="77777777" w:rsidR="00FD7A40" w:rsidRPr="00087470" w:rsidRDefault="00FD7A40" w:rsidP="00FD7A4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Ogrzewalnie</w:t>
            </w:r>
          </w:p>
        </w:tc>
        <w:tc>
          <w:tcPr>
            <w:tcW w:w="2948" w:type="dxa"/>
            <w:gridSpan w:val="2"/>
          </w:tcPr>
          <w:p w14:paraId="51F30D64" w14:textId="7D16B807"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3</w:t>
            </w:r>
          </w:p>
        </w:tc>
        <w:tc>
          <w:tcPr>
            <w:tcW w:w="2948" w:type="dxa"/>
            <w:gridSpan w:val="2"/>
          </w:tcPr>
          <w:p w14:paraId="745584AD" w14:textId="49E28353"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51</w:t>
            </w:r>
          </w:p>
        </w:tc>
        <w:tc>
          <w:tcPr>
            <w:tcW w:w="2949" w:type="dxa"/>
          </w:tcPr>
          <w:p w14:paraId="0FCFC867" w14:textId="2CDF97EF"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52</w:t>
            </w:r>
          </w:p>
        </w:tc>
      </w:tr>
      <w:tr w:rsidR="00FD7A40" w:rsidRPr="00645E38" w14:paraId="66F4EB3A" w14:textId="77777777" w:rsidTr="00645E3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A6D82CC" w14:textId="77777777" w:rsidR="00FD7A40" w:rsidRPr="00087470" w:rsidRDefault="00FD7A40" w:rsidP="00FD7A40">
            <w:pPr>
              <w:spacing w:line="240" w:lineRule="auto"/>
              <w:rPr>
                <w:rFonts w:eastAsia="Times New Roman"/>
                <w:color w:val="auto"/>
                <w:sz w:val="20"/>
                <w:szCs w:val="20"/>
                <w:lang w:eastAsia="pl-PL"/>
              </w:rPr>
            </w:pPr>
          </w:p>
        </w:tc>
        <w:tc>
          <w:tcPr>
            <w:tcW w:w="3066" w:type="dxa"/>
          </w:tcPr>
          <w:p w14:paraId="463F89ED" w14:textId="77777777" w:rsidR="00FD7A40" w:rsidRPr="00087470" w:rsidRDefault="00FD7A40" w:rsidP="00FD7A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Kluby Samopomocy</w:t>
            </w:r>
          </w:p>
        </w:tc>
        <w:tc>
          <w:tcPr>
            <w:tcW w:w="2948" w:type="dxa"/>
            <w:gridSpan w:val="2"/>
          </w:tcPr>
          <w:p w14:paraId="0E9B1D52" w14:textId="27C8CE18"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37</w:t>
            </w:r>
          </w:p>
        </w:tc>
        <w:tc>
          <w:tcPr>
            <w:tcW w:w="2948" w:type="dxa"/>
            <w:gridSpan w:val="2"/>
          </w:tcPr>
          <w:p w14:paraId="6FC08C8E" w14:textId="0B665A10"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1 020</w:t>
            </w:r>
          </w:p>
        </w:tc>
        <w:tc>
          <w:tcPr>
            <w:tcW w:w="2949" w:type="dxa"/>
          </w:tcPr>
          <w:p w14:paraId="48DD2583" w14:textId="566C2F50"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757</w:t>
            </w:r>
          </w:p>
        </w:tc>
      </w:tr>
      <w:tr w:rsidR="00FD7A40" w:rsidRPr="00645E38" w14:paraId="05B17C85" w14:textId="77777777" w:rsidTr="00645E38">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CF10BB3" w14:textId="77777777" w:rsidR="00FD7A40" w:rsidRPr="00087470" w:rsidRDefault="00FD7A40" w:rsidP="00FD7A40">
            <w:pPr>
              <w:spacing w:line="240" w:lineRule="auto"/>
              <w:rPr>
                <w:rFonts w:eastAsia="Times New Roman"/>
                <w:color w:val="auto"/>
                <w:sz w:val="20"/>
                <w:szCs w:val="20"/>
                <w:lang w:eastAsia="pl-PL"/>
              </w:rPr>
            </w:pPr>
          </w:p>
        </w:tc>
        <w:tc>
          <w:tcPr>
            <w:tcW w:w="3066" w:type="dxa"/>
          </w:tcPr>
          <w:p w14:paraId="265AC6FE" w14:textId="77777777" w:rsidR="00FD7A40" w:rsidRPr="00087470" w:rsidRDefault="00FD7A40" w:rsidP="00FD7A4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Placówki zapewniające całodobową opiekę osobom niepełnosprawnym, przewlekle chorym lub osobom w podeszłym wieku</w:t>
            </w:r>
          </w:p>
        </w:tc>
        <w:tc>
          <w:tcPr>
            <w:tcW w:w="2948" w:type="dxa"/>
            <w:gridSpan w:val="2"/>
          </w:tcPr>
          <w:p w14:paraId="0390C682" w14:textId="7020F79E"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23</w:t>
            </w:r>
          </w:p>
        </w:tc>
        <w:tc>
          <w:tcPr>
            <w:tcW w:w="2948" w:type="dxa"/>
            <w:gridSpan w:val="2"/>
          </w:tcPr>
          <w:p w14:paraId="641C2099" w14:textId="11F4729C"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733</w:t>
            </w:r>
          </w:p>
        </w:tc>
        <w:tc>
          <w:tcPr>
            <w:tcW w:w="2949" w:type="dxa"/>
          </w:tcPr>
          <w:p w14:paraId="261B7057" w14:textId="72B018CA"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 xml:space="preserve">460 </w:t>
            </w:r>
          </w:p>
        </w:tc>
      </w:tr>
      <w:tr w:rsidR="00FD7A40" w:rsidRPr="00645E38" w14:paraId="55635F1D" w14:textId="77777777" w:rsidTr="00645E3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502B5AA" w14:textId="77777777" w:rsidR="00FD7A40" w:rsidRPr="00087470" w:rsidRDefault="00FD7A40" w:rsidP="00FD7A40">
            <w:pPr>
              <w:spacing w:line="240" w:lineRule="auto"/>
              <w:rPr>
                <w:rFonts w:eastAsia="Times New Roman"/>
                <w:color w:val="auto"/>
                <w:sz w:val="20"/>
                <w:szCs w:val="20"/>
                <w:lang w:eastAsia="pl-PL"/>
              </w:rPr>
            </w:pPr>
          </w:p>
        </w:tc>
        <w:tc>
          <w:tcPr>
            <w:tcW w:w="3066" w:type="dxa"/>
          </w:tcPr>
          <w:p w14:paraId="53FFE8D6" w14:textId="77777777" w:rsidR="00FD7A40" w:rsidRPr="00087470" w:rsidRDefault="00FD7A40" w:rsidP="00FD7A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Domy Pomocy Społecznej</w:t>
            </w:r>
            <w:r w:rsidRPr="00087470">
              <w:rPr>
                <w:rStyle w:val="Odwoanieprzypisudolnego"/>
                <w:b/>
                <w:sz w:val="20"/>
                <w:szCs w:val="20"/>
              </w:rPr>
              <w:footnoteReference w:id="44"/>
            </w:r>
          </w:p>
        </w:tc>
        <w:tc>
          <w:tcPr>
            <w:tcW w:w="2948" w:type="dxa"/>
            <w:gridSpan w:val="2"/>
          </w:tcPr>
          <w:p w14:paraId="1B944EC8" w14:textId="5CD4CCA6"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43</w:t>
            </w:r>
          </w:p>
        </w:tc>
        <w:tc>
          <w:tcPr>
            <w:tcW w:w="2948" w:type="dxa"/>
            <w:gridSpan w:val="2"/>
          </w:tcPr>
          <w:p w14:paraId="239F1DDC" w14:textId="43F630E6"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3 792</w:t>
            </w:r>
          </w:p>
        </w:tc>
        <w:tc>
          <w:tcPr>
            <w:tcW w:w="2949" w:type="dxa"/>
          </w:tcPr>
          <w:p w14:paraId="2A49342D" w14:textId="6C311257"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2 723</w:t>
            </w:r>
          </w:p>
        </w:tc>
      </w:tr>
      <w:tr w:rsidR="00FD7A40" w:rsidRPr="00645E38" w14:paraId="10EDED28" w14:textId="77777777" w:rsidTr="00645E38">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044C149" w14:textId="77777777" w:rsidR="00FD7A40" w:rsidRPr="00087470" w:rsidRDefault="00FD7A40" w:rsidP="00FD7A40">
            <w:pPr>
              <w:spacing w:line="240" w:lineRule="auto"/>
              <w:rPr>
                <w:rFonts w:eastAsia="Times New Roman"/>
                <w:color w:val="auto"/>
                <w:sz w:val="20"/>
                <w:szCs w:val="20"/>
                <w:lang w:eastAsia="pl-PL"/>
              </w:rPr>
            </w:pPr>
          </w:p>
        </w:tc>
        <w:tc>
          <w:tcPr>
            <w:tcW w:w="3066" w:type="dxa"/>
          </w:tcPr>
          <w:p w14:paraId="48B800FC" w14:textId="77777777" w:rsidR="00FD7A40" w:rsidRPr="00087470" w:rsidRDefault="00FD7A40" w:rsidP="00FD7A4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Mieszkania chronione ogółem</w:t>
            </w:r>
          </w:p>
        </w:tc>
        <w:tc>
          <w:tcPr>
            <w:tcW w:w="2948" w:type="dxa"/>
            <w:gridSpan w:val="2"/>
          </w:tcPr>
          <w:p w14:paraId="560A99DD" w14:textId="68390704"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73</w:t>
            </w:r>
          </w:p>
        </w:tc>
        <w:tc>
          <w:tcPr>
            <w:tcW w:w="2948" w:type="dxa"/>
            <w:gridSpan w:val="2"/>
          </w:tcPr>
          <w:p w14:paraId="6FBD96B6" w14:textId="18515A26"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214</w:t>
            </w:r>
          </w:p>
        </w:tc>
        <w:tc>
          <w:tcPr>
            <w:tcW w:w="2949" w:type="dxa"/>
          </w:tcPr>
          <w:p w14:paraId="574BC5BE" w14:textId="7D6B84E8"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87</w:t>
            </w:r>
          </w:p>
        </w:tc>
      </w:tr>
      <w:tr w:rsidR="00FD7A40" w:rsidRPr="00645E38" w14:paraId="380FEBFB" w14:textId="77777777" w:rsidTr="00645E3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2AFD6EC" w14:textId="77777777" w:rsidR="00FD7A40" w:rsidRPr="00087470" w:rsidRDefault="00FD7A40" w:rsidP="00FD7A40">
            <w:pPr>
              <w:spacing w:line="240" w:lineRule="auto"/>
              <w:rPr>
                <w:rFonts w:eastAsia="Times New Roman"/>
                <w:color w:val="auto"/>
                <w:sz w:val="20"/>
                <w:szCs w:val="20"/>
                <w:lang w:eastAsia="pl-PL"/>
              </w:rPr>
            </w:pPr>
          </w:p>
        </w:tc>
        <w:tc>
          <w:tcPr>
            <w:tcW w:w="3066" w:type="dxa"/>
          </w:tcPr>
          <w:p w14:paraId="7ED4E8D5" w14:textId="77777777" w:rsidR="00FD7A40" w:rsidRPr="00087470" w:rsidRDefault="00FD7A40" w:rsidP="00FD7A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Ośrodki Interwencji Kryzysowej ogółem</w:t>
            </w:r>
          </w:p>
        </w:tc>
        <w:tc>
          <w:tcPr>
            <w:tcW w:w="2948" w:type="dxa"/>
            <w:gridSpan w:val="2"/>
          </w:tcPr>
          <w:p w14:paraId="48F5300F" w14:textId="65B2DE59"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4</w:t>
            </w:r>
          </w:p>
        </w:tc>
        <w:tc>
          <w:tcPr>
            <w:tcW w:w="2948" w:type="dxa"/>
            <w:gridSpan w:val="2"/>
          </w:tcPr>
          <w:p w14:paraId="014192E2" w14:textId="206DB990"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w:t>
            </w:r>
          </w:p>
        </w:tc>
        <w:tc>
          <w:tcPr>
            <w:tcW w:w="2949" w:type="dxa"/>
          </w:tcPr>
          <w:p w14:paraId="4BAC9D00" w14:textId="5910E1FF"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48</w:t>
            </w:r>
          </w:p>
        </w:tc>
      </w:tr>
      <w:tr w:rsidR="00FD7A40" w:rsidRPr="00645E38" w14:paraId="28636EC6" w14:textId="77777777" w:rsidTr="00645E38">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5DCDF76" w14:textId="77777777" w:rsidR="00FD7A40" w:rsidRPr="00087470" w:rsidRDefault="00FD7A40" w:rsidP="00FD7A40">
            <w:pPr>
              <w:spacing w:line="240" w:lineRule="auto"/>
              <w:rPr>
                <w:rFonts w:eastAsia="Times New Roman"/>
                <w:color w:val="auto"/>
                <w:sz w:val="20"/>
                <w:szCs w:val="20"/>
                <w:lang w:eastAsia="pl-PL"/>
              </w:rPr>
            </w:pPr>
          </w:p>
        </w:tc>
        <w:tc>
          <w:tcPr>
            <w:tcW w:w="3066" w:type="dxa"/>
          </w:tcPr>
          <w:p w14:paraId="1575A58F" w14:textId="77777777" w:rsidR="00FD7A40" w:rsidRPr="00087470" w:rsidRDefault="00FD7A40" w:rsidP="00FD7A4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Jednostki specjalistycznego poradnictwa</w:t>
            </w:r>
          </w:p>
        </w:tc>
        <w:tc>
          <w:tcPr>
            <w:tcW w:w="2948" w:type="dxa"/>
            <w:gridSpan w:val="2"/>
          </w:tcPr>
          <w:p w14:paraId="5D5D23CF" w14:textId="58A2625D"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84</w:t>
            </w:r>
          </w:p>
        </w:tc>
        <w:tc>
          <w:tcPr>
            <w:tcW w:w="2948" w:type="dxa"/>
            <w:gridSpan w:val="2"/>
          </w:tcPr>
          <w:p w14:paraId="59339344" w14:textId="0220A1BA"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w:t>
            </w:r>
          </w:p>
        </w:tc>
        <w:tc>
          <w:tcPr>
            <w:tcW w:w="2949" w:type="dxa"/>
          </w:tcPr>
          <w:p w14:paraId="2AA57417" w14:textId="63E8AC2D"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1 010</w:t>
            </w:r>
          </w:p>
        </w:tc>
      </w:tr>
      <w:tr w:rsidR="00FD7A40" w:rsidRPr="00645E38" w14:paraId="7D476D3F" w14:textId="77777777" w:rsidTr="00645E3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3C067E1" w14:textId="77777777" w:rsidR="00FD7A40" w:rsidRPr="00087470" w:rsidRDefault="00FD7A40" w:rsidP="00FD7A40">
            <w:pPr>
              <w:spacing w:line="240" w:lineRule="auto"/>
              <w:rPr>
                <w:rFonts w:eastAsia="Times New Roman"/>
                <w:sz w:val="20"/>
                <w:szCs w:val="20"/>
                <w:lang w:eastAsia="pl-PL"/>
              </w:rPr>
            </w:pPr>
          </w:p>
        </w:tc>
        <w:tc>
          <w:tcPr>
            <w:tcW w:w="3066" w:type="dxa"/>
          </w:tcPr>
          <w:p w14:paraId="175E019A" w14:textId="7B4DC6D8" w:rsidR="00FD7A40" w:rsidRPr="00087470" w:rsidRDefault="00FD7A40" w:rsidP="00FD7A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Placówki wsparcia dziennego</w:t>
            </w:r>
          </w:p>
        </w:tc>
        <w:tc>
          <w:tcPr>
            <w:tcW w:w="2948" w:type="dxa"/>
            <w:gridSpan w:val="2"/>
          </w:tcPr>
          <w:p w14:paraId="0C7022C7" w14:textId="702221F9"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19</w:t>
            </w:r>
          </w:p>
        </w:tc>
        <w:tc>
          <w:tcPr>
            <w:tcW w:w="2948" w:type="dxa"/>
            <w:gridSpan w:val="2"/>
          </w:tcPr>
          <w:p w14:paraId="44F2D7C0" w14:textId="687E2F50"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623</w:t>
            </w:r>
          </w:p>
        </w:tc>
        <w:tc>
          <w:tcPr>
            <w:tcW w:w="2949" w:type="dxa"/>
          </w:tcPr>
          <w:p w14:paraId="334BC814" w14:textId="4BE9F298"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121</w:t>
            </w:r>
          </w:p>
        </w:tc>
      </w:tr>
      <w:tr w:rsidR="00645E38" w:rsidRPr="00645E38" w14:paraId="6CF70994" w14:textId="77777777" w:rsidTr="00645E38">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99D624C" w14:textId="77777777" w:rsidR="004B7613" w:rsidRPr="00087470" w:rsidRDefault="004B7613" w:rsidP="004B7613">
            <w:pPr>
              <w:spacing w:line="240" w:lineRule="auto"/>
              <w:rPr>
                <w:rFonts w:eastAsia="Times New Roman"/>
                <w:color w:val="auto"/>
                <w:sz w:val="20"/>
                <w:szCs w:val="20"/>
                <w:lang w:eastAsia="pl-PL"/>
              </w:rPr>
            </w:pPr>
          </w:p>
        </w:tc>
        <w:tc>
          <w:tcPr>
            <w:tcW w:w="3066" w:type="dxa"/>
          </w:tcPr>
          <w:p w14:paraId="75D0B235" w14:textId="77777777" w:rsidR="004B7613" w:rsidRPr="00087470" w:rsidRDefault="004B7613" w:rsidP="004B7613">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Placówki Senior+, w tym:</w:t>
            </w:r>
          </w:p>
        </w:tc>
        <w:tc>
          <w:tcPr>
            <w:tcW w:w="8845" w:type="dxa"/>
            <w:gridSpan w:val="5"/>
          </w:tcPr>
          <w:p w14:paraId="625188B9" w14:textId="77777777" w:rsidR="004B7613" w:rsidRPr="00087470" w:rsidRDefault="004B7613" w:rsidP="004B76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9C2933" w:rsidRPr="00645E38" w14:paraId="3EE0EA63" w14:textId="77777777" w:rsidTr="009C293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C3773F1" w14:textId="77777777" w:rsidR="009C2933" w:rsidRPr="00087470" w:rsidRDefault="009C2933" w:rsidP="004B7613">
            <w:pPr>
              <w:spacing w:line="240" w:lineRule="auto"/>
              <w:rPr>
                <w:rFonts w:eastAsia="Times New Roman"/>
                <w:color w:val="auto"/>
                <w:sz w:val="20"/>
                <w:szCs w:val="20"/>
                <w:lang w:eastAsia="pl-PL"/>
              </w:rPr>
            </w:pPr>
          </w:p>
        </w:tc>
        <w:tc>
          <w:tcPr>
            <w:tcW w:w="3066" w:type="dxa"/>
          </w:tcPr>
          <w:p w14:paraId="5667C415" w14:textId="77777777" w:rsidR="009C2933" w:rsidRPr="00087470" w:rsidRDefault="009C2933" w:rsidP="004B7613">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Domy Dziennego Pobytu</w:t>
            </w:r>
          </w:p>
        </w:tc>
        <w:tc>
          <w:tcPr>
            <w:tcW w:w="2948" w:type="dxa"/>
            <w:gridSpan w:val="2"/>
          </w:tcPr>
          <w:p w14:paraId="65DA4A2B" w14:textId="5BEAC099" w:rsidR="009C2933" w:rsidRPr="00087470" w:rsidRDefault="009C2933" w:rsidP="004B76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tc>
        <w:tc>
          <w:tcPr>
            <w:tcW w:w="2948" w:type="dxa"/>
            <w:gridSpan w:val="2"/>
          </w:tcPr>
          <w:p w14:paraId="025C4D15" w14:textId="4832F333" w:rsidR="009C2933" w:rsidRPr="00087470" w:rsidRDefault="009C2933" w:rsidP="004B76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335</w:t>
            </w:r>
          </w:p>
        </w:tc>
        <w:tc>
          <w:tcPr>
            <w:tcW w:w="2949" w:type="dxa"/>
            <w:vMerge w:val="restart"/>
            <w:vAlign w:val="center"/>
          </w:tcPr>
          <w:p w14:paraId="2A05E2F7" w14:textId="5332A49A" w:rsidR="009C2933" w:rsidRPr="00087470" w:rsidRDefault="009C2933" w:rsidP="009C293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1 026</w:t>
            </w:r>
          </w:p>
        </w:tc>
      </w:tr>
      <w:tr w:rsidR="009C2933" w:rsidRPr="00645E38" w14:paraId="4429F699" w14:textId="77777777" w:rsidTr="00645E38">
        <w:trPr>
          <w:trHeight w:val="85"/>
        </w:trPr>
        <w:tc>
          <w:tcPr>
            <w:cnfStyle w:val="001000000000" w:firstRow="0" w:lastRow="0" w:firstColumn="1" w:lastColumn="0" w:oddVBand="0" w:evenVBand="0" w:oddHBand="0" w:evenHBand="0" w:firstRowFirstColumn="0" w:firstRowLastColumn="0" w:lastRowFirstColumn="0" w:lastRowLastColumn="0"/>
            <w:tcW w:w="2830" w:type="dxa"/>
            <w:vMerge/>
          </w:tcPr>
          <w:p w14:paraId="558C9B79" w14:textId="77777777" w:rsidR="009C2933" w:rsidRPr="00087470" w:rsidRDefault="009C2933" w:rsidP="004B7613">
            <w:pPr>
              <w:spacing w:line="240" w:lineRule="auto"/>
              <w:rPr>
                <w:rFonts w:eastAsia="Times New Roman"/>
                <w:color w:val="auto"/>
                <w:sz w:val="20"/>
                <w:szCs w:val="20"/>
                <w:lang w:eastAsia="pl-PL"/>
              </w:rPr>
            </w:pPr>
          </w:p>
        </w:tc>
        <w:tc>
          <w:tcPr>
            <w:tcW w:w="3066" w:type="dxa"/>
          </w:tcPr>
          <w:p w14:paraId="0E35640D" w14:textId="77777777" w:rsidR="009C2933" w:rsidRPr="00087470" w:rsidRDefault="009C2933" w:rsidP="004B7613">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Kluby Senior+</w:t>
            </w:r>
          </w:p>
        </w:tc>
        <w:tc>
          <w:tcPr>
            <w:tcW w:w="2948" w:type="dxa"/>
            <w:gridSpan w:val="2"/>
          </w:tcPr>
          <w:p w14:paraId="314BFA33" w14:textId="29CCA0B7" w:rsidR="009C2933" w:rsidRPr="00087470" w:rsidRDefault="009C2933" w:rsidP="004B76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w:t>
            </w:r>
          </w:p>
        </w:tc>
        <w:tc>
          <w:tcPr>
            <w:tcW w:w="2948" w:type="dxa"/>
            <w:gridSpan w:val="2"/>
          </w:tcPr>
          <w:p w14:paraId="4ACA4833" w14:textId="5F3DF8E7" w:rsidR="009C2933" w:rsidRPr="00087470" w:rsidRDefault="009C2933" w:rsidP="004B76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923</w:t>
            </w:r>
          </w:p>
        </w:tc>
        <w:tc>
          <w:tcPr>
            <w:tcW w:w="2949" w:type="dxa"/>
            <w:vMerge/>
          </w:tcPr>
          <w:p w14:paraId="4D40A5EB" w14:textId="5485B519" w:rsidR="009C2933" w:rsidRPr="00087470" w:rsidRDefault="009C2933" w:rsidP="004B76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645E38" w:rsidRPr="00645E38" w14:paraId="2AF8CB21" w14:textId="77777777" w:rsidTr="00645E38">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369352C1" w14:textId="77777777" w:rsidR="004B7613" w:rsidRPr="00087470" w:rsidRDefault="004B7613" w:rsidP="004B7613">
            <w:pPr>
              <w:spacing w:line="240" w:lineRule="auto"/>
              <w:rPr>
                <w:rFonts w:eastAsia="Times New Roman"/>
                <w:b w:val="0"/>
                <w:bCs w:val="0"/>
                <w:color w:val="auto"/>
                <w:sz w:val="20"/>
                <w:szCs w:val="20"/>
                <w:lang w:eastAsia="pl-PL"/>
              </w:rPr>
            </w:pPr>
            <w:r w:rsidRPr="00087470">
              <w:rPr>
                <w:rFonts w:eastAsia="Times New Roman"/>
                <w:color w:val="auto"/>
                <w:sz w:val="20"/>
                <w:szCs w:val="20"/>
                <w:lang w:eastAsia="pl-PL"/>
              </w:rPr>
              <w:t>Usługi świadczone osobom starszym</w:t>
            </w:r>
          </w:p>
        </w:tc>
        <w:tc>
          <w:tcPr>
            <w:tcW w:w="3119" w:type="dxa"/>
            <w:gridSpan w:val="2"/>
          </w:tcPr>
          <w:p w14:paraId="4CDA95B9" w14:textId="77777777" w:rsidR="004B7613" w:rsidRPr="00087470" w:rsidRDefault="004B7613" w:rsidP="004B7613">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087470">
              <w:rPr>
                <w:b/>
                <w:sz w:val="20"/>
                <w:szCs w:val="20"/>
              </w:rPr>
              <w:t>Rodzaj usług</w:t>
            </w:r>
          </w:p>
        </w:tc>
        <w:tc>
          <w:tcPr>
            <w:tcW w:w="3685" w:type="dxa"/>
            <w:gridSpan w:val="2"/>
          </w:tcPr>
          <w:p w14:paraId="78AEAB5A" w14:textId="77777777" w:rsidR="004B7613" w:rsidRPr="00087470" w:rsidRDefault="004B7613" w:rsidP="004B7613">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087470">
              <w:rPr>
                <w:b/>
                <w:sz w:val="20"/>
                <w:szCs w:val="20"/>
              </w:rPr>
              <w:t>Liczba osób starszych objętych pomocą</w:t>
            </w:r>
          </w:p>
        </w:tc>
        <w:tc>
          <w:tcPr>
            <w:tcW w:w="5107" w:type="dxa"/>
            <w:gridSpan w:val="2"/>
          </w:tcPr>
          <w:p w14:paraId="5FF09108" w14:textId="77777777" w:rsidR="004B7613" w:rsidRPr="00087470" w:rsidRDefault="004B7613" w:rsidP="004B7613">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087470">
              <w:rPr>
                <w:b/>
                <w:sz w:val="20"/>
                <w:szCs w:val="20"/>
              </w:rPr>
              <w:t>Wysokość środków przeznaczonych na usługi</w:t>
            </w:r>
          </w:p>
        </w:tc>
      </w:tr>
      <w:tr w:rsidR="00645E38" w:rsidRPr="00645E38" w14:paraId="2986D120" w14:textId="77777777" w:rsidTr="00645E38">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2595880F" w14:textId="77777777" w:rsidR="004B7613" w:rsidRPr="00087470" w:rsidRDefault="004B7613" w:rsidP="004B7613">
            <w:pPr>
              <w:spacing w:line="240" w:lineRule="auto"/>
              <w:rPr>
                <w:rFonts w:eastAsia="Times New Roman"/>
                <w:b w:val="0"/>
                <w:bCs w:val="0"/>
                <w:color w:val="auto"/>
                <w:sz w:val="20"/>
                <w:szCs w:val="20"/>
                <w:lang w:eastAsia="pl-PL"/>
              </w:rPr>
            </w:pPr>
          </w:p>
        </w:tc>
        <w:tc>
          <w:tcPr>
            <w:tcW w:w="3119" w:type="dxa"/>
            <w:gridSpan w:val="2"/>
          </w:tcPr>
          <w:p w14:paraId="74915D78" w14:textId="77777777" w:rsidR="004B7613" w:rsidRPr="00087470" w:rsidRDefault="005C7305" w:rsidP="004B7613">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Usługi o</w:t>
            </w:r>
            <w:r w:rsidR="004B7613" w:rsidRPr="00087470">
              <w:rPr>
                <w:sz w:val="20"/>
                <w:szCs w:val="20"/>
              </w:rPr>
              <w:t>piekuńcze ogółem</w:t>
            </w:r>
          </w:p>
        </w:tc>
        <w:tc>
          <w:tcPr>
            <w:tcW w:w="3685" w:type="dxa"/>
            <w:gridSpan w:val="2"/>
          </w:tcPr>
          <w:p w14:paraId="07BBC360" w14:textId="2BB94DDE" w:rsidR="004B7613" w:rsidRPr="00087470" w:rsidRDefault="00FD7A40" w:rsidP="004B76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6 725</w:t>
            </w:r>
          </w:p>
        </w:tc>
        <w:tc>
          <w:tcPr>
            <w:tcW w:w="5107" w:type="dxa"/>
            <w:gridSpan w:val="2"/>
          </w:tcPr>
          <w:p w14:paraId="4942FA3D" w14:textId="4C56CA5F" w:rsidR="004B7613" w:rsidRPr="00087470" w:rsidRDefault="00FD7A40" w:rsidP="004B76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45 604</w:t>
            </w:r>
            <w:r w:rsidR="00087470" w:rsidRPr="00087470">
              <w:rPr>
                <w:sz w:val="20"/>
                <w:szCs w:val="20"/>
              </w:rPr>
              <w:t> </w:t>
            </w:r>
            <w:r w:rsidRPr="00087470">
              <w:rPr>
                <w:sz w:val="20"/>
                <w:szCs w:val="20"/>
              </w:rPr>
              <w:t>367</w:t>
            </w:r>
            <w:r w:rsidR="00087470" w:rsidRPr="00087470">
              <w:rPr>
                <w:sz w:val="20"/>
                <w:szCs w:val="20"/>
              </w:rPr>
              <w:t xml:space="preserve"> zł</w:t>
            </w:r>
          </w:p>
        </w:tc>
      </w:tr>
      <w:tr w:rsidR="00645E38" w:rsidRPr="00645E38" w14:paraId="19C7FEA5" w14:textId="77777777" w:rsidTr="00645E38">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34117FBC" w14:textId="77777777" w:rsidR="004B7613" w:rsidRPr="00087470" w:rsidRDefault="004B7613" w:rsidP="004B7613">
            <w:pPr>
              <w:spacing w:line="240" w:lineRule="auto"/>
              <w:rPr>
                <w:rFonts w:eastAsia="Times New Roman"/>
                <w:b w:val="0"/>
                <w:bCs w:val="0"/>
                <w:color w:val="auto"/>
                <w:sz w:val="20"/>
                <w:szCs w:val="20"/>
                <w:lang w:eastAsia="pl-PL"/>
              </w:rPr>
            </w:pPr>
          </w:p>
        </w:tc>
        <w:tc>
          <w:tcPr>
            <w:tcW w:w="11911" w:type="dxa"/>
            <w:gridSpan w:val="6"/>
          </w:tcPr>
          <w:p w14:paraId="1E5E113C" w14:textId="77777777" w:rsidR="004B7613" w:rsidRPr="00087470" w:rsidRDefault="004B7613" w:rsidP="004B7613">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w tym:</w:t>
            </w:r>
          </w:p>
        </w:tc>
      </w:tr>
      <w:tr w:rsidR="00FD7A40" w:rsidRPr="00645E38" w14:paraId="08C50B65" w14:textId="77777777" w:rsidTr="00645E38">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2880BD3C" w14:textId="77777777" w:rsidR="00FD7A40" w:rsidRPr="00087470" w:rsidRDefault="00FD7A40" w:rsidP="00FD7A40">
            <w:pPr>
              <w:spacing w:line="240" w:lineRule="auto"/>
              <w:rPr>
                <w:rFonts w:eastAsia="Times New Roman"/>
                <w:b w:val="0"/>
                <w:bCs w:val="0"/>
                <w:color w:val="auto"/>
                <w:sz w:val="20"/>
                <w:szCs w:val="20"/>
                <w:lang w:eastAsia="pl-PL"/>
              </w:rPr>
            </w:pPr>
          </w:p>
        </w:tc>
        <w:tc>
          <w:tcPr>
            <w:tcW w:w="3119" w:type="dxa"/>
            <w:gridSpan w:val="2"/>
          </w:tcPr>
          <w:p w14:paraId="6DE87099" w14:textId="77777777" w:rsidR="00FD7A40" w:rsidRPr="00087470" w:rsidRDefault="00FD7A40" w:rsidP="00FD7A4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specjalistyczne usługi opiekuńcze</w:t>
            </w:r>
          </w:p>
        </w:tc>
        <w:tc>
          <w:tcPr>
            <w:tcW w:w="3685" w:type="dxa"/>
            <w:gridSpan w:val="2"/>
          </w:tcPr>
          <w:p w14:paraId="09349A91" w14:textId="50CC0AB4"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 xml:space="preserve">   473</w:t>
            </w:r>
          </w:p>
        </w:tc>
        <w:tc>
          <w:tcPr>
            <w:tcW w:w="5107" w:type="dxa"/>
            <w:gridSpan w:val="2"/>
          </w:tcPr>
          <w:p w14:paraId="421A5F41" w14:textId="75477925"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 xml:space="preserve">  3 155</w:t>
            </w:r>
            <w:r w:rsidR="00087470" w:rsidRPr="00087470">
              <w:rPr>
                <w:sz w:val="20"/>
                <w:szCs w:val="20"/>
              </w:rPr>
              <w:t> </w:t>
            </w:r>
            <w:r w:rsidRPr="00087470">
              <w:rPr>
                <w:sz w:val="20"/>
                <w:szCs w:val="20"/>
              </w:rPr>
              <w:t>623</w:t>
            </w:r>
            <w:r w:rsidR="00087470" w:rsidRPr="00087470">
              <w:rPr>
                <w:sz w:val="20"/>
                <w:szCs w:val="20"/>
              </w:rPr>
              <w:t xml:space="preserve"> zł</w:t>
            </w:r>
          </w:p>
        </w:tc>
      </w:tr>
      <w:tr w:rsidR="00FD7A40" w:rsidRPr="00645E38" w14:paraId="51D01A33" w14:textId="77777777" w:rsidTr="00645E3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0" w:type="dxa"/>
            <w:vMerge/>
          </w:tcPr>
          <w:p w14:paraId="0A52DFD0" w14:textId="77777777" w:rsidR="00FD7A40" w:rsidRPr="00087470" w:rsidRDefault="00FD7A40" w:rsidP="00FD7A40">
            <w:pPr>
              <w:spacing w:line="240" w:lineRule="auto"/>
              <w:rPr>
                <w:rFonts w:eastAsia="Times New Roman"/>
                <w:b w:val="0"/>
                <w:bCs w:val="0"/>
                <w:color w:val="auto"/>
                <w:sz w:val="20"/>
                <w:szCs w:val="20"/>
                <w:lang w:eastAsia="pl-PL"/>
              </w:rPr>
            </w:pPr>
          </w:p>
        </w:tc>
        <w:tc>
          <w:tcPr>
            <w:tcW w:w="3119" w:type="dxa"/>
            <w:gridSpan w:val="2"/>
          </w:tcPr>
          <w:p w14:paraId="2860D1EE" w14:textId="77777777" w:rsidR="00FD7A40" w:rsidRPr="00087470" w:rsidRDefault="00FD7A40" w:rsidP="00FD7A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specjalistyczne usługi  opiekuńcze w miejscu zamieszkania dla osób z zaburzeniami psychicznymi</w:t>
            </w:r>
          </w:p>
        </w:tc>
        <w:tc>
          <w:tcPr>
            <w:tcW w:w="3685" w:type="dxa"/>
            <w:gridSpan w:val="2"/>
          </w:tcPr>
          <w:p w14:paraId="2562671D" w14:textId="5C9AD8E7"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 xml:space="preserve">   208</w:t>
            </w:r>
          </w:p>
        </w:tc>
        <w:tc>
          <w:tcPr>
            <w:tcW w:w="5107" w:type="dxa"/>
            <w:gridSpan w:val="2"/>
          </w:tcPr>
          <w:p w14:paraId="4B1A7A3C" w14:textId="55D14690"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 xml:space="preserve">  2 998</w:t>
            </w:r>
            <w:r w:rsidR="00087470" w:rsidRPr="00087470">
              <w:rPr>
                <w:sz w:val="20"/>
                <w:szCs w:val="20"/>
              </w:rPr>
              <w:t> </w:t>
            </w:r>
            <w:r w:rsidRPr="00087470">
              <w:rPr>
                <w:sz w:val="20"/>
                <w:szCs w:val="20"/>
              </w:rPr>
              <w:t>164</w:t>
            </w:r>
            <w:r w:rsidR="00087470" w:rsidRPr="00087470">
              <w:rPr>
                <w:sz w:val="20"/>
                <w:szCs w:val="20"/>
              </w:rPr>
              <w:t xml:space="preserve"> zł</w:t>
            </w:r>
          </w:p>
        </w:tc>
      </w:tr>
      <w:tr w:rsidR="00645E38" w:rsidRPr="00645E38" w14:paraId="67265E2E" w14:textId="77777777" w:rsidTr="00645E38">
        <w:trPr>
          <w:trHeight w:val="19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3789FE87" w14:textId="77777777" w:rsidR="004B7613" w:rsidRPr="00087470" w:rsidRDefault="004B7613" w:rsidP="004B7613">
            <w:pPr>
              <w:spacing w:line="240" w:lineRule="auto"/>
              <w:rPr>
                <w:rFonts w:eastAsia="Times New Roman"/>
                <w:b w:val="0"/>
                <w:bCs w:val="0"/>
                <w:color w:val="auto"/>
                <w:sz w:val="20"/>
                <w:szCs w:val="20"/>
                <w:lang w:eastAsia="pl-PL"/>
              </w:rPr>
            </w:pPr>
            <w:r w:rsidRPr="00087470">
              <w:rPr>
                <w:rFonts w:eastAsia="Times New Roman"/>
                <w:color w:val="auto"/>
                <w:sz w:val="20"/>
                <w:szCs w:val="20"/>
                <w:lang w:eastAsia="pl-PL"/>
              </w:rPr>
              <w:t>Świadczenia pieniężne przyznane osobom starszym</w:t>
            </w:r>
          </w:p>
        </w:tc>
        <w:tc>
          <w:tcPr>
            <w:tcW w:w="3119" w:type="dxa"/>
            <w:gridSpan w:val="2"/>
          </w:tcPr>
          <w:p w14:paraId="43F65F61" w14:textId="77777777" w:rsidR="004B7613" w:rsidRPr="00087470" w:rsidRDefault="004B7613" w:rsidP="004B7613">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087470">
              <w:rPr>
                <w:b/>
                <w:sz w:val="20"/>
                <w:szCs w:val="20"/>
              </w:rPr>
              <w:t>Nazwa świadczenia</w:t>
            </w:r>
          </w:p>
        </w:tc>
        <w:tc>
          <w:tcPr>
            <w:tcW w:w="3685" w:type="dxa"/>
            <w:gridSpan w:val="2"/>
          </w:tcPr>
          <w:p w14:paraId="5DB5DA03" w14:textId="77777777" w:rsidR="004B7613" w:rsidRPr="00087470" w:rsidRDefault="004B7613" w:rsidP="004B7613">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087470">
              <w:rPr>
                <w:b/>
                <w:sz w:val="20"/>
                <w:szCs w:val="20"/>
              </w:rPr>
              <w:t>Liczba osób starszych</w:t>
            </w:r>
          </w:p>
        </w:tc>
        <w:tc>
          <w:tcPr>
            <w:tcW w:w="5107" w:type="dxa"/>
            <w:gridSpan w:val="2"/>
          </w:tcPr>
          <w:p w14:paraId="247993C3" w14:textId="77777777" w:rsidR="004B7613" w:rsidRPr="00087470" w:rsidRDefault="004B7613" w:rsidP="004B7613">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087470">
              <w:rPr>
                <w:b/>
                <w:sz w:val="20"/>
                <w:szCs w:val="20"/>
              </w:rPr>
              <w:t>Kwota świadczenia</w:t>
            </w:r>
          </w:p>
        </w:tc>
      </w:tr>
      <w:tr w:rsidR="00FD7A40" w:rsidRPr="00645E38" w14:paraId="3500786E" w14:textId="77777777" w:rsidTr="00645E38">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45F7E958" w14:textId="77777777" w:rsidR="00FD7A40" w:rsidRPr="00087470" w:rsidRDefault="00FD7A40" w:rsidP="00FD7A40">
            <w:pPr>
              <w:spacing w:line="240" w:lineRule="auto"/>
              <w:rPr>
                <w:rFonts w:eastAsia="Times New Roman"/>
                <w:b w:val="0"/>
                <w:bCs w:val="0"/>
                <w:color w:val="auto"/>
                <w:sz w:val="20"/>
                <w:szCs w:val="20"/>
                <w:lang w:eastAsia="pl-PL"/>
              </w:rPr>
            </w:pPr>
          </w:p>
        </w:tc>
        <w:tc>
          <w:tcPr>
            <w:tcW w:w="3119" w:type="dxa"/>
            <w:gridSpan w:val="2"/>
          </w:tcPr>
          <w:p w14:paraId="52BFBE9E" w14:textId="77777777" w:rsidR="00FD7A40" w:rsidRPr="00087470" w:rsidRDefault="00FD7A40" w:rsidP="00FD7A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Zasiłek stały</w:t>
            </w:r>
          </w:p>
        </w:tc>
        <w:tc>
          <w:tcPr>
            <w:tcW w:w="3685" w:type="dxa"/>
            <w:gridSpan w:val="2"/>
          </w:tcPr>
          <w:p w14:paraId="21009196" w14:textId="4529C065"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3 850</w:t>
            </w:r>
          </w:p>
        </w:tc>
        <w:tc>
          <w:tcPr>
            <w:tcW w:w="5107" w:type="dxa"/>
            <w:gridSpan w:val="2"/>
          </w:tcPr>
          <w:p w14:paraId="2DDDE755" w14:textId="0D726B96"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21 039</w:t>
            </w:r>
            <w:r w:rsidR="00087470" w:rsidRPr="00087470">
              <w:rPr>
                <w:sz w:val="20"/>
                <w:szCs w:val="20"/>
              </w:rPr>
              <w:t> </w:t>
            </w:r>
            <w:r w:rsidRPr="00087470">
              <w:rPr>
                <w:sz w:val="20"/>
                <w:szCs w:val="20"/>
              </w:rPr>
              <w:t>744</w:t>
            </w:r>
            <w:r w:rsidR="00087470" w:rsidRPr="00087470">
              <w:rPr>
                <w:sz w:val="20"/>
                <w:szCs w:val="20"/>
              </w:rPr>
              <w:t xml:space="preserve"> zł</w:t>
            </w:r>
          </w:p>
        </w:tc>
      </w:tr>
      <w:tr w:rsidR="00FD7A40" w:rsidRPr="00645E38" w14:paraId="0DE52DD8" w14:textId="77777777" w:rsidTr="00645E38">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6E18D18D" w14:textId="77777777" w:rsidR="00FD7A40" w:rsidRPr="00087470" w:rsidRDefault="00FD7A40" w:rsidP="00FD7A40">
            <w:pPr>
              <w:spacing w:line="240" w:lineRule="auto"/>
              <w:rPr>
                <w:rFonts w:eastAsia="Times New Roman"/>
                <w:b w:val="0"/>
                <w:bCs w:val="0"/>
                <w:color w:val="auto"/>
                <w:sz w:val="20"/>
                <w:szCs w:val="20"/>
                <w:lang w:eastAsia="pl-PL"/>
              </w:rPr>
            </w:pPr>
          </w:p>
        </w:tc>
        <w:tc>
          <w:tcPr>
            <w:tcW w:w="3119" w:type="dxa"/>
            <w:gridSpan w:val="2"/>
          </w:tcPr>
          <w:p w14:paraId="492BF3E6" w14:textId="77777777" w:rsidR="00FD7A40" w:rsidRPr="00087470" w:rsidRDefault="00FD7A40" w:rsidP="00FD7A4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Zasiłek okresowy</w:t>
            </w:r>
          </w:p>
        </w:tc>
        <w:tc>
          <w:tcPr>
            <w:tcW w:w="3685" w:type="dxa"/>
            <w:gridSpan w:val="2"/>
          </w:tcPr>
          <w:p w14:paraId="3638AB20" w14:textId="516D7689"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2 935</w:t>
            </w:r>
          </w:p>
        </w:tc>
        <w:tc>
          <w:tcPr>
            <w:tcW w:w="5107" w:type="dxa"/>
            <w:gridSpan w:val="2"/>
          </w:tcPr>
          <w:p w14:paraId="3709CC08" w14:textId="05BD48B4"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 xml:space="preserve">  5 848</w:t>
            </w:r>
            <w:r w:rsidR="00087470" w:rsidRPr="00087470">
              <w:rPr>
                <w:sz w:val="20"/>
                <w:szCs w:val="20"/>
              </w:rPr>
              <w:t> </w:t>
            </w:r>
            <w:r w:rsidRPr="00087470">
              <w:rPr>
                <w:sz w:val="20"/>
                <w:szCs w:val="20"/>
              </w:rPr>
              <w:t>365</w:t>
            </w:r>
            <w:r w:rsidR="00087470" w:rsidRPr="00087470">
              <w:rPr>
                <w:sz w:val="20"/>
                <w:szCs w:val="20"/>
              </w:rPr>
              <w:t xml:space="preserve"> zł</w:t>
            </w:r>
          </w:p>
        </w:tc>
      </w:tr>
      <w:tr w:rsidR="00FD7A40" w:rsidRPr="00645E38" w14:paraId="706AB777" w14:textId="77777777" w:rsidTr="00645E38">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2C1C7044" w14:textId="77777777" w:rsidR="00FD7A40" w:rsidRPr="00087470" w:rsidRDefault="00FD7A40" w:rsidP="00FD7A40">
            <w:pPr>
              <w:spacing w:line="240" w:lineRule="auto"/>
              <w:rPr>
                <w:rFonts w:eastAsia="Times New Roman"/>
                <w:b w:val="0"/>
                <w:bCs w:val="0"/>
                <w:color w:val="auto"/>
                <w:sz w:val="20"/>
                <w:szCs w:val="20"/>
                <w:lang w:eastAsia="pl-PL"/>
              </w:rPr>
            </w:pPr>
          </w:p>
        </w:tc>
        <w:tc>
          <w:tcPr>
            <w:tcW w:w="3119" w:type="dxa"/>
            <w:gridSpan w:val="2"/>
          </w:tcPr>
          <w:p w14:paraId="5A0BAE67" w14:textId="77777777" w:rsidR="00FD7A40" w:rsidRPr="00087470" w:rsidRDefault="00FD7A40" w:rsidP="00FD7A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Zasiłek celowy</w:t>
            </w:r>
          </w:p>
        </w:tc>
        <w:tc>
          <w:tcPr>
            <w:tcW w:w="3685" w:type="dxa"/>
            <w:gridSpan w:val="2"/>
          </w:tcPr>
          <w:p w14:paraId="0D2E8D1F" w14:textId="30B7C51D"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3 815</w:t>
            </w:r>
          </w:p>
        </w:tc>
        <w:tc>
          <w:tcPr>
            <w:tcW w:w="5107" w:type="dxa"/>
            <w:gridSpan w:val="2"/>
          </w:tcPr>
          <w:p w14:paraId="4DE8A0B9" w14:textId="3AED311B" w:rsidR="00FD7A40" w:rsidRPr="00087470" w:rsidRDefault="00FD7A40" w:rsidP="00FD7A4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 xml:space="preserve">  2 747</w:t>
            </w:r>
            <w:r w:rsidR="00087470" w:rsidRPr="00087470">
              <w:rPr>
                <w:sz w:val="20"/>
                <w:szCs w:val="20"/>
              </w:rPr>
              <w:t> </w:t>
            </w:r>
            <w:r w:rsidRPr="00087470">
              <w:rPr>
                <w:sz w:val="20"/>
                <w:szCs w:val="20"/>
              </w:rPr>
              <w:t>847</w:t>
            </w:r>
            <w:r w:rsidR="00087470" w:rsidRPr="00087470">
              <w:rPr>
                <w:sz w:val="20"/>
                <w:szCs w:val="20"/>
              </w:rPr>
              <w:t xml:space="preserve"> zł</w:t>
            </w:r>
          </w:p>
        </w:tc>
      </w:tr>
      <w:tr w:rsidR="00FD7A40" w:rsidRPr="00645E38" w14:paraId="3CA642CC" w14:textId="77777777" w:rsidTr="00645E38">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490D3D67" w14:textId="77777777" w:rsidR="00FD7A40" w:rsidRPr="00087470" w:rsidRDefault="00FD7A40" w:rsidP="00FD7A40">
            <w:pPr>
              <w:spacing w:line="240" w:lineRule="auto"/>
              <w:rPr>
                <w:rFonts w:eastAsia="Times New Roman"/>
                <w:b w:val="0"/>
                <w:bCs w:val="0"/>
                <w:color w:val="auto"/>
                <w:sz w:val="20"/>
                <w:szCs w:val="20"/>
                <w:lang w:eastAsia="pl-PL"/>
              </w:rPr>
            </w:pPr>
          </w:p>
        </w:tc>
        <w:tc>
          <w:tcPr>
            <w:tcW w:w="3119" w:type="dxa"/>
            <w:gridSpan w:val="2"/>
          </w:tcPr>
          <w:p w14:paraId="1BF964EC" w14:textId="77777777" w:rsidR="00FD7A40" w:rsidRPr="00087470" w:rsidRDefault="00FD7A40" w:rsidP="00FD7A4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Specjalny zasiłek celowy</w:t>
            </w:r>
          </w:p>
        </w:tc>
        <w:tc>
          <w:tcPr>
            <w:tcW w:w="3685" w:type="dxa"/>
            <w:gridSpan w:val="2"/>
          </w:tcPr>
          <w:p w14:paraId="49A176AB" w14:textId="0779231D"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3 676</w:t>
            </w:r>
          </w:p>
        </w:tc>
        <w:tc>
          <w:tcPr>
            <w:tcW w:w="5107" w:type="dxa"/>
            <w:gridSpan w:val="2"/>
          </w:tcPr>
          <w:p w14:paraId="52525C28" w14:textId="3D2B43BB" w:rsidR="00FD7A40" w:rsidRPr="00087470" w:rsidRDefault="00FD7A40" w:rsidP="00FD7A4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 xml:space="preserve">  1 802</w:t>
            </w:r>
            <w:r w:rsidR="00087470" w:rsidRPr="00087470">
              <w:rPr>
                <w:sz w:val="20"/>
                <w:szCs w:val="20"/>
              </w:rPr>
              <w:t> </w:t>
            </w:r>
            <w:r w:rsidRPr="00087470">
              <w:rPr>
                <w:sz w:val="20"/>
                <w:szCs w:val="20"/>
              </w:rPr>
              <w:t>265</w:t>
            </w:r>
            <w:r w:rsidR="00087470" w:rsidRPr="00087470">
              <w:rPr>
                <w:sz w:val="20"/>
                <w:szCs w:val="20"/>
              </w:rPr>
              <w:t xml:space="preserve"> zł</w:t>
            </w:r>
          </w:p>
        </w:tc>
      </w:tr>
      <w:tr w:rsidR="00FD7A40" w:rsidRPr="00645E38" w14:paraId="73E13532" w14:textId="77777777" w:rsidTr="00645E3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515D64E6" w14:textId="77777777" w:rsidR="00FD7A40" w:rsidRPr="00087470" w:rsidRDefault="00FD7A40" w:rsidP="004B7613">
            <w:pPr>
              <w:spacing w:line="240" w:lineRule="auto"/>
              <w:rPr>
                <w:b w:val="0"/>
                <w:color w:val="auto"/>
                <w:sz w:val="20"/>
                <w:szCs w:val="20"/>
                <w:lang w:eastAsia="pl-PL"/>
              </w:rPr>
            </w:pPr>
            <w:r w:rsidRPr="00087470">
              <w:rPr>
                <w:color w:val="auto"/>
                <w:sz w:val="20"/>
                <w:szCs w:val="20"/>
                <w:lang w:eastAsia="pl-PL"/>
              </w:rPr>
              <w:t>Największe problemy/niedogodności w świadczeniu opieki nad osobami starszymi (np. zasoby kadrowe, rzeczowe, finansowe itp.)</w:t>
            </w:r>
          </w:p>
        </w:tc>
        <w:tc>
          <w:tcPr>
            <w:tcW w:w="11911" w:type="dxa"/>
            <w:gridSpan w:val="6"/>
          </w:tcPr>
          <w:p w14:paraId="06F4AEC3" w14:textId="6357156E" w:rsidR="00FD7A40" w:rsidRPr="00087470" w:rsidRDefault="00FD7A40" w:rsidP="004B7613">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b/>
                <w:sz w:val="20"/>
                <w:szCs w:val="20"/>
              </w:rPr>
              <w:t>1.</w:t>
            </w:r>
            <w:r w:rsidRPr="00087470">
              <w:rPr>
                <w:sz w:val="20"/>
                <w:szCs w:val="20"/>
              </w:rPr>
              <w:t xml:space="preserve"> Brak wykwalifikowanej kadry, osób chętnych do zawodu opiekunki środowiskowej. Powodem jest najczęściej niska stawka wynagrodzenia za jedną godzinę pracy oraz wysoka odpowiedzialność za drugą osobę.</w:t>
            </w:r>
          </w:p>
        </w:tc>
      </w:tr>
      <w:tr w:rsidR="00FD7A40" w:rsidRPr="00645E38" w14:paraId="5049E205" w14:textId="77777777" w:rsidTr="00645E38">
        <w:trPr>
          <w:trHeight w:val="397"/>
        </w:trPr>
        <w:tc>
          <w:tcPr>
            <w:cnfStyle w:val="001000000000" w:firstRow="0" w:lastRow="0" w:firstColumn="1" w:lastColumn="0" w:oddVBand="0" w:evenVBand="0" w:oddHBand="0" w:evenHBand="0" w:firstRowFirstColumn="0" w:firstRowLastColumn="0" w:lastRowFirstColumn="0" w:lastRowLastColumn="0"/>
            <w:tcW w:w="2830" w:type="dxa"/>
            <w:vMerge/>
          </w:tcPr>
          <w:p w14:paraId="21C2AE82" w14:textId="77777777" w:rsidR="00FD7A40" w:rsidRPr="00087470" w:rsidRDefault="00FD7A40" w:rsidP="004B7613">
            <w:pPr>
              <w:spacing w:line="240" w:lineRule="auto"/>
              <w:rPr>
                <w:color w:val="auto"/>
                <w:sz w:val="20"/>
                <w:szCs w:val="20"/>
                <w:lang w:eastAsia="pl-PL"/>
              </w:rPr>
            </w:pPr>
          </w:p>
        </w:tc>
        <w:tc>
          <w:tcPr>
            <w:tcW w:w="11911" w:type="dxa"/>
            <w:gridSpan w:val="6"/>
          </w:tcPr>
          <w:p w14:paraId="44AD8812" w14:textId="56549C43" w:rsidR="00FD7A40" w:rsidRPr="00087470" w:rsidRDefault="00FD7A40" w:rsidP="004B7613">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b/>
                <w:sz w:val="20"/>
                <w:szCs w:val="20"/>
              </w:rPr>
              <w:t>2.</w:t>
            </w:r>
            <w:r w:rsidRPr="00087470">
              <w:rPr>
                <w:sz w:val="20"/>
                <w:szCs w:val="20"/>
              </w:rPr>
              <w:t xml:space="preserve"> Brak wystarczających środków finansowych gminy w stosunku do zgłoszonych potrzeb na zabezpieczenie pomocy w formie usług opiekuńczych, a co się z tym wiąże - zatrudnianie opiekunek za minimalne wynagrodzenie. Nieprzerwanie od kilku lat obserwuje się tendencję wzrostową w zakresie liczby osób wymagających pomocy w formie usług opiekuńczych przy jednoczesnym niewielkim jedynie wzroście planowanych przez gminy wydatków finansowych na realizację przedmiotowego zadania.</w:t>
            </w:r>
          </w:p>
        </w:tc>
      </w:tr>
      <w:tr w:rsidR="00FD7A40" w:rsidRPr="00645E38" w14:paraId="7E7507D0" w14:textId="77777777" w:rsidTr="00645E3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0" w:type="dxa"/>
            <w:vMerge/>
          </w:tcPr>
          <w:p w14:paraId="3D70BE98" w14:textId="77777777" w:rsidR="00FD7A40" w:rsidRPr="00087470" w:rsidRDefault="00FD7A40" w:rsidP="004B7613">
            <w:pPr>
              <w:spacing w:line="240" w:lineRule="auto"/>
              <w:rPr>
                <w:color w:val="auto"/>
                <w:sz w:val="20"/>
                <w:szCs w:val="20"/>
                <w:lang w:eastAsia="pl-PL"/>
              </w:rPr>
            </w:pPr>
          </w:p>
        </w:tc>
        <w:tc>
          <w:tcPr>
            <w:tcW w:w="11911" w:type="dxa"/>
            <w:gridSpan w:val="6"/>
          </w:tcPr>
          <w:p w14:paraId="294CB2D3" w14:textId="4BE03D25" w:rsidR="00FD7A40" w:rsidRPr="00087470" w:rsidRDefault="00FD7A40" w:rsidP="004B7613">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b/>
                <w:sz w:val="20"/>
                <w:szCs w:val="20"/>
              </w:rPr>
              <w:t>3.</w:t>
            </w:r>
            <w:r w:rsidRPr="00087470">
              <w:rPr>
                <w:sz w:val="20"/>
                <w:szCs w:val="20"/>
              </w:rPr>
              <w:t xml:space="preserve"> Brak opiekunek w weekendy oraz godziny wieczorne spowodowany ograniczonymi zasobami finansowymi i kadrowymi.</w:t>
            </w:r>
          </w:p>
        </w:tc>
      </w:tr>
      <w:tr w:rsidR="00FD7A40" w:rsidRPr="00645E38" w14:paraId="11298F9F" w14:textId="77777777" w:rsidTr="00645E38">
        <w:trPr>
          <w:trHeight w:val="397"/>
        </w:trPr>
        <w:tc>
          <w:tcPr>
            <w:cnfStyle w:val="001000000000" w:firstRow="0" w:lastRow="0" w:firstColumn="1" w:lastColumn="0" w:oddVBand="0" w:evenVBand="0" w:oddHBand="0" w:evenHBand="0" w:firstRowFirstColumn="0" w:firstRowLastColumn="0" w:lastRowFirstColumn="0" w:lastRowLastColumn="0"/>
            <w:tcW w:w="2830" w:type="dxa"/>
            <w:vMerge/>
          </w:tcPr>
          <w:p w14:paraId="6AB9BB7C" w14:textId="77777777" w:rsidR="00FD7A40" w:rsidRPr="00087470" w:rsidRDefault="00FD7A40" w:rsidP="004B7613">
            <w:pPr>
              <w:spacing w:line="240" w:lineRule="auto"/>
              <w:rPr>
                <w:color w:val="auto"/>
                <w:sz w:val="20"/>
                <w:szCs w:val="20"/>
                <w:lang w:eastAsia="pl-PL"/>
              </w:rPr>
            </w:pPr>
          </w:p>
        </w:tc>
        <w:tc>
          <w:tcPr>
            <w:tcW w:w="11911" w:type="dxa"/>
            <w:gridSpan w:val="6"/>
          </w:tcPr>
          <w:p w14:paraId="725A66E0" w14:textId="4726C117" w:rsidR="00FD7A40" w:rsidRPr="00087470" w:rsidRDefault="00FD7A40" w:rsidP="004B7613">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b/>
                <w:sz w:val="20"/>
                <w:szCs w:val="20"/>
              </w:rPr>
              <w:t>4.</w:t>
            </w:r>
            <w:r w:rsidRPr="00087470">
              <w:rPr>
                <w:sz w:val="20"/>
                <w:szCs w:val="20"/>
              </w:rPr>
              <w:t xml:space="preserve"> Problemy zdrowotne (otępienia, zanik pamięci), nierealne oczekiwania, niecierpliwość czy brak zaufania w znaczny sposób utrudniają komunikację i współpracę z osobami starszymi. W niektórych środowiskach problemem są trudne warunki mieszkaniowe, sanitarne seniorów (brak łazienki, ciepłej wody, ogrzewanie piecowe), brak wyposażenia w sprzęty rehabilitacyjne, brak transportu do przewozu osób starszych np. na wizyty lekarskie, badania..  </w:t>
            </w:r>
          </w:p>
        </w:tc>
      </w:tr>
      <w:tr w:rsidR="00FD7A40" w:rsidRPr="00645E38" w14:paraId="156C092D" w14:textId="77777777" w:rsidTr="00645E3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0" w:type="dxa"/>
            <w:vMerge/>
          </w:tcPr>
          <w:p w14:paraId="02CACDAE" w14:textId="77777777" w:rsidR="00FD7A40" w:rsidRPr="00087470" w:rsidRDefault="00FD7A40" w:rsidP="004B7613">
            <w:pPr>
              <w:spacing w:line="240" w:lineRule="auto"/>
              <w:rPr>
                <w:sz w:val="20"/>
                <w:szCs w:val="20"/>
                <w:lang w:eastAsia="pl-PL"/>
              </w:rPr>
            </w:pPr>
          </w:p>
        </w:tc>
        <w:tc>
          <w:tcPr>
            <w:tcW w:w="11911" w:type="dxa"/>
            <w:gridSpan w:val="6"/>
          </w:tcPr>
          <w:p w14:paraId="394133C6" w14:textId="088E76FF" w:rsidR="00FD7A40" w:rsidRPr="00087470" w:rsidRDefault="00FD7A40" w:rsidP="00FD7A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b/>
                <w:sz w:val="20"/>
                <w:szCs w:val="20"/>
              </w:rPr>
              <w:t>5.</w:t>
            </w:r>
            <w:r w:rsidRPr="00087470">
              <w:rPr>
                <w:sz w:val="20"/>
                <w:szCs w:val="20"/>
              </w:rPr>
              <w:t xml:space="preserve">  Na terenach wiejskich problemem jest również dotarcie do miejsca zamieszkania osób, u których świadczona jest usługa opiekuńcza. Przyczyną jest rozległy obszar gminy, a przy tym brak połączeń lub dogodnych połączeń komunikacją publiczną i słaba mobilność opiekunek środowiskowych (brak uprawnień do prowadzenia pojazdów).</w:t>
            </w:r>
          </w:p>
        </w:tc>
      </w:tr>
      <w:tr w:rsidR="00FD7A40" w:rsidRPr="00645E38" w14:paraId="1E602E29" w14:textId="77777777" w:rsidTr="00645E38">
        <w:trPr>
          <w:trHeight w:val="397"/>
        </w:trPr>
        <w:tc>
          <w:tcPr>
            <w:cnfStyle w:val="001000000000" w:firstRow="0" w:lastRow="0" w:firstColumn="1" w:lastColumn="0" w:oddVBand="0" w:evenVBand="0" w:oddHBand="0" w:evenHBand="0" w:firstRowFirstColumn="0" w:firstRowLastColumn="0" w:lastRowFirstColumn="0" w:lastRowLastColumn="0"/>
            <w:tcW w:w="2830" w:type="dxa"/>
            <w:vMerge/>
          </w:tcPr>
          <w:p w14:paraId="0DC45627" w14:textId="77777777" w:rsidR="00FD7A40" w:rsidRPr="00087470" w:rsidRDefault="00FD7A40" w:rsidP="004B7613">
            <w:pPr>
              <w:spacing w:line="240" w:lineRule="auto"/>
              <w:rPr>
                <w:sz w:val="20"/>
                <w:szCs w:val="20"/>
                <w:lang w:eastAsia="pl-PL"/>
              </w:rPr>
            </w:pPr>
          </w:p>
        </w:tc>
        <w:tc>
          <w:tcPr>
            <w:tcW w:w="11911" w:type="dxa"/>
            <w:gridSpan w:val="6"/>
          </w:tcPr>
          <w:p w14:paraId="4029CB11" w14:textId="405BF140" w:rsidR="00FD7A40" w:rsidRPr="00087470" w:rsidRDefault="00FD7A40" w:rsidP="004B7613">
            <w:pPr>
              <w:spacing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087470">
              <w:rPr>
                <w:b/>
                <w:sz w:val="20"/>
                <w:szCs w:val="20"/>
              </w:rPr>
              <w:t>6.</w:t>
            </w:r>
            <w:r w:rsidRPr="00087470">
              <w:rPr>
                <w:sz w:val="20"/>
                <w:szCs w:val="20"/>
              </w:rPr>
              <w:t xml:space="preserve">  W 2020 r. istotnym problemem było zapewnienie bezpieczeństwa z powodu epidemii Covid-19. Osoby w podeszłym wieku, szczególnie w jej początkowej fazie, nie wyrażały zgody na usługi opiekuńcze w obawie przed zachorowaniem.  Problemem była również okresowa absencja chorobowa opiekunek spowodowana pandemią.</w:t>
            </w:r>
          </w:p>
        </w:tc>
      </w:tr>
      <w:tr w:rsidR="00645E38" w:rsidRPr="00645E38" w14:paraId="45B31216" w14:textId="77777777" w:rsidTr="00645E3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tcPr>
          <w:p w14:paraId="02777E23" w14:textId="77777777" w:rsidR="004B7613" w:rsidRPr="00087470" w:rsidRDefault="004B7613" w:rsidP="004B7613">
            <w:pPr>
              <w:spacing w:line="240" w:lineRule="auto"/>
              <w:rPr>
                <w:color w:val="auto"/>
                <w:sz w:val="20"/>
                <w:szCs w:val="20"/>
                <w:lang w:eastAsia="pl-PL"/>
              </w:rPr>
            </w:pPr>
            <w:r w:rsidRPr="00087470">
              <w:rPr>
                <w:color w:val="auto"/>
                <w:sz w:val="20"/>
                <w:szCs w:val="20"/>
                <w:lang w:eastAsia="pl-PL"/>
              </w:rPr>
              <w:t>Stopień zaspokojenia potrzeb w zakresie usług opiekuńczych</w:t>
            </w:r>
          </w:p>
        </w:tc>
        <w:tc>
          <w:tcPr>
            <w:tcW w:w="11911" w:type="dxa"/>
            <w:gridSpan w:val="6"/>
          </w:tcPr>
          <w:p w14:paraId="0D053BBB" w14:textId="58BC70AF" w:rsidR="00FD7A40" w:rsidRPr="00087470" w:rsidRDefault="00FD7A40" w:rsidP="00FD7A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 xml:space="preserve">Na 144 gminy województwa kujawsko-pomorskiego zdecydowana większość (124 gminy) zabezpiecza potrzeby osób starszych w zakresie usług opiekuńczych w wystarczającym stopniu. Dziewięć ośrodków pomocy społecznej zgłosiło realizację usług </w:t>
            </w:r>
          </w:p>
          <w:p w14:paraId="1CD1214B" w14:textId="77777777" w:rsidR="00FD7A40" w:rsidRPr="00087470" w:rsidRDefault="00FD7A40" w:rsidP="00FD7A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w stopniu niewystarczającym. Jednostki te przyznają usługi opiekuńcze wszystkim, którzy kwalifikują się do tej formy pomocy, jednakże nie zawsze w takiej ilości godzin o jakie wnioskuje klient.</w:t>
            </w:r>
          </w:p>
          <w:p w14:paraId="1DF7021B" w14:textId="77777777" w:rsidR="00FD7A40" w:rsidRPr="00087470" w:rsidRDefault="00FD7A40" w:rsidP="00FD7A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Ponadto na terenie województwa kujawsko-pomorskiego w 2020 r. jedenaście gmin nie realizowało pomocy w formie usług opiekuńczych w ramach zadań własnych. Sytuacja taka występuje najczęściej w gminach, gdzie dominuje nadal model rodziny wielopokoleniowej, wspólnie zamieszkującej, których członkowie we własnym zakresie zapewniają opiekę osobom starszym, chorym i niepełnosprawnym. W takich przypadkach często korzysta się z możliwości uzyskania świadczenia pielęgnacyjnego lub specjalnego zasiłku opiekuńczego przez członka rodziny, który nie podejmuje zatrudnienia lub z niego rezygnuje, aby podjąć się opieki nad osobą jej wymagającą. Powodem braku realizacji usług opiekuńczych na terenie gminy bywa również objęcie osób starszych wsparciem przez organizacje pozarządowe w ramach realizowanych projektów dofinansowanych ze środków Unii Europejskiej.  Dodatkowo niesformalizowaną formą pomocy dla osób starszych są również usługi sąsiedzkie.</w:t>
            </w:r>
          </w:p>
          <w:p w14:paraId="3D2EC11C" w14:textId="281880B4" w:rsidR="004B7613" w:rsidRPr="00087470" w:rsidRDefault="00FD7A40" w:rsidP="00FD7A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Biorąc pod uwagę starzejące się społeczeństwo oraz brak osób chętnych do pracy jako opiekunki, mogą występować istotne problemy z zaspokojeniem tej formy pomocy w przyszłości.</w:t>
            </w:r>
          </w:p>
        </w:tc>
      </w:tr>
    </w:tbl>
    <w:p w14:paraId="01C9A858" w14:textId="77777777" w:rsidR="005C6286" w:rsidRDefault="005C6286" w:rsidP="005C6286">
      <w:pPr>
        <w:tabs>
          <w:tab w:val="left" w:pos="5400"/>
        </w:tabs>
        <w:rPr>
          <w:rFonts w:eastAsia="Times New Roman" w:cs="Times New Roman"/>
          <w:b/>
          <w:szCs w:val="24"/>
          <w:lang w:eastAsia="pl-PL"/>
        </w:rPr>
      </w:pPr>
      <w:r w:rsidRPr="00432294">
        <w:rPr>
          <w:rFonts w:eastAsia="Times New Roman" w:cs="Times New Roman"/>
          <w:b/>
          <w:szCs w:val="24"/>
          <w:lang w:eastAsia="pl-PL"/>
        </w:rPr>
        <w:t xml:space="preserve">Źródło: </w:t>
      </w:r>
      <w:r>
        <w:rPr>
          <w:rFonts w:eastAsia="Times New Roman" w:cs="Times New Roman"/>
          <w:b/>
          <w:szCs w:val="24"/>
          <w:lang w:eastAsia="pl-PL"/>
        </w:rPr>
        <w:t>Dane Wojewody Kujawsko-Pomorskiego</w:t>
      </w:r>
      <w:r w:rsidRPr="00432294">
        <w:rPr>
          <w:rFonts w:eastAsia="Times New Roman" w:cs="Times New Roman"/>
          <w:b/>
          <w:szCs w:val="24"/>
          <w:lang w:eastAsia="pl-PL"/>
        </w:rPr>
        <w:t xml:space="preserve">. </w:t>
      </w:r>
    </w:p>
    <w:p w14:paraId="304BDCFC" w14:textId="77777777" w:rsidR="00A46DB9" w:rsidRPr="0092226B" w:rsidRDefault="00A46DB9" w:rsidP="00CB509F">
      <w:pPr>
        <w:pStyle w:val="Nagwek2"/>
        <w:rPr>
          <w:rFonts w:eastAsia="Times New Roman"/>
          <w:color w:val="FF0000"/>
          <w:lang w:eastAsia="ar-SA"/>
        </w:rPr>
        <w:sectPr w:rsidR="00A46DB9" w:rsidRPr="0092226B" w:rsidSect="00080A38">
          <w:pgSz w:w="16838" w:h="11900" w:orient="landscape"/>
          <w:pgMar w:top="1380" w:right="1384" w:bottom="1386" w:left="1038" w:header="0" w:footer="567" w:gutter="0"/>
          <w:cols w:space="0" w:equalWidth="0">
            <w:col w:w="9140"/>
          </w:cols>
          <w:docGrid w:linePitch="360"/>
        </w:sectPr>
      </w:pPr>
    </w:p>
    <w:p w14:paraId="69697F0C" w14:textId="77777777" w:rsidR="00894A7E" w:rsidRPr="000252DF" w:rsidRDefault="00475EFA" w:rsidP="003C1988">
      <w:pPr>
        <w:pStyle w:val="Nagwek2"/>
        <w:spacing w:before="240" w:after="240"/>
        <w:ind w:left="432"/>
        <w:rPr>
          <w:rFonts w:eastAsia="Times New Roman" w:cs="Times New Roman"/>
          <w:sz w:val="40"/>
          <w:szCs w:val="28"/>
          <w:lang w:eastAsia="ar-SA"/>
        </w:rPr>
      </w:pPr>
      <w:bookmarkStart w:id="149" w:name="_Toc80523113"/>
      <w:r w:rsidRPr="000252DF">
        <w:rPr>
          <w:rFonts w:eastAsia="Times New Roman" w:cs="Times New Roman"/>
          <w:sz w:val="40"/>
          <w:szCs w:val="28"/>
          <w:lang w:eastAsia="ar-SA"/>
        </w:rPr>
        <w:lastRenderedPageBreak/>
        <w:t>Województwo</w:t>
      </w:r>
      <w:r w:rsidR="005F0A32" w:rsidRPr="000252DF">
        <w:rPr>
          <w:rFonts w:eastAsia="Times New Roman" w:cs="Times New Roman"/>
          <w:sz w:val="40"/>
          <w:szCs w:val="28"/>
          <w:lang w:eastAsia="ar-SA"/>
        </w:rPr>
        <w:t xml:space="preserve"> lu</w:t>
      </w:r>
      <w:r w:rsidRPr="000252DF">
        <w:rPr>
          <w:rFonts w:eastAsia="Times New Roman" w:cs="Times New Roman"/>
          <w:sz w:val="40"/>
          <w:szCs w:val="28"/>
          <w:lang w:eastAsia="ar-SA"/>
        </w:rPr>
        <w:t>belskie</w:t>
      </w:r>
      <w:bookmarkEnd w:id="149"/>
    </w:p>
    <w:p w14:paraId="0F3BD57D" w14:textId="74D5CB37" w:rsidR="000252DF" w:rsidRDefault="000252DF" w:rsidP="0027745A">
      <w:pPr>
        <w:pStyle w:val="Nagwek3"/>
        <w:rPr>
          <w:lang w:eastAsia="ar-SA"/>
        </w:rPr>
      </w:pPr>
      <w:bookmarkStart w:id="150" w:name="_Toc77513960"/>
      <w:bookmarkStart w:id="151" w:name="_Toc80523114"/>
      <w:r w:rsidRPr="005B6EB7">
        <w:rPr>
          <w:lang w:eastAsia="ar-SA"/>
        </w:rPr>
        <w:t>Aktywność ekonomiczna i warunki bytowe</w:t>
      </w:r>
      <w:bookmarkEnd w:id="150"/>
      <w:bookmarkEnd w:id="151"/>
    </w:p>
    <w:p w14:paraId="48E1F910" w14:textId="77777777" w:rsidR="00B869C8" w:rsidRPr="00B869C8" w:rsidRDefault="00B869C8" w:rsidP="00B869C8">
      <w:pPr>
        <w:rPr>
          <w:lang w:eastAsia="ar-SA"/>
        </w:rPr>
      </w:pPr>
    </w:p>
    <w:p w14:paraId="0579E5FE" w14:textId="77777777" w:rsidR="000252DF" w:rsidRDefault="000252DF" w:rsidP="000252DF">
      <w:pPr>
        <w:rPr>
          <w:rFonts w:cs="Times New Roman"/>
          <w:szCs w:val="24"/>
        </w:rPr>
      </w:pPr>
      <w:r w:rsidRPr="00CE559E">
        <w:rPr>
          <w:rFonts w:cs="Times New Roman"/>
          <w:szCs w:val="24"/>
        </w:rPr>
        <w:t>W 2020 r. w województwie lubelskim przeciętny miesięczny dochód rozporządzalny przypadający na 1 osobę w gospodarstwach domowych wyniósł  1679 zł. Na dochód rozporządzalny gospodarstwa domowego składają się przede wszystkim dochody z pracy najemnej oraz dochody ze świadczeń społecznych. W 2020 r. ich udział w dochodzie rozporządzalnym wyniósł odpowiednio 45,8% i 37,6%. W 2020 r. przeciętne miesięczne wydatki na 1 osobę w gospodarstwach domowych wyniosły 1133 zł.  Na żywność i napoje bezalkoholowe gospodarstwa domowe przeznaczały przeciętnie 27,3% ogólnej kwoty wydatków, na opłaty z tytułu użytkowania mieszkania lub domu i za korzystanie z nośników energii  - 16,5%, a na zdrowie – 5,7%.</w:t>
      </w:r>
    </w:p>
    <w:p w14:paraId="307902FD" w14:textId="77777777" w:rsidR="000252DF" w:rsidRPr="00CE559E" w:rsidRDefault="000252DF" w:rsidP="000252DF">
      <w:pPr>
        <w:rPr>
          <w:rFonts w:cs="Times New Roman"/>
          <w:szCs w:val="24"/>
        </w:rPr>
      </w:pPr>
    </w:p>
    <w:p w14:paraId="2D7462DA" w14:textId="77777777" w:rsidR="000252DF" w:rsidRDefault="000252DF" w:rsidP="000252DF">
      <w:pPr>
        <w:rPr>
          <w:rFonts w:cs="Times New Roman"/>
          <w:szCs w:val="24"/>
        </w:rPr>
      </w:pPr>
      <w:r w:rsidRPr="00CE559E">
        <w:rPr>
          <w:rFonts w:cs="Times New Roman"/>
          <w:szCs w:val="24"/>
        </w:rPr>
        <w:t>W 2020 r. swoją sytuację materialną jako bardzo dobrą i raczej dobrą oceniło 46,1% gospodarstw domowych. Udział gospodarstw określających swoją sytuację materialną jako przeciętną wyniósł 46,2%, a raczej złą i złą ukształtował się na poziomie 7,7%.</w:t>
      </w:r>
    </w:p>
    <w:p w14:paraId="65010ED9" w14:textId="77777777" w:rsidR="000252DF" w:rsidRPr="00CE559E" w:rsidRDefault="000252DF" w:rsidP="000252DF">
      <w:pPr>
        <w:rPr>
          <w:rFonts w:cs="Times New Roman"/>
          <w:szCs w:val="24"/>
        </w:rPr>
      </w:pPr>
    </w:p>
    <w:p w14:paraId="74A389DF" w14:textId="77777777" w:rsidR="000252DF" w:rsidRPr="005B6EB7" w:rsidRDefault="000252DF" w:rsidP="000252DF">
      <w:pPr>
        <w:rPr>
          <w:rFonts w:cs="Times New Roman"/>
          <w:szCs w:val="24"/>
        </w:rPr>
      </w:pPr>
      <w:r w:rsidRPr="00CE559E">
        <w:rPr>
          <w:rFonts w:cs="Times New Roman"/>
          <w:szCs w:val="24"/>
        </w:rPr>
        <w:t>W analizowanym roku przeciętna liczba osób w gospodarstwie domowym ukształtowała się na poziomie 2,71. Przeciętna powierzchnia użytkowa mieszkania zajmowana przez gospodarstwo domowe wyniosła 89,01 m</w:t>
      </w:r>
      <w:r w:rsidRPr="000252DF">
        <w:rPr>
          <w:rFonts w:cs="Times New Roman"/>
          <w:szCs w:val="24"/>
          <w:vertAlign w:val="superscript"/>
        </w:rPr>
        <w:t>2</w:t>
      </w:r>
      <w:r w:rsidRPr="00CE559E">
        <w:rPr>
          <w:rFonts w:cs="Times New Roman"/>
          <w:szCs w:val="24"/>
        </w:rPr>
        <w:t>.</w:t>
      </w:r>
      <w:r w:rsidRPr="00CE559E">
        <w:rPr>
          <w:rFonts w:cs="Times New Roman"/>
          <w:szCs w:val="24"/>
        </w:rPr>
        <w:tab/>
      </w:r>
    </w:p>
    <w:p w14:paraId="40ED378F" w14:textId="77777777" w:rsidR="000252DF" w:rsidRDefault="000252DF" w:rsidP="000252DF">
      <w:pPr>
        <w:rPr>
          <w:rFonts w:cs="Times New Roman"/>
          <w:b/>
          <w:color w:val="FF0000"/>
          <w:szCs w:val="24"/>
          <w:lang w:eastAsia="ar-SA"/>
        </w:rPr>
      </w:pPr>
    </w:p>
    <w:p w14:paraId="6779330D" w14:textId="05DE4738" w:rsidR="000252DF" w:rsidRDefault="000252DF" w:rsidP="000252DF">
      <w:pPr>
        <w:pStyle w:val="Legenda"/>
        <w:keepNext/>
        <w:rPr>
          <w:rFonts w:cs="Times New Roman"/>
          <w:b/>
          <w:i w:val="0"/>
          <w:color w:val="auto"/>
          <w:sz w:val="24"/>
        </w:rPr>
      </w:pPr>
      <w:r w:rsidRPr="00432294">
        <w:rPr>
          <w:rFonts w:cs="Times New Roman"/>
          <w:b/>
          <w:i w:val="0"/>
          <w:color w:val="auto"/>
          <w:sz w:val="24"/>
        </w:rPr>
        <w:t xml:space="preserve">Tabela </w:t>
      </w:r>
      <w:r w:rsidR="005B094D">
        <w:rPr>
          <w:rFonts w:cs="Times New Roman"/>
          <w:b/>
          <w:i w:val="0"/>
          <w:color w:val="auto"/>
          <w:sz w:val="24"/>
        </w:rPr>
        <w:t>53</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Aktywność ekonomiczna osób starszych w województwie lubelskim</w:t>
      </w:r>
    </w:p>
    <w:tbl>
      <w:tblPr>
        <w:tblStyle w:val="Tabelasiatki6kolorowaakcent2"/>
        <w:tblpPr w:leftFromText="141" w:rightFromText="141" w:vertAnchor="text" w:tblpXSpec="center" w:tblpY="1"/>
        <w:tblW w:w="9209" w:type="dxa"/>
        <w:tblLayout w:type="fixed"/>
        <w:tblLook w:val="04A0" w:firstRow="1" w:lastRow="0" w:firstColumn="1" w:lastColumn="0" w:noHBand="0" w:noVBand="1"/>
      </w:tblPr>
      <w:tblGrid>
        <w:gridCol w:w="1564"/>
        <w:gridCol w:w="3969"/>
        <w:gridCol w:w="3676"/>
      </w:tblGrid>
      <w:tr w:rsidR="000252DF" w:rsidRPr="000252DF" w14:paraId="6B4C426F" w14:textId="77777777" w:rsidTr="00EB7DC7">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209" w:type="dxa"/>
            <w:gridSpan w:val="3"/>
          </w:tcPr>
          <w:p w14:paraId="2FA86C37" w14:textId="77777777" w:rsidR="000252DF" w:rsidRPr="000252DF" w:rsidRDefault="000252DF" w:rsidP="00EB7DC7">
            <w:pPr>
              <w:jc w:val="center"/>
              <w:rPr>
                <w:rFonts w:cs="Times New Roman"/>
                <w:color w:val="auto"/>
                <w:sz w:val="20"/>
                <w:szCs w:val="20"/>
              </w:rPr>
            </w:pPr>
            <w:r w:rsidRPr="000252DF">
              <w:rPr>
                <w:rFonts w:cs="Times New Roman"/>
                <w:color w:val="auto"/>
                <w:sz w:val="20"/>
                <w:szCs w:val="20"/>
                <w:lang w:eastAsia="pl-PL"/>
              </w:rPr>
              <w:t>AKTYWNOŚĆ EKONOMICZNA OSÓB STARSZYCH – DANE ZA 2020 R.</w:t>
            </w:r>
          </w:p>
        </w:tc>
      </w:tr>
      <w:tr w:rsidR="000252DF" w:rsidRPr="000252DF" w14:paraId="0119FF68" w14:textId="77777777" w:rsidTr="00EB7DC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533" w:type="dxa"/>
            <w:gridSpan w:val="2"/>
          </w:tcPr>
          <w:p w14:paraId="679D8EF6" w14:textId="77777777" w:rsidR="000252DF" w:rsidRPr="000252DF" w:rsidRDefault="000252DF" w:rsidP="00EB7DC7">
            <w:pPr>
              <w:rPr>
                <w:rFonts w:cs="Times New Roman"/>
                <w:color w:val="auto"/>
                <w:sz w:val="20"/>
                <w:szCs w:val="20"/>
              </w:rPr>
            </w:pPr>
            <w:r w:rsidRPr="000252DF">
              <w:rPr>
                <w:rFonts w:cs="Times New Roman"/>
                <w:color w:val="auto"/>
                <w:sz w:val="20"/>
                <w:szCs w:val="20"/>
              </w:rPr>
              <w:t>Podział</w:t>
            </w:r>
          </w:p>
        </w:tc>
        <w:tc>
          <w:tcPr>
            <w:tcW w:w="3676" w:type="dxa"/>
          </w:tcPr>
          <w:p w14:paraId="22827046" w14:textId="77777777" w:rsidR="000252DF" w:rsidRPr="000252DF" w:rsidRDefault="000252DF"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0252DF">
              <w:rPr>
                <w:rFonts w:cs="Times New Roman"/>
                <w:b/>
                <w:color w:val="auto"/>
                <w:sz w:val="20"/>
                <w:szCs w:val="20"/>
              </w:rPr>
              <w:t>Liczba</w:t>
            </w:r>
          </w:p>
        </w:tc>
      </w:tr>
      <w:tr w:rsidR="000252DF" w:rsidRPr="000252DF" w14:paraId="4C60777F"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1564" w:type="dxa"/>
            <w:vMerge w:val="restart"/>
          </w:tcPr>
          <w:p w14:paraId="5D67E151" w14:textId="77777777" w:rsidR="000252DF" w:rsidRPr="000252DF" w:rsidRDefault="000252DF" w:rsidP="00EB7DC7">
            <w:pPr>
              <w:rPr>
                <w:rFonts w:cs="Times New Roman"/>
                <w:b w:val="0"/>
                <w:color w:val="auto"/>
                <w:sz w:val="20"/>
                <w:szCs w:val="20"/>
                <w:lang w:eastAsia="pl-PL"/>
              </w:rPr>
            </w:pPr>
            <w:r w:rsidRPr="000252DF">
              <w:rPr>
                <w:rFonts w:cs="Times New Roman"/>
                <w:color w:val="auto"/>
                <w:sz w:val="20"/>
                <w:szCs w:val="20"/>
                <w:lang w:eastAsia="pl-PL"/>
              </w:rPr>
              <w:t>Osoby aktywne zawodowo razem (w tys.)</w:t>
            </w:r>
          </w:p>
        </w:tc>
        <w:tc>
          <w:tcPr>
            <w:tcW w:w="3969" w:type="dxa"/>
          </w:tcPr>
          <w:p w14:paraId="753BC487"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ogółem</w:t>
            </w:r>
          </w:p>
        </w:tc>
        <w:tc>
          <w:tcPr>
            <w:tcW w:w="3676" w:type="dxa"/>
          </w:tcPr>
          <w:p w14:paraId="10EF6E20"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911</w:t>
            </w:r>
          </w:p>
        </w:tc>
      </w:tr>
      <w:tr w:rsidR="000252DF" w:rsidRPr="000252DF" w14:paraId="3E8C4ABC" w14:textId="77777777" w:rsidTr="00EB7DC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564" w:type="dxa"/>
            <w:vMerge/>
          </w:tcPr>
          <w:p w14:paraId="2BD533FB" w14:textId="77777777" w:rsidR="000252DF" w:rsidRPr="000252DF" w:rsidRDefault="000252DF" w:rsidP="00EB7DC7">
            <w:pPr>
              <w:rPr>
                <w:rFonts w:cs="Times New Roman"/>
                <w:b w:val="0"/>
                <w:color w:val="auto"/>
                <w:sz w:val="20"/>
                <w:szCs w:val="20"/>
                <w:lang w:eastAsia="pl-PL"/>
              </w:rPr>
            </w:pPr>
          </w:p>
        </w:tc>
        <w:tc>
          <w:tcPr>
            <w:tcW w:w="3969" w:type="dxa"/>
          </w:tcPr>
          <w:p w14:paraId="2D37ECCA"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w tym w wieku 60+</w:t>
            </w:r>
          </w:p>
        </w:tc>
        <w:tc>
          <w:tcPr>
            <w:tcW w:w="3676" w:type="dxa"/>
          </w:tcPr>
          <w:p w14:paraId="5583DB98"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69</w:t>
            </w:r>
          </w:p>
        </w:tc>
      </w:tr>
      <w:tr w:rsidR="000252DF" w:rsidRPr="000252DF" w14:paraId="4129134E"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1564" w:type="dxa"/>
            <w:vMerge w:val="restart"/>
          </w:tcPr>
          <w:p w14:paraId="271BD315" w14:textId="77777777" w:rsidR="000252DF" w:rsidRPr="000252DF" w:rsidRDefault="000252DF" w:rsidP="00EB7DC7">
            <w:pPr>
              <w:rPr>
                <w:rFonts w:cs="Times New Roman"/>
                <w:b w:val="0"/>
                <w:color w:val="auto"/>
                <w:sz w:val="20"/>
                <w:szCs w:val="20"/>
                <w:lang w:eastAsia="pl-PL"/>
              </w:rPr>
            </w:pPr>
            <w:r w:rsidRPr="000252DF">
              <w:rPr>
                <w:rFonts w:cs="Times New Roman"/>
                <w:color w:val="auto"/>
                <w:sz w:val="20"/>
                <w:szCs w:val="20"/>
                <w:lang w:eastAsia="pl-PL"/>
              </w:rPr>
              <w:t xml:space="preserve">Osoby aktywne zawodowo </w:t>
            </w:r>
            <w:r w:rsidRPr="000252DF">
              <w:rPr>
                <w:rFonts w:cs="Times New Roman"/>
                <w:color w:val="auto"/>
                <w:sz w:val="20"/>
                <w:szCs w:val="20"/>
                <w:lang w:eastAsia="pl-PL"/>
              </w:rPr>
              <w:br/>
              <w:t>– pracujący (w tys.)</w:t>
            </w:r>
          </w:p>
        </w:tc>
        <w:tc>
          <w:tcPr>
            <w:tcW w:w="3969" w:type="dxa"/>
          </w:tcPr>
          <w:p w14:paraId="717D9CB9"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Ogółem</w:t>
            </w:r>
          </w:p>
        </w:tc>
        <w:tc>
          <w:tcPr>
            <w:tcW w:w="3676" w:type="dxa"/>
          </w:tcPr>
          <w:p w14:paraId="7AF26C13"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860</w:t>
            </w:r>
          </w:p>
        </w:tc>
      </w:tr>
      <w:tr w:rsidR="000252DF" w:rsidRPr="000252DF" w14:paraId="77748616" w14:textId="77777777" w:rsidTr="00EB7D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4" w:type="dxa"/>
            <w:vMerge/>
          </w:tcPr>
          <w:p w14:paraId="5FD681A8" w14:textId="77777777" w:rsidR="000252DF" w:rsidRPr="000252DF" w:rsidRDefault="000252DF" w:rsidP="00EB7DC7">
            <w:pPr>
              <w:rPr>
                <w:rFonts w:cs="Times New Roman"/>
                <w:b w:val="0"/>
                <w:color w:val="auto"/>
                <w:sz w:val="20"/>
                <w:szCs w:val="20"/>
                <w:lang w:eastAsia="pl-PL"/>
              </w:rPr>
            </w:pPr>
          </w:p>
        </w:tc>
        <w:tc>
          <w:tcPr>
            <w:tcW w:w="3969" w:type="dxa"/>
          </w:tcPr>
          <w:p w14:paraId="43390091"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w tym w wieku 60+</w:t>
            </w:r>
          </w:p>
        </w:tc>
        <w:tc>
          <w:tcPr>
            <w:tcW w:w="3676" w:type="dxa"/>
          </w:tcPr>
          <w:p w14:paraId="7CD7A226"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67</w:t>
            </w:r>
          </w:p>
        </w:tc>
      </w:tr>
      <w:tr w:rsidR="000252DF" w:rsidRPr="000252DF" w14:paraId="1EB35E13"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1564" w:type="dxa"/>
            <w:vMerge w:val="restart"/>
          </w:tcPr>
          <w:p w14:paraId="4C48E49D" w14:textId="77777777" w:rsidR="000252DF" w:rsidRPr="000252DF" w:rsidRDefault="000252DF" w:rsidP="00EB7DC7">
            <w:pPr>
              <w:rPr>
                <w:rFonts w:cs="Times New Roman"/>
                <w:b w:val="0"/>
                <w:color w:val="auto"/>
                <w:sz w:val="20"/>
                <w:szCs w:val="20"/>
                <w:lang w:eastAsia="pl-PL"/>
              </w:rPr>
            </w:pPr>
            <w:r w:rsidRPr="000252DF">
              <w:rPr>
                <w:rFonts w:cs="Times New Roman"/>
                <w:color w:val="auto"/>
                <w:sz w:val="20"/>
                <w:szCs w:val="20"/>
                <w:lang w:eastAsia="pl-PL"/>
              </w:rPr>
              <w:t>Osoby bierne zawodowo (w tys.)</w:t>
            </w:r>
          </w:p>
        </w:tc>
        <w:tc>
          <w:tcPr>
            <w:tcW w:w="3969" w:type="dxa"/>
          </w:tcPr>
          <w:p w14:paraId="23774729"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ogółem</w:t>
            </w:r>
          </w:p>
        </w:tc>
        <w:tc>
          <w:tcPr>
            <w:tcW w:w="3676" w:type="dxa"/>
          </w:tcPr>
          <w:p w14:paraId="31F1A77E"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758</w:t>
            </w:r>
          </w:p>
        </w:tc>
      </w:tr>
      <w:tr w:rsidR="000252DF" w:rsidRPr="000252DF" w14:paraId="459457CF" w14:textId="77777777" w:rsidTr="00EB7DC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564" w:type="dxa"/>
            <w:vMerge/>
          </w:tcPr>
          <w:p w14:paraId="622CB573" w14:textId="77777777" w:rsidR="000252DF" w:rsidRPr="000252DF" w:rsidRDefault="000252DF" w:rsidP="00EB7DC7">
            <w:pPr>
              <w:rPr>
                <w:rFonts w:cs="Times New Roman"/>
                <w:b w:val="0"/>
                <w:color w:val="auto"/>
                <w:sz w:val="20"/>
                <w:szCs w:val="20"/>
                <w:lang w:eastAsia="pl-PL"/>
              </w:rPr>
            </w:pPr>
          </w:p>
        </w:tc>
        <w:tc>
          <w:tcPr>
            <w:tcW w:w="3969" w:type="dxa"/>
          </w:tcPr>
          <w:p w14:paraId="6839DF9B"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w tym w wieku 60+</w:t>
            </w:r>
          </w:p>
        </w:tc>
        <w:tc>
          <w:tcPr>
            <w:tcW w:w="3676" w:type="dxa"/>
          </w:tcPr>
          <w:p w14:paraId="0F442D8E"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465</w:t>
            </w:r>
          </w:p>
        </w:tc>
      </w:tr>
      <w:tr w:rsidR="000252DF" w:rsidRPr="000252DF" w14:paraId="71A97035"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1564" w:type="dxa"/>
            <w:vMerge w:val="restart"/>
          </w:tcPr>
          <w:p w14:paraId="66F97504" w14:textId="77777777" w:rsidR="000252DF" w:rsidRPr="000252DF" w:rsidRDefault="000252DF" w:rsidP="00EB7DC7">
            <w:pPr>
              <w:rPr>
                <w:rFonts w:cs="Times New Roman"/>
                <w:b w:val="0"/>
                <w:color w:val="auto"/>
                <w:sz w:val="20"/>
                <w:szCs w:val="20"/>
                <w:lang w:eastAsia="pl-PL"/>
              </w:rPr>
            </w:pPr>
            <w:r w:rsidRPr="000252DF">
              <w:rPr>
                <w:rFonts w:cs="Times New Roman"/>
                <w:color w:val="auto"/>
                <w:sz w:val="20"/>
                <w:szCs w:val="20"/>
                <w:lang w:eastAsia="pl-PL"/>
              </w:rPr>
              <w:t>Współczynnik aktywności zawodowej %</w:t>
            </w:r>
          </w:p>
        </w:tc>
        <w:tc>
          <w:tcPr>
            <w:tcW w:w="3969" w:type="dxa"/>
          </w:tcPr>
          <w:p w14:paraId="0B0B0BF9"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Ogółem</w:t>
            </w:r>
          </w:p>
        </w:tc>
        <w:tc>
          <w:tcPr>
            <w:tcW w:w="3676" w:type="dxa"/>
          </w:tcPr>
          <w:p w14:paraId="41D70A0D"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54,6</w:t>
            </w:r>
          </w:p>
        </w:tc>
      </w:tr>
      <w:tr w:rsidR="000252DF" w:rsidRPr="000252DF" w14:paraId="42F60487" w14:textId="77777777" w:rsidTr="00EB7D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64" w:type="dxa"/>
            <w:vMerge/>
          </w:tcPr>
          <w:p w14:paraId="0C429925" w14:textId="77777777" w:rsidR="000252DF" w:rsidRPr="000252DF" w:rsidRDefault="000252DF" w:rsidP="00EB7DC7">
            <w:pPr>
              <w:rPr>
                <w:rFonts w:cs="Times New Roman"/>
                <w:b w:val="0"/>
                <w:color w:val="auto"/>
                <w:sz w:val="20"/>
                <w:szCs w:val="20"/>
                <w:lang w:eastAsia="pl-PL"/>
              </w:rPr>
            </w:pPr>
          </w:p>
        </w:tc>
        <w:tc>
          <w:tcPr>
            <w:tcW w:w="3969" w:type="dxa"/>
          </w:tcPr>
          <w:p w14:paraId="71F9C587"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w tym w wieku 60+</w:t>
            </w:r>
          </w:p>
        </w:tc>
        <w:tc>
          <w:tcPr>
            <w:tcW w:w="3676" w:type="dxa"/>
          </w:tcPr>
          <w:p w14:paraId="161BC8E0"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12,9</w:t>
            </w:r>
          </w:p>
        </w:tc>
      </w:tr>
      <w:tr w:rsidR="000252DF" w:rsidRPr="000252DF" w14:paraId="64331B25" w14:textId="77777777" w:rsidTr="00EB7DC7">
        <w:trPr>
          <w:trHeight w:val="143"/>
        </w:trPr>
        <w:tc>
          <w:tcPr>
            <w:cnfStyle w:val="001000000000" w:firstRow="0" w:lastRow="0" w:firstColumn="1" w:lastColumn="0" w:oddVBand="0" w:evenVBand="0" w:oddHBand="0" w:evenHBand="0" w:firstRowFirstColumn="0" w:firstRowLastColumn="0" w:lastRowFirstColumn="0" w:lastRowLastColumn="0"/>
            <w:tcW w:w="1564" w:type="dxa"/>
            <w:vMerge w:val="restart"/>
          </w:tcPr>
          <w:p w14:paraId="73188FFF" w14:textId="77777777" w:rsidR="000252DF" w:rsidRPr="000252DF" w:rsidRDefault="000252DF" w:rsidP="00EB7DC7">
            <w:pPr>
              <w:rPr>
                <w:rFonts w:cs="Times New Roman"/>
                <w:b w:val="0"/>
                <w:color w:val="auto"/>
                <w:sz w:val="20"/>
                <w:szCs w:val="20"/>
                <w:lang w:eastAsia="pl-PL"/>
              </w:rPr>
            </w:pPr>
            <w:r w:rsidRPr="000252DF">
              <w:rPr>
                <w:rFonts w:cs="Times New Roman"/>
                <w:color w:val="auto"/>
                <w:sz w:val="20"/>
                <w:szCs w:val="20"/>
                <w:lang w:eastAsia="pl-PL"/>
              </w:rPr>
              <w:t>Wskaźnik zatrudnienia %</w:t>
            </w:r>
          </w:p>
        </w:tc>
        <w:tc>
          <w:tcPr>
            <w:tcW w:w="3969" w:type="dxa"/>
          </w:tcPr>
          <w:p w14:paraId="10592B7E"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ogółem</w:t>
            </w:r>
          </w:p>
        </w:tc>
        <w:tc>
          <w:tcPr>
            <w:tcW w:w="3676" w:type="dxa"/>
          </w:tcPr>
          <w:p w14:paraId="47E62C02"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51,5</w:t>
            </w:r>
          </w:p>
        </w:tc>
      </w:tr>
      <w:tr w:rsidR="000252DF" w:rsidRPr="000252DF" w14:paraId="2368948C" w14:textId="77777777" w:rsidTr="00EB7DC7">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564" w:type="dxa"/>
            <w:vMerge/>
          </w:tcPr>
          <w:p w14:paraId="17A55327" w14:textId="77777777" w:rsidR="000252DF" w:rsidRPr="000252DF" w:rsidRDefault="000252DF" w:rsidP="00EB7DC7">
            <w:pPr>
              <w:rPr>
                <w:rFonts w:cs="Times New Roman"/>
                <w:b w:val="0"/>
                <w:color w:val="auto"/>
                <w:sz w:val="20"/>
                <w:szCs w:val="20"/>
                <w:lang w:eastAsia="pl-PL"/>
              </w:rPr>
            </w:pPr>
          </w:p>
        </w:tc>
        <w:tc>
          <w:tcPr>
            <w:tcW w:w="3969" w:type="dxa"/>
          </w:tcPr>
          <w:p w14:paraId="3C73CA8C"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w tym w wieku 60+</w:t>
            </w:r>
          </w:p>
        </w:tc>
        <w:tc>
          <w:tcPr>
            <w:tcW w:w="3676" w:type="dxa"/>
          </w:tcPr>
          <w:p w14:paraId="412E2C5C"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12,5</w:t>
            </w:r>
          </w:p>
        </w:tc>
      </w:tr>
      <w:tr w:rsidR="000252DF" w:rsidRPr="000252DF" w14:paraId="3EDFBB5F" w14:textId="77777777" w:rsidTr="00EB7DC7">
        <w:trPr>
          <w:trHeight w:val="282"/>
        </w:trPr>
        <w:tc>
          <w:tcPr>
            <w:cnfStyle w:val="001000000000" w:firstRow="0" w:lastRow="0" w:firstColumn="1" w:lastColumn="0" w:oddVBand="0" w:evenVBand="0" w:oddHBand="0" w:evenHBand="0" w:firstRowFirstColumn="0" w:firstRowLastColumn="0" w:lastRowFirstColumn="0" w:lastRowLastColumn="0"/>
            <w:tcW w:w="1564" w:type="dxa"/>
            <w:vMerge w:val="restart"/>
          </w:tcPr>
          <w:p w14:paraId="7E179180" w14:textId="77777777" w:rsidR="000252DF" w:rsidRPr="000252DF" w:rsidRDefault="000252DF" w:rsidP="00EB7DC7">
            <w:pPr>
              <w:rPr>
                <w:rFonts w:cs="Times New Roman"/>
                <w:b w:val="0"/>
                <w:color w:val="auto"/>
                <w:sz w:val="20"/>
                <w:szCs w:val="20"/>
                <w:lang w:eastAsia="pl-PL"/>
              </w:rPr>
            </w:pPr>
            <w:r w:rsidRPr="000252DF">
              <w:rPr>
                <w:rFonts w:eastAsia="Times New Roman" w:cs="Times New Roman"/>
                <w:color w:val="auto"/>
                <w:sz w:val="20"/>
                <w:szCs w:val="20"/>
                <w:lang w:eastAsia="pl-PL"/>
              </w:rPr>
              <w:t xml:space="preserve">Osoby bierne zawodowo  w wieku 60 lat i więcej według wybranych przyczyn bierności </w:t>
            </w:r>
            <w:r w:rsidRPr="000252DF">
              <w:rPr>
                <w:rFonts w:eastAsia="Times New Roman" w:cs="Times New Roman"/>
                <w:color w:val="auto"/>
                <w:sz w:val="20"/>
                <w:szCs w:val="20"/>
                <w:lang w:eastAsia="pl-PL"/>
              </w:rPr>
              <w:br/>
              <w:t>(w tys.)</w:t>
            </w:r>
          </w:p>
        </w:tc>
        <w:tc>
          <w:tcPr>
            <w:tcW w:w="3969" w:type="dxa"/>
          </w:tcPr>
          <w:p w14:paraId="6935E91D"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ogółem</w:t>
            </w:r>
          </w:p>
        </w:tc>
        <w:tc>
          <w:tcPr>
            <w:tcW w:w="3676" w:type="dxa"/>
          </w:tcPr>
          <w:p w14:paraId="543CE310"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465</w:t>
            </w:r>
          </w:p>
        </w:tc>
      </w:tr>
      <w:tr w:rsidR="000252DF" w:rsidRPr="000252DF" w14:paraId="06AB01A4"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64" w:type="dxa"/>
            <w:vMerge/>
          </w:tcPr>
          <w:p w14:paraId="28240E32" w14:textId="77777777" w:rsidR="000252DF" w:rsidRPr="000252DF" w:rsidRDefault="000252DF" w:rsidP="00EB7DC7">
            <w:pPr>
              <w:rPr>
                <w:rFonts w:eastAsia="Times New Roman" w:cs="Times New Roman"/>
                <w:b w:val="0"/>
                <w:bCs w:val="0"/>
                <w:color w:val="auto"/>
                <w:sz w:val="20"/>
                <w:szCs w:val="20"/>
                <w:lang w:eastAsia="pl-PL"/>
              </w:rPr>
            </w:pPr>
          </w:p>
        </w:tc>
        <w:tc>
          <w:tcPr>
            <w:tcW w:w="7645" w:type="dxa"/>
            <w:gridSpan w:val="2"/>
          </w:tcPr>
          <w:p w14:paraId="0A41501C"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w tym:</w:t>
            </w:r>
          </w:p>
        </w:tc>
      </w:tr>
      <w:tr w:rsidR="000252DF" w:rsidRPr="000252DF" w14:paraId="17034043" w14:textId="77777777" w:rsidTr="00EB7DC7">
        <w:trPr>
          <w:trHeight w:val="280"/>
        </w:trPr>
        <w:tc>
          <w:tcPr>
            <w:cnfStyle w:val="001000000000" w:firstRow="0" w:lastRow="0" w:firstColumn="1" w:lastColumn="0" w:oddVBand="0" w:evenVBand="0" w:oddHBand="0" w:evenHBand="0" w:firstRowFirstColumn="0" w:firstRowLastColumn="0" w:lastRowFirstColumn="0" w:lastRowLastColumn="0"/>
            <w:tcW w:w="1564" w:type="dxa"/>
            <w:vMerge/>
          </w:tcPr>
          <w:p w14:paraId="696A9E48" w14:textId="77777777" w:rsidR="000252DF" w:rsidRPr="000252DF" w:rsidRDefault="000252DF" w:rsidP="00EB7DC7">
            <w:pPr>
              <w:rPr>
                <w:rFonts w:eastAsia="Times New Roman" w:cs="Times New Roman"/>
                <w:b w:val="0"/>
                <w:bCs w:val="0"/>
                <w:color w:val="auto"/>
                <w:sz w:val="20"/>
                <w:szCs w:val="20"/>
                <w:lang w:eastAsia="pl-PL"/>
              </w:rPr>
            </w:pPr>
          </w:p>
        </w:tc>
        <w:tc>
          <w:tcPr>
            <w:tcW w:w="3969" w:type="dxa"/>
          </w:tcPr>
          <w:p w14:paraId="3A4728B7"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0252DF">
              <w:rPr>
                <w:rFonts w:eastAsia="Times New Roman" w:cs="Times New Roman"/>
                <w:color w:val="auto"/>
                <w:sz w:val="20"/>
                <w:szCs w:val="20"/>
                <w:lang w:eastAsia="pl-PL"/>
              </w:rPr>
              <w:t>osoby nieposzukujące pracy - razem</w:t>
            </w:r>
          </w:p>
        </w:tc>
        <w:tc>
          <w:tcPr>
            <w:tcW w:w="3676" w:type="dxa"/>
          </w:tcPr>
          <w:p w14:paraId="56F1D849"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465</w:t>
            </w:r>
          </w:p>
        </w:tc>
      </w:tr>
      <w:tr w:rsidR="000252DF" w:rsidRPr="000252DF" w14:paraId="199BD159"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64" w:type="dxa"/>
            <w:vMerge/>
          </w:tcPr>
          <w:p w14:paraId="72C518B6" w14:textId="77777777" w:rsidR="000252DF" w:rsidRPr="000252DF" w:rsidRDefault="000252DF" w:rsidP="00EB7DC7">
            <w:pPr>
              <w:rPr>
                <w:rFonts w:eastAsia="Times New Roman" w:cs="Times New Roman"/>
                <w:b w:val="0"/>
                <w:bCs w:val="0"/>
                <w:color w:val="auto"/>
                <w:sz w:val="20"/>
                <w:szCs w:val="20"/>
                <w:lang w:eastAsia="pl-PL"/>
              </w:rPr>
            </w:pPr>
          </w:p>
        </w:tc>
        <w:tc>
          <w:tcPr>
            <w:tcW w:w="3969" w:type="dxa"/>
          </w:tcPr>
          <w:p w14:paraId="0E51FE2C"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eastAsia="Times New Roman" w:cs="Times New Roman"/>
                <w:color w:val="auto"/>
                <w:sz w:val="20"/>
                <w:szCs w:val="20"/>
                <w:lang w:eastAsia="pl-PL"/>
              </w:rPr>
              <w:t>osoby nieposzukujące pracy - emerytura</w:t>
            </w:r>
          </w:p>
        </w:tc>
        <w:tc>
          <w:tcPr>
            <w:tcW w:w="3676" w:type="dxa"/>
          </w:tcPr>
          <w:p w14:paraId="7A90A1CB"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427</w:t>
            </w:r>
          </w:p>
        </w:tc>
      </w:tr>
      <w:tr w:rsidR="000252DF" w:rsidRPr="000252DF" w14:paraId="7B4E40D9" w14:textId="77777777" w:rsidTr="00EB7DC7">
        <w:trPr>
          <w:trHeight w:val="280"/>
        </w:trPr>
        <w:tc>
          <w:tcPr>
            <w:cnfStyle w:val="001000000000" w:firstRow="0" w:lastRow="0" w:firstColumn="1" w:lastColumn="0" w:oddVBand="0" w:evenVBand="0" w:oddHBand="0" w:evenHBand="0" w:firstRowFirstColumn="0" w:firstRowLastColumn="0" w:lastRowFirstColumn="0" w:lastRowLastColumn="0"/>
            <w:tcW w:w="1564" w:type="dxa"/>
            <w:vMerge/>
          </w:tcPr>
          <w:p w14:paraId="09BB0CB1" w14:textId="77777777" w:rsidR="000252DF" w:rsidRPr="000252DF" w:rsidRDefault="000252DF" w:rsidP="00EB7DC7">
            <w:pPr>
              <w:rPr>
                <w:rFonts w:eastAsia="Times New Roman" w:cs="Times New Roman"/>
                <w:b w:val="0"/>
                <w:bCs w:val="0"/>
                <w:color w:val="auto"/>
                <w:sz w:val="20"/>
                <w:szCs w:val="20"/>
                <w:lang w:eastAsia="pl-PL"/>
              </w:rPr>
            </w:pPr>
          </w:p>
        </w:tc>
        <w:tc>
          <w:tcPr>
            <w:tcW w:w="3969" w:type="dxa"/>
          </w:tcPr>
          <w:p w14:paraId="67E28F1B"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eastAsia="Times New Roman" w:cs="Times New Roman"/>
                <w:color w:val="auto"/>
                <w:sz w:val="20"/>
                <w:szCs w:val="20"/>
                <w:lang w:eastAsia="pl-PL"/>
              </w:rPr>
              <w:t>osoby nieposzukujące pracy - choroba, niepełnosprawność</w:t>
            </w:r>
          </w:p>
        </w:tc>
        <w:tc>
          <w:tcPr>
            <w:tcW w:w="3676" w:type="dxa"/>
          </w:tcPr>
          <w:p w14:paraId="7998F079"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28</w:t>
            </w:r>
          </w:p>
        </w:tc>
      </w:tr>
      <w:tr w:rsidR="000252DF" w:rsidRPr="000252DF" w14:paraId="7317F4D2" w14:textId="77777777" w:rsidTr="00EB7D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64" w:type="dxa"/>
            <w:vMerge w:val="restart"/>
          </w:tcPr>
          <w:p w14:paraId="041ABE72" w14:textId="77777777" w:rsidR="000252DF" w:rsidRPr="000252DF" w:rsidRDefault="000252DF" w:rsidP="00EB7DC7">
            <w:pPr>
              <w:rPr>
                <w:rFonts w:eastAsia="Times New Roman" w:cs="Times New Roman"/>
                <w:b w:val="0"/>
                <w:bCs w:val="0"/>
                <w:color w:val="auto"/>
                <w:sz w:val="20"/>
                <w:szCs w:val="20"/>
                <w:lang w:eastAsia="pl-PL"/>
              </w:rPr>
            </w:pPr>
            <w:r w:rsidRPr="000252DF">
              <w:rPr>
                <w:rFonts w:eastAsia="Times New Roman" w:cs="Times New Roman"/>
                <w:color w:val="auto"/>
                <w:sz w:val="20"/>
                <w:szCs w:val="20"/>
                <w:lang w:eastAsia="pl-PL"/>
              </w:rPr>
              <w:lastRenderedPageBreak/>
              <w:t>Osoby bezrobotne zarejestrowane w urzędach pracy (w tys.)</w:t>
            </w:r>
          </w:p>
        </w:tc>
        <w:tc>
          <w:tcPr>
            <w:tcW w:w="3969" w:type="dxa"/>
          </w:tcPr>
          <w:p w14:paraId="1108C766"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ogółem</w:t>
            </w:r>
          </w:p>
        </w:tc>
        <w:tc>
          <w:tcPr>
            <w:tcW w:w="3676" w:type="dxa"/>
          </w:tcPr>
          <w:p w14:paraId="18D65F6F"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76,5</w:t>
            </w:r>
          </w:p>
        </w:tc>
      </w:tr>
      <w:tr w:rsidR="000252DF" w:rsidRPr="000252DF" w14:paraId="16244CF0" w14:textId="77777777" w:rsidTr="00EB7DC7">
        <w:trPr>
          <w:trHeight w:val="284"/>
        </w:trPr>
        <w:tc>
          <w:tcPr>
            <w:cnfStyle w:val="001000000000" w:firstRow="0" w:lastRow="0" w:firstColumn="1" w:lastColumn="0" w:oddVBand="0" w:evenVBand="0" w:oddHBand="0" w:evenHBand="0" w:firstRowFirstColumn="0" w:firstRowLastColumn="0" w:lastRowFirstColumn="0" w:lastRowLastColumn="0"/>
            <w:tcW w:w="1564" w:type="dxa"/>
            <w:vMerge/>
          </w:tcPr>
          <w:p w14:paraId="791811C6" w14:textId="77777777" w:rsidR="000252DF" w:rsidRPr="000252DF" w:rsidRDefault="000252DF" w:rsidP="00EB7DC7">
            <w:pPr>
              <w:rPr>
                <w:rFonts w:eastAsia="Times New Roman" w:cs="Times New Roman"/>
                <w:b w:val="0"/>
                <w:bCs w:val="0"/>
                <w:color w:val="auto"/>
                <w:sz w:val="20"/>
                <w:szCs w:val="20"/>
                <w:lang w:eastAsia="pl-PL"/>
              </w:rPr>
            </w:pPr>
          </w:p>
        </w:tc>
        <w:tc>
          <w:tcPr>
            <w:tcW w:w="3969" w:type="dxa"/>
          </w:tcPr>
          <w:p w14:paraId="2B6ED1F1"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w tym w wieku 60+</w:t>
            </w:r>
          </w:p>
        </w:tc>
        <w:tc>
          <w:tcPr>
            <w:tcW w:w="3676" w:type="dxa"/>
          </w:tcPr>
          <w:p w14:paraId="5578CB83"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4,3</w:t>
            </w:r>
          </w:p>
        </w:tc>
      </w:tr>
      <w:tr w:rsidR="000252DF" w:rsidRPr="000252DF" w14:paraId="11D3B1D6" w14:textId="77777777" w:rsidTr="00EB7DC7">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564" w:type="dxa"/>
            <w:vMerge w:val="restart"/>
          </w:tcPr>
          <w:p w14:paraId="09A85FB1" w14:textId="77777777" w:rsidR="000252DF" w:rsidRPr="000252DF" w:rsidRDefault="000252DF" w:rsidP="00EB7DC7">
            <w:pPr>
              <w:rPr>
                <w:rFonts w:eastAsia="Times New Roman" w:cs="Times New Roman"/>
                <w:b w:val="0"/>
                <w:bCs w:val="0"/>
                <w:color w:val="auto"/>
                <w:sz w:val="20"/>
                <w:szCs w:val="20"/>
                <w:lang w:eastAsia="pl-PL"/>
              </w:rPr>
            </w:pPr>
            <w:r w:rsidRPr="000252DF">
              <w:rPr>
                <w:rFonts w:eastAsia="Times New Roman" w:cs="Times New Roman"/>
                <w:color w:val="auto"/>
                <w:sz w:val="20"/>
                <w:szCs w:val="20"/>
                <w:lang w:eastAsia="pl-PL"/>
              </w:rPr>
              <w:t xml:space="preserve">Osoby pobierające renty </w:t>
            </w:r>
            <w:r w:rsidRPr="000252DF">
              <w:rPr>
                <w:rFonts w:eastAsia="Times New Roman" w:cs="Times New Roman"/>
                <w:color w:val="auto"/>
                <w:sz w:val="20"/>
                <w:szCs w:val="20"/>
                <w:lang w:eastAsia="pl-PL"/>
              </w:rPr>
              <w:br/>
              <w:t xml:space="preserve">i emerytury </w:t>
            </w:r>
          </w:p>
        </w:tc>
        <w:tc>
          <w:tcPr>
            <w:tcW w:w="7645" w:type="dxa"/>
            <w:gridSpan w:val="2"/>
          </w:tcPr>
          <w:p w14:paraId="1B6BCE3D" w14:textId="77777777" w:rsidR="000252DF" w:rsidRPr="000252DF" w:rsidRDefault="000252DF" w:rsidP="00EB7DC7">
            <w:pPr>
              <w:tabs>
                <w:tab w:val="left" w:pos="1725"/>
                <w:tab w:val="center" w:pos="2363"/>
              </w:tabs>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0252DF">
              <w:rPr>
                <w:rFonts w:cs="Times New Roman"/>
                <w:b/>
                <w:color w:val="auto"/>
                <w:sz w:val="20"/>
                <w:szCs w:val="20"/>
              </w:rPr>
              <w:t>ZUS</w:t>
            </w:r>
          </w:p>
        </w:tc>
      </w:tr>
      <w:tr w:rsidR="000252DF" w:rsidRPr="000252DF" w14:paraId="1A10CDFA" w14:textId="77777777" w:rsidTr="00EB7DC7">
        <w:trPr>
          <w:trHeight w:val="189"/>
        </w:trPr>
        <w:tc>
          <w:tcPr>
            <w:cnfStyle w:val="001000000000" w:firstRow="0" w:lastRow="0" w:firstColumn="1" w:lastColumn="0" w:oddVBand="0" w:evenVBand="0" w:oddHBand="0" w:evenHBand="0" w:firstRowFirstColumn="0" w:firstRowLastColumn="0" w:lastRowFirstColumn="0" w:lastRowLastColumn="0"/>
            <w:tcW w:w="1564" w:type="dxa"/>
            <w:vMerge/>
          </w:tcPr>
          <w:p w14:paraId="015A10A6" w14:textId="77777777" w:rsidR="000252DF" w:rsidRPr="000252DF" w:rsidRDefault="000252DF" w:rsidP="00EB7DC7">
            <w:pPr>
              <w:rPr>
                <w:rFonts w:eastAsia="Times New Roman" w:cs="Times New Roman"/>
                <w:b w:val="0"/>
                <w:bCs w:val="0"/>
                <w:color w:val="auto"/>
                <w:sz w:val="20"/>
                <w:szCs w:val="20"/>
                <w:lang w:eastAsia="pl-PL"/>
              </w:rPr>
            </w:pPr>
          </w:p>
        </w:tc>
        <w:tc>
          <w:tcPr>
            <w:tcW w:w="3969" w:type="dxa"/>
          </w:tcPr>
          <w:p w14:paraId="773D62BA" w14:textId="77777777" w:rsidR="000252DF" w:rsidRPr="000252DF" w:rsidRDefault="000252DF" w:rsidP="00EB7DC7">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0252DF">
              <w:rPr>
                <w:rFonts w:cs="Times New Roman"/>
                <w:b/>
                <w:color w:val="auto"/>
                <w:sz w:val="20"/>
                <w:szCs w:val="20"/>
              </w:rPr>
              <w:t>Rodzaj świadczenia</w:t>
            </w:r>
          </w:p>
        </w:tc>
        <w:tc>
          <w:tcPr>
            <w:tcW w:w="3676" w:type="dxa"/>
          </w:tcPr>
          <w:p w14:paraId="09018325" w14:textId="77777777" w:rsidR="000252DF" w:rsidRPr="000252DF" w:rsidRDefault="000252DF" w:rsidP="00EB7DC7">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0252DF">
              <w:rPr>
                <w:rFonts w:cs="Times New Roman"/>
                <w:b/>
                <w:color w:val="auto"/>
                <w:sz w:val="20"/>
                <w:szCs w:val="20"/>
              </w:rPr>
              <w:t>Przeciętna miesięczna liczba emerytów i rencistów (w tys.)</w:t>
            </w:r>
          </w:p>
        </w:tc>
      </w:tr>
      <w:tr w:rsidR="000252DF" w:rsidRPr="000252DF" w14:paraId="2A6B5371" w14:textId="77777777" w:rsidTr="00EB7DC7">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564" w:type="dxa"/>
            <w:vMerge/>
          </w:tcPr>
          <w:p w14:paraId="11BAB7C1" w14:textId="77777777" w:rsidR="000252DF" w:rsidRPr="000252DF" w:rsidRDefault="000252DF" w:rsidP="00EB7DC7">
            <w:pPr>
              <w:rPr>
                <w:rFonts w:eastAsia="Times New Roman" w:cs="Times New Roman"/>
                <w:b w:val="0"/>
                <w:bCs w:val="0"/>
                <w:color w:val="auto"/>
                <w:sz w:val="20"/>
                <w:szCs w:val="20"/>
                <w:lang w:eastAsia="pl-PL"/>
              </w:rPr>
            </w:pPr>
          </w:p>
        </w:tc>
        <w:tc>
          <w:tcPr>
            <w:tcW w:w="3969" w:type="dxa"/>
          </w:tcPr>
          <w:p w14:paraId="432828FA"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Emerytury</w:t>
            </w:r>
          </w:p>
        </w:tc>
        <w:tc>
          <w:tcPr>
            <w:tcW w:w="3676" w:type="dxa"/>
          </w:tcPr>
          <w:p w14:paraId="76B8CBB2"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291,0</w:t>
            </w:r>
          </w:p>
        </w:tc>
      </w:tr>
      <w:tr w:rsidR="000252DF" w:rsidRPr="000252DF" w14:paraId="47A7BEDA" w14:textId="77777777" w:rsidTr="00EB7DC7">
        <w:trPr>
          <w:trHeight w:val="142"/>
        </w:trPr>
        <w:tc>
          <w:tcPr>
            <w:cnfStyle w:val="001000000000" w:firstRow="0" w:lastRow="0" w:firstColumn="1" w:lastColumn="0" w:oddVBand="0" w:evenVBand="0" w:oddHBand="0" w:evenHBand="0" w:firstRowFirstColumn="0" w:firstRowLastColumn="0" w:lastRowFirstColumn="0" w:lastRowLastColumn="0"/>
            <w:tcW w:w="1564" w:type="dxa"/>
            <w:vMerge/>
          </w:tcPr>
          <w:p w14:paraId="726CDF8D" w14:textId="77777777" w:rsidR="000252DF" w:rsidRPr="000252DF" w:rsidRDefault="000252DF" w:rsidP="00EB7DC7">
            <w:pPr>
              <w:rPr>
                <w:rFonts w:eastAsia="Times New Roman" w:cs="Times New Roman"/>
                <w:b w:val="0"/>
                <w:bCs w:val="0"/>
                <w:color w:val="auto"/>
                <w:sz w:val="20"/>
                <w:szCs w:val="20"/>
                <w:lang w:eastAsia="pl-PL"/>
              </w:rPr>
            </w:pPr>
          </w:p>
        </w:tc>
        <w:tc>
          <w:tcPr>
            <w:tcW w:w="3969" w:type="dxa"/>
          </w:tcPr>
          <w:p w14:paraId="55C92BB1"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Renty z tytułu niezdolności do pracy</w:t>
            </w:r>
          </w:p>
        </w:tc>
        <w:tc>
          <w:tcPr>
            <w:tcW w:w="3676" w:type="dxa"/>
          </w:tcPr>
          <w:p w14:paraId="219E0EBA"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41,3</w:t>
            </w:r>
          </w:p>
        </w:tc>
      </w:tr>
      <w:tr w:rsidR="000252DF" w:rsidRPr="000252DF" w14:paraId="658DF5DF" w14:textId="77777777" w:rsidTr="00EB7DC7">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564" w:type="dxa"/>
            <w:vMerge/>
          </w:tcPr>
          <w:p w14:paraId="09517D67" w14:textId="77777777" w:rsidR="000252DF" w:rsidRPr="000252DF" w:rsidRDefault="000252DF" w:rsidP="00EB7DC7">
            <w:pPr>
              <w:rPr>
                <w:rFonts w:eastAsia="Times New Roman" w:cs="Times New Roman"/>
                <w:b w:val="0"/>
                <w:bCs w:val="0"/>
                <w:color w:val="auto"/>
                <w:sz w:val="20"/>
                <w:szCs w:val="20"/>
                <w:lang w:eastAsia="pl-PL"/>
              </w:rPr>
            </w:pPr>
          </w:p>
        </w:tc>
        <w:tc>
          <w:tcPr>
            <w:tcW w:w="3969" w:type="dxa"/>
          </w:tcPr>
          <w:p w14:paraId="1644817B"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Renty rodzinne</w:t>
            </w:r>
          </w:p>
        </w:tc>
        <w:tc>
          <w:tcPr>
            <w:tcW w:w="3676" w:type="dxa"/>
          </w:tcPr>
          <w:p w14:paraId="5D2813D7"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53,3</w:t>
            </w:r>
          </w:p>
        </w:tc>
      </w:tr>
      <w:tr w:rsidR="000252DF" w:rsidRPr="000252DF" w14:paraId="3CAD5004" w14:textId="77777777" w:rsidTr="00EB7DC7">
        <w:trPr>
          <w:trHeight w:val="284"/>
        </w:trPr>
        <w:tc>
          <w:tcPr>
            <w:cnfStyle w:val="001000000000" w:firstRow="0" w:lastRow="0" w:firstColumn="1" w:lastColumn="0" w:oddVBand="0" w:evenVBand="0" w:oddHBand="0" w:evenHBand="0" w:firstRowFirstColumn="0" w:firstRowLastColumn="0" w:lastRowFirstColumn="0" w:lastRowLastColumn="0"/>
            <w:tcW w:w="1564" w:type="dxa"/>
            <w:vMerge/>
          </w:tcPr>
          <w:p w14:paraId="121E52E4" w14:textId="77777777" w:rsidR="000252DF" w:rsidRPr="000252DF" w:rsidRDefault="000252DF" w:rsidP="00EB7DC7">
            <w:pPr>
              <w:rPr>
                <w:rFonts w:eastAsia="Times New Roman" w:cs="Times New Roman"/>
                <w:b w:val="0"/>
                <w:bCs w:val="0"/>
                <w:color w:val="auto"/>
                <w:sz w:val="20"/>
                <w:szCs w:val="20"/>
                <w:lang w:eastAsia="pl-PL"/>
              </w:rPr>
            </w:pPr>
          </w:p>
        </w:tc>
        <w:tc>
          <w:tcPr>
            <w:tcW w:w="7645" w:type="dxa"/>
            <w:gridSpan w:val="2"/>
          </w:tcPr>
          <w:p w14:paraId="305EB75E" w14:textId="77777777" w:rsidR="000252DF" w:rsidRPr="000252DF" w:rsidRDefault="000252DF" w:rsidP="00EB7DC7">
            <w:pPr>
              <w:tabs>
                <w:tab w:val="left" w:pos="1507"/>
                <w:tab w:val="center" w:pos="2363"/>
              </w:tabs>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0252DF">
              <w:rPr>
                <w:rFonts w:cs="Times New Roman"/>
                <w:b/>
                <w:color w:val="auto"/>
                <w:sz w:val="20"/>
                <w:szCs w:val="20"/>
              </w:rPr>
              <w:t>KRUS</w:t>
            </w:r>
          </w:p>
        </w:tc>
      </w:tr>
      <w:tr w:rsidR="000252DF" w:rsidRPr="000252DF" w14:paraId="33E59569" w14:textId="77777777" w:rsidTr="00EB7DC7">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564" w:type="dxa"/>
            <w:vMerge/>
          </w:tcPr>
          <w:p w14:paraId="5FE36C23" w14:textId="77777777" w:rsidR="000252DF" w:rsidRPr="000252DF" w:rsidRDefault="000252DF" w:rsidP="00EB7DC7">
            <w:pPr>
              <w:rPr>
                <w:rFonts w:eastAsia="Times New Roman" w:cs="Times New Roman"/>
                <w:b w:val="0"/>
                <w:bCs w:val="0"/>
                <w:color w:val="auto"/>
                <w:sz w:val="20"/>
                <w:szCs w:val="20"/>
                <w:lang w:eastAsia="pl-PL"/>
              </w:rPr>
            </w:pPr>
          </w:p>
        </w:tc>
        <w:tc>
          <w:tcPr>
            <w:tcW w:w="3969" w:type="dxa"/>
          </w:tcPr>
          <w:p w14:paraId="32B86DE1" w14:textId="77777777" w:rsidR="000252DF" w:rsidRPr="000252DF" w:rsidRDefault="000252DF"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0252DF">
              <w:rPr>
                <w:rFonts w:cs="Times New Roman"/>
                <w:b/>
                <w:color w:val="auto"/>
                <w:sz w:val="20"/>
                <w:szCs w:val="20"/>
              </w:rPr>
              <w:t>Rodzaj świadczenia</w:t>
            </w:r>
          </w:p>
        </w:tc>
        <w:tc>
          <w:tcPr>
            <w:tcW w:w="3676" w:type="dxa"/>
          </w:tcPr>
          <w:p w14:paraId="685C318B" w14:textId="77777777" w:rsidR="000252DF" w:rsidRPr="000252DF" w:rsidRDefault="000252DF"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0252DF">
              <w:rPr>
                <w:rFonts w:cs="Times New Roman"/>
                <w:b/>
                <w:color w:val="auto"/>
                <w:sz w:val="20"/>
                <w:szCs w:val="20"/>
              </w:rPr>
              <w:t>Przeciętna miesięczna liczba emerytów i rencistów (w tys.)</w:t>
            </w:r>
          </w:p>
        </w:tc>
      </w:tr>
      <w:tr w:rsidR="000252DF" w:rsidRPr="000252DF" w14:paraId="7BB25E51"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1564" w:type="dxa"/>
            <w:vMerge/>
          </w:tcPr>
          <w:p w14:paraId="09A1B6EA" w14:textId="77777777" w:rsidR="000252DF" w:rsidRPr="000252DF" w:rsidRDefault="000252DF" w:rsidP="00EB7DC7">
            <w:pPr>
              <w:rPr>
                <w:rFonts w:eastAsia="Times New Roman" w:cs="Times New Roman"/>
                <w:b w:val="0"/>
                <w:bCs w:val="0"/>
                <w:color w:val="auto"/>
                <w:sz w:val="20"/>
                <w:szCs w:val="20"/>
                <w:lang w:eastAsia="pl-PL"/>
              </w:rPr>
            </w:pPr>
          </w:p>
        </w:tc>
        <w:tc>
          <w:tcPr>
            <w:tcW w:w="3969" w:type="dxa"/>
          </w:tcPr>
          <w:p w14:paraId="1BF2D35A"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Emerytury</w:t>
            </w:r>
          </w:p>
        </w:tc>
        <w:tc>
          <w:tcPr>
            <w:tcW w:w="3676" w:type="dxa"/>
          </w:tcPr>
          <w:p w14:paraId="4DA2DAD8"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110,2</w:t>
            </w:r>
          </w:p>
        </w:tc>
      </w:tr>
      <w:tr w:rsidR="000252DF" w:rsidRPr="000252DF" w14:paraId="77291AEF" w14:textId="77777777" w:rsidTr="00EB7DC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564" w:type="dxa"/>
            <w:vMerge/>
          </w:tcPr>
          <w:p w14:paraId="04D93F11" w14:textId="77777777" w:rsidR="000252DF" w:rsidRPr="000252DF" w:rsidRDefault="000252DF" w:rsidP="00EB7DC7">
            <w:pPr>
              <w:rPr>
                <w:rFonts w:eastAsia="Times New Roman" w:cs="Times New Roman"/>
                <w:b w:val="0"/>
                <w:bCs w:val="0"/>
                <w:color w:val="auto"/>
                <w:sz w:val="20"/>
                <w:szCs w:val="20"/>
                <w:lang w:eastAsia="pl-PL"/>
              </w:rPr>
            </w:pPr>
          </w:p>
        </w:tc>
        <w:tc>
          <w:tcPr>
            <w:tcW w:w="3969" w:type="dxa"/>
          </w:tcPr>
          <w:p w14:paraId="1D55298C"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Renty z tytułu niezdolności do pracy</w:t>
            </w:r>
          </w:p>
        </w:tc>
        <w:tc>
          <w:tcPr>
            <w:tcW w:w="3676" w:type="dxa"/>
          </w:tcPr>
          <w:p w14:paraId="6727A671" w14:textId="77777777" w:rsidR="000252DF" w:rsidRPr="000252DF"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0252DF">
              <w:rPr>
                <w:rFonts w:cs="Times New Roman"/>
                <w:color w:val="auto"/>
                <w:sz w:val="20"/>
                <w:szCs w:val="20"/>
              </w:rPr>
              <w:t>24,2</w:t>
            </w:r>
          </w:p>
        </w:tc>
      </w:tr>
      <w:tr w:rsidR="000252DF" w:rsidRPr="000252DF" w14:paraId="058608A4"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1564" w:type="dxa"/>
            <w:vMerge/>
          </w:tcPr>
          <w:p w14:paraId="7EFB3383" w14:textId="77777777" w:rsidR="000252DF" w:rsidRPr="000252DF" w:rsidRDefault="000252DF" w:rsidP="00EB7DC7">
            <w:pPr>
              <w:rPr>
                <w:rFonts w:eastAsia="Times New Roman" w:cs="Times New Roman"/>
                <w:b w:val="0"/>
                <w:bCs w:val="0"/>
                <w:color w:val="auto"/>
                <w:sz w:val="20"/>
                <w:szCs w:val="20"/>
                <w:lang w:eastAsia="pl-PL"/>
              </w:rPr>
            </w:pPr>
          </w:p>
        </w:tc>
        <w:tc>
          <w:tcPr>
            <w:tcW w:w="3969" w:type="dxa"/>
          </w:tcPr>
          <w:p w14:paraId="05F42FFD"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Renty rodzinne</w:t>
            </w:r>
          </w:p>
        </w:tc>
        <w:tc>
          <w:tcPr>
            <w:tcW w:w="3676" w:type="dxa"/>
          </w:tcPr>
          <w:p w14:paraId="03E1B915" w14:textId="77777777" w:rsidR="000252DF" w:rsidRPr="000252DF"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0252DF">
              <w:rPr>
                <w:rFonts w:cs="Times New Roman"/>
                <w:color w:val="auto"/>
                <w:sz w:val="20"/>
                <w:szCs w:val="20"/>
              </w:rPr>
              <w:t>5,0</w:t>
            </w:r>
          </w:p>
        </w:tc>
      </w:tr>
    </w:tbl>
    <w:p w14:paraId="02061CED" w14:textId="77777777" w:rsidR="000252DF" w:rsidRDefault="000252DF" w:rsidP="000252DF">
      <w:pPr>
        <w:tabs>
          <w:tab w:val="left" w:pos="5400"/>
        </w:tabs>
        <w:rPr>
          <w:rFonts w:eastAsia="Times New Roman" w:cs="Times New Roman"/>
          <w:b/>
          <w:szCs w:val="24"/>
          <w:lang w:eastAsia="pl-PL"/>
        </w:rPr>
      </w:pPr>
      <w:r w:rsidRPr="00432294">
        <w:rPr>
          <w:rFonts w:eastAsia="Times New Roman" w:cs="Times New Roman"/>
          <w:b/>
          <w:szCs w:val="24"/>
          <w:lang w:eastAsia="pl-PL"/>
        </w:rPr>
        <w:t xml:space="preserve">Źródło: </w:t>
      </w:r>
      <w:r w:rsidRPr="00377FB8">
        <w:rPr>
          <w:rFonts w:eastAsia="Times New Roman" w:cs="Times New Roman"/>
          <w:b/>
          <w:szCs w:val="24"/>
          <w:lang w:eastAsia="pl-PL"/>
        </w:rPr>
        <w:t>GUS</w:t>
      </w:r>
      <w:r w:rsidRPr="00432294">
        <w:rPr>
          <w:rFonts w:eastAsia="Times New Roman" w:cs="Times New Roman"/>
          <w:b/>
          <w:szCs w:val="24"/>
          <w:lang w:eastAsia="pl-PL"/>
        </w:rPr>
        <w:t xml:space="preserve">. </w:t>
      </w:r>
    </w:p>
    <w:p w14:paraId="3F905D0E" w14:textId="77777777" w:rsidR="000252DF" w:rsidRDefault="000252DF" w:rsidP="003C1988">
      <w:pPr>
        <w:rPr>
          <w:rFonts w:cs="Times New Roman"/>
          <w:b/>
          <w:color w:val="FF0000"/>
          <w:szCs w:val="24"/>
          <w:lang w:eastAsia="ar-SA"/>
        </w:rPr>
      </w:pPr>
    </w:p>
    <w:p w14:paraId="204EBB55" w14:textId="201CACDC" w:rsidR="00BA4636" w:rsidRDefault="00BA4636" w:rsidP="00BA4636">
      <w:pPr>
        <w:pStyle w:val="Nagwek3"/>
        <w:rPr>
          <w:lang w:eastAsia="ar-SA"/>
        </w:rPr>
      </w:pPr>
      <w:bookmarkStart w:id="152" w:name="_Toc77513961"/>
      <w:bookmarkStart w:id="153" w:name="_Toc80523115"/>
      <w:r>
        <w:rPr>
          <w:lang w:eastAsia="ar-SA"/>
        </w:rPr>
        <w:t>Sytuacja osób niepełnosprawnych i ich opiekunów</w:t>
      </w:r>
      <w:bookmarkEnd w:id="152"/>
      <w:bookmarkEnd w:id="153"/>
    </w:p>
    <w:p w14:paraId="072049CB" w14:textId="77777777" w:rsidR="00B869C8" w:rsidRPr="00B869C8" w:rsidRDefault="00B869C8" w:rsidP="00B869C8">
      <w:pPr>
        <w:rPr>
          <w:lang w:eastAsia="ar-SA"/>
        </w:rPr>
      </w:pPr>
    </w:p>
    <w:p w14:paraId="0AB18735" w14:textId="42B9D635" w:rsidR="0027745A" w:rsidRDefault="0027745A" w:rsidP="00BA4636">
      <w:pPr>
        <w:rPr>
          <w:rFonts w:cs="Times New Roman"/>
          <w:szCs w:val="24"/>
        </w:rPr>
      </w:pPr>
      <w:r w:rsidRPr="0027745A">
        <w:rPr>
          <w:rFonts w:cs="Times New Roman"/>
          <w:szCs w:val="24"/>
        </w:rPr>
        <w:t>W 2020 r. w województwie lubelskim zamieszkiwało 551,4 tys. osób w wieku 60 lat i więcej. Tworzyły one głównie 1 i 2 osobowe gospodarstwa domowe. Liczba seniorów w tych gospodarstwach wynosiła przeciętnie 1,5 osoby. Co druga osoba starsza mieszkała sama, a częściej niż co trzecia z żoną/mężem, a przeciętny wiek dzieci mieszkających z rodzicami w podeszłym wieku wynosił 41,7 lat.</w:t>
      </w:r>
    </w:p>
    <w:p w14:paraId="3437FC89" w14:textId="77777777" w:rsidR="0027745A" w:rsidRDefault="0027745A" w:rsidP="00BA4636">
      <w:pPr>
        <w:rPr>
          <w:rFonts w:cs="Times New Roman"/>
          <w:szCs w:val="24"/>
        </w:rPr>
      </w:pPr>
    </w:p>
    <w:p w14:paraId="07755CD0" w14:textId="6BCBF637" w:rsidR="00BA4636" w:rsidRDefault="0027745A" w:rsidP="00BA4636">
      <w:pPr>
        <w:rPr>
          <w:rFonts w:cs="Times New Roman"/>
          <w:szCs w:val="24"/>
        </w:rPr>
      </w:pPr>
      <w:r w:rsidRPr="0027745A">
        <w:rPr>
          <w:rFonts w:cs="Times New Roman"/>
          <w:szCs w:val="24"/>
        </w:rPr>
        <w:t>Sytuacja osób niepełnosprawnych i ich opiekunów w 2020 r. uległa nieznacznej poprawie za sprawą realizowanych na terenie województwa programów Funduszu Solidarnościowego (w tym Program „Asystent osobisty osoby niepełnosprawnej” - edycja 2019-2020), wypłat „trzynastej emerytury” z ZUS/KRUS oraz świadczeń uzupełniających dla osób niezdolnych do samodzielnej egzystencji -500+.</w:t>
      </w:r>
    </w:p>
    <w:p w14:paraId="4A2186B4" w14:textId="03399397" w:rsidR="0027745A" w:rsidRDefault="0027745A" w:rsidP="00BA4636">
      <w:pPr>
        <w:rPr>
          <w:rFonts w:cs="Times New Roman"/>
          <w:szCs w:val="24"/>
        </w:rPr>
      </w:pPr>
    </w:p>
    <w:p w14:paraId="6DCBEA69" w14:textId="13BE6B3E" w:rsidR="0027745A" w:rsidRPr="00D96C8C" w:rsidRDefault="0027745A" w:rsidP="0027745A">
      <w:pPr>
        <w:pStyle w:val="Nagwek3"/>
        <w:rPr>
          <w:lang w:eastAsia="ar-SA"/>
        </w:rPr>
      </w:pPr>
      <w:bookmarkStart w:id="154" w:name="_Toc77513962"/>
      <w:bookmarkStart w:id="155" w:name="_Toc80523116"/>
      <w:r w:rsidRPr="0027745A">
        <w:rPr>
          <w:lang w:eastAsia="ar-SA"/>
        </w:rPr>
        <w:t xml:space="preserve">Działania i inicjatywy realizowane na rzecz osób starszych w województwie </w:t>
      </w:r>
      <w:r>
        <w:rPr>
          <w:lang w:eastAsia="ar-SA"/>
        </w:rPr>
        <w:t>lubelskim</w:t>
      </w:r>
      <w:bookmarkEnd w:id="154"/>
      <w:bookmarkEnd w:id="155"/>
    </w:p>
    <w:p w14:paraId="4683A5C6" w14:textId="77777777" w:rsidR="00B869C8" w:rsidRDefault="00B869C8" w:rsidP="0027745A">
      <w:pPr>
        <w:rPr>
          <w:rFonts w:cs="Times New Roman"/>
          <w:b/>
          <w:bCs/>
          <w:szCs w:val="24"/>
        </w:rPr>
      </w:pPr>
    </w:p>
    <w:p w14:paraId="4CD57CA2" w14:textId="027C0FFA" w:rsidR="0027745A" w:rsidRPr="0027745A" w:rsidRDefault="0027745A" w:rsidP="0027745A">
      <w:pPr>
        <w:rPr>
          <w:rFonts w:cs="Times New Roman"/>
          <w:szCs w:val="24"/>
        </w:rPr>
      </w:pPr>
      <w:r w:rsidRPr="0027745A">
        <w:rPr>
          <w:rFonts w:cs="Times New Roman"/>
          <w:szCs w:val="24"/>
        </w:rPr>
        <w:t xml:space="preserve">Realizacja Wojewódzkiego Programu na Rzecz Osób Starszych na lata 2016 – 2020, </w:t>
      </w:r>
    </w:p>
    <w:p w14:paraId="351B2799" w14:textId="77777777" w:rsidR="0027745A" w:rsidRPr="0027745A" w:rsidRDefault="0027745A" w:rsidP="0027745A">
      <w:pPr>
        <w:rPr>
          <w:rFonts w:cs="Times New Roman"/>
          <w:szCs w:val="24"/>
        </w:rPr>
      </w:pPr>
      <w:r w:rsidRPr="0027745A">
        <w:rPr>
          <w:rFonts w:cs="Times New Roman"/>
          <w:szCs w:val="24"/>
        </w:rPr>
        <w:t xml:space="preserve">Celami strategicznymi Programu były: </w:t>
      </w:r>
    </w:p>
    <w:p w14:paraId="7CC45F5E" w14:textId="77777777" w:rsidR="00D833CD" w:rsidRDefault="0027745A" w:rsidP="00FE70E3">
      <w:pPr>
        <w:pStyle w:val="Akapitzlist"/>
        <w:numPr>
          <w:ilvl w:val="0"/>
          <w:numId w:val="124"/>
        </w:numPr>
        <w:rPr>
          <w:rFonts w:cs="Times New Roman"/>
          <w:szCs w:val="24"/>
        </w:rPr>
      </w:pPr>
      <w:r w:rsidRPr="00D833CD">
        <w:rPr>
          <w:rFonts w:cs="Times New Roman"/>
          <w:szCs w:val="24"/>
        </w:rPr>
        <w:t>Poprawa jakości i dostępności świadczeń opieki zdrowotnej;</w:t>
      </w:r>
    </w:p>
    <w:p w14:paraId="2550F09D" w14:textId="77777777" w:rsidR="00D833CD" w:rsidRDefault="0027745A" w:rsidP="00FE70E3">
      <w:pPr>
        <w:pStyle w:val="Akapitzlist"/>
        <w:numPr>
          <w:ilvl w:val="0"/>
          <w:numId w:val="124"/>
        </w:numPr>
        <w:rPr>
          <w:rFonts w:cs="Times New Roman"/>
          <w:szCs w:val="24"/>
        </w:rPr>
      </w:pPr>
      <w:r w:rsidRPr="00D833CD">
        <w:rPr>
          <w:rFonts w:cs="Times New Roman"/>
          <w:szCs w:val="24"/>
        </w:rPr>
        <w:t>Zapewnienie bezpieczeństwa socjalnego, przeciwdziałanie wykluczeniu społecznemu osób starszych;</w:t>
      </w:r>
    </w:p>
    <w:p w14:paraId="152BB3D0" w14:textId="77777777" w:rsidR="00D833CD" w:rsidRDefault="0027745A" w:rsidP="00FE70E3">
      <w:pPr>
        <w:pStyle w:val="Akapitzlist"/>
        <w:numPr>
          <w:ilvl w:val="0"/>
          <w:numId w:val="124"/>
        </w:numPr>
        <w:rPr>
          <w:rFonts w:cs="Times New Roman"/>
          <w:szCs w:val="24"/>
        </w:rPr>
      </w:pPr>
      <w:r w:rsidRPr="00D833CD">
        <w:rPr>
          <w:rFonts w:cs="Times New Roman"/>
          <w:szCs w:val="24"/>
        </w:rPr>
        <w:t xml:space="preserve">Rozwój aktywności społecznej, kulturalnej i edukacyjnej osób starszych; </w:t>
      </w:r>
    </w:p>
    <w:p w14:paraId="641131F9" w14:textId="77777777" w:rsidR="00D833CD" w:rsidRDefault="0027745A" w:rsidP="00FE70E3">
      <w:pPr>
        <w:pStyle w:val="Akapitzlist"/>
        <w:numPr>
          <w:ilvl w:val="0"/>
          <w:numId w:val="124"/>
        </w:numPr>
        <w:rPr>
          <w:rFonts w:cs="Times New Roman"/>
          <w:szCs w:val="24"/>
        </w:rPr>
      </w:pPr>
      <w:r w:rsidRPr="00D833CD">
        <w:rPr>
          <w:rFonts w:cs="Times New Roman"/>
          <w:szCs w:val="24"/>
        </w:rPr>
        <w:t>Wzrost aktywności zawodowej osób starszych;</w:t>
      </w:r>
    </w:p>
    <w:p w14:paraId="584098BF" w14:textId="77777777" w:rsidR="00D833CD" w:rsidRDefault="0027745A" w:rsidP="00FE70E3">
      <w:pPr>
        <w:pStyle w:val="Akapitzlist"/>
        <w:numPr>
          <w:ilvl w:val="0"/>
          <w:numId w:val="124"/>
        </w:numPr>
        <w:rPr>
          <w:rFonts w:cs="Times New Roman"/>
          <w:szCs w:val="24"/>
        </w:rPr>
      </w:pPr>
      <w:r w:rsidRPr="00D833CD">
        <w:rPr>
          <w:rFonts w:cs="Times New Roman"/>
          <w:szCs w:val="24"/>
        </w:rPr>
        <w:t>Zapobieganie zjawisku przemocy i dyskryminacji wobec osób starszych.</w:t>
      </w:r>
    </w:p>
    <w:p w14:paraId="05887B3C" w14:textId="592E174C" w:rsidR="0027745A" w:rsidRPr="00D833CD" w:rsidRDefault="0027745A" w:rsidP="00D833CD">
      <w:pPr>
        <w:rPr>
          <w:rFonts w:cs="Times New Roman"/>
          <w:szCs w:val="24"/>
        </w:rPr>
      </w:pPr>
      <w:r w:rsidRPr="00D833CD">
        <w:rPr>
          <w:rFonts w:cs="Times New Roman"/>
          <w:szCs w:val="24"/>
        </w:rPr>
        <w:t>Program monitorowany jest corocznie a raport z monitoringu jest przedkładany Zarządowi Województwa Lubelskiego i kierowany pod obrady Komisji Rodziny, Pracy i  Polityki Społecznej Sejmiku Województwa Lubelskiego.</w:t>
      </w:r>
    </w:p>
    <w:p w14:paraId="5FEC5F86" w14:textId="77777777" w:rsidR="0027745A" w:rsidRPr="0027745A" w:rsidRDefault="0027745A" w:rsidP="0027745A">
      <w:pPr>
        <w:rPr>
          <w:rFonts w:cs="Times New Roman"/>
          <w:szCs w:val="24"/>
        </w:rPr>
      </w:pPr>
      <w:r w:rsidRPr="0027745A">
        <w:rPr>
          <w:rFonts w:cs="Times New Roman"/>
          <w:szCs w:val="24"/>
        </w:rPr>
        <w:lastRenderedPageBreak/>
        <w:t>Wojewódzka Rada ds. Polityki Senioralnej przy Marszałku Województwa Lubelskiego</w:t>
      </w:r>
    </w:p>
    <w:p w14:paraId="3938AF3C" w14:textId="77777777" w:rsidR="00D833CD" w:rsidRDefault="0027745A" w:rsidP="0027745A">
      <w:pPr>
        <w:rPr>
          <w:rFonts w:cs="Times New Roman"/>
          <w:szCs w:val="24"/>
        </w:rPr>
      </w:pPr>
      <w:r w:rsidRPr="0027745A">
        <w:rPr>
          <w:rFonts w:cs="Times New Roman"/>
          <w:szCs w:val="24"/>
        </w:rPr>
        <w:t>Głównym zadaniem Wojewódzkiej Rady ds. Polityki Senioralnej jest:</w:t>
      </w:r>
    </w:p>
    <w:p w14:paraId="7E44531E" w14:textId="77777777" w:rsidR="00D833CD" w:rsidRDefault="0027745A" w:rsidP="00FE70E3">
      <w:pPr>
        <w:pStyle w:val="Akapitzlist"/>
        <w:numPr>
          <w:ilvl w:val="0"/>
          <w:numId w:val="125"/>
        </w:numPr>
        <w:rPr>
          <w:rFonts w:cs="Times New Roman"/>
          <w:szCs w:val="24"/>
        </w:rPr>
      </w:pPr>
      <w:r w:rsidRPr="00D833CD">
        <w:rPr>
          <w:rFonts w:cs="Times New Roman"/>
          <w:szCs w:val="24"/>
        </w:rPr>
        <w:t xml:space="preserve">współtworzenie kierunków polityki senioralnej w województwie lubelskim, </w:t>
      </w:r>
    </w:p>
    <w:p w14:paraId="53EC0F6E" w14:textId="77777777" w:rsidR="00D833CD" w:rsidRDefault="0027745A" w:rsidP="00FE70E3">
      <w:pPr>
        <w:pStyle w:val="Akapitzlist"/>
        <w:numPr>
          <w:ilvl w:val="0"/>
          <w:numId w:val="125"/>
        </w:numPr>
        <w:rPr>
          <w:rFonts w:cs="Times New Roman"/>
          <w:szCs w:val="24"/>
        </w:rPr>
      </w:pPr>
      <w:r w:rsidRPr="00D833CD">
        <w:rPr>
          <w:rFonts w:cs="Times New Roman"/>
          <w:szCs w:val="24"/>
        </w:rPr>
        <w:t xml:space="preserve">opiniowanie projektów programów kierowanych do osób starszych, </w:t>
      </w:r>
    </w:p>
    <w:p w14:paraId="597249BC" w14:textId="77777777" w:rsidR="00D833CD" w:rsidRDefault="0027745A" w:rsidP="00FE70E3">
      <w:pPr>
        <w:pStyle w:val="Akapitzlist"/>
        <w:numPr>
          <w:ilvl w:val="0"/>
          <w:numId w:val="125"/>
        </w:numPr>
        <w:rPr>
          <w:rFonts w:cs="Times New Roman"/>
          <w:szCs w:val="24"/>
        </w:rPr>
      </w:pPr>
      <w:r w:rsidRPr="00D833CD">
        <w:rPr>
          <w:rFonts w:cs="Times New Roman"/>
          <w:szCs w:val="24"/>
        </w:rPr>
        <w:t xml:space="preserve">wspieranie rozwoju i działań organizacji pozarządowych, </w:t>
      </w:r>
    </w:p>
    <w:p w14:paraId="72ABAC92" w14:textId="77777777" w:rsidR="00D833CD" w:rsidRDefault="0027745A" w:rsidP="00FE70E3">
      <w:pPr>
        <w:pStyle w:val="Akapitzlist"/>
        <w:numPr>
          <w:ilvl w:val="0"/>
          <w:numId w:val="125"/>
        </w:numPr>
        <w:rPr>
          <w:rFonts w:cs="Times New Roman"/>
          <w:szCs w:val="24"/>
        </w:rPr>
      </w:pPr>
      <w:r w:rsidRPr="00D833CD">
        <w:rPr>
          <w:rFonts w:cs="Times New Roman"/>
          <w:szCs w:val="24"/>
        </w:rPr>
        <w:t xml:space="preserve">wspieranie działalności klubów i uniwersytetów dla osób 60+, </w:t>
      </w:r>
    </w:p>
    <w:p w14:paraId="4229A220" w14:textId="77777777" w:rsidR="00D833CD" w:rsidRDefault="0027745A" w:rsidP="00FE70E3">
      <w:pPr>
        <w:pStyle w:val="Akapitzlist"/>
        <w:numPr>
          <w:ilvl w:val="0"/>
          <w:numId w:val="125"/>
        </w:numPr>
        <w:rPr>
          <w:rFonts w:cs="Times New Roman"/>
          <w:szCs w:val="24"/>
        </w:rPr>
      </w:pPr>
      <w:r w:rsidRPr="00D833CD">
        <w:rPr>
          <w:rFonts w:cs="Times New Roman"/>
          <w:szCs w:val="24"/>
        </w:rPr>
        <w:t xml:space="preserve">monitorowanie realizacji programów polityki senioralnej w województwie lubelskim, </w:t>
      </w:r>
    </w:p>
    <w:p w14:paraId="4E96165C" w14:textId="16728373" w:rsidR="0027745A" w:rsidRPr="00D833CD" w:rsidRDefault="0027745A" w:rsidP="00FE70E3">
      <w:pPr>
        <w:pStyle w:val="Akapitzlist"/>
        <w:numPr>
          <w:ilvl w:val="0"/>
          <w:numId w:val="125"/>
        </w:numPr>
        <w:rPr>
          <w:rFonts w:cs="Times New Roman"/>
          <w:szCs w:val="24"/>
        </w:rPr>
      </w:pPr>
      <w:r w:rsidRPr="00D833CD">
        <w:rPr>
          <w:rFonts w:cs="Times New Roman"/>
          <w:szCs w:val="24"/>
        </w:rPr>
        <w:t>inicjowanie propozycji rozwiązań na rzecz środowiska seniorów oraz wymiany i komunikacji międzypokoleniowej.</w:t>
      </w:r>
    </w:p>
    <w:p w14:paraId="6EE4B15E" w14:textId="77777777" w:rsidR="0027745A" w:rsidRPr="0027745A" w:rsidRDefault="0027745A" w:rsidP="0027745A">
      <w:pPr>
        <w:rPr>
          <w:rFonts w:cs="Times New Roman"/>
          <w:szCs w:val="24"/>
        </w:rPr>
      </w:pPr>
    </w:p>
    <w:p w14:paraId="56755D35" w14:textId="77777777" w:rsidR="0027745A" w:rsidRPr="0027745A" w:rsidRDefault="0027745A" w:rsidP="0027745A">
      <w:pPr>
        <w:rPr>
          <w:rFonts w:cs="Times New Roman"/>
          <w:szCs w:val="24"/>
        </w:rPr>
      </w:pPr>
      <w:r w:rsidRPr="0027745A">
        <w:rPr>
          <w:rFonts w:cs="Times New Roman"/>
          <w:szCs w:val="24"/>
        </w:rPr>
        <w:t>Wspieranie organizacji pozarządowych realizujących projekty na rzecz  przeciwdziałania wykluczeniu społecznemu osób starszych - zlecanie zadań w ramach konkursów ofert oraz w trybie pozakonkursowym.</w:t>
      </w:r>
    </w:p>
    <w:p w14:paraId="6F85900B" w14:textId="77777777" w:rsidR="0027745A" w:rsidRPr="0027745A" w:rsidRDefault="0027745A" w:rsidP="0027745A">
      <w:pPr>
        <w:rPr>
          <w:rFonts w:cs="Times New Roman"/>
          <w:szCs w:val="24"/>
        </w:rPr>
      </w:pPr>
      <w:r w:rsidRPr="0027745A">
        <w:rPr>
          <w:rFonts w:cs="Times New Roman"/>
          <w:szCs w:val="24"/>
        </w:rPr>
        <w:t>W 2020 r. dotacja w wysokości 72 964,00 zł została przekazana dziesięciu organizacjom, które działaniami projektowymi objęły ponad 600 seniorów z terenu województwa lubelskiego.</w:t>
      </w:r>
    </w:p>
    <w:p w14:paraId="122C3461" w14:textId="77777777" w:rsidR="00D833CD" w:rsidRDefault="0027745A" w:rsidP="0027745A">
      <w:pPr>
        <w:rPr>
          <w:rFonts w:cs="Times New Roman"/>
          <w:szCs w:val="24"/>
        </w:rPr>
      </w:pPr>
      <w:r w:rsidRPr="0027745A">
        <w:rPr>
          <w:rFonts w:cs="Times New Roman"/>
          <w:szCs w:val="24"/>
        </w:rPr>
        <w:t>Województwo Lubelskie dofinansowało m.in. następujące projekty:</w:t>
      </w:r>
    </w:p>
    <w:p w14:paraId="26CFC8BD" w14:textId="77777777" w:rsidR="00D833CD" w:rsidRDefault="0027745A" w:rsidP="00FE70E3">
      <w:pPr>
        <w:pStyle w:val="Akapitzlist"/>
        <w:numPr>
          <w:ilvl w:val="0"/>
          <w:numId w:val="126"/>
        </w:numPr>
        <w:rPr>
          <w:rFonts w:cs="Times New Roman"/>
          <w:szCs w:val="24"/>
        </w:rPr>
      </w:pPr>
      <w:r w:rsidRPr="00D833CD">
        <w:rPr>
          <w:rFonts w:cs="Times New Roman"/>
          <w:szCs w:val="24"/>
        </w:rPr>
        <w:t>prowadzenie punktów poradnictwa i informacji (wynagrodzenie psychologa, doradcy zawodowego, prawnika),</w:t>
      </w:r>
    </w:p>
    <w:p w14:paraId="52AF8042" w14:textId="77777777" w:rsidR="00D833CD" w:rsidRDefault="0027745A" w:rsidP="00FE70E3">
      <w:pPr>
        <w:pStyle w:val="Akapitzlist"/>
        <w:numPr>
          <w:ilvl w:val="0"/>
          <w:numId w:val="126"/>
        </w:numPr>
        <w:rPr>
          <w:rFonts w:cs="Times New Roman"/>
          <w:szCs w:val="24"/>
        </w:rPr>
      </w:pPr>
      <w:r w:rsidRPr="00D833CD">
        <w:rPr>
          <w:rFonts w:cs="Times New Roman"/>
          <w:szCs w:val="24"/>
        </w:rPr>
        <w:t>prowadzenie działań na rzecz osób starszych z zakresu profilaktyki prozdrowotnej, zajęcia warsztatowe z psychologiem, fizjoterapeutą,</w:t>
      </w:r>
    </w:p>
    <w:p w14:paraId="1C171470" w14:textId="77777777" w:rsidR="00D833CD" w:rsidRDefault="0027745A" w:rsidP="00FE70E3">
      <w:pPr>
        <w:pStyle w:val="Akapitzlist"/>
        <w:numPr>
          <w:ilvl w:val="0"/>
          <w:numId w:val="126"/>
        </w:numPr>
        <w:rPr>
          <w:rFonts w:cs="Times New Roman"/>
          <w:szCs w:val="24"/>
        </w:rPr>
      </w:pPr>
      <w:r w:rsidRPr="00D833CD">
        <w:rPr>
          <w:rFonts w:cs="Times New Roman"/>
          <w:szCs w:val="24"/>
        </w:rPr>
        <w:t>działania zwiększające aktywność osób starszych w życiu kulturalnym, działania sportowe,</w:t>
      </w:r>
    </w:p>
    <w:p w14:paraId="1DCBFC2B" w14:textId="3C77DB37" w:rsidR="0027745A" w:rsidRPr="00D833CD" w:rsidRDefault="00D833CD" w:rsidP="00FE70E3">
      <w:pPr>
        <w:pStyle w:val="Akapitzlist"/>
        <w:numPr>
          <w:ilvl w:val="0"/>
          <w:numId w:val="126"/>
        </w:numPr>
        <w:rPr>
          <w:rFonts w:cs="Times New Roman"/>
          <w:szCs w:val="24"/>
        </w:rPr>
      </w:pPr>
      <w:r>
        <w:rPr>
          <w:rFonts w:cs="Times New Roman"/>
          <w:szCs w:val="24"/>
        </w:rPr>
        <w:t>d</w:t>
      </w:r>
      <w:r w:rsidR="0027745A" w:rsidRPr="00D833CD">
        <w:rPr>
          <w:rFonts w:cs="Times New Roman"/>
          <w:szCs w:val="24"/>
        </w:rPr>
        <w:t>ziałania na rzecz osób starszych i ubogich w okresie pandemii (dostarczanie żywności).</w:t>
      </w:r>
    </w:p>
    <w:p w14:paraId="0ED2058C" w14:textId="77777777" w:rsidR="0027745A" w:rsidRPr="0027745A" w:rsidRDefault="0027745A" w:rsidP="0027745A">
      <w:pPr>
        <w:rPr>
          <w:rFonts w:cs="Times New Roman"/>
          <w:szCs w:val="24"/>
        </w:rPr>
      </w:pPr>
    </w:p>
    <w:p w14:paraId="2A2B89D4" w14:textId="77777777" w:rsidR="0027745A" w:rsidRPr="0027745A" w:rsidRDefault="0027745A" w:rsidP="0027745A">
      <w:pPr>
        <w:rPr>
          <w:rFonts w:cs="Times New Roman"/>
          <w:szCs w:val="24"/>
        </w:rPr>
      </w:pPr>
      <w:r w:rsidRPr="0027745A">
        <w:rPr>
          <w:rFonts w:cs="Times New Roman"/>
          <w:szCs w:val="24"/>
        </w:rPr>
        <w:t>Opracowanie informatora „Miejsca przyjazne Seniorom”</w:t>
      </w:r>
    </w:p>
    <w:p w14:paraId="635345CE" w14:textId="77777777" w:rsidR="0027745A" w:rsidRPr="0027745A" w:rsidRDefault="0027745A" w:rsidP="0027745A">
      <w:pPr>
        <w:rPr>
          <w:rFonts w:cs="Times New Roman"/>
          <w:szCs w:val="24"/>
        </w:rPr>
      </w:pPr>
      <w:r w:rsidRPr="0027745A">
        <w:rPr>
          <w:rFonts w:cs="Times New Roman"/>
          <w:szCs w:val="24"/>
        </w:rPr>
        <w:t>Publikacja zawiera bazę adresową instytucji ( placówki medyczne, jednostki organizacyjne pomocy społecznej, instytucje kulturalne i sportowe, organizacje pozarządowe inne jednostki działające na rzecz osób starszych), których zadaniem i misją jest udzielanie pomocy i wspieranie seniorów. Wszystkie instytucje i podmioty zostały pogrupowane według powiatów i gmin w taki sposób, aby każdy, kto szuka konkretnej pomocy i wsparcia, znalazł ją jak najbliżej swojego miejsca zamieszkania. Informator jest dostępny na stronie: http://rops.lubelskie.pl/rops/informatory/ .</w:t>
      </w:r>
    </w:p>
    <w:p w14:paraId="0CA9EE18" w14:textId="77777777" w:rsidR="0027745A" w:rsidRPr="0027745A" w:rsidRDefault="0027745A" w:rsidP="0027745A">
      <w:pPr>
        <w:rPr>
          <w:rFonts w:cs="Times New Roman"/>
          <w:szCs w:val="24"/>
        </w:rPr>
      </w:pPr>
    </w:p>
    <w:p w14:paraId="6E1FC4AA" w14:textId="77777777" w:rsidR="0027745A" w:rsidRPr="0027745A" w:rsidRDefault="0027745A" w:rsidP="0027745A">
      <w:pPr>
        <w:rPr>
          <w:rFonts w:cs="Times New Roman"/>
          <w:szCs w:val="24"/>
        </w:rPr>
      </w:pPr>
      <w:r w:rsidRPr="0027745A">
        <w:rPr>
          <w:rFonts w:cs="Times New Roman"/>
          <w:szCs w:val="24"/>
        </w:rPr>
        <w:t>Wydarzenia kulturalne skierowane do seniorów</w:t>
      </w:r>
    </w:p>
    <w:p w14:paraId="281AECFC" w14:textId="77777777" w:rsidR="00D833CD" w:rsidRDefault="0027745A" w:rsidP="0027745A">
      <w:pPr>
        <w:rPr>
          <w:rFonts w:cs="Times New Roman"/>
          <w:szCs w:val="24"/>
        </w:rPr>
      </w:pPr>
      <w:r w:rsidRPr="0027745A">
        <w:rPr>
          <w:rFonts w:cs="Times New Roman"/>
          <w:szCs w:val="24"/>
        </w:rPr>
        <w:t>Z uwagi na pandemię COVID-19 instytucje kulturalne podległe Samorządowi Województwa Lubelskiego w ograniczonym zakresie organizowały wydarzenia skierowane do seniorów. Niemniej jednak były one prowadzone przez:</w:t>
      </w:r>
    </w:p>
    <w:p w14:paraId="20E86EAE" w14:textId="77777777" w:rsidR="00D833CD" w:rsidRDefault="0027745A" w:rsidP="00FE70E3">
      <w:pPr>
        <w:pStyle w:val="Akapitzlist"/>
        <w:numPr>
          <w:ilvl w:val="0"/>
          <w:numId w:val="127"/>
        </w:numPr>
        <w:rPr>
          <w:rFonts w:cs="Times New Roman"/>
          <w:szCs w:val="24"/>
        </w:rPr>
      </w:pPr>
      <w:r w:rsidRPr="00D833CD">
        <w:rPr>
          <w:rFonts w:cs="Times New Roman"/>
          <w:szCs w:val="24"/>
        </w:rPr>
        <w:t>Ośrodek Praktyk Teatralnych „Gardzienice” w Gardzienicach,</w:t>
      </w:r>
    </w:p>
    <w:p w14:paraId="5DF03516" w14:textId="77777777" w:rsidR="00D833CD" w:rsidRDefault="0027745A" w:rsidP="00FE70E3">
      <w:pPr>
        <w:pStyle w:val="Akapitzlist"/>
        <w:numPr>
          <w:ilvl w:val="0"/>
          <w:numId w:val="127"/>
        </w:numPr>
        <w:rPr>
          <w:rFonts w:cs="Times New Roman"/>
          <w:szCs w:val="24"/>
        </w:rPr>
      </w:pPr>
      <w:r w:rsidRPr="00D833CD">
        <w:rPr>
          <w:rFonts w:cs="Times New Roman"/>
          <w:szCs w:val="24"/>
        </w:rPr>
        <w:t>Muzeum Zamoyskich w Kozłówce,</w:t>
      </w:r>
    </w:p>
    <w:p w14:paraId="1F9D7052" w14:textId="77777777" w:rsidR="00D833CD" w:rsidRDefault="0027745A" w:rsidP="00FE70E3">
      <w:pPr>
        <w:pStyle w:val="Akapitzlist"/>
        <w:numPr>
          <w:ilvl w:val="0"/>
          <w:numId w:val="127"/>
        </w:numPr>
        <w:rPr>
          <w:rFonts w:cs="Times New Roman"/>
          <w:szCs w:val="24"/>
        </w:rPr>
      </w:pPr>
      <w:r w:rsidRPr="00D833CD">
        <w:rPr>
          <w:rFonts w:cs="Times New Roman"/>
          <w:szCs w:val="24"/>
        </w:rPr>
        <w:t>Muzeum Nadwiślańskie w Kazimierzu Dolnym,</w:t>
      </w:r>
    </w:p>
    <w:p w14:paraId="3AEBF8A1" w14:textId="77777777" w:rsidR="00D833CD" w:rsidRDefault="0027745A" w:rsidP="00FE70E3">
      <w:pPr>
        <w:pStyle w:val="Akapitzlist"/>
        <w:numPr>
          <w:ilvl w:val="0"/>
          <w:numId w:val="127"/>
        </w:numPr>
        <w:rPr>
          <w:rFonts w:cs="Times New Roman"/>
          <w:szCs w:val="24"/>
        </w:rPr>
      </w:pPr>
      <w:r w:rsidRPr="00D833CD">
        <w:rPr>
          <w:rFonts w:cs="Times New Roman"/>
          <w:szCs w:val="24"/>
        </w:rPr>
        <w:t>Muzeum Wsi Lubelskiej w Lublinie,</w:t>
      </w:r>
    </w:p>
    <w:p w14:paraId="09BE2D2C" w14:textId="77777777" w:rsidR="00D833CD" w:rsidRDefault="0027745A" w:rsidP="00FE70E3">
      <w:pPr>
        <w:pStyle w:val="Akapitzlist"/>
        <w:numPr>
          <w:ilvl w:val="0"/>
          <w:numId w:val="127"/>
        </w:numPr>
        <w:rPr>
          <w:rFonts w:cs="Times New Roman"/>
          <w:szCs w:val="24"/>
        </w:rPr>
      </w:pPr>
      <w:r w:rsidRPr="00D833CD">
        <w:rPr>
          <w:rFonts w:cs="Times New Roman"/>
          <w:szCs w:val="24"/>
        </w:rPr>
        <w:t>Teatr Muzyczny w Lublinie,</w:t>
      </w:r>
    </w:p>
    <w:p w14:paraId="79EC0F89" w14:textId="77777777" w:rsidR="00D833CD" w:rsidRDefault="0027745A" w:rsidP="00FE70E3">
      <w:pPr>
        <w:pStyle w:val="Akapitzlist"/>
        <w:numPr>
          <w:ilvl w:val="0"/>
          <w:numId w:val="127"/>
        </w:numPr>
        <w:rPr>
          <w:rFonts w:cs="Times New Roman"/>
          <w:szCs w:val="24"/>
        </w:rPr>
      </w:pPr>
      <w:r w:rsidRPr="00D833CD">
        <w:rPr>
          <w:rFonts w:cs="Times New Roman"/>
          <w:szCs w:val="24"/>
        </w:rPr>
        <w:t>Centrum Spotkania Kultur w Lublinie,</w:t>
      </w:r>
    </w:p>
    <w:p w14:paraId="60C34983" w14:textId="77777777" w:rsidR="00D833CD" w:rsidRDefault="0027745A" w:rsidP="00FE70E3">
      <w:pPr>
        <w:pStyle w:val="Akapitzlist"/>
        <w:numPr>
          <w:ilvl w:val="0"/>
          <w:numId w:val="127"/>
        </w:numPr>
        <w:rPr>
          <w:rFonts w:cs="Times New Roman"/>
          <w:szCs w:val="24"/>
        </w:rPr>
      </w:pPr>
      <w:r w:rsidRPr="00D833CD">
        <w:rPr>
          <w:rFonts w:cs="Times New Roman"/>
          <w:szCs w:val="24"/>
        </w:rPr>
        <w:t>Filharmonia Lubelska im. Henryka Wieniawskiego w Lublinie,</w:t>
      </w:r>
    </w:p>
    <w:p w14:paraId="6E23816C" w14:textId="77777777" w:rsidR="00D833CD" w:rsidRDefault="0027745A" w:rsidP="00FE70E3">
      <w:pPr>
        <w:pStyle w:val="Akapitzlist"/>
        <w:numPr>
          <w:ilvl w:val="0"/>
          <w:numId w:val="127"/>
        </w:numPr>
        <w:rPr>
          <w:rFonts w:cs="Times New Roman"/>
          <w:szCs w:val="24"/>
        </w:rPr>
      </w:pPr>
      <w:r w:rsidRPr="00D833CD">
        <w:rPr>
          <w:rFonts w:cs="Times New Roman"/>
          <w:szCs w:val="24"/>
        </w:rPr>
        <w:t>Wojewódzki Ośrodek Kultury w Lublinie,</w:t>
      </w:r>
    </w:p>
    <w:p w14:paraId="58880285" w14:textId="13DB5F97" w:rsidR="0027745A" w:rsidRPr="00D833CD" w:rsidRDefault="0027745A" w:rsidP="00FE70E3">
      <w:pPr>
        <w:pStyle w:val="Akapitzlist"/>
        <w:numPr>
          <w:ilvl w:val="0"/>
          <w:numId w:val="127"/>
        </w:numPr>
        <w:rPr>
          <w:rFonts w:cs="Times New Roman"/>
          <w:szCs w:val="24"/>
        </w:rPr>
      </w:pPr>
      <w:r w:rsidRPr="00D833CD">
        <w:rPr>
          <w:rFonts w:cs="Times New Roman"/>
          <w:szCs w:val="24"/>
        </w:rPr>
        <w:lastRenderedPageBreak/>
        <w:t>Wojewódzka Biblioteka Publiczna im. Hieronima Łopacińskiego w Lublinie.</w:t>
      </w:r>
    </w:p>
    <w:p w14:paraId="74D59F60" w14:textId="77777777" w:rsidR="0027745A" w:rsidRPr="0027745A" w:rsidRDefault="0027745A" w:rsidP="0027745A">
      <w:pPr>
        <w:rPr>
          <w:rFonts w:cs="Times New Roman"/>
          <w:szCs w:val="24"/>
        </w:rPr>
      </w:pPr>
      <w:r w:rsidRPr="0027745A">
        <w:rPr>
          <w:rFonts w:cs="Times New Roman"/>
          <w:szCs w:val="24"/>
        </w:rPr>
        <w:t xml:space="preserve">Powyższe instytucje zapewniają osobom starszym możliwość nieodpłatnego korzystania ze zbiorów bibliotecznych, jak również organizowanych przez siebie wydarzeń kulturalnych. Większość z nich posiada certyfikat „Miejsce przyjazne seniorom” oraz honoruje „Lubelską Kartę Seniora”. </w:t>
      </w:r>
    </w:p>
    <w:p w14:paraId="425017C4" w14:textId="77777777" w:rsidR="0027745A" w:rsidRPr="0027745A" w:rsidRDefault="0027745A" w:rsidP="0027745A">
      <w:pPr>
        <w:rPr>
          <w:rFonts w:cs="Times New Roman"/>
          <w:szCs w:val="24"/>
        </w:rPr>
      </w:pPr>
    </w:p>
    <w:p w14:paraId="6259992B" w14:textId="584D7822" w:rsidR="0027745A" w:rsidRPr="00D833CD" w:rsidRDefault="00D833CD" w:rsidP="0027745A">
      <w:pPr>
        <w:rPr>
          <w:rFonts w:cs="Times New Roman"/>
          <w:b/>
          <w:bCs/>
          <w:szCs w:val="24"/>
        </w:rPr>
      </w:pPr>
      <w:r w:rsidRPr="00D833CD">
        <w:rPr>
          <w:rFonts w:cs="Times New Roman"/>
          <w:b/>
          <w:bCs/>
          <w:szCs w:val="24"/>
        </w:rPr>
        <w:t>Przykłady dobrych praktyk na poziomie powiatu, gminy.</w:t>
      </w:r>
    </w:p>
    <w:p w14:paraId="2255EE8C" w14:textId="77777777" w:rsidR="0027745A" w:rsidRPr="0027745A" w:rsidRDefault="0027745A" w:rsidP="0027745A">
      <w:pPr>
        <w:rPr>
          <w:rFonts w:cs="Times New Roman"/>
          <w:szCs w:val="24"/>
        </w:rPr>
      </w:pPr>
      <w:r w:rsidRPr="0027745A">
        <w:rPr>
          <w:rFonts w:cs="Times New Roman"/>
          <w:szCs w:val="24"/>
        </w:rPr>
        <w:t xml:space="preserve">Działania podejmowane przez gminę wiejską Jastków </w:t>
      </w:r>
    </w:p>
    <w:p w14:paraId="5BBED8E1" w14:textId="77777777" w:rsidR="00D833CD" w:rsidRDefault="0027745A" w:rsidP="00FE70E3">
      <w:pPr>
        <w:pStyle w:val="Akapitzlist"/>
        <w:numPr>
          <w:ilvl w:val="0"/>
          <w:numId w:val="129"/>
        </w:numPr>
        <w:rPr>
          <w:rFonts w:cs="Times New Roman"/>
          <w:szCs w:val="24"/>
        </w:rPr>
      </w:pPr>
      <w:r w:rsidRPr="00D833CD">
        <w:rPr>
          <w:rFonts w:cs="Times New Roman"/>
          <w:szCs w:val="24"/>
        </w:rPr>
        <w:t>W latach 2018-2020 Gmina Jastków realizowała  projektu ,,Klub seniora w Jastkowie” dofinansowany z Regionalnego  Programu Operacyjnego Województwa Lubelskiego na lata 2014-2020 w ramach Osi priorytetowej: 11 Włączenie społeczne, nazwa działania: 11.2 Usługi społeczne i zdrowotne. W ramach projektu utworzono Klub Seniora w Jastkowie dla 22 mieszkańców gminy. Seniorzy uczestniczyli w zajęciach z zakresu kultury fizycznej, zajęciach rozwijających zainteresowania, poradnictwa psychologicznego, zajęć prozdrowotnych, zajęć edukacyjnych oraz zajęć kulturalnych (muzycznych, teatralnych, wyjazdów do teatru i kina).</w:t>
      </w:r>
    </w:p>
    <w:p w14:paraId="7E641C16" w14:textId="77777777" w:rsidR="00D833CD" w:rsidRDefault="0027745A" w:rsidP="00FE70E3">
      <w:pPr>
        <w:pStyle w:val="Akapitzlist"/>
        <w:numPr>
          <w:ilvl w:val="0"/>
          <w:numId w:val="129"/>
        </w:numPr>
        <w:rPr>
          <w:rFonts w:cs="Times New Roman"/>
          <w:szCs w:val="24"/>
        </w:rPr>
      </w:pPr>
      <w:r w:rsidRPr="00D833CD">
        <w:rPr>
          <w:rFonts w:cs="Times New Roman"/>
          <w:szCs w:val="24"/>
        </w:rPr>
        <w:t>Działając na rzecz integracji międzypokoleniowej Gminny Ośrodek Pomocy Społecznej w Jastkowie, wspólnie z Kołem Gospodyń Wiejskich w Sieprawicach zrealizował w 2020 r. projekt społeczny adresowany do kobiet w wieku 60+, pod nazwą „Moc Kobiet - Moc Zieleni”.  Projekt miał na celu podniesienie stopnia zadowolenia z życia seniorów poprzez  aktywne działanie i włączenie społeczne. Zadanie poległo na zorganizowaniu międzypokoleniowych spotkań, w trakcie których zagospodarowano teren wokół świetlicy wiejskiej i stworzono ogród kwiatowy. W projekcie udział wzięło 15 osób z terenu gminy Jastków.</w:t>
      </w:r>
      <w:r w:rsidR="00D833CD" w:rsidRPr="00D833CD">
        <w:rPr>
          <w:rFonts w:cs="Times New Roman"/>
          <w:szCs w:val="24"/>
        </w:rPr>
        <w:t xml:space="preserve"> </w:t>
      </w:r>
      <w:r w:rsidRPr="00D833CD">
        <w:rPr>
          <w:rFonts w:cs="Times New Roman"/>
          <w:szCs w:val="24"/>
        </w:rPr>
        <w:t xml:space="preserve">Z myślą o seniorach, którzy z racji pandemii lub innych powodów np. zdrowotnych, nie mogli uczestniczyć w zajęciach grupowych (organizowanych przez Klub Seniora) </w:t>
      </w:r>
    </w:p>
    <w:p w14:paraId="6D9E3267" w14:textId="439320F4" w:rsidR="0027745A" w:rsidRPr="00D833CD" w:rsidRDefault="0027745A" w:rsidP="00FE70E3">
      <w:pPr>
        <w:pStyle w:val="Akapitzlist"/>
        <w:numPr>
          <w:ilvl w:val="0"/>
          <w:numId w:val="129"/>
        </w:numPr>
        <w:rPr>
          <w:rFonts w:cs="Times New Roman"/>
          <w:szCs w:val="24"/>
        </w:rPr>
      </w:pPr>
      <w:r w:rsidRPr="00D833CD">
        <w:rPr>
          <w:rFonts w:cs="Times New Roman"/>
          <w:szCs w:val="24"/>
        </w:rPr>
        <w:t>Gminny Ośrodek Pomocy Społecznej w Jastkowie nawiązał współpracę z Fundacją Stocznia, która tworzy i wspiera skuteczne rozwiązania problemów społecznych m.in. w obszarze polityki senioralnej. Opracowane przez Fundację Stocznia indywidualne treningi umysłu dla seniorów pt. „Siłownia pamięci” opublikowane zostały w rozpowszechnianej nieodpłatnie lokalnej Gazecie Jastkowskiej i okazały się ciekawym pomysłem do wykorzystania w warunkach domowych.</w:t>
      </w:r>
    </w:p>
    <w:p w14:paraId="0F3C1469" w14:textId="77777777" w:rsidR="0027745A" w:rsidRPr="0027745A" w:rsidRDefault="0027745A" w:rsidP="0027745A">
      <w:pPr>
        <w:rPr>
          <w:rFonts w:cs="Times New Roman"/>
          <w:szCs w:val="24"/>
        </w:rPr>
      </w:pPr>
    </w:p>
    <w:p w14:paraId="0EE7C827" w14:textId="77777777" w:rsidR="0027745A" w:rsidRPr="0027745A" w:rsidRDefault="0027745A" w:rsidP="0027745A">
      <w:pPr>
        <w:rPr>
          <w:rFonts w:cs="Times New Roman"/>
          <w:szCs w:val="24"/>
        </w:rPr>
      </w:pPr>
      <w:r w:rsidRPr="0027745A">
        <w:rPr>
          <w:rFonts w:cs="Times New Roman"/>
          <w:szCs w:val="24"/>
        </w:rPr>
        <w:t>Działania podejmowane przez miasto na prawach powiatu  Zamość:</w:t>
      </w:r>
    </w:p>
    <w:p w14:paraId="2E815B5E" w14:textId="77777777" w:rsidR="00D833CD" w:rsidRDefault="0027745A" w:rsidP="00FE70E3">
      <w:pPr>
        <w:pStyle w:val="Akapitzlist"/>
        <w:numPr>
          <w:ilvl w:val="0"/>
          <w:numId w:val="128"/>
        </w:numPr>
        <w:rPr>
          <w:rFonts w:cs="Times New Roman"/>
          <w:szCs w:val="24"/>
        </w:rPr>
      </w:pPr>
      <w:r w:rsidRPr="00D833CD">
        <w:rPr>
          <w:rFonts w:cs="Times New Roman"/>
          <w:szCs w:val="24"/>
        </w:rPr>
        <w:t>w ramach realizacji zadań z zakresu wszechstronnej aktywizacji seniorów Stowarzyszenie Zamojski Uniwersytet III Wieku realizowało projekt „Aktywny Senior-Zdrowy Senior”:</w:t>
      </w:r>
    </w:p>
    <w:p w14:paraId="10E40B61" w14:textId="77777777" w:rsidR="00D833CD" w:rsidRDefault="0027745A" w:rsidP="00FE70E3">
      <w:pPr>
        <w:pStyle w:val="Akapitzlist"/>
        <w:numPr>
          <w:ilvl w:val="1"/>
          <w:numId w:val="128"/>
        </w:numPr>
        <w:rPr>
          <w:rFonts w:cs="Times New Roman"/>
          <w:szCs w:val="24"/>
        </w:rPr>
      </w:pPr>
      <w:r w:rsidRPr="00D833CD">
        <w:rPr>
          <w:rFonts w:cs="Times New Roman"/>
          <w:szCs w:val="24"/>
        </w:rPr>
        <w:t xml:space="preserve">wykłady audytoryjne o tematyce prozdrowotnej, prawnej i historycznej organizowane w Sali wykładowej Wyższej Szkoły Zarządzania i Administracji oraz w Centrum Kultury Filmowej Stylowy, w wykładach uczestniczyło średnio 70 osób - stosowano obwiązujące przepisy sanitarno-epidemiologicznych; </w:t>
      </w:r>
    </w:p>
    <w:p w14:paraId="1E5F9433" w14:textId="77777777" w:rsidR="00D833CD" w:rsidRDefault="0027745A" w:rsidP="00FE70E3">
      <w:pPr>
        <w:pStyle w:val="Akapitzlist"/>
        <w:numPr>
          <w:ilvl w:val="1"/>
          <w:numId w:val="128"/>
        </w:numPr>
        <w:rPr>
          <w:rFonts w:cs="Times New Roman"/>
          <w:szCs w:val="24"/>
        </w:rPr>
      </w:pPr>
      <w:r w:rsidRPr="00D833CD">
        <w:rPr>
          <w:rFonts w:cs="Times New Roman"/>
          <w:szCs w:val="24"/>
        </w:rPr>
        <w:t>studium wiedzy o regionie, literaturze, sztuce - wykłady poświęcone tematyce Miasta Zamość, twórczości znanych poetów i kompozytorów, w zajęciach uczestniczyło średnio ok. 45 osób;</w:t>
      </w:r>
    </w:p>
    <w:p w14:paraId="2D7C5549" w14:textId="77777777" w:rsidR="00D833CD" w:rsidRDefault="0027745A" w:rsidP="00FE70E3">
      <w:pPr>
        <w:pStyle w:val="Akapitzlist"/>
        <w:numPr>
          <w:ilvl w:val="1"/>
          <w:numId w:val="128"/>
        </w:numPr>
        <w:rPr>
          <w:rFonts w:cs="Times New Roman"/>
          <w:szCs w:val="24"/>
        </w:rPr>
      </w:pPr>
      <w:r w:rsidRPr="00D833CD">
        <w:rPr>
          <w:rFonts w:cs="Times New Roman"/>
          <w:szCs w:val="24"/>
        </w:rPr>
        <w:t>klub dziennikarski- przygotowywanie materiałów do wydania biuletynu „Głos Zamojskiego UTW”. W zajęciach udział brało 10 osób;</w:t>
      </w:r>
    </w:p>
    <w:p w14:paraId="4DEA0646" w14:textId="77777777" w:rsidR="00D833CD" w:rsidRDefault="0027745A" w:rsidP="00FE70E3">
      <w:pPr>
        <w:pStyle w:val="Akapitzlist"/>
        <w:numPr>
          <w:ilvl w:val="1"/>
          <w:numId w:val="128"/>
        </w:numPr>
        <w:rPr>
          <w:rFonts w:cs="Times New Roman"/>
          <w:szCs w:val="24"/>
        </w:rPr>
      </w:pPr>
      <w:r w:rsidRPr="00D833CD">
        <w:rPr>
          <w:rFonts w:cs="Times New Roman"/>
          <w:szCs w:val="24"/>
        </w:rPr>
        <w:lastRenderedPageBreak/>
        <w:t>zajęcia sprawnościowo- gimnastyczne oraz basen;</w:t>
      </w:r>
    </w:p>
    <w:p w14:paraId="3602C67E" w14:textId="77777777" w:rsidR="00D833CD" w:rsidRDefault="0027745A" w:rsidP="00FE70E3">
      <w:pPr>
        <w:pStyle w:val="Akapitzlist"/>
        <w:numPr>
          <w:ilvl w:val="1"/>
          <w:numId w:val="128"/>
        </w:numPr>
        <w:rPr>
          <w:rFonts w:cs="Times New Roman"/>
          <w:szCs w:val="24"/>
        </w:rPr>
      </w:pPr>
      <w:r w:rsidRPr="00D833CD">
        <w:rPr>
          <w:rFonts w:cs="Times New Roman"/>
          <w:szCs w:val="24"/>
        </w:rPr>
        <w:t>zespół rękodzieła artystycznego;</w:t>
      </w:r>
    </w:p>
    <w:p w14:paraId="3747E6C0" w14:textId="6B730139" w:rsidR="0027745A" w:rsidRPr="00D833CD" w:rsidRDefault="0027745A" w:rsidP="00FE70E3">
      <w:pPr>
        <w:pStyle w:val="Akapitzlist"/>
        <w:numPr>
          <w:ilvl w:val="1"/>
          <w:numId w:val="128"/>
        </w:numPr>
        <w:rPr>
          <w:rFonts w:cs="Times New Roman"/>
          <w:szCs w:val="24"/>
        </w:rPr>
      </w:pPr>
      <w:r w:rsidRPr="00D833CD">
        <w:rPr>
          <w:rFonts w:cs="Times New Roman"/>
          <w:szCs w:val="24"/>
        </w:rPr>
        <w:t>lektoraty j. angielskiego i j. niemieckiego- zajęcia odbywały się w Książnicy Zamojskiej, zrealizowano 64 godz., w zajęciach średnio udział brało 20 osób;</w:t>
      </w:r>
    </w:p>
    <w:p w14:paraId="525E929D" w14:textId="77777777" w:rsidR="00D833CD" w:rsidRDefault="0027745A" w:rsidP="00FE70E3">
      <w:pPr>
        <w:pStyle w:val="Akapitzlist"/>
        <w:numPr>
          <w:ilvl w:val="0"/>
          <w:numId w:val="128"/>
        </w:numPr>
        <w:rPr>
          <w:rFonts w:cs="Times New Roman"/>
          <w:szCs w:val="24"/>
        </w:rPr>
      </w:pPr>
      <w:r w:rsidRPr="00D833CD">
        <w:rPr>
          <w:rFonts w:cs="Times New Roman"/>
          <w:szCs w:val="24"/>
        </w:rPr>
        <w:t>Program „Aktywni 60+” dofinansowany z budżetu Miasta Zamość, realizowane były wykłady, zespoły zainteresowań (malarstwo, rękodzieło, chór), zajęcia ruchowe (gimnastyka, basen) i spotkania integracyjne w okresie wakacji, adresatami byli słuchacze Zamojskiego Uniwersytetu Trzeciego Wieku – Seniorzy 60+ (liczba uczestników 366 osób);</w:t>
      </w:r>
    </w:p>
    <w:p w14:paraId="7F1C0153" w14:textId="77777777" w:rsidR="00D833CD" w:rsidRDefault="0027745A" w:rsidP="00FE70E3">
      <w:pPr>
        <w:pStyle w:val="Akapitzlist"/>
        <w:numPr>
          <w:ilvl w:val="0"/>
          <w:numId w:val="128"/>
        </w:numPr>
        <w:rPr>
          <w:rFonts w:cs="Times New Roman"/>
          <w:szCs w:val="24"/>
        </w:rPr>
      </w:pPr>
      <w:r w:rsidRPr="00D833CD">
        <w:rPr>
          <w:rFonts w:cs="Times New Roman"/>
          <w:szCs w:val="24"/>
        </w:rPr>
        <w:t xml:space="preserve">Projekt „Senioralna Stacja Socjalna” – organizatorem działań było Zamojskie Centrum Wolontariatu, w ramach projektu prowadzone były cykliczne zajęcia: treningi pamięci, </w:t>
      </w:r>
      <w:proofErr w:type="spellStart"/>
      <w:r w:rsidRPr="00D833CD">
        <w:rPr>
          <w:rFonts w:cs="Times New Roman"/>
          <w:szCs w:val="24"/>
        </w:rPr>
        <w:t>artterapia</w:t>
      </w:r>
      <w:proofErr w:type="spellEnd"/>
      <w:r w:rsidRPr="00D833CD">
        <w:rPr>
          <w:rFonts w:cs="Times New Roman"/>
          <w:szCs w:val="24"/>
        </w:rPr>
        <w:t xml:space="preserve">, </w:t>
      </w:r>
      <w:proofErr w:type="spellStart"/>
      <w:r w:rsidRPr="00D833CD">
        <w:rPr>
          <w:rFonts w:cs="Times New Roman"/>
          <w:szCs w:val="24"/>
        </w:rPr>
        <w:t>lierarturoterapia</w:t>
      </w:r>
      <w:proofErr w:type="spellEnd"/>
      <w:r w:rsidRPr="00D833CD">
        <w:rPr>
          <w:rFonts w:cs="Times New Roman"/>
          <w:szCs w:val="24"/>
        </w:rPr>
        <w:t xml:space="preserve">, zajęcia teatralne i muzyczne, gimnastyka 3 razy w tygodniu po 3 godziny. W przerwach spowodowanych obostrzeniami sanitarnymi prowadzony był stały monitoring sytuacji uczestników poprzez rozmowy telefoniczne w zakresie zmniejszenia poczucia osamotnienia oraz pomocy w czynnościach dnia codziennego. Seniorzy niemobilni lub ze znacznie ograniczoną mobilnością korzystali z profesjonalnej opieki Asystentów Osoby Starszej; </w:t>
      </w:r>
    </w:p>
    <w:p w14:paraId="487BE80E" w14:textId="4C1DC110" w:rsidR="00D833CD" w:rsidRDefault="0027745A" w:rsidP="00FE70E3">
      <w:pPr>
        <w:pStyle w:val="Akapitzlist"/>
        <w:numPr>
          <w:ilvl w:val="0"/>
          <w:numId w:val="128"/>
        </w:numPr>
        <w:rPr>
          <w:rFonts w:cs="Times New Roman"/>
          <w:szCs w:val="24"/>
        </w:rPr>
      </w:pPr>
      <w:r w:rsidRPr="00D833CD">
        <w:rPr>
          <w:rFonts w:cs="Times New Roman"/>
          <w:szCs w:val="24"/>
        </w:rPr>
        <w:t xml:space="preserve">Projekt „Kawiarnia Życia”- audycje na antenie Katolickiego Radia Zamość - spotkania edukacyjne w kawiarnianej atmosferze. Projekty „Senioralna Stacja Socjalna” oraz „Kawiarnia Życia” były dofinansowywane przez Fundację EVZ z Berlina. Pomocą objęto 30 seniorów w wieku 75+. Szczegółowe informacje na stronie </w:t>
      </w:r>
      <w:hyperlink r:id="rId14" w:history="1">
        <w:r w:rsidR="00D833CD" w:rsidRPr="00D64295">
          <w:rPr>
            <w:rStyle w:val="Hipercze"/>
            <w:rFonts w:cs="Times New Roman"/>
            <w:szCs w:val="24"/>
          </w:rPr>
          <w:t>www.wolontariatzamosc.pl</w:t>
        </w:r>
      </w:hyperlink>
      <w:r w:rsidRPr="00D833CD">
        <w:rPr>
          <w:rFonts w:cs="Times New Roman"/>
          <w:szCs w:val="24"/>
        </w:rPr>
        <w:t>;</w:t>
      </w:r>
    </w:p>
    <w:p w14:paraId="51138065" w14:textId="44B039EC" w:rsidR="0027745A" w:rsidRPr="00D833CD" w:rsidRDefault="0027745A" w:rsidP="00FE70E3">
      <w:pPr>
        <w:pStyle w:val="Akapitzlist"/>
        <w:numPr>
          <w:ilvl w:val="0"/>
          <w:numId w:val="128"/>
        </w:numPr>
        <w:rPr>
          <w:rFonts w:cs="Times New Roman"/>
          <w:szCs w:val="24"/>
        </w:rPr>
      </w:pPr>
      <w:r w:rsidRPr="00D833CD">
        <w:rPr>
          <w:rFonts w:cs="Times New Roman"/>
          <w:szCs w:val="24"/>
        </w:rPr>
        <w:t>Program „Senior Caritas 2020” – cykl działań skierowanych do Seniorów mających na celu zwiększenie aktywności i uczestnictwa w życiu społecznym, kulturalnym i edukacyjnym organizowany przez Caritas Diecezji Zamojsko-Lubaczowskiej – programem objęto 30 seniorów.</w:t>
      </w:r>
    </w:p>
    <w:p w14:paraId="624F587F" w14:textId="77777777" w:rsidR="0027745A" w:rsidRPr="0027745A" w:rsidRDefault="0027745A" w:rsidP="0027745A">
      <w:pPr>
        <w:rPr>
          <w:rFonts w:cs="Times New Roman"/>
          <w:szCs w:val="24"/>
        </w:rPr>
      </w:pPr>
    </w:p>
    <w:p w14:paraId="1902D8B4" w14:textId="35EBD66D" w:rsidR="0027745A" w:rsidRPr="0027745A" w:rsidRDefault="0027745A" w:rsidP="0027745A">
      <w:pPr>
        <w:rPr>
          <w:rFonts w:cs="Times New Roman"/>
          <w:szCs w:val="24"/>
        </w:rPr>
      </w:pPr>
      <w:r w:rsidRPr="0027745A">
        <w:rPr>
          <w:rFonts w:cs="Times New Roman"/>
          <w:szCs w:val="24"/>
        </w:rPr>
        <w:t xml:space="preserve">Działania podejmowane na rzecz osób starszych w gminie miejsko-wiejskiej Annopol </w:t>
      </w:r>
    </w:p>
    <w:p w14:paraId="38B6AF1C" w14:textId="6CFF2947" w:rsidR="0027745A" w:rsidRPr="00D833CD" w:rsidRDefault="0027745A" w:rsidP="00FE70E3">
      <w:pPr>
        <w:pStyle w:val="Akapitzlist"/>
        <w:numPr>
          <w:ilvl w:val="0"/>
          <w:numId w:val="130"/>
        </w:numPr>
        <w:rPr>
          <w:rFonts w:cs="Times New Roman"/>
          <w:szCs w:val="24"/>
        </w:rPr>
      </w:pPr>
      <w:r w:rsidRPr="00D833CD">
        <w:rPr>
          <w:rFonts w:cs="Times New Roman"/>
          <w:szCs w:val="24"/>
        </w:rPr>
        <w:t>„NADAL MŁODZI – Klub Seniora w Gminie Annopol”</w:t>
      </w:r>
      <w:r w:rsidR="00D833CD">
        <w:rPr>
          <w:rFonts w:cs="Times New Roman"/>
          <w:szCs w:val="24"/>
        </w:rPr>
        <w:t xml:space="preserve"> </w:t>
      </w:r>
      <w:r w:rsidRPr="00D833CD">
        <w:rPr>
          <w:rFonts w:cs="Times New Roman"/>
          <w:szCs w:val="24"/>
        </w:rPr>
        <w:t xml:space="preserve">– </w:t>
      </w:r>
      <w:r w:rsidRPr="0027745A">
        <w:rPr>
          <w:rFonts w:cs="Times New Roman"/>
          <w:szCs w:val="24"/>
        </w:rPr>
        <w:t xml:space="preserve">Projekt współfinansowany ze środków Regionalnego Programu Operacyjnego Województwa Lubelskiego na lata 2014-2020 2020 Oś Priorytetowa 11 Włączenie społeczne, Działanie 11.2 Usługi Społeczne i zdrowotne. Celem projektu jest poprawa dostępności i jakości Usług społecznych dla 50 osób (40 kobiet, 10 mężczyzn) w tym 5 uczestników projektu z niepełnosprawnością, niesamodzielnych ze względu na podeszły wiek, stan zdrowia/niepełnosprawność wymagających opieki w związku z niemożnością samodzielnego wykonywania co najmniej 1 z czynności dnia codziennego z terenu gminy Annopol poprzez utworzenie klubu Seniora oraz zwiększenie aktywności społecznej seniorów. Uczestnicy klubu seniora spotykali się w Centrum Kultury w Annopolu dwa razy w tygodniu i uczestniczyli </w:t>
      </w:r>
      <w:r w:rsidRPr="00D833CD">
        <w:rPr>
          <w:rFonts w:cs="Times New Roman"/>
          <w:szCs w:val="24"/>
        </w:rPr>
        <w:t>w następujących formach wsparcia:</w:t>
      </w:r>
    </w:p>
    <w:p w14:paraId="267CAF4F" w14:textId="70833722" w:rsidR="00D833CD" w:rsidRDefault="00D833CD" w:rsidP="00FE70E3">
      <w:pPr>
        <w:pStyle w:val="Akapitzlist"/>
        <w:numPr>
          <w:ilvl w:val="1"/>
          <w:numId w:val="130"/>
        </w:numPr>
        <w:rPr>
          <w:rFonts w:cs="Times New Roman"/>
          <w:szCs w:val="24"/>
        </w:rPr>
      </w:pPr>
      <w:r>
        <w:rPr>
          <w:rFonts w:cs="Times New Roman"/>
          <w:szCs w:val="24"/>
        </w:rPr>
        <w:t>w</w:t>
      </w:r>
      <w:r w:rsidR="0027745A" w:rsidRPr="00D833CD">
        <w:rPr>
          <w:rFonts w:cs="Times New Roman"/>
          <w:szCs w:val="24"/>
        </w:rPr>
        <w:t>sparcie motywacyjne i psychologiczne (warsztaty psychologiczne, poradnictwo psychologiczne (spotkania indywidualne))</w:t>
      </w:r>
    </w:p>
    <w:p w14:paraId="1E03CFA5" w14:textId="77777777" w:rsidR="00D833CD" w:rsidRDefault="0027745A" w:rsidP="00FE70E3">
      <w:pPr>
        <w:pStyle w:val="Akapitzlist"/>
        <w:numPr>
          <w:ilvl w:val="1"/>
          <w:numId w:val="130"/>
        </w:numPr>
        <w:rPr>
          <w:rFonts w:cs="Times New Roman"/>
          <w:szCs w:val="24"/>
        </w:rPr>
      </w:pPr>
      <w:r w:rsidRPr="00D833CD">
        <w:rPr>
          <w:rFonts w:cs="Times New Roman"/>
          <w:szCs w:val="24"/>
        </w:rPr>
        <w:t>edukacja prozdrowotna seniorów (edukacja dla serca profilaktyka chorób układu sercowo-naczyniowego, zmień swój styl życia, czyli jak się odżywiać i ćwiczyć, cukrzyca, dlaczego i jak?)</w:t>
      </w:r>
    </w:p>
    <w:p w14:paraId="480ECDC9" w14:textId="77777777" w:rsidR="00D833CD" w:rsidRDefault="0027745A" w:rsidP="00FE70E3">
      <w:pPr>
        <w:pStyle w:val="Akapitzlist"/>
        <w:numPr>
          <w:ilvl w:val="1"/>
          <w:numId w:val="130"/>
        </w:numPr>
        <w:rPr>
          <w:rFonts w:cs="Times New Roman"/>
          <w:szCs w:val="24"/>
        </w:rPr>
      </w:pPr>
      <w:r w:rsidRPr="00D833CD">
        <w:rPr>
          <w:rFonts w:cs="Times New Roman"/>
          <w:szCs w:val="24"/>
        </w:rPr>
        <w:t>spotkania edukacyjno-integracyjne (bezpieczne finanse seniora, indywidualne porady prawne, warsztaty komputerowe, wycieczki – 5 wyjazdów)</w:t>
      </w:r>
    </w:p>
    <w:p w14:paraId="644ED06B" w14:textId="77777777" w:rsidR="00D833CD" w:rsidRDefault="0027745A" w:rsidP="00FE70E3">
      <w:pPr>
        <w:pStyle w:val="Akapitzlist"/>
        <w:numPr>
          <w:ilvl w:val="1"/>
          <w:numId w:val="130"/>
        </w:numPr>
        <w:rPr>
          <w:rFonts w:cs="Times New Roman"/>
          <w:szCs w:val="24"/>
        </w:rPr>
      </w:pPr>
      <w:r w:rsidRPr="00D833CD">
        <w:rPr>
          <w:rFonts w:cs="Times New Roman"/>
          <w:szCs w:val="24"/>
        </w:rPr>
        <w:lastRenderedPageBreak/>
        <w:t>warsztaty pasji i twórczości (zajęcia twórczości plastycznej, warsztaty relaksacyjno-ruchowe, warsztaty muzykoterapii)</w:t>
      </w:r>
    </w:p>
    <w:p w14:paraId="4E5D647F" w14:textId="77777777" w:rsidR="003B4B00" w:rsidRDefault="0027745A" w:rsidP="00FE70E3">
      <w:pPr>
        <w:pStyle w:val="Akapitzlist"/>
        <w:numPr>
          <w:ilvl w:val="0"/>
          <w:numId w:val="130"/>
        </w:numPr>
        <w:rPr>
          <w:rFonts w:cs="Times New Roman"/>
          <w:szCs w:val="24"/>
        </w:rPr>
      </w:pPr>
      <w:r w:rsidRPr="00D833CD">
        <w:rPr>
          <w:rFonts w:cs="Times New Roman"/>
          <w:szCs w:val="24"/>
        </w:rPr>
        <w:t>Integracja międzypokoleniowa „Jesteśmy razem”. Cykl spotkań seniorów z dziećmi i młodzieżą.</w:t>
      </w:r>
    </w:p>
    <w:p w14:paraId="4C26DD03" w14:textId="652B35B8" w:rsidR="003B4B00" w:rsidRDefault="0027745A" w:rsidP="00FE70E3">
      <w:pPr>
        <w:pStyle w:val="Akapitzlist"/>
        <w:numPr>
          <w:ilvl w:val="0"/>
          <w:numId w:val="130"/>
        </w:numPr>
        <w:rPr>
          <w:rFonts w:cs="Times New Roman"/>
          <w:szCs w:val="24"/>
        </w:rPr>
      </w:pPr>
      <w:r w:rsidRPr="003B4B00">
        <w:rPr>
          <w:rFonts w:cs="Times New Roman"/>
          <w:szCs w:val="24"/>
        </w:rPr>
        <w:t>Gminny Klub Aktywnego Seniora działający przy Centrum Kultury w Annopolu, który powstał w  2008 r</w:t>
      </w:r>
      <w:r w:rsidR="004D289B">
        <w:rPr>
          <w:rFonts w:cs="Times New Roman"/>
          <w:szCs w:val="24"/>
        </w:rPr>
        <w:t>.</w:t>
      </w:r>
      <w:r w:rsidRPr="003B4B00">
        <w:rPr>
          <w:rFonts w:cs="Times New Roman"/>
          <w:szCs w:val="24"/>
        </w:rPr>
        <w:t xml:space="preserve">. Został utworzony w ramach środków pozyskanych z Programu Integracji Społecznej. Inicjatywa ta miała na celu integrowanie oraz wspieranie i inicjowanie szeroko pojętej aktywności ludzi powyżej pięćdziesiątego roku życia – emerytów, rencistów i osoby samotne z terenu Miasta i Gminy Annopol. </w:t>
      </w:r>
    </w:p>
    <w:p w14:paraId="76F8BE0A" w14:textId="77777777" w:rsidR="003B4B00" w:rsidRDefault="0027745A" w:rsidP="00FE70E3">
      <w:pPr>
        <w:pStyle w:val="Akapitzlist"/>
        <w:numPr>
          <w:ilvl w:val="0"/>
          <w:numId w:val="130"/>
        </w:numPr>
        <w:rPr>
          <w:rFonts w:cs="Times New Roman"/>
          <w:szCs w:val="24"/>
        </w:rPr>
      </w:pPr>
      <w:r w:rsidRPr="003B4B00">
        <w:rPr>
          <w:rFonts w:cs="Times New Roman"/>
          <w:szCs w:val="24"/>
        </w:rPr>
        <w:t xml:space="preserve">Ośrodek Pomocy Społecznej w Annopolu w 2020 r. prowadził ośrodek wsparcia Klub „Senior+” w Wymysłowie w ramach Programu Wieloletniego „Senior+” na lata 2021-2025. Klub dysponował 15 miejscami i udzielał wsparcia seniorom w wieku 60+ w formie: zajęcia rehabilitacyjno-ruchowe, zajęcia muzyczne, zajęcia plastyczne, zajęcia kulinarne, zajęcia aktywizujące społecznie w tym wolontariat, zajęcia edukacyjne, usługi socjalne, poradnictwo specjalistyczne pracownika socjalnego, wyjazdy kulturalno-oświatowe, spotkania okolicznościowe i integracyjne. </w:t>
      </w:r>
    </w:p>
    <w:p w14:paraId="6158B4B5" w14:textId="20CB6B1B" w:rsidR="003B4B00" w:rsidRDefault="0027745A" w:rsidP="00FE70E3">
      <w:pPr>
        <w:pStyle w:val="Akapitzlist"/>
        <w:numPr>
          <w:ilvl w:val="0"/>
          <w:numId w:val="130"/>
        </w:numPr>
        <w:rPr>
          <w:rFonts w:cs="Times New Roman"/>
          <w:szCs w:val="24"/>
        </w:rPr>
      </w:pPr>
      <w:r w:rsidRPr="003B4B00">
        <w:rPr>
          <w:rFonts w:cs="Times New Roman"/>
          <w:szCs w:val="24"/>
        </w:rPr>
        <w:t>OPS w Annopolu w 2020 r. zorganizował akcję szycia maseczek, w ramach której we współpracy z chętnymi mieszkańcami Gminy Annopol uszytych zostało 5500 szt. maseczek z materiałów otrzymanych z Urzędu Miejskiego w Annopolu. Maseczki były przekazywane sołtysom, którzy wydawali je osobom w swoich miejscowościach, w tym osobom w</w:t>
      </w:r>
      <w:r w:rsidR="003B4B00">
        <w:rPr>
          <w:rFonts w:cs="Times New Roman"/>
          <w:szCs w:val="24"/>
        </w:rPr>
        <w:t> </w:t>
      </w:r>
      <w:r w:rsidRPr="003B4B00">
        <w:rPr>
          <w:rFonts w:cs="Times New Roman"/>
          <w:szCs w:val="24"/>
        </w:rPr>
        <w:t>wieku</w:t>
      </w:r>
      <w:r w:rsidR="003B4B00">
        <w:rPr>
          <w:rFonts w:cs="Times New Roman"/>
          <w:szCs w:val="24"/>
        </w:rPr>
        <w:t> </w:t>
      </w:r>
      <w:r w:rsidRPr="003B4B00">
        <w:rPr>
          <w:rFonts w:cs="Times New Roman"/>
          <w:szCs w:val="24"/>
        </w:rPr>
        <w:t>60+.</w:t>
      </w:r>
    </w:p>
    <w:p w14:paraId="1E2BE33A" w14:textId="77777777" w:rsidR="003B4B00" w:rsidRDefault="003B4B00" w:rsidP="003B4B00">
      <w:pPr>
        <w:rPr>
          <w:rFonts w:cs="Times New Roman"/>
          <w:szCs w:val="24"/>
        </w:rPr>
      </w:pPr>
    </w:p>
    <w:p w14:paraId="78DCB61B" w14:textId="6018456A" w:rsidR="0027745A" w:rsidRPr="003B4B00" w:rsidRDefault="0027745A" w:rsidP="003B4B00">
      <w:pPr>
        <w:rPr>
          <w:rFonts w:cs="Times New Roman"/>
          <w:b/>
          <w:bCs/>
          <w:szCs w:val="24"/>
        </w:rPr>
      </w:pPr>
      <w:r w:rsidRPr="003B4B00">
        <w:rPr>
          <w:rFonts w:cs="Times New Roman"/>
          <w:b/>
          <w:bCs/>
          <w:szCs w:val="24"/>
        </w:rPr>
        <w:t>Przykłady innowacyjnych rozwiązań</w:t>
      </w:r>
    </w:p>
    <w:p w14:paraId="464318DA" w14:textId="77777777" w:rsidR="0027745A" w:rsidRPr="0027745A" w:rsidRDefault="0027745A" w:rsidP="0027745A">
      <w:pPr>
        <w:rPr>
          <w:rFonts w:cs="Times New Roman"/>
          <w:szCs w:val="24"/>
        </w:rPr>
      </w:pPr>
    </w:p>
    <w:p w14:paraId="58DAC702" w14:textId="5BF9C111" w:rsidR="0027745A" w:rsidRPr="0027745A" w:rsidRDefault="0027745A" w:rsidP="0027745A">
      <w:pPr>
        <w:rPr>
          <w:rFonts w:cs="Times New Roman"/>
          <w:szCs w:val="24"/>
        </w:rPr>
      </w:pPr>
      <w:r w:rsidRPr="0027745A">
        <w:rPr>
          <w:rFonts w:cs="Times New Roman"/>
          <w:szCs w:val="24"/>
        </w:rPr>
        <w:t>Gmina Annopol i OPS w Annopolu w 2020 r</w:t>
      </w:r>
      <w:r w:rsidR="004D289B">
        <w:rPr>
          <w:rFonts w:cs="Times New Roman"/>
          <w:szCs w:val="24"/>
        </w:rPr>
        <w:t>.</w:t>
      </w:r>
      <w:r w:rsidRPr="0027745A">
        <w:rPr>
          <w:rFonts w:cs="Times New Roman"/>
          <w:szCs w:val="24"/>
        </w:rPr>
        <w:t xml:space="preserve"> kontynuował realizacje projektu jako Partner w projekcie „Czerwony guzik życia – aktywizacja społeczna i zdrowotna mieszkańców Powiatu Kraśnickiego”, w ramach którego 15 osób starszych z terenu Gminy otrzymało i użytkowało „bransoletkę życia” oraz korzystało z realizacji usługi elektronicznego całodobowego monitoringu systemu </w:t>
      </w:r>
      <w:proofErr w:type="spellStart"/>
      <w:r w:rsidRPr="0027745A">
        <w:rPr>
          <w:rFonts w:cs="Times New Roman"/>
          <w:szCs w:val="24"/>
        </w:rPr>
        <w:t>przywoływawczego</w:t>
      </w:r>
      <w:proofErr w:type="spellEnd"/>
      <w:r w:rsidRPr="0027745A">
        <w:rPr>
          <w:rFonts w:cs="Times New Roman"/>
          <w:szCs w:val="24"/>
        </w:rPr>
        <w:t xml:space="preserve"> (tzw. </w:t>
      </w:r>
      <w:proofErr w:type="spellStart"/>
      <w:r w:rsidRPr="0027745A">
        <w:rPr>
          <w:rFonts w:cs="Times New Roman"/>
          <w:szCs w:val="24"/>
        </w:rPr>
        <w:t>Teleopieka</w:t>
      </w:r>
      <w:proofErr w:type="spellEnd"/>
      <w:r w:rsidRPr="0027745A">
        <w:rPr>
          <w:rFonts w:cs="Times New Roman"/>
          <w:szCs w:val="24"/>
        </w:rPr>
        <w:t xml:space="preserve">) w miejscu zamieszkania, zapewniającej szybką i skuteczną reakcję w sytuacji bezpośredniego zagrożenia życia lub zdrowia osób starszych. </w:t>
      </w:r>
    </w:p>
    <w:p w14:paraId="5C117B01" w14:textId="77777777" w:rsidR="0027745A" w:rsidRPr="0027745A" w:rsidRDefault="0027745A" w:rsidP="0027745A">
      <w:pPr>
        <w:rPr>
          <w:rFonts w:cs="Times New Roman"/>
          <w:szCs w:val="24"/>
        </w:rPr>
      </w:pPr>
    </w:p>
    <w:p w14:paraId="25A8C90E" w14:textId="6DEF8DEA" w:rsidR="0027745A" w:rsidRPr="0027745A" w:rsidRDefault="0027745A" w:rsidP="0027745A">
      <w:pPr>
        <w:rPr>
          <w:rFonts w:cs="Times New Roman"/>
          <w:szCs w:val="24"/>
        </w:rPr>
      </w:pPr>
      <w:r w:rsidRPr="0027745A">
        <w:rPr>
          <w:rFonts w:cs="Times New Roman"/>
          <w:szCs w:val="24"/>
        </w:rPr>
        <w:t>Miasto Zamość realizowało program „</w:t>
      </w:r>
      <w:proofErr w:type="spellStart"/>
      <w:r w:rsidRPr="0027745A">
        <w:rPr>
          <w:rFonts w:cs="Times New Roman"/>
          <w:szCs w:val="24"/>
        </w:rPr>
        <w:t>Ułatwiacze</w:t>
      </w:r>
      <w:proofErr w:type="spellEnd"/>
      <w:r w:rsidRPr="0027745A">
        <w:rPr>
          <w:rFonts w:cs="Times New Roman"/>
          <w:szCs w:val="24"/>
        </w:rPr>
        <w:t xml:space="preserve"> życia” – tj. bony: transportowe (przejazd taksówką do lekarza, apteki i w celu załatwienia spraw urzędowych), rehabilitacyjne (cykl zabiegów rehabilitacyjnych), mobilne usługi w miejscu zamieszkania seniora (usługi </w:t>
      </w:r>
      <w:proofErr w:type="spellStart"/>
      <w:r w:rsidRPr="0027745A">
        <w:rPr>
          <w:rFonts w:cs="Times New Roman"/>
          <w:szCs w:val="24"/>
        </w:rPr>
        <w:t>podologiczne</w:t>
      </w:r>
      <w:proofErr w:type="spellEnd"/>
      <w:r w:rsidRPr="0027745A">
        <w:rPr>
          <w:rFonts w:cs="Times New Roman"/>
          <w:szCs w:val="24"/>
        </w:rPr>
        <w:t xml:space="preserve">, fryzjerskie, rehabilitacyjne, drobne naprawy i inne zgodnie z indywidualnymi </w:t>
      </w:r>
      <w:proofErr w:type="spellStart"/>
      <w:r w:rsidRPr="0027745A">
        <w:rPr>
          <w:rFonts w:cs="Times New Roman"/>
          <w:szCs w:val="24"/>
        </w:rPr>
        <w:t>zapotrzebowaniami</w:t>
      </w:r>
      <w:proofErr w:type="spellEnd"/>
      <w:r w:rsidRPr="0027745A">
        <w:rPr>
          <w:rFonts w:cs="Times New Roman"/>
          <w:szCs w:val="24"/>
        </w:rPr>
        <w:t>),</w:t>
      </w:r>
      <w:r w:rsidR="003B4B00">
        <w:rPr>
          <w:rFonts w:cs="Times New Roman"/>
          <w:szCs w:val="24"/>
        </w:rPr>
        <w:t xml:space="preserve"> a także:</w:t>
      </w:r>
    </w:p>
    <w:p w14:paraId="1E58507F" w14:textId="77777777" w:rsidR="003B4B00" w:rsidRDefault="0027745A" w:rsidP="00FE70E3">
      <w:pPr>
        <w:pStyle w:val="Akapitzlist"/>
        <w:numPr>
          <w:ilvl w:val="0"/>
          <w:numId w:val="131"/>
        </w:numPr>
        <w:rPr>
          <w:rFonts w:cs="Times New Roman"/>
          <w:szCs w:val="24"/>
        </w:rPr>
      </w:pPr>
      <w:r w:rsidRPr="003B4B00">
        <w:rPr>
          <w:rFonts w:cs="Times New Roman"/>
          <w:szCs w:val="24"/>
        </w:rPr>
        <w:t>działanie „rowerowy wolontariusz” - dowożono zakupy, leki i środki ochrony osobistej do seniorów przez wolontariuszy,</w:t>
      </w:r>
    </w:p>
    <w:p w14:paraId="495034FB" w14:textId="24D1C3FC" w:rsidR="0027745A" w:rsidRPr="003B4B00" w:rsidRDefault="0027745A" w:rsidP="00FE70E3">
      <w:pPr>
        <w:pStyle w:val="Akapitzlist"/>
        <w:numPr>
          <w:ilvl w:val="0"/>
          <w:numId w:val="131"/>
        </w:numPr>
        <w:rPr>
          <w:rFonts w:cs="Times New Roman"/>
          <w:szCs w:val="24"/>
        </w:rPr>
      </w:pPr>
      <w:r w:rsidRPr="003B4B00">
        <w:rPr>
          <w:rFonts w:cs="Times New Roman"/>
          <w:szCs w:val="24"/>
        </w:rPr>
        <w:t>karty do Biedronki na codzienne zakupy o wartości 150 zł wydawane przez Caritas – przyznano 100 kart.</w:t>
      </w:r>
    </w:p>
    <w:p w14:paraId="42ECB26F" w14:textId="1ED5FA2A" w:rsidR="0027745A" w:rsidRPr="005C6286" w:rsidRDefault="0027745A" w:rsidP="00D833CD">
      <w:pPr>
        <w:rPr>
          <w:rFonts w:cs="Times New Roman"/>
          <w:szCs w:val="24"/>
        </w:rPr>
      </w:pPr>
      <w:r w:rsidRPr="0027745A">
        <w:rPr>
          <w:rFonts w:cs="Times New Roman"/>
          <w:szCs w:val="24"/>
        </w:rPr>
        <w:t xml:space="preserve"> </w:t>
      </w:r>
    </w:p>
    <w:p w14:paraId="52DFC66B" w14:textId="0D862292" w:rsidR="0027745A" w:rsidRDefault="0027745A" w:rsidP="00BA4636">
      <w:pPr>
        <w:rPr>
          <w:rFonts w:cs="Times New Roman"/>
          <w:szCs w:val="24"/>
        </w:rPr>
      </w:pPr>
    </w:p>
    <w:p w14:paraId="1C77AB1A" w14:textId="5E8BCA72" w:rsidR="0027745A" w:rsidRDefault="0027745A" w:rsidP="0027745A">
      <w:pPr>
        <w:pStyle w:val="Nagwek3"/>
        <w:rPr>
          <w:lang w:eastAsia="ar-SA"/>
        </w:rPr>
      </w:pPr>
      <w:bookmarkStart w:id="156" w:name="_Toc77513963"/>
      <w:bookmarkStart w:id="157" w:name="_Toc80523117"/>
      <w:r w:rsidRPr="0027745A">
        <w:rPr>
          <w:lang w:eastAsia="ar-SA"/>
        </w:rPr>
        <w:lastRenderedPageBreak/>
        <w:t xml:space="preserve">Działania związane z ochroną seniorów przed negatywnymi skutkami pandemii COVID-19, które zostały podjęte w 2020 r w województwie </w:t>
      </w:r>
      <w:r>
        <w:rPr>
          <w:lang w:eastAsia="ar-SA"/>
        </w:rPr>
        <w:t>lubelskim</w:t>
      </w:r>
      <w:bookmarkEnd w:id="156"/>
      <w:bookmarkEnd w:id="157"/>
    </w:p>
    <w:p w14:paraId="33E27093" w14:textId="10418EA1" w:rsidR="00D833CD" w:rsidRDefault="00D833CD" w:rsidP="00D833CD">
      <w:pPr>
        <w:rPr>
          <w:lang w:eastAsia="ar-SA"/>
        </w:rPr>
      </w:pPr>
    </w:p>
    <w:p w14:paraId="0BB42913" w14:textId="77777777" w:rsidR="00D833CD" w:rsidRPr="0027745A" w:rsidRDefault="00D833CD" w:rsidP="00D833CD">
      <w:pPr>
        <w:rPr>
          <w:rFonts w:cs="Times New Roman"/>
          <w:szCs w:val="24"/>
        </w:rPr>
      </w:pPr>
      <w:r w:rsidRPr="0027745A">
        <w:rPr>
          <w:rFonts w:cs="Times New Roman"/>
          <w:szCs w:val="24"/>
        </w:rPr>
        <w:t xml:space="preserve">W 2020 r. kluczowym zadaniem realizowanym przez Samorząd Województwa Lubelskiego było łagodzenie skutków wystąpienia pandemii COViD-19 oraz przeciwdziałanie jej negatywnym konsekwencjom, m.in. poprzez wsparcie instytucji działających na rzecz seniorów. Pomoc </w:t>
      </w:r>
      <w:r>
        <w:rPr>
          <w:rFonts w:cs="Times New Roman"/>
          <w:szCs w:val="24"/>
        </w:rPr>
        <w:t xml:space="preserve"> </w:t>
      </w:r>
      <w:r w:rsidRPr="0027745A">
        <w:rPr>
          <w:rFonts w:cs="Times New Roman"/>
          <w:szCs w:val="24"/>
        </w:rPr>
        <w:t>w zakresie zakupu środków ochrony osobistej, doposażenia stanowiska pracy, zatrudnienia nowych pracowników, przyznania dodatkowego wynagrodzenia dla pracowników mających kontakt z mieszkańcami, przygotowania tymczasowego miejsca do kwarantanny i miejsca wytchnienia skierowano do 46 domów pomocy społecznej, w których również</w:t>
      </w:r>
      <w:r>
        <w:rPr>
          <w:rFonts w:cs="Times New Roman"/>
          <w:szCs w:val="24"/>
        </w:rPr>
        <w:t xml:space="preserve"> </w:t>
      </w:r>
      <w:r w:rsidRPr="0027745A">
        <w:rPr>
          <w:rFonts w:cs="Times New Roman"/>
          <w:szCs w:val="24"/>
        </w:rPr>
        <w:t xml:space="preserve">mieszkają osoby starsze. </w:t>
      </w:r>
      <w:r>
        <w:rPr>
          <w:rFonts w:cs="Times New Roman"/>
          <w:szCs w:val="24"/>
        </w:rPr>
        <w:t xml:space="preserve"> </w:t>
      </w:r>
      <w:r w:rsidRPr="0027745A">
        <w:rPr>
          <w:rFonts w:cs="Times New Roman"/>
          <w:szCs w:val="24"/>
        </w:rPr>
        <w:t>Środki ochrony indywidualnej oraz sprzęt zostały zakupione dla 213 ośrodków pomocy społecznej, 20 powiatowych centrów pomocy rodzinie, 11 instytucji opieki paliatywno-hospicyjnej, 10 schronisk dla osób bezdomnych i 11 organizacji pozarządowych.</w:t>
      </w:r>
    </w:p>
    <w:p w14:paraId="1BFB3C35" w14:textId="77777777" w:rsidR="00D833CD" w:rsidRPr="00D833CD" w:rsidRDefault="00D833CD" w:rsidP="00D833CD">
      <w:pPr>
        <w:rPr>
          <w:lang w:eastAsia="ar-SA"/>
        </w:rPr>
      </w:pPr>
    </w:p>
    <w:p w14:paraId="04504655" w14:textId="1770A08A" w:rsidR="0027745A" w:rsidRDefault="0027745A" w:rsidP="0027745A">
      <w:pPr>
        <w:rPr>
          <w:rFonts w:cs="Times New Roman"/>
          <w:szCs w:val="24"/>
        </w:rPr>
      </w:pPr>
      <w:r w:rsidRPr="0027745A">
        <w:rPr>
          <w:rFonts w:cs="Times New Roman"/>
          <w:szCs w:val="24"/>
        </w:rPr>
        <w:t>Na terenie województwa lubelskiego realizowany był Program „Wspieraj Seniora” na 2020</w:t>
      </w:r>
      <w:r w:rsidR="00780362">
        <w:rPr>
          <w:rFonts w:cs="Times New Roman"/>
          <w:szCs w:val="24"/>
        </w:rPr>
        <w:t xml:space="preserve"> r.</w:t>
      </w:r>
      <w:r w:rsidRPr="0027745A">
        <w:rPr>
          <w:rFonts w:cs="Times New Roman"/>
          <w:szCs w:val="24"/>
        </w:rPr>
        <w:t xml:space="preserve"> który jest odpowiedzią na potrzeby osób </w:t>
      </w:r>
      <w:r>
        <w:rPr>
          <w:rFonts w:cs="Times New Roman"/>
          <w:szCs w:val="24"/>
        </w:rPr>
        <w:t xml:space="preserve"> </w:t>
      </w:r>
      <w:r w:rsidRPr="0027745A">
        <w:rPr>
          <w:rFonts w:cs="Times New Roman"/>
          <w:szCs w:val="24"/>
        </w:rPr>
        <w:t>w wieku 70 lat i więcej, w zakresie ochrony przed zakażeniem Covid-19, w związku z utrzymującym się stanem epidemii na obszarze Rzeczypospolitej Polskiej.</w:t>
      </w:r>
    </w:p>
    <w:p w14:paraId="35511429" w14:textId="77777777" w:rsidR="00BE45D2" w:rsidRPr="0027745A" w:rsidRDefault="00BE45D2" w:rsidP="0027745A">
      <w:pPr>
        <w:rPr>
          <w:rFonts w:cs="Times New Roman"/>
          <w:szCs w:val="24"/>
        </w:rPr>
      </w:pPr>
    </w:p>
    <w:p w14:paraId="649AD5B6" w14:textId="293071A4" w:rsidR="00BE45D2" w:rsidRDefault="0027745A" w:rsidP="0027745A">
      <w:pPr>
        <w:rPr>
          <w:rFonts w:cs="Times New Roman"/>
          <w:szCs w:val="24"/>
        </w:rPr>
      </w:pPr>
      <w:r w:rsidRPr="0027745A">
        <w:rPr>
          <w:rFonts w:cs="Times New Roman"/>
          <w:szCs w:val="24"/>
        </w:rPr>
        <w:t>Program ma na celu dofinansowanie gmin w zakresie realizacji usługi wsparcia na rzecz Seniorów, którzy w obowiązującym stanie epidemii zdecydują się na  pozostanie w domu. Usługa wsparcia polega w szczególności na dostarczeniu zakupów, zgodnie ze wskazanym przez Seniora zakresem, obejmujących artykuły podstawowej potrzeby, w tym artykuły spożywcze, środków higieny osobistej.</w:t>
      </w:r>
    </w:p>
    <w:p w14:paraId="4284679C" w14:textId="77777777" w:rsidR="00BE45D2" w:rsidRPr="0027745A" w:rsidRDefault="00BE45D2" w:rsidP="0027745A">
      <w:pPr>
        <w:rPr>
          <w:rFonts w:cs="Times New Roman"/>
          <w:szCs w:val="24"/>
        </w:rPr>
      </w:pPr>
    </w:p>
    <w:p w14:paraId="10EC9B01" w14:textId="7DF86038" w:rsidR="0027745A" w:rsidRDefault="0027745A" w:rsidP="0027745A">
      <w:pPr>
        <w:rPr>
          <w:rFonts w:cs="Times New Roman"/>
          <w:szCs w:val="24"/>
        </w:rPr>
      </w:pPr>
      <w:r w:rsidRPr="0027745A">
        <w:rPr>
          <w:rFonts w:cs="Times New Roman"/>
          <w:szCs w:val="24"/>
        </w:rPr>
        <w:t>Na terenie województwa lubelskiego na 213 gmin do Programu „Wspieraj Seniora” na rok 2020 przystąpiło 168 gmin. W trakcie realizacji zadania 113 jednostek odebrało 2059 zgłoszeń, w tym 1686 od osób w wieku 70 lat i więcej oraz 373 od osób poniżej 70 lat. Ostatecznie ze wsparcia finansowego w ramach Programu skorzystało 70 gmin, udzielając pomocy w ramach Programu 1430 osobom, w tym 1163 osobom w wieku 70 lat i więcej oraz 267 osobom poniżej 70 lat.</w:t>
      </w:r>
      <w:r w:rsidR="00BE45D2">
        <w:rPr>
          <w:rFonts w:cs="Times New Roman"/>
          <w:szCs w:val="24"/>
        </w:rPr>
        <w:t xml:space="preserve"> </w:t>
      </w:r>
      <w:r w:rsidRPr="0027745A">
        <w:rPr>
          <w:rFonts w:cs="Times New Roman"/>
          <w:szCs w:val="24"/>
        </w:rPr>
        <w:t xml:space="preserve">Do realizacji programu zgłosiło się 160 wolontariuszy w 15 gminach, z czego 11 jednostek podpisało porozumienie ze 146 wolontariuszami. Zatrudnionych zostało 12 nowych osób, natomiast 266 pracowników ośrodków pomocy społecznej otrzymało dodatek specjalny w tytułu dodatkowych zadań wynikających z Programu. Zapotrzebowanie na środki z dotacji na realizację Programu „Wspieraj Seniora” zostało złożone w kwocie 2 622 186,55 zł. Całkowity koszt realizacji zadania wyniósł 372 745,74 zł, z czego 289 630,31 zł stanowiły środki z budżetu państwa, natomiast 83 115,43 zł środki pochodzące </w:t>
      </w:r>
      <w:r w:rsidR="00BE45D2">
        <w:rPr>
          <w:rFonts w:cs="Times New Roman"/>
          <w:szCs w:val="24"/>
        </w:rPr>
        <w:t xml:space="preserve"> </w:t>
      </w:r>
      <w:r w:rsidRPr="0027745A">
        <w:rPr>
          <w:rFonts w:cs="Times New Roman"/>
          <w:szCs w:val="24"/>
        </w:rPr>
        <w:t>z wkładu własnego.</w:t>
      </w:r>
    </w:p>
    <w:p w14:paraId="3C904047" w14:textId="77777777" w:rsidR="00BE45D2" w:rsidRPr="0027745A" w:rsidRDefault="00BE45D2" w:rsidP="0027745A">
      <w:pPr>
        <w:rPr>
          <w:rFonts w:cs="Times New Roman"/>
          <w:szCs w:val="24"/>
        </w:rPr>
      </w:pPr>
    </w:p>
    <w:p w14:paraId="60032038" w14:textId="77777777" w:rsidR="0027745A" w:rsidRPr="0027745A" w:rsidRDefault="0027745A" w:rsidP="0027745A">
      <w:pPr>
        <w:rPr>
          <w:rFonts w:cs="Times New Roman"/>
          <w:szCs w:val="24"/>
        </w:rPr>
      </w:pPr>
      <w:r w:rsidRPr="0027745A">
        <w:rPr>
          <w:rFonts w:cs="Times New Roman"/>
          <w:szCs w:val="24"/>
        </w:rPr>
        <w:t>Wszystkie gminy, które uczestniczyły w Programie „Wspieraj Seniora” realizowały wynikające z niego zadania samodzielnie. Przy czym dwie gminy dodatkowo zleciły cześć zadań organizacjom pozarządowym oraz 2 zakupiły usługę wsparcia od podmiotów sektora prywatnego.</w:t>
      </w:r>
    </w:p>
    <w:p w14:paraId="3881E6C5" w14:textId="77777777" w:rsidR="00BE45D2" w:rsidRDefault="00BE45D2" w:rsidP="0027745A">
      <w:pPr>
        <w:rPr>
          <w:rFonts w:cs="Times New Roman"/>
          <w:szCs w:val="24"/>
        </w:rPr>
      </w:pPr>
    </w:p>
    <w:p w14:paraId="72F800A6" w14:textId="6A7EEA8E" w:rsidR="0027745A" w:rsidRDefault="0027745A" w:rsidP="0027745A">
      <w:pPr>
        <w:rPr>
          <w:rFonts w:cs="Times New Roman"/>
          <w:szCs w:val="24"/>
        </w:rPr>
      </w:pPr>
      <w:r w:rsidRPr="0027745A">
        <w:rPr>
          <w:rFonts w:cs="Times New Roman"/>
          <w:szCs w:val="24"/>
        </w:rPr>
        <w:t xml:space="preserve">Z analizy przekazanych przez gminy sprawozdań wynika, że przekazane w ramach Programu środki finansowe pozwoliły na zwiększenie zaangażowania gmin w zakresie udzielania </w:t>
      </w:r>
      <w:r w:rsidRPr="0027745A">
        <w:rPr>
          <w:rFonts w:cs="Times New Roman"/>
          <w:szCs w:val="24"/>
        </w:rPr>
        <w:lastRenderedPageBreak/>
        <w:t>wsparcia grupie docelowej Programu. Z jednej strony pozwoliły zminimalizować ryzyko zakażenia seniorów w trakcie wykonywania przez nich czynności dnia codziennego, z drugiej zaś stanowiły element motywacyjny dla pracowników, którzy wykonując określone czynności zwiększali ryzyko własnego zakażenia.</w:t>
      </w:r>
    </w:p>
    <w:p w14:paraId="21F9455F" w14:textId="77777777" w:rsidR="00BE45D2" w:rsidRPr="0027745A" w:rsidRDefault="00BE45D2" w:rsidP="0027745A">
      <w:pPr>
        <w:rPr>
          <w:rFonts w:cs="Times New Roman"/>
          <w:szCs w:val="24"/>
        </w:rPr>
      </w:pPr>
    </w:p>
    <w:p w14:paraId="2F3DC742" w14:textId="77777777" w:rsidR="0027745A" w:rsidRPr="0027745A" w:rsidRDefault="0027745A" w:rsidP="0027745A">
      <w:pPr>
        <w:rPr>
          <w:rFonts w:cs="Times New Roman"/>
          <w:szCs w:val="24"/>
        </w:rPr>
      </w:pPr>
      <w:r w:rsidRPr="0027745A">
        <w:rPr>
          <w:rFonts w:cs="Times New Roman"/>
          <w:szCs w:val="24"/>
        </w:rPr>
        <w:t xml:space="preserve">W ramach realizacji Programu gminy udzieliły wsparcia, które polegało w szczególności na dostarczeniu zakupów, obejmujących artykuły podstawowej potrzeby, w tym, artykuły spożywcze, środki higieny osobistej, realizację recept, podejmowanie działań wspomagających </w:t>
      </w:r>
    </w:p>
    <w:p w14:paraId="7011F8A1" w14:textId="72E703AF" w:rsidR="0027745A" w:rsidRDefault="0027745A" w:rsidP="0027745A">
      <w:pPr>
        <w:rPr>
          <w:rFonts w:cs="Times New Roman"/>
          <w:szCs w:val="24"/>
        </w:rPr>
      </w:pPr>
      <w:r w:rsidRPr="0027745A">
        <w:rPr>
          <w:rFonts w:cs="Times New Roman"/>
          <w:szCs w:val="24"/>
        </w:rPr>
        <w:t>w pozostawaniu w miejscu zamieszkania. Działania te przyczyniły się do zmniejszenia ryzyka zachorowalności wśród osób starszych na terenie województwa lubelskiego. Jednocześnie należy zaznaczyć, że dla osób samotnych, które aktywnie uczestniczyły w życiu społecznym zamkniecie placówek ograniczyło kontakt ze środowiskiem. Pracownicy Ośrodków Pomocy Społecznej byli niejednokrotnie jedynymi osobami, z którymi Seniorzy mieli kontakt i mogli porozmawiać.</w:t>
      </w:r>
    </w:p>
    <w:p w14:paraId="238536EE" w14:textId="77777777" w:rsidR="00BE45D2" w:rsidRPr="0027745A" w:rsidRDefault="00BE45D2" w:rsidP="0027745A">
      <w:pPr>
        <w:rPr>
          <w:rFonts w:cs="Times New Roman"/>
          <w:szCs w:val="24"/>
        </w:rPr>
      </w:pPr>
    </w:p>
    <w:p w14:paraId="7C7C2787" w14:textId="77777777" w:rsidR="0027745A" w:rsidRPr="0027745A" w:rsidRDefault="0027745A" w:rsidP="0027745A">
      <w:pPr>
        <w:rPr>
          <w:rFonts w:cs="Times New Roman"/>
          <w:szCs w:val="24"/>
        </w:rPr>
      </w:pPr>
      <w:r w:rsidRPr="0027745A">
        <w:rPr>
          <w:rFonts w:cs="Times New Roman"/>
          <w:szCs w:val="24"/>
        </w:rPr>
        <w:t xml:space="preserve">Zdecydowana większość gmin, zarówno uczestniczących w Programie w 2020 r., jak i tych, które do niego nie przystąpiły, pozytywnie ocenia samą ideę i cel Programu „Wspieraj Seniora”. Jednak jak wskazują ośrodki, osoby w podeszłym wieku – powyżej 70 roku życia, są traktowane przez gminy priorytetowo i otrzymują niezbędne wsparcie, umożliwiające funkcjonowanie w środowisku. Seniorzy korzystają z usług opiekuńczych oraz ze wsparcia oferowanego przez pracowników ośrodków pomocy społecznej w ramach pracy socjalnej już od początku trwania stanu epidemii. Ponadto większość osób starszych zamieszkuje z rodziną lub korzysta z jej pomocy. W gminach wiejskich pomoc niosą sobie sąsiedzi nawzajem, lub zgłoszenia kierowane były bezpośrednio do Ośrodków. Przełożyło się na mniejszą liczbę zgłoszeń dokonywanych poprzez Aplikację CAS. Z uwagi na fakt, że województwo lubelskie ma charakter typowo rolniczy i przeważają gminy wiejskie, stosunkowo niewielki odsetek ośrodków pomocy społecznej skorzystał ze środków z budżetu państwa (96 na 168 gmin, które podpisały umowy). Zauważyć należy, że większość gmin realizowała ww. Program w ramach środków własnych, ponieważ były to niewielkie koszty jakie gminy ponosiły </w:t>
      </w:r>
    </w:p>
    <w:p w14:paraId="35EBC0C3" w14:textId="42056DBD" w:rsidR="0027745A" w:rsidRPr="005C6286" w:rsidRDefault="0027745A" w:rsidP="0027745A">
      <w:pPr>
        <w:rPr>
          <w:rFonts w:cs="Times New Roman"/>
          <w:szCs w:val="24"/>
        </w:rPr>
      </w:pPr>
      <w:r w:rsidRPr="0027745A">
        <w:rPr>
          <w:rFonts w:cs="Times New Roman"/>
          <w:szCs w:val="24"/>
        </w:rPr>
        <w:t>z tytułu realizowanych usług.</w:t>
      </w:r>
    </w:p>
    <w:p w14:paraId="3C763C21" w14:textId="77777777" w:rsidR="00BA4636" w:rsidRDefault="00BA4636" w:rsidP="003C1988">
      <w:pPr>
        <w:rPr>
          <w:rFonts w:cs="Times New Roman"/>
          <w:b/>
          <w:color w:val="FF0000"/>
          <w:szCs w:val="24"/>
          <w:lang w:eastAsia="ar-SA"/>
        </w:rPr>
      </w:pPr>
    </w:p>
    <w:p w14:paraId="7948C2E1" w14:textId="5E093667" w:rsidR="00D96C8C" w:rsidRDefault="00D96C8C" w:rsidP="00D96C8C">
      <w:pPr>
        <w:pStyle w:val="Nagwek3"/>
      </w:pPr>
      <w:bookmarkStart w:id="158" w:name="_Toc77513964"/>
      <w:bookmarkStart w:id="159" w:name="_Toc80523118"/>
      <w:r>
        <w:t>Infrastruktura społeczna oraz usługi świadczone osobom starszym w 2020 r.</w:t>
      </w:r>
      <w:bookmarkEnd w:id="158"/>
      <w:bookmarkEnd w:id="159"/>
    </w:p>
    <w:p w14:paraId="2278F426" w14:textId="77777777" w:rsidR="000B1B06" w:rsidRPr="000B1B06" w:rsidRDefault="000B1B06" w:rsidP="000B1B06"/>
    <w:p w14:paraId="77691D7B" w14:textId="10DF3038" w:rsidR="00D96C8C" w:rsidRDefault="00D96C8C" w:rsidP="00D96C8C">
      <w:pPr>
        <w:rPr>
          <w:rFonts w:cs="Times New Roman"/>
          <w:szCs w:val="24"/>
        </w:rPr>
      </w:pPr>
      <w:r w:rsidRPr="00D96C8C">
        <w:rPr>
          <w:rFonts w:cs="Times New Roman"/>
          <w:szCs w:val="24"/>
        </w:rPr>
        <w:t xml:space="preserve">Szczegółowe informacje dotyczące usług oraz infrastruktury społecznej dostępnej dla osób starszych w województwie </w:t>
      </w:r>
      <w:r w:rsidR="0027745A">
        <w:rPr>
          <w:rFonts w:cs="Times New Roman"/>
          <w:szCs w:val="24"/>
        </w:rPr>
        <w:t>lubelskim</w:t>
      </w:r>
      <w:r>
        <w:rPr>
          <w:rFonts w:cs="Times New Roman"/>
          <w:szCs w:val="24"/>
        </w:rPr>
        <w:t xml:space="preserve"> w 2020 r. przedstawia poniższa tabela</w:t>
      </w:r>
    </w:p>
    <w:p w14:paraId="169CFFAE" w14:textId="77777777" w:rsidR="00D96C8C" w:rsidRPr="0092226B" w:rsidRDefault="00D96C8C" w:rsidP="00493925">
      <w:pPr>
        <w:pStyle w:val="Standard"/>
        <w:spacing w:line="276" w:lineRule="auto"/>
        <w:jc w:val="both"/>
        <w:rPr>
          <w:rFonts w:ascii="Times New Roman" w:hAnsi="Times New Roman" w:cs="Times New Roman"/>
          <w:color w:val="FF0000"/>
        </w:rPr>
      </w:pPr>
    </w:p>
    <w:p w14:paraId="200983C4" w14:textId="77777777" w:rsidR="0076773A" w:rsidRPr="0092226B" w:rsidRDefault="0076773A" w:rsidP="003C1988">
      <w:pPr>
        <w:rPr>
          <w:rFonts w:cs="Times New Roman"/>
          <w:color w:val="FF0000"/>
          <w:szCs w:val="24"/>
          <w:lang w:eastAsia="ar-SA"/>
        </w:rPr>
        <w:sectPr w:rsidR="0076773A" w:rsidRPr="0092226B" w:rsidSect="00080A38">
          <w:pgSz w:w="11900" w:h="16838"/>
          <w:pgMar w:top="1384" w:right="1386" w:bottom="1038" w:left="1380" w:header="0" w:footer="567" w:gutter="0"/>
          <w:cols w:space="0" w:equalWidth="0">
            <w:col w:w="9140"/>
          </w:cols>
          <w:docGrid w:linePitch="360"/>
        </w:sectPr>
      </w:pPr>
    </w:p>
    <w:p w14:paraId="2810A99B" w14:textId="02376ED7" w:rsidR="005F20F3" w:rsidRPr="009A52B2" w:rsidRDefault="005F20F3" w:rsidP="005F20F3">
      <w:pPr>
        <w:pStyle w:val="Legenda"/>
        <w:keepNext/>
        <w:rPr>
          <w:rFonts w:cs="Times New Roman"/>
          <w:b/>
          <w:i w:val="0"/>
          <w:color w:val="auto"/>
          <w:sz w:val="24"/>
        </w:rPr>
      </w:pPr>
      <w:bookmarkStart w:id="160" w:name="_Toc49171432"/>
      <w:r w:rsidRPr="009A52B2">
        <w:rPr>
          <w:rFonts w:cs="Times New Roman"/>
          <w:b/>
          <w:i w:val="0"/>
          <w:color w:val="auto"/>
          <w:sz w:val="24"/>
        </w:rPr>
        <w:lastRenderedPageBreak/>
        <w:t xml:space="preserve">Tabela </w:t>
      </w:r>
      <w:r w:rsidR="005B094D">
        <w:rPr>
          <w:rFonts w:cs="Times New Roman"/>
          <w:b/>
          <w:i w:val="0"/>
          <w:color w:val="auto"/>
          <w:sz w:val="24"/>
        </w:rPr>
        <w:t>54</w:t>
      </w:r>
      <w:r w:rsidR="00054E88">
        <w:rPr>
          <w:rFonts w:cs="Times New Roman"/>
          <w:b/>
          <w:i w:val="0"/>
          <w:color w:val="auto"/>
          <w:sz w:val="24"/>
        </w:rPr>
        <w:t>.</w:t>
      </w:r>
      <w:r w:rsidR="005B094D">
        <w:rPr>
          <w:rFonts w:cs="Times New Roman"/>
          <w:b/>
          <w:i w:val="0"/>
          <w:color w:val="auto"/>
          <w:sz w:val="24"/>
        </w:rPr>
        <w:t xml:space="preserve"> </w:t>
      </w:r>
      <w:r w:rsidRPr="009A52B2">
        <w:rPr>
          <w:rFonts w:cs="Times New Roman"/>
          <w:b/>
          <w:i w:val="0"/>
          <w:color w:val="auto"/>
          <w:sz w:val="24"/>
        </w:rPr>
        <w:t>Karta województwa lubelskiego</w:t>
      </w:r>
      <w:bookmarkEnd w:id="160"/>
    </w:p>
    <w:tbl>
      <w:tblPr>
        <w:tblStyle w:val="Tabelasiatki5ciemnaakcent2"/>
        <w:tblpPr w:leftFromText="142" w:rightFromText="142" w:vertAnchor="text" w:horzAnchor="margin" w:tblpXSpec="center" w:tblpY="1"/>
        <w:tblW w:w="14741" w:type="dxa"/>
        <w:tblLayout w:type="fixed"/>
        <w:tblLook w:val="00A0" w:firstRow="1" w:lastRow="0" w:firstColumn="1" w:lastColumn="0" w:noHBand="0" w:noVBand="0"/>
      </w:tblPr>
      <w:tblGrid>
        <w:gridCol w:w="2830"/>
        <w:gridCol w:w="3066"/>
        <w:gridCol w:w="53"/>
        <w:gridCol w:w="2895"/>
        <w:gridCol w:w="790"/>
        <w:gridCol w:w="2158"/>
        <w:gridCol w:w="2949"/>
      </w:tblGrid>
      <w:tr w:rsidR="0027745A" w:rsidRPr="00087470" w14:paraId="75E31C72" w14:textId="77777777" w:rsidTr="0027745A">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1536E45A" w14:textId="713D9AB3" w:rsidR="0027745A" w:rsidRPr="00087470" w:rsidRDefault="0027745A" w:rsidP="0027745A">
            <w:pPr>
              <w:spacing w:line="240" w:lineRule="auto"/>
              <w:jc w:val="center"/>
              <w:rPr>
                <w:rFonts w:cs="Times New Roman"/>
                <w:color w:val="auto"/>
                <w:sz w:val="20"/>
                <w:szCs w:val="20"/>
              </w:rPr>
            </w:pPr>
            <w:r w:rsidRPr="00087470">
              <w:rPr>
                <w:rFonts w:cs="Times New Roman"/>
                <w:color w:val="auto"/>
                <w:sz w:val="20"/>
                <w:szCs w:val="20"/>
              </w:rPr>
              <w:t>WOJEWÓDZTWO LUBELSKIE</w:t>
            </w:r>
          </w:p>
        </w:tc>
      </w:tr>
      <w:tr w:rsidR="0092226B" w:rsidRPr="00087470" w14:paraId="28BAD29A" w14:textId="77777777" w:rsidTr="0027745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22476A04" w14:textId="5EF52C77" w:rsidR="002D4445" w:rsidRPr="00087470" w:rsidRDefault="002D4445" w:rsidP="002D4445">
            <w:pPr>
              <w:spacing w:line="240" w:lineRule="auto"/>
              <w:jc w:val="center"/>
              <w:rPr>
                <w:rFonts w:cs="Times New Roman"/>
                <w:b w:val="0"/>
                <w:bCs w:val="0"/>
                <w:color w:val="auto"/>
                <w:sz w:val="20"/>
                <w:szCs w:val="20"/>
              </w:rPr>
            </w:pPr>
            <w:r w:rsidRPr="00087470">
              <w:rPr>
                <w:rFonts w:cs="Times New Roman"/>
                <w:color w:val="auto"/>
                <w:sz w:val="20"/>
                <w:szCs w:val="20"/>
              </w:rPr>
              <w:t>USŁUGI SPOŁECZNE DLA OSÓB STARSZYCH / INFRASTRUKTURA POMOCY SPOLECZNEJ – DANE ZA 20</w:t>
            </w:r>
            <w:r w:rsidR="0027745A" w:rsidRPr="00BE45D2">
              <w:rPr>
                <w:rFonts w:cs="Times New Roman"/>
                <w:color w:val="auto"/>
                <w:sz w:val="20"/>
                <w:szCs w:val="20"/>
              </w:rPr>
              <w:t>20</w:t>
            </w:r>
            <w:r w:rsidRPr="00087470">
              <w:rPr>
                <w:rFonts w:cs="Times New Roman"/>
                <w:color w:val="auto"/>
                <w:sz w:val="20"/>
                <w:szCs w:val="20"/>
              </w:rPr>
              <w:t xml:space="preserve"> R.</w:t>
            </w:r>
          </w:p>
        </w:tc>
      </w:tr>
      <w:tr w:rsidR="0092226B" w:rsidRPr="00087470" w14:paraId="26D16522" w14:textId="77777777" w:rsidTr="0027745A">
        <w:trPr>
          <w:trHeight w:val="7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222E2BCC" w14:textId="77777777" w:rsidR="002D4445" w:rsidRPr="00087470" w:rsidRDefault="002D4445" w:rsidP="002D4445">
            <w:pPr>
              <w:spacing w:line="240" w:lineRule="auto"/>
              <w:rPr>
                <w:rFonts w:cs="Times New Roman"/>
                <w:b w:val="0"/>
                <w:bCs w:val="0"/>
                <w:color w:val="auto"/>
                <w:sz w:val="20"/>
                <w:szCs w:val="20"/>
                <w:lang w:eastAsia="pl-PL"/>
              </w:rPr>
            </w:pPr>
            <w:r w:rsidRPr="00087470">
              <w:rPr>
                <w:rFonts w:cs="Times New Roman"/>
                <w:color w:val="auto"/>
                <w:sz w:val="20"/>
                <w:szCs w:val="20"/>
                <w:lang w:eastAsia="pl-PL"/>
              </w:rPr>
              <w:t>Instytucje pomocy społecznej, w tym:</w:t>
            </w:r>
          </w:p>
        </w:tc>
        <w:tc>
          <w:tcPr>
            <w:cnfStyle w:val="000010000000" w:firstRow="0" w:lastRow="0" w:firstColumn="0" w:lastColumn="0" w:oddVBand="1" w:evenVBand="0" w:oddHBand="0" w:evenHBand="0" w:firstRowFirstColumn="0" w:firstRowLastColumn="0" w:lastRowFirstColumn="0" w:lastRowLastColumn="0"/>
            <w:tcW w:w="3066" w:type="dxa"/>
          </w:tcPr>
          <w:p w14:paraId="60530062" w14:textId="77777777" w:rsidR="002D4445" w:rsidRPr="00087470" w:rsidRDefault="002D4445" w:rsidP="002D4445">
            <w:pPr>
              <w:spacing w:line="240" w:lineRule="auto"/>
              <w:jc w:val="center"/>
              <w:rPr>
                <w:rFonts w:cs="Times New Roman"/>
                <w:b/>
                <w:bCs/>
                <w:sz w:val="20"/>
                <w:szCs w:val="20"/>
              </w:rPr>
            </w:pPr>
            <w:r w:rsidRPr="00087470">
              <w:rPr>
                <w:rFonts w:cs="Times New Roman"/>
                <w:b/>
                <w:bCs/>
                <w:sz w:val="20"/>
                <w:szCs w:val="20"/>
              </w:rPr>
              <w:t>Rodzaj placówki</w:t>
            </w:r>
          </w:p>
        </w:tc>
        <w:tc>
          <w:tcPr>
            <w:tcW w:w="2948" w:type="dxa"/>
            <w:gridSpan w:val="2"/>
          </w:tcPr>
          <w:p w14:paraId="6B42902F" w14:textId="77777777" w:rsidR="002D4445" w:rsidRPr="00087470" w:rsidRDefault="002D4445" w:rsidP="002D4445">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087470">
              <w:rPr>
                <w:rFonts w:cs="Times New Roman"/>
                <w:b/>
                <w:bCs/>
                <w:sz w:val="20"/>
                <w:szCs w:val="20"/>
              </w:rPr>
              <w:t>Liczba placówek</w:t>
            </w:r>
          </w:p>
        </w:tc>
        <w:tc>
          <w:tcPr>
            <w:cnfStyle w:val="000010000000" w:firstRow="0" w:lastRow="0" w:firstColumn="0" w:lastColumn="0" w:oddVBand="1" w:evenVBand="0" w:oddHBand="0" w:evenHBand="0" w:firstRowFirstColumn="0" w:firstRowLastColumn="0" w:lastRowFirstColumn="0" w:lastRowLastColumn="0"/>
            <w:tcW w:w="2948" w:type="dxa"/>
            <w:gridSpan w:val="2"/>
          </w:tcPr>
          <w:p w14:paraId="73A23A15" w14:textId="77777777" w:rsidR="002D4445" w:rsidRPr="00087470" w:rsidRDefault="002D4445" w:rsidP="002D4445">
            <w:pPr>
              <w:spacing w:line="240" w:lineRule="auto"/>
              <w:jc w:val="center"/>
              <w:rPr>
                <w:rFonts w:cs="Times New Roman"/>
                <w:b/>
                <w:bCs/>
                <w:sz w:val="20"/>
                <w:szCs w:val="20"/>
              </w:rPr>
            </w:pPr>
            <w:r w:rsidRPr="00087470">
              <w:rPr>
                <w:rFonts w:cs="Times New Roman"/>
                <w:b/>
                <w:bCs/>
                <w:sz w:val="20"/>
                <w:szCs w:val="20"/>
              </w:rPr>
              <w:t>Liczba miejsc dla osób starszych</w:t>
            </w:r>
          </w:p>
        </w:tc>
        <w:tc>
          <w:tcPr>
            <w:tcW w:w="2949" w:type="dxa"/>
          </w:tcPr>
          <w:p w14:paraId="319B1DC2" w14:textId="77777777" w:rsidR="002D4445" w:rsidRPr="00087470" w:rsidRDefault="002D4445" w:rsidP="002D4445">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087470">
              <w:rPr>
                <w:rFonts w:cs="Times New Roman"/>
                <w:b/>
                <w:bCs/>
                <w:sz w:val="20"/>
                <w:szCs w:val="20"/>
              </w:rPr>
              <w:t>Liczba korzystających osób starszych</w:t>
            </w:r>
          </w:p>
        </w:tc>
      </w:tr>
      <w:tr w:rsidR="009A52B2" w:rsidRPr="00087470" w14:paraId="28C75591" w14:textId="77777777" w:rsidTr="0027745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F1375A3"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066" w:type="dxa"/>
          </w:tcPr>
          <w:p w14:paraId="0894DEB0" w14:textId="77777777" w:rsidR="009A52B2" w:rsidRPr="00087470" w:rsidRDefault="009A52B2" w:rsidP="009A52B2">
            <w:pPr>
              <w:spacing w:line="240" w:lineRule="auto"/>
              <w:rPr>
                <w:rFonts w:cs="Times New Roman"/>
                <w:sz w:val="20"/>
                <w:szCs w:val="20"/>
              </w:rPr>
            </w:pPr>
            <w:r w:rsidRPr="00087470">
              <w:rPr>
                <w:rFonts w:cs="Times New Roman"/>
                <w:sz w:val="20"/>
                <w:szCs w:val="20"/>
              </w:rPr>
              <w:t>Środowiskowe Domy Samopomocy</w:t>
            </w:r>
          </w:p>
        </w:tc>
        <w:tc>
          <w:tcPr>
            <w:tcW w:w="2948" w:type="dxa"/>
            <w:gridSpan w:val="2"/>
          </w:tcPr>
          <w:p w14:paraId="522FABB3" w14:textId="71F4B4ED" w:rsidR="009A52B2" w:rsidRPr="00087470" w:rsidRDefault="009A52B2" w:rsidP="009A52B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087470">
              <w:rPr>
                <w:sz w:val="20"/>
                <w:szCs w:val="20"/>
              </w:rPr>
              <w:t>56</w:t>
            </w:r>
          </w:p>
        </w:tc>
        <w:tc>
          <w:tcPr>
            <w:cnfStyle w:val="000010000000" w:firstRow="0" w:lastRow="0" w:firstColumn="0" w:lastColumn="0" w:oddVBand="1" w:evenVBand="0" w:oddHBand="0" w:evenHBand="0" w:firstRowFirstColumn="0" w:firstRowLastColumn="0" w:lastRowFirstColumn="0" w:lastRowLastColumn="0"/>
            <w:tcW w:w="2948" w:type="dxa"/>
            <w:gridSpan w:val="2"/>
          </w:tcPr>
          <w:p w14:paraId="09DAE0DA" w14:textId="35915C48" w:rsidR="009A52B2" w:rsidRPr="00087470" w:rsidRDefault="009A52B2" w:rsidP="009A52B2">
            <w:pPr>
              <w:spacing w:line="240" w:lineRule="auto"/>
              <w:jc w:val="center"/>
              <w:rPr>
                <w:rFonts w:cs="Times New Roman"/>
                <w:bCs/>
                <w:sz w:val="20"/>
                <w:szCs w:val="20"/>
              </w:rPr>
            </w:pPr>
            <w:r w:rsidRPr="00087470">
              <w:rPr>
                <w:sz w:val="20"/>
                <w:szCs w:val="20"/>
              </w:rPr>
              <w:t xml:space="preserve">2 192 </w:t>
            </w:r>
          </w:p>
        </w:tc>
        <w:tc>
          <w:tcPr>
            <w:tcW w:w="2949" w:type="dxa"/>
          </w:tcPr>
          <w:p w14:paraId="2CF0B11C" w14:textId="75A62992" w:rsidR="009A52B2" w:rsidRPr="00087470" w:rsidRDefault="009A52B2" w:rsidP="009A52B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087470">
              <w:rPr>
                <w:sz w:val="20"/>
                <w:szCs w:val="20"/>
              </w:rPr>
              <w:t>361</w:t>
            </w:r>
          </w:p>
        </w:tc>
      </w:tr>
      <w:tr w:rsidR="009A52B2" w:rsidRPr="00087470" w14:paraId="62E29EDE" w14:textId="77777777" w:rsidTr="0027745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22A5FB7"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066" w:type="dxa"/>
          </w:tcPr>
          <w:p w14:paraId="2EA6A043" w14:textId="77777777" w:rsidR="009A52B2" w:rsidRPr="00087470" w:rsidRDefault="009A52B2" w:rsidP="009A52B2">
            <w:pPr>
              <w:spacing w:line="240" w:lineRule="auto"/>
              <w:rPr>
                <w:rFonts w:cs="Times New Roman"/>
                <w:sz w:val="20"/>
                <w:szCs w:val="20"/>
              </w:rPr>
            </w:pPr>
            <w:r w:rsidRPr="00087470">
              <w:rPr>
                <w:rFonts w:cs="Times New Roman"/>
                <w:sz w:val="20"/>
                <w:szCs w:val="20"/>
              </w:rPr>
              <w:t>Dzienne Domy Pomocy</w:t>
            </w:r>
          </w:p>
        </w:tc>
        <w:tc>
          <w:tcPr>
            <w:tcW w:w="2948" w:type="dxa"/>
            <w:gridSpan w:val="2"/>
          </w:tcPr>
          <w:p w14:paraId="495EE755" w14:textId="4813BC90" w:rsidR="009A52B2" w:rsidRPr="00087470" w:rsidRDefault="009A52B2" w:rsidP="009A52B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087470">
              <w:rPr>
                <w:sz w:val="20"/>
                <w:szCs w:val="20"/>
              </w:rPr>
              <w:t>20</w:t>
            </w:r>
          </w:p>
        </w:tc>
        <w:tc>
          <w:tcPr>
            <w:cnfStyle w:val="000010000000" w:firstRow="0" w:lastRow="0" w:firstColumn="0" w:lastColumn="0" w:oddVBand="1" w:evenVBand="0" w:oddHBand="0" w:evenHBand="0" w:firstRowFirstColumn="0" w:firstRowLastColumn="0" w:lastRowFirstColumn="0" w:lastRowLastColumn="0"/>
            <w:tcW w:w="2948" w:type="dxa"/>
            <w:gridSpan w:val="2"/>
          </w:tcPr>
          <w:p w14:paraId="58DD932D" w14:textId="7EF44132" w:rsidR="009A52B2" w:rsidRPr="00087470" w:rsidRDefault="009A52B2" w:rsidP="009A52B2">
            <w:pPr>
              <w:spacing w:line="240" w:lineRule="auto"/>
              <w:jc w:val="center"/>
              <w:rPr>
                <w:rFonts w:cs="Times New Roman"/>
                <w:bCs/>
                <w:sz w:val="20"/>
                <w:szCs w:val="20"/>
              </w:rPr>
            </w:pPr>
            <w:r w:rsidRPr="00087470">
              <w:rPr>
                <w:sz w:val="20"/>
                <w:szCs w:val="20"/>
              </w:rPr>
              <w:t>760</w:t>
            </w:r>
          </w:p>
        </w:tc>
        <w:tc>
          <w:tcPr>
            <w:tcW w:w="2949" w:type="dxa"/>
          </w:tcPr>
          <w:p w14:paraId="47640362" w14:textId="7B278C5C" w:rsidR="009A52B2" w:rsidRPr="00087470" w:rsidRDefault="009A52B2" w:rsidP="009A52B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087470">
              <w:rPr>
                <w:sz w:val="20"/>
                <w:szCs w:val="20"/>
              </w:rPr>
              <w:t>818</w:t>
            </w:r>
          </w:p>
        </w:tc>
      </w:tr>
      <w:tr w:rsidR="009A52B2" w:rsidRPr="00087470" w14:paraId="4451C00A" w14:textId="77777777" w:rsidTr="0027745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AF58371"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066" w:type="dxa"/>
          </w:tcPr>
          <w:p w14:paraId="27C042E5" w14:textId="77777777" w:rsidR="009A52B2" w:rsidRPr="00087470" w:rsidRDefault="009A52B2" w:rsidP="009A52B2">
            <w:pPr>
              <w:spacing w:line="240" w:lineRule="auto"/>
              <w:rPr>
                <w:rFonts w:cs="Times New Roman"/>
                <w:sz w:val="20"/>
                <w:szCs w:val="20"/>
              </w:rPr>
            </w:pPr>
            <w:r w:rsidRPr="00087470">
              <w:rPr>
                <w:rFonts w:cs="Times New Roman"/>
                <w:sz w:val="20"/>
                <w:szCs w:val="20"/>
              </w:rPr>
              <w:t>Noclegownie, schroniska i domy dla osób bezdomnych</w:t>
            </w:r>
          </w:p>
        </w:tc>
        <w:tc>
          <w:tcPr>
            <w:tcW w:w="2948" w:type="dxa"/>
            <w:gridSpan w:val="2"/>
          </w:tcPr>
          <w:p w14:paraId="15D3118D" w14:textId="46247C9D" w:rsidR="009A52B2" w:rsidRPr="00087470" w:rsidRDefault="009A52B2" w:rsidP="009A52B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087470">
              <w:rPr>
                <w:sz w:val="20"/>
                <w:szCs w:val="20"/>
              </w:rPr>
              <w:t>10</w:t>
            </w:r>
          </w:p>
        </w:tc>
        <w:tc>
          <w:tcPr>
            <w:cnfStyle w:val="000010000000" w:firstRow="0" w:lastRow="0" w:firstColumn="0" w:lastColumn="0" w:oddVBand="1" w:evenVBand="0" w:oddHBand="0" w:evenHBand="0" w:firstRowFirstColumn="0" w:firstRowLastColumn="0" w:lastRowFirstColumn="0" w:lastRowLastColumn="0"/>
            <w:tcW w:w="2948" w:type="dxa"/>
            <w:gridSpan w:val="2"/>
          </w:tcPr>
          <w:p w14:paraId="5D551734" w14:textId="63948205" w:rsidR="009A52B2" w:rsidRPr="00087470" w:rsidRDefault="009A52B2" w:rsidP="009A52B2">
            <w:pPr>
              <w:spacing w:line="240" w:lineRule="auto"/>
              <w:jc w:val="center"/>
              <w:rPr>
                <w:rFonts w:cs="Times New Roman"/>
                <w:bCs/>
                <w:sz w:val="20"/>
                <w:szCs w:val="20"/>
              </w:rPr>
            </w:pPr>
            <w:r w:rsidRPr="00087470">
              <w:rPr>
                <w:sz w:val="20"/>
                <w:szCs w:val="20"/>
              </w:rPr>
              <w:t>300</w:t>
            </w:r>
          </w:p>
        </w:tc>
        <w:tc>
          <w:tcPr>
            <w:tcW w:w="2949" w:type="dxa"/>
          </w:tcPr>
          <w:p w14:paraId="2467FC96" w14:textId="49E7747E" w:rsidR="009A52B2" w:rsidRPr="00087470" w:rsidRDefault="009A52B2" w:rsidP="009A52B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087470">
              <w:rPr>
                <w:sz w:val="20"/>
                <w:szCs w:val="20"/>
              </w:rPr>
              <w:t>481</w:t>
            </w:r>
          </w:p>
        </w:tc>
      </w:tr>
      <w:tr w:rsidR="009A52B2" w:rsidRPr="00087470" w14:paraId="6E507DF9" w14:textId="77777777" w:rsidTr="0027745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F41064B"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066" w:type="dxa"/>
          </w:tcPr>
          <w:p w14:paraId="4C9B29BC" w14:textId="77777777" w:rsidR="009A52B2" w:rsidRPr="00087470" w:rsidRDefault="009A52B2" w:rsidP="009A52B2">
            <w:pPr>
              <w:spacing w:line="240" w:lineRule="auto"/>
              <w:rPr>
                <w:rFonts w:cs="Times New Roman"/>
                <w:sz w:val="20"/>
                <w:szCs w:val="20"/>
              </w:rPr>
            </w:pPr>
            <w:r w:rsidRPr="00087470">
              <w:rPr>
                <w:rFonts w:cs="Times New Roman"/>
                <w:sz w:val="20"/>
                <w:szCs w:val="20"/>
              </w:rPr>
              <w:t>Ogrzewalnie</w:t>
            </w:r>
          </w:p>
        </w:tc>
        <w:tc>
          <w:tcPr>
            <w:tcW w:w="2948" w:type="dxa"/>
            <w:gridSpan w:val="2"/>
          </w:tcPr>
          <w:p w14:paraId="779CFDDD" w14:textId="3EA386CE" w:rsidR="009A52B2" w:rsidRPr="00087470" w:rsidRDefault="009A52B2" w:rsidP="009A52B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087470">
              <w:rPr>
                <w:sz w:val="20"/>
                <w:szCs w:val="20"/>
              </w:rPr>
              <w:t>5</w:t>
            </w:r>
          </w:p>
        </w:tc>
        <w:tc>
          <w:tcPr>
            <w:cnfStyle w:val="000010000000" w:firstRow="0" w:lastRow="0" w:firstColumn="0" w:lastColumn="0" w:oddVBand="1" w:evenVBand="0" w:oddHBand="0" w:evenHBand="0" w:firstRowFirstColumn="0" w:firstRowLastColumn="0" w:lastRowFirstColumn="0" w:lastRowLastColumn="0"/>
            <w:tcW w:w="2948" w:type="dxa"/>
            <w:gridSpan w:val="2"/>
          </w:tcPr>
          <w:p w14:paraId="5CC40F0E" w14:textId="571B6A01" w:rsidR="009A52B2" w:rsidRPr="00087470" w:rsidRDefault="009A52B2" w:rsidP="009A52B2">
            <w:pPr>
              <w:spacing w:line="240" w:lineRule="auto"/>
              <w:jc w:val="center"/>
              <w:rPr>
                <w:rFonts w:cs="Times New Roman"/>
                <w:bCs/>
                <w:sz w:val="20"/>
                <w:szCs w:val="20"/>
              </w:rPr>
            </w:pPr>
            <w:r w:rsidRPr="00087470">
              <w:rPr>
                <w:sz w:val="20"/>
                <w:szCs w:val="20"/>
              </w:rPr>
              <w:t>109</w:t>
            </w:r>
          </w:p>
        </w:tc>
        <w:tc>
          <w:tcPr>
            <w:tcW w:w="2949" w:type="dxa"/>
          </w:tcPr>
          <w:p w14:paraId="68826B05" w14:textId="720877C3" w:rsidR="009A52B2" w:rsidRPr="00087470" w:rsidRDefault="009A52B2" w:rsidP="009A52B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087470">
              <w:rPr>
                <w:sz w:val="20"/>
                <w:szCs w:val="20"/>
              </w:rPr>
              <w:t>244</w:t>
            </w:r>
          </w:p>
        </w:tc>
      </w:tr>
      <w:tr w:rsidR="009A52B2" w:rsidRPr="00087470" w14:paraId="0C617324" w14:textId="77777777" w:rsidTr="0027745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0FDAD86"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066" w:type="dxa"/>
          </w:tcPr>
          <w:p w14:paraId="3EF6AF18" w14:textId="77777777" w:rsidR="009A52B2" w:rsidRPr="00087470" w:rsidRDefault="009A52B2" w:rsidP="009A52B2">
            <w:pPr>
              <w:spacing w:line="240" w:lineRule="auto"/>
              <w:rPr>
                <w:rFonts w:cs="Times New Roman"/>
                <w:sz w:val="20"/>
                <w:szCs w:val="20"/>
              </w:rPr>
            </w:pPr>
            <w:r w:rsidRPr="00087470">
              <w:rPr>
                <w:rFonts w:cs="Times New Roman"/>
                <w:sz w:val="20"/>
                <w:szCs w:val="20"/>
              </w:rPr>
              <w:t>Kluby Samopomocy</w:t>
            </w:r>
          </w:p>
        </w:tc>
        <w:tc>
          <w:tcPr>
            <w:tcW w:w="2948" w:type="dxa"/>
            <w:gridSpan w:val="2"/>
          </w:tcPr>
          <w:p w14:paraId="18A7F527" w14:textId="30CF787F" w:rsidR="009A52B2" w:rsidRPr="00087470" w:rsidRDefault="009A52B2" w:rsidP="009A52B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087470">
              <w:rPr>
                <w:sz w:val="20"/>
                <w:szCs w:val="20"/>
              </w:rPr>
              <w:t>25</w:t>
            </w:r>
          </w:p>
        </w:tc>
        <w:tc>
          <w:tcPr>
            <w:cnfStyle w:val="000010000000" w:firstRow="0" w:lastRow="0" w:firstColumn="0" w:lastColumn="0" w:oddVBand="1" w:evenVBand="0" w:oddHBand="0" w:evenHBand="0" w:firstRowFirstColumn="0" w:firstRowLastColumn="0" w:lastRowFirstColumn="0" w:lastRowLastColumn="0"/>
            <w:tcW w:w="2948" w:type="dxa"/>
            <w:gridSpan w:val="2"/>
          </w:tcPr>
          <w:p w14:paraId="7E748CF1" w14:textId="37F4FA21" w:rsidR="009A52B2" w:rsidRPr="00087470" w:rsidRDefault="009A52B2" w:rsidP="009A52B2">
            <w:pPr>
              <w:spacing w:line="240" w:lineRule="auto"/>
              <w:jc w:val="center"/>
              <w:rPr>
                <w:rFonts w:cs="Times New Roman"/>
                <w:bCs/>
                <w:sz w:val="20"/>
                <w:szCs w:val="20"/>
              </w:rPr>
            </w:pPr>
            <w:r w:rsidRPr="00087470">
              <w:rPr>
                <w:sz w:val="20"/>
                <w:szCs w:val="20"/>
              </w:rPr>
              <w:t>423</w:t>
            </w:r>
          </w:p>
        </w:tc>
        <w:tc>
          <w:tcPr>
            <w:tcW w:w="2949" w:type="dxa"/>
          </w:tcPr>
          <w:p w14:paraId="584FE718" w14:textId="67CF12C1" w:rsidR="009A52B2" w:rsidRPr="00087470" w:rsidRDefault="009A52B2" w:rsidP="009A52B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087470">
              <w:rPr>
                <w:sz w:val="20"/>
                <w:szCs w:val="20"/>
              </w:rPr>
              <w:t>674</w:t>
            </w:r>
          </w:p>
        </w:tc>
      </w:tr>
      <w:tr w:rsidR="009A52B2" w:rsidRPr="00087470" w14:paraId="03FC87B3" w14:textId="77777777" w:rsidTr="0027745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18AE361"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066" w:type="dxa"/>
          </w:tcPr>
          <w:p w14:paraId="1841B5AA" w14:textId="77777777" w:rsidR="009A52B2" w:rsidRPr="00087470" w:rsidRDefault="009A52B2" w:rsidP="009A52B2">
            <w:pPr>
              <w:spacing w:line="240" w:lineRule="auto"/>
              <w:rPr>
                <w:rFonts w:cs="Times New Roman"/>
                <w:sz w:val="20"/>
                <w:szCs w:val="20"/>
              </w:rPr>
            </w:pPr>
            <w:r w:rsidRPr="00087470">
              <w:rPr>
                <w:rFonts w:cs="Times New Roman"/>
                <w:sz w:val="20"/>
                <w:szCs w:val="20"/>
              </w:rPr>
              <w:t>Placówki zapewniające całodobową opiekę osobom niepełnosprawnym, przewlekle chorym lub osobom w podeszłym wieku</w:t>
            </w:r>
          </w:p>
        </w:tc>
        <w:tc>
          <w:tcPr>
            <w:tcW w:w="2948" w:type="dxa"/>
            <w:gridSpan w:val="2"/>
          </w:tcPr>
          <w:p w14:paraId="2BE301CB" w14:textId="7DE54504" w:rsidR="009A52B2" w:rsidRPr="00087470" w:rsidRDefault="009A52B2" w:rsidP="009A52B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087470">
              <w:rPr>
                <w:sz w:val="20"/>
                <w:szCs w:val="20"/>
              </w:rPr>
              <w:t>19</w:t>
            </w:r>
          </w:p>
        </w:tc>
        <w:tc>
          <w:tcPr>
            <w:cnfStyle w:val="000010000000" w:firstRow="0" w:lastRow="0" w:firstColumn="0" w:lastColumn="0" w:oddVBand="1" w:evenVBand="0" w:oddHBand="0" w:evenHBand="0" w:firstRowFirstColumn="0" w:firstRowLastColumn="0" w:lastRowFirstColumn="0" w:lastRowLastColumn="0"/>
            <w:tcW w:w="2948" w:type="dxa"/>
            <w:gridSpan w:val="2"/>
          </w:tcPr>
          <w:p w14:paraId="3EC883B7" w14:textId="248DFA0B" w:rsidR="009A52B2" w:rsidRPr="00087470" w:rsidRDefault="009A52B2" w:rsidP="009A52B2">
            <w:pPr>
              <w:spacing w:line="240" w:lineRule="auto"/>
              <w:jc w:val="center"/>
              <w:rPr>
                <w:rFonts w:cs="Times New Roman"/>
                <w:bCs/>
                <w:sz w:val="20"/>
                <w:szCs w:val="20"/>
              </w:rPr>
            </w:pPr>
            <w:r w:rsidRPr="00087470">
              <w:rPr>
                <w:sz w:val="20"/>
                <w:szCs w:val="20"/>
              </w:rPr>
              <w:t>618</w:t>
            </w:r>
          </w:p>
        </w:tc>
        <w:tc>
          <w:tcPr>
            <w:tcW w:w="2949" w:type="dxa"/>
          </w:tcPr>
          <w:p w14:paraId="2D71DB73" w14:textId="7CB381FE" w:rsidR="009A52B2" w:rsidRPr="00087470" w:rsidRDefault="009A52B2" w:rsidP="009A52B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087470">
              <w:rPr>
                <w:sz w:val="20"/>
                <w:szCs w:val="20"/>
              </w:rPr>
              <w:t>460</w:t>
            </w:r>
          </w:p>
        </w:tc>
      </w:tr>
      <w:tr w:rsidR="009A52B2" w:rsidRPr="00087470" w14:paraId="2E0BC00E" w14:textId="77777777" w:rsidTr="0027745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9EE84FE"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066" w:type="dxa"/>
          </w:tcPr>
          <w:p w14:paraId="1E70C923" w14:textId="77777777" w:rsidR="009A52B2" w:rsidRPr="00087470" w:rsidRDefault="009A52B2" w:rsidP="009A52B2">
            <w:pPr>
              <w:spacing w:line="240" w:lineRule="auto"/>
              <w:rPr>
                <w:rFonts w:cs="Times New Roman"/>
                <w:sz w:val="20"/>
                <w:szCs w:val="20"/>
              </w:rPr>
            </w:pPr>
            <w:r w:rsidRPr="00087470">
              <w:rPr>
                <w:rFonts w:cs="Times New Roman"/>
                <w:sz w:val="20"/>
                <w:szCs w:val="20"/>
              </w:rPr>
              <w:t>Domy Pomocy Społecznej</w:t>
            </w:r>
          </w:p>
        </w:tc>
        <w:tc>
          <w:tcPr>
            <w:tcW w:w="2948" w:type="dxa"/>
            <w:gridSpan w:val="2"/>
          </w:tcPr>
          <w:p w14:paraId="67E0F46B" w14:textId="4135FC1A" w:rsidR="009A52B2" w:rsidRPr="00087470" w:rsidRDefault="009A52B2" w:rsidP="009A52B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087470">
              <w:rPr>
                <w:sz w:val="20"/>
                <w:szCs w:val="20"/>
              </w:rPr>
              <w:t>45</w:t>
            </w:r>
          </w:p>
        </w:tc>
        <w:tc>
          <w:tcPr>
            <w:cnfStyle w:val="000010000000" w:firstRow="0" w:lastRow="0" w:firstColumn="0" w:lastColumn="0" w:oddVBand="1" w:evenVBand="0" w:oddHBand="0" w:evenHBand="0" w:firstRowFirstColumn="0" w:firstRowLastColumn="0" w:lastRowFirstColumn="0" w:lastRowLastColumn="0"/>
            <w:tcW w:w="2948" w:type="dxa"/>
            <w:gridSpan w:val="2"/>
          </w:tcPr>
          <w:p w14:paraId="3C0D8942" w14:textId="75BE4133" w:rsidR="009A52B2" w:rsidRPr="00087470" w:rsidRDefault="009A52B2" w:rsidP="009A52B2">
            <w:pPr>
              <w:spacing w:line="240" w:lineRule="auto"/>
              <w:jc w:val="center"/>
              <w:rPr>
                <w:rFonts w:cs="Times New Roman"/>
                <w:sz w:val="20"/>
                <w:szCs w:val="20"/>
              </w:rPr>
            </w:pPr>
            <w:r w:rsidRPr="00087470">
              <w:rPr>
                <w:sz w:val="20"/>
                <w:szCs w:val="20"/>
              </w:rPr>
              <w:t xml:space="preserve">4 522 </w:t>
            </w:r>
          </w:p>
        </w:tc>
        <w:tc>
          <w:tcPr>
            <w:tcW w:w="2949" w:type="dxa"/>
          </w:tcPr>
          <w:p w14:paraId="6E578164" w14:textId="6647F82B" w:rsidR="009A52B2" w:rsidRPr="00087470" w:rsidRDefault="009A52B2" w:rsidP="009A52B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087470">
              <w:rPr>
                <w:sz w:val="20"/>
                <w:szCs w:val="20"/>
              </w:rPr>
              <w:t>2 373</w:t>
            </w:r>
          </w:p>
        </w:tc>
      </w:tr>
      <w:tr w:rsidR="009A52B2" w:rsidRPr="00087470" w14:paraId="0038D4EC" w14:textId="77777777" w:rsidTr="0027745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3D3B420"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066" w:type="dxa"/>
          </w:tcPr>
          <w:p w14:paraId="3BB1FDB3" w14:textId="77777777" w:rsidR="009A52B2" w:rsidRPr="00087470" w:rsidRDefault="009A52B2" w:rsidP="009A52B2">
            <w:pPr>
              <w:spacing w:line="240" w:lineRule="auto"/>
              <w:rPr>
                <w:rFonts w:cs="Times New Roman"/>
                <w:sz w:val="20"/>
                <w:szCs w:val="20"/>
              </w:rPr>
            </w:pPr>
            <w:r w:rsidRPr="00087470">
              <w:rPr>
                <w:rFonts w:cs="Times New Roman"/>
                <w:sz w:val="20"/>
                <w:szCs w:val="20"/>
              </w:rPr>
              <w:t>Mieszkania chronione ogółem</w:t>
            </w:r>
          </w:p>
        </w:tc>
        <w:tc>
          <w:tcPr>
            <w:tcW w:w="2948" w:type="dxa"/>
            <w:gridSpan w:val="2"/>
          </w:tcPr>
          <w:p w14:paraId="365EA035" w14:textId="5176347F" w:rsidR="009A52B2" w:rsidRPr="00087470" w:rsidRDefault="009A52B2" w:rsidP="009A52B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p>
        </w:tc>
        <w:tc>
          <w:tcPr>
            <w:cnfStyle w:val="000010000000" w:firstRow="0" w:lastRow="0" w:firstColumn="0" w:lastColumn="0" w:oddVBand="1" w:evenVBand="0" w:oddHBand="0" w:evenHBand="0" w:firstRowFirstColumn="0" w:firstRowLastColumn="0" w:lastRowFirstColumn="0" w:lastRowLastColumn="0"/>
            <w:tcW w:w="2948" w:type="dxa"/>
            <w:gridSpan w:val="2"/>
          </w:tcPr>
          <w:p w14:paraId="6734E579" w14:textId="3EC8DDCE" w:rsidR="009A52B2" w:rsidRPr="00087470" w:rsidRDefault="009A52B2" w:rsidP="009A52B2">
            <w:pPr>
              <w:spacing w:line="240" w:lineRule="auto"/>
              <w:jc w:val="center"/>
              <w:rPr>
                <w:rFonts w:cs="Times New Roman"/>
                <w:bCs/>
                <w:sz w:val="20"/>
                <w:szCs w:val="20"/>
              </w:rPr>
            </w:pPr>
          </w:p>
        </w:tc>
        <w:tc>
          <w:tcPr>
            <w:tcW w:w="2949" w:type="dxa"/>
          </w:tcPr>
          <w:p w14:paraId="73543316" w14:textId="3AF1F05E" w:rsidR="009A52B2" w:rsidRPr="00087470" w:rsidRDefault="009A52B2" w:rsidP="009A52B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p>
        </w:tc>
      </w:tr>
      <w:tr w:rsidR="009A52B2" w:rsidRPr="00087470" w14:paraId="751EA250" w14:textId="77777777" w:rsidTr="0027745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F4D1403"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066" w:type="dxa"/>
          </w:tcPr>
          <w:p w14:paraId="6B058C5B" w14:textId="77777777" w:rsidR="009A52B2" w:rsidRPr="00087470" w:rsidRDefault="009A52B2" w:rsidP="009A52B2">
            <w:pPr>
              <w:spacing w:line="240" w:lineRule="auto"/>
              <w:rPr>
                <w:rFonts w:cs="Times New Roman"/>
                <w:sz w:val="20"/>
                <w:szCs w:val="20"/>
              </w:rPr>
            </w:pPr>
            <w:r w:rsidRPr="00087470">
              <w:rPr>
                <w:rFonts w:cs="Times New Roman"/>
                <w:sz w:val="20"/>
                <w:szCs w:val="20"/>
              </w:rPr>
              <w:t>Ośrodki Interwencji Kryzysowej ogółem</w:t>
            </w:r>
          </w:p>
        </w:tc>
        <w:tc>
          <w:tcPr>
            <w:tcW w:w="2948" w:type="dxa"/>
            <w:gridSpan w:val="2"/>
          </w:tcPr>
          <w:p w14:paraId="4EE68268" w14:textId="689E09F6" w:rsidR="009A52B2" w:rsidRPr="00087470" w:rsidRDefault="009A52B2" w:rsidP="009A52B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087470">
              <w:rPr>
                <w:sz w:val="20"/>
                <w:szCs w:val="20"/>
              </w:rPr>
              <w:t>13</w:t>
            </w:r>
          </w:p>
        </w:tc>
        <w:tc>
          <w:tcPr>
            <w:cnfStyle w:val="000010000000" w:firstRow="0" w:lastRow="0" w:firstColumn="0" w:lastColumn="0" w:oddVBand="1" w:evenVBand="0" w:oddHBand="0" w:evenHBand="0" w:firstRowFirstColumn="0" w:firstRowLastColumn="0" w:lastRowFirstColumn="0" w:lastRowLastColumn="0"/>
            <w:tcW w:w="2948" w:type="dxa"/>
            <w:gridSpan w:val="2"/>
          </w:tcPr>
          <w:p w14:paraId="7C25B9A7" w14:textId="6FA7719F" w:rsidR="009A52B2" w:rsidRPr="00087470" w:rsidRDefault="009A52B2" w:rsidP="009A52B2">
            <w:pPr>
              <w:spacing w:line="240" w:lineRule="auto"/>
              <w:jc w:val="center"/>
              <w:rPr>
                <w:rFonts w:cs="Times New Roman"/>
                <w:bCs/>
                <w:sz w:val="20"/>
                <w:szCs w:val="20"/>
              </w:rPr>
            </w:pPr>
            <w:r w:rsidRPr="00087470">
              <w:rPr>
                <w:sz w:val="20"/>
                <w:szCs w:val="20"/>
              </w:rPr>
              <w:t>-</w:t>
            </w:r>
          </w:p>
        </w:tc>
        <w:tc>
          <w:tcPr>
            <w:tcW w:w="2949" w:type="dxa"/>
          </w:tcPr>
          <w:p w14:paraId="4E502EC2" w14:textId="7C5FB9AD" w:rsidR="009A52B2" w:rsidRPr="00087470" w:rsidRDefault="009A52B2" w:rsidP="009A52B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087470">
              <w:rPr>
                <w:rFonts w:cs="Times New Roman"/>
                <w:bCs/>
                <w:sz w:val="20"/>
                <w:szCs w:val="20"/>
              </w:rPr>
              <w:t>b.d.</w:t>
            </w:r>
          </w:p>
        </w:tc>
      </w:tr>
      <w:tr w:rsidR="009A52B2" w:rsidRPr="00087470" w14:paraId="6D0960E4" w14:textId="77777777" w:rsidTr="0027745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345CF19"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066" w:type="dxa"/>
          </w:tcPr>
          <w:p w14:paraId="1826CBA0" w14:textId="77777777" w:rsidR="009A52B2" w:rsidRPr="00087470" w:rsidRDefault="009A52B2" w:rsidP="009A52B2">
            <w:pPr>
              <w:spacing w:line="240" w:lineRule="auto"/>
              <w:rPr>
                <w:rFonts w:cs="Times New Roman"/>
                <w:sz w:val="20"/>
                <w:szCs w:val="20"/>
              </w:rPr>
            </w:pPr>
            <w:r w:rsidRPr="00087470">
              <w:rPr>
                <w:rFonts w:cs="Times New Roman"/>
                <w:sz w:val="20"/>
                <w:szCs w:val="20"/>
              </w:rPr>
              <w:t>Jednostki specjalistycznego poradnictwa</w:t>
            </w:r>
          </w:p>
        </w:tc>
        <w:tc>
          <w:tcPr>
            <w:tcW w:w="2948" w:type="dxa"/>
            <w:gridSpan w:val="2"/>
          </w:tcPr>
          <w:p w14:paraId="235E6EED" w14:textId="4EC5F4BD" w:rsidR="009A52B2" w:rsidRPr="00087470" w:rsidRDefault="009A52B2" w:rsidP="009A52B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087470">
              <w:rPr>
                <w:sz w:val="20"/>
                <w:szCs w:val="20"/>
              </w:rPr>
              <w:t>25</w:t>
            </w:r>
          </w:p>
        </w:tc>
        <w:tc>
          <w:tcPr>
            <w:cnfStyle w:val="000010000000" w:firstRow="0" w:lastRow="0" w:firstColumn="0" w:lastColumn="0" w:oddVBand="1" w:evenVBand="0" w:oddHBand="0" w:evenHBand="0" w:firstRowFirstColumn="0" w:firstRowLastColumn="0" w:lastRowFirstColumn="0" w:lastRowLastColumn="0"/>
            <w:tcW w:w="2948" w:type="dxa"/>
            <w:gridSpan w:val="2"/>
          </w:tcPr>
          <w:p w14:paraId="78D23D9B" w14:textId="03A179E6" w:rsidR="009A52B2" w:rsidRPr="00087470" w:rsidRDefault="009A52B2" w:rsidP="009A52B2">
            <w:pPr>
              <w:spacing w:line="240" w:lineRule="auto"/>
              <w:jc w:val="center"/>
              <w:rPr>
                <w:rFonts w:cs="Times New Roman"/>
                <w:bCs/>
                <w:sz w:val="20"/>
                <w:szCs w:val="20"/>
              </w:rPr>
            </w:pPr>
            <w:r w:rsidRPr="00087470">
              <w:rPr>
                <w:sz w:val="20"/>
                <w:szCs w:val="20"/>
              </w:rPr>
              <w:t>-</w:t>
            </w:r>
          </w:p>
        </w:tc>
        <w:tc>
          <w:tcPr>
            <w:tcW w:w="2949" w:type="dxa"/>
          </w:tcPr>
          <w:p w14:paraId="34925666" w14:textId="09F3A1EF" w:rsidR="009A52B2" w:rsidRPr="00087470" w:rsidRDefault="009A52B2" w:rsidP="009A52B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sidRPr="00087470">
              <w:rPr>
                <w:rFonts w:cs="Times New Roman"/>
                <w:bCs/>
                <w:sz w:val="20"/>
                <w:szCs w:val="20"/>
              </w:rPr>
              <w:t>b.d.</w:t>
            </w:r>
          </w:p>
        </w:tc>
      </w:tr>
      <w:tr w:rsidR="009A52B2" w:rsidRPr="00087470" w14:paraId="433493C9" w14:textId="77777777" w:rsidTr="0027745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E18C8AF" w14:textId="77777777" w:rsidR="009A52B2" w:rsidRPr="00087470" w:rsidRDefault="009A52B2" w:rsidP="009A52B2">
            <w:pPr>
              <w:spacing w:line="240" w:lineRule="auto"/>
              <w:rPr>
                <w:rFonts w:cs="Times New Roman"/>
                <w:b w:val="0"/>
                <w:bCs w:val="0"/>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066" w:type="dxa"/>
          </w:tcPr>
          <w:p w14:paraId="07D7A9A9" w14:textId="53C3B7BC" w:rsidR="009A52B2" w:rsidRPr="00087470" w:rsidRDefault="009A52B2" w:rsidP="009A52B2">
            <w:pPr>
              <w:spacing w:line="240" w:lineRule="auto"/>
              <w:rPr>
                <w:rFonts w:cs="Times New Roman"/>
                <w:sz w:val="20"/>
                <w:szCs w:val="20"/>
              </w:rPr>
            </w:pPr>
            <w:r w:rsidRPr="00087470">
              <w:rPr>
                <w:rFonts w:cs="Times New Roman"/>
                <w:sz w:val="20"/>
                <w:szCs w:val="20"/>
              </w:rPr>
              <w:t>Placówki wsparcia dziennego</w:t>
            </w:r>
          </w:p>
        </w:tc>
        <w:tc>
          <w:tcPr>
            <w:tcW w:w="2948" w:type="dxa"/>
            <w:gridSpan w:val="2"/>
          </w:tcPr>
          <w:p w14:paraId="779461D4" w14:textId="457C62EC" w:rsidR="009A52B2" w:rsidRPr="00087470" w:rsidRDefault="009A52B2" w:rsidP="009A52B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087470">
              <w:rPr>
                <w:sz w:val="20"/>
                <w:szCs w:val="20"/>
              </w:rPr>
              <w:t>182</w:t>
            </w:r>
          </w:p>
        </w:tc>
        <w:tc>
          <w:tcPr>
            <w:cnfStyle w:val="000010000000" w:firstRow="0" w:lastRow="0" w:firstColumn="0" w:lastColumn="0" w:oddVBand="1" w:evenVBand="0" w:oddHBand="0" w:evenHBand="0" w:firstRowFirstColumn="0" w:firstRowLastColumn="0" w:lastRowFirstColumn="0" w:lastRowLastColumn="0"/>
            <w:tcW w:w="2948" w:type="dxa"/>
            <w:gridSpan w:val="2"/>
          </w:tcPr>
          <w:p w14:paraId="1279ED04" w14:textId="5006633A" w:rsidR="009A52B2" w:rsidRPr="00087470" w:rsidRDefault="009A52B2" w:rsidP="009A52B2">
            <w:pPr>
              <w:spacing w:line="240" w:lineRule="auto"/>
              <w:jc w:val="center"/>
              <w:rPr>
                <w:rFonts w:cs="Times New Roman"/>
                <w:bCs/>
                <w:sz w:val="20"/>
                <w:szCs w:val="20"/>
              </w:rPr>
            </w:pPr>
            <w:r w:rsidRPr="00087470">
              <w:rPr>
                <w:rFonts w:cs="Times New Roman"/>
                <w:bCs/>
                <w:sz w:val="20"/>
                <w:szCs w:val="20"/>
              </w:rPr>
              <w:t>b.d.</w:t>
            </w:r>
          </w:p>
        </w:tc>
        <w:tc>
          <w:tcPr>
            <w:tcW w:w="2949" w:type="dxa"/>
          </w:tcPr>
          <w:p w14:paraId="6A86749D" w14:textId="50B01682" w:rsidR="009A52B2" w:rsidRPr="00087470" w:rsidRDefault="009A52B2" w:rsidP="009A52B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sidRPr="00087470">
              <w:rPr>
                <w:rFonts w:cs="Times New Roman"/>
                <w:bCs/>
                <w:sz w:val="20"/>
                <w:szCs w:val="20"/>
              </w:rPr>
              <w:t>b.d.</w:t>
            </w:r>
          </w:p>
        </w:tc>
      </w:tr>
      <w:tr w:rsidR="0092226B" w:rsidRPr="00087470" w14:paraId="4EA56070" w14:textId="77777777" w:rsidTr="0027745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BD702DE" w14:textId="77777777" w:rsidR="002D4445" w:rsidRPr="00087470" w:rsidRDefault="002D4445" w:rsidP="002D4445">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066" w:type="dxa"/>
          </w:tcPr>
          <w:p w14:paraId="2295B1D4" w14:textId="77777777" w:rsidR="002D4445" w:rsidRPr="00087470" w:rsidRDefault="002D4445" w:rsidP="002D4445">
            <w:pPr>
              <w:spacing w:line="240" w:lineRule="auto"/>
              <w:rPr>
                <w:rFonts w:cs="Times New Roman"/>
                <w:sz w:val="20"/>
                <w:szCs w:val="20"/>
              </w:rPr>
            </w:pPr>
            <w:r w:rsidRPr="00087470">
              <w:rPr>
                <w:rFonts w:cs="Times New Roman"/>
                <w:sz w:val="20"/>
                <w:szCs w:val="20"/>
              </w:rPr>
              <w:t>Placówki Senior+, w tym:</w:t>
            </w:r>
          </w:p>
        </w:tc>
        <w:tc>
          <w:tcPr>
            <w:tcW w:w="8845" w:type="dxa"/>
            <w:gridSpan w:val="5"/>
          </w:tcPr>
          <w:p w14:paraId="63D3C7D0" w14:textId="20199312" w:rsidR="002D4445" w:rsidRPr="00087470" w:rsidRDefault="002D4445" w:rsidP="002D4445">
            <w:pPr>
              <w:tabs>
                <w:tab w:val="left" w:pos="1290"/>
              </w:tabs>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0"/>
              </w:rPr>
            </w:pPr>
          </w:p>
        </w:tc>
      </w:tr>
      <w:tr w:rsidR="009C2933" w:rsidRPr="00087470" w14:paraId="6827335B" w14:textId="77777777" w:rsidTr="009C293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971756A" w14:textId="77777777" w:rsidR="009C2933" w:rsidRPr="00087470" w:rsidRDefault="009C2933"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066" w:type="dxa"/>
          </w:tcPr>
          <w:p w14:paraId="50B23D59" w14:textId="77777777" w:rsidR="009C2933" w:rsidRPr="00087470" w:rsidRDefault="009C2933" w:rsidP="009A52B2">
            <w:pPr>
              <w:spacing w:line="240" w:lineRule="auto"/>
              <w:rPr>
                <w:rFonts w:cs="Times New Roman"/>
                <w:sz w:val="20"/>
                <w:szCs w:val="20"/>
              </w:rPr>
            </w:pPr>
            <w:r w:rsidRPr="00087470">
              <w:rPr>
                <w:rFonts w:cs="Times New Roman"/>
                <w:sz w:val="20"/>
                <w:szCs w:val="20"/>
              </w:rPr>
              <w:t>Domy Dziennego Pobytu</w:t>
            </w:r>
          </w:p>
        </w:tc>
        <w:tc>
          <w:tcPr>
            <w:tcW w:w="2948" w:type="dxa"/>
            <w:gridSpan w:val="2"/>
          </w:tcPr>
          <w:p w14:paraId="60E85101" w14:textId="6937D52D" w:rsidR="009C2933" w:rsidRPr="00087470" w:rsidRDefault="009C2933" w:rsidP="009A52B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Pr>
                <w:sz w:val="20"/>
                <w:szCs w:val="20"/>
              </w:rPr>
              <w:t>19</w:t>
            </w:r>
          </w:p>
        </w:tc>
        <w:tc>
          <w:tcPr>
            <w:cnfStyle w:val="000010000000" w:firstRow="0" w:lastRow="0" w:firstColumn="0" w:lastColumn="0" w:oddVBand="1" w:evenVBand="0" w:oddHBand="0" w:evenHBand="0" w:firstRowFirstColumn="0" w:firstRowLastColumn="0" w:lastRowFirstColumn="0" w:lastRowLastColumn="0"/>
            <w:tcW w:w="2948" w:type="dxa"/>
            <w:gridSpan w:val="2"/>
          </w:tcPr>
          <w:p w14:paraId="4B786CC1" w14:textId="10B6298F" w:rsidR="009C2933" w:rsidRPr="00087470" w:rsidRDefault="009C2933" w:rsidP="009A52B2">
            <w:pPr>
              <w:spacing w:line="240" w:lineRule="auto"/>
              <w:jc w:val="center"/>
              <w:rPr>
                <w:rFonts w:cs="Times New Roman"/>
                <w:bCs/>
                <w:sz w:val="20"/>
                <w:szCs w:val="20"/>
              </w:rPr>
            </w:pPr>
            <w:r>
              <w:rPr>
                <w:sz w:val="20"/>
                <w:szCs w:val="20"/>
              </w:rPr>
              <w:t>400</w:t>
            </w:r>
          </w:p>
        </w:tc>
        <w:tc>
          <w:tcPr>
            <w:tcW w:w="2949" w:type="dxa"/>
            <w:vMerge w:val="restart"/>
            <w:vAlign w:val="center"/>
          </w:tcPr>
          <w:p w14:paraId="65F0F656" w14:textId="326EDBA8" w:rsidR="009C2933" w:rsidRPr="00087470" w:rsidRDefault="009C2933" w:rsidP="009C2933">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Cs/>
                <w:sz w:val="20"/>
                <w:szCs w:val="20"/>
              </w:rPr>
            </w:pPr>
            <w:r>
              <w:rPr>
                <w:sz w:val="20"/>
                <w:szCs w:val="20"/>
              </w:rPr>
              <w:t>1 137</w:t>
            </w:r>
          </w:p>
        </w:tc>
      </w:tr>
      <w:tr w:rsidR="009C2933" w:rsidRPr="00087470" w14:paraId="31D1EF57" w14:textId="77777777" w:rsidTr="0027745A">
        <w:trPr>
          <w:trHeight w:val="85"/>
        </w:trPr>
        <w:tc>
          <w:tcPr>
            <w:cnfStyle w:val="001000000000" w:firstRow="0" w:lastRow="0" w:firstColumn="1" w:lastColumn="0" w:oddVBand="0" w:evenVBand="0" w:oddHBand="0" w:evenHBand="0" w:firstRowFirstColumn="0" w:firstRowLastColumn="0" w:lastRowFirstColumn="0" w:lastRowLastColumn="0"/>
            <w:tcW w:w="2830" w:type="dxa"/>
            <w:vMerge/>
          </w:tcPr>
          <w:p w14:paraId="42EA1C66" w14:textId="77777777" w:rsidR="009C2933" w:rsidRPr="00087470" w:rsidRDefault="009C2933"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066" w:type="dxa"/>
          </w:tcPr>
          <w:p w14:paraId="2A5055F0" w14:textId="77777777" w:rsidR="009C2933" w:rsidRPr="00087470" w:rsidRDefault="009C2933" w:rsidP="009A52B2">
            <w:pPr>
              <w:spacing w:line="240" w:lineRule="auto"/>
              <w:rPr>
                <w:rFonts w:cs="Times New Roman"/>
                <w:sz w:val="20"/>
                <w:szCs w:val="20"/>
              </w:rPr>
            </w:pPr>
            <w:r w:rsidRPr="00087470">
              <w:rPr>
                <w:rFonts w:cs="Times New Roman"/>
                <w:sz w:val="20"/>
                <w:szCs w:val="20"/>
              </w:rPr>
              <w:t>Kluby Senior+</w:t>
            </w:r>
          </w:p>
        </w:tc>
        <w:tc>
          <w:tcPr>
            <w:tcW w:w="2948" w:type="dxa"/>
            <w:gridSpan w:val="2"/>
          </w:tcPr>
          <w:p w14:paraId="66FDACB4" w14:textId="6A7FB14B" w:rsidR="009C2933" w:rsidRPr="00087470" w:rsidRDefault="009C2933" w:rsidP="009A52B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Pr>
                <w:sz w:val="20"/>
                <w:szCs w:val="20"/>
              </w:rPr>
              <w:t>24</w:t>
            </w:r>
          </w:p>
        </w:tc>
        <w:tc>
          <w:tcPr>
            <w:cnfStyle w:val="000010000000" w:firstRow="0" w:lastRow="0" w:firstColumn="0" w:lastColumn="0" w:oddVBand="1" w:evenVBand="0" w:oddHBand="0" w:evenHBand="0" w:firstRowFirstColumn="0" w:firstRowLastColumn="0" w:lastRowFirstColumn="0" w:lastRowLastColumn="0"/>
            <w:tcW w:w="2948" w:type="dxa"/>
            <w:gridSpan w:val="2"/>
          </w:tcPr>
          <w:p w14:paraId="2CD77166" w14:textId="1BC5DF8B" w:rsidR="009C2933" w:rsidRPr="00087470" w:rsidRDefault="009C2933" w:rsidP="009A52B2">
            <w:pPr>
              <w:spacing w:line="240" w:lineRule="auto"/>
              <w:jc w:val="center"/>
              <w:rPr>
                <w:rFonts w:cs="Times New Roman"/>
                <w:b/>
                <w:bCs/>
                <w:sz w:val="20"/>
                <w:szCs w:val="20"/>
              </w:rPr>
            </w:pPr>
            <w:r>
              <w:rPr>
                <w:sz w:val="20"/>
                <w:szCs w:val="20"/>
              </w:rPr>
              <w:t>566</w:t>
            </w:r>
          </w:p>
        </w:tc>
        <w:tc>
          <w:tcPr>
            <w:tcW w:w="2949" w:type="dxa"/>
            <w:vMerge/>
          </w:tcPr>
          <w:p w14:paraId="60262122" w14:textId="4A00CA1C" w:rsidR="009C2933" w:rsidRPr="00087470" w:rsidRDefault="009C2933" w:rsidP="009A52B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p>
        </w:tc>
      </w:tr>
      <w:tr w:rsidR="0092226B" w:rsidRPr="00087470" w14:paraId="3D78E72E" w14:textId="77777777" w:rsidTr="0027745A">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5DD7BC36" w14:textId="77777777" w:rsidR="002D4445" w:rsidRPr="00087470" w:rsidRDefault="002D4445" w:rsidP="002D4445">
            <w:pPr>
              <w:spacing w:line="240" w:lineRule="auto"/>
              <w:rPr>
                <w:rFonts w:cs="Times New Roman"/>
                <w:b w:val="0"/>
                <w:bCs w:val="0"/>
                <w:color w:val="auto"/>
                <w:sz w:val="20"/>
                <w:szCs w:val="20"/>
                <w:lang w:eastAsia="pl-PL"/>
              </w:rPr>
            </w:pPr>
            <w:r w:rsidRPr="00087470">
              <w:rPr>
                <w:rFonts w:cs="Times New Roman"/>
                <w:color w:val="auto"/>
                <w:sz w:val="20"/>
                <w:szCs w:val="20"/>
                <w:lang w:eastAsia="pl-PL"/>
              </w:rPr>
              <w:t>Usługi świadczone osobom starszym</w:t>
            </w:r>
          </w:p>
        </w:tc>
        <w:tc>
          <w:tcPr>
            <w:cnfStyle w:val="000010000000" w:firstRow="0" w:lastRow="0" w:firstColumn="0" w:lastColumn="0" w:oddVBand="1" w:evenVBand="0" w:oddHBand="0" w:evenHBand="0" w:firstRowFirstColumn="0" w:firstRowLastColumn="0" w:lastRowFirstColumn="0" w:lastRowLastColumn="0"/>
            <w:tcW w:w="3119" w:type="dxa"/>
            <w:gridSpan w:val="2"/>
          </w:tcPr>
          <w:p w14:paraId="385C5B21" w14:textId="77777777" w:rsidR="002D4445" w:rsidRPr="00087470" w:rsidRDefault="002D4445" w:rsidP="002D4445">
            <w:pPr>
              <w:spacing w:line="240" w:lineRule="auto"/>
              <w:jc w:val="center"/>
              <w:rPr>
                <w:rFonts w:cs="Times New Roman"/>
                <w:b/>
                <w:bCs/>
                <w:sz w:val="20"/>
                <w:szCs w:val="20"/>
              </w:rPr>
            </w:pPr>
            <w:r w:rsidRPr="00087470">
              <w:rPr>
                <w:rFonts w:cs="Times New Roman"/>
                <w:b/>
                <w:bCs/>
                <w:sz w:val="20"/>
                <w:szCs w:val="20"/>
              </w:rPr>
              <w:t>Rodzaj usług</w:t>
            </w:r>
          </w:p>
        </w:tc>
        <w:tc>
          <w:tcPr>
            <w:tcW w:w="3685" w:type="dxa"/>
            <w:gridSpan w:val="2"/>
          </w:tcPr>
          <w:p w14:paraId="4A20CFF6" w14:textId="77777777" w:rsidR="002D4445" w:rsidRPr="00087470" w:rsidRDefault="002D4445" w:rsidP="002D4445">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087470">
              <w:rPr>
                <w:rFonts w:cs="Times New Roman"/>
                <w:b/>
                <w:bCs/>
                <w:sz w:val="20"/>
                <w:szCs w:val="20"/>
              </w:rPr>
              <w:t>Liczba osób starszych objętych pomocą</w:t>
            </w:r>
          </w:p>
        </w:tc>
        <w:tc>
          <w:tcPr>
            <w:cnfStyle w:val="000010000000" w:firstRow="0" w:lastRow="0" w:firstColumn="0" w:lastColumn="0" w:oddVBand="1" w:evenVBand="0" w:oddHBand="0" w:evenHBand="0" w:firstRowFirstColumn="0" w:firstRowLastColumn="0" w:lastRowFirstColumn="0" w:lastRowLastColumn="0"/>
            <w:tcW w:w="5107" w:type="dxa"/>
            <w:gridSpan w:val="2"/>
          </w:tcPr>
          <w:p w14:paraId="67D6FB70" w14:textId="77777777" w:rsidR="002D4445" w:rsidRPr="00087470" w:rsidRDefault="002D4445" w:rsidP="002D4445">
            <w:pPr>
              <w:spacing w:line="240" w:lineRule="auto"/>
              <w:jc w:val="center"/>
              <w:rPr>
                <w:rFonts w:cs="Times New Roman"/>
                <w:b/>
                <w:bCs/>
                <w:sz w:val="20"/>
                <w:szCs w:val="20"/>
              </w:rPr>
            </w:pPr>
            <w:r w:rsidRPr="00087470">
              <w:rPr>
                <w:rFonts w:cs="Times New Roman"/>
                <w:b/>
                <w:bCs/>
                <w:sz w:val="20"/>
                <w:szCs w:val="20"/>
              </w:rPr>
              <w:t>Wysokość środków przeznaczonych na usługi</w:t>
            </w:r>
          </w:p>
        </w:tc>
      </w:tr>
      <w:tr w:rsidR="009A52B2" w:rsidRPr="00087470" w14:paraId="6C489AF2" w14:textId="77777777" w:rsidTr="0027745A">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6249B456"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119" w:type="dxa"/>
            <w:gridSpan w:val="2"/>
          </w:tcPr>
          <w:p w14:paraId="40984546" w14:textId="77777777" w:rsidR="009A52B2" w:rsidRPr="00087470" w:rsidRDefault="009A52B2" w:rsidP="009A52B2">
            <w:pPr>
              <w:spacing w:line="240" w:lineRule="auto"/>
              <w:rPr>
                <w:rFonts w:cs="Times New Roman"/>
                <w:sz w:val="20"/>
                <w:szCs w:val="20"/>
              </w:rPr>
            </w:pPr>
            <w:r w:rsidRPr="00087470">
              <w:rPr>
                <w:rFonts w:cs="Times New Roman"/>
                <w:sz w:val="20"/>
                <w:szCs w:val="20"/>
              </w:rPr>
              <w:t>Usługi opiekuńcze ogółem</w:t>
            </w:r>
          </w:p>
        </w:tc>
        <w:tc>
          <w:tcPr>
            <w:tcW w:w="3685" w:type="dxa"/>
            <w:gridSpan w:val="2"/>
          </w:tcPr>
          <w:p w14:paraId="2CA655D6" w14:textId="3C0CECA9" w:rsidR="009A52B2" w:rsidRPr="00087470" w:rsidRDefault="009A52B2" w:rsidP="009A52B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87470">
              <w:rPr>
                <w:sz w:val="20"/>
                <w:szCs w:val="20"/>
              </w:rPr>
              <w:t>4 779</w:t>
            </w:r>
          </w:p>
        </w:tc>
        <w:tc>
          <w:tcPr>
            <w:cnfStyle w:val="000010000000" w:firstRow="0" w:lastRow="0" w:firstColumn="0" w:lastColumn="0" w:oddVBand="1" w:evenVBand="0" w:oddHBand="0" w:evenHBand="0" w:firstRowFirstColumn="0" w:firstRowLastColumn="0" w:lastRowFirstColumn="0" w:lastRowLastColumn="0"/>
            <w:tcW w:w="5107" w:type="dxa"/>
            <w:gridSpan w:val="2"/>
          </w:tcPr>
          <w:p w14:paraId="0437D08E" w14:textId="661A9EF1" w:rsidR="009A52B2" w:rsidRPr="00087470" w:rsidRDefault="009A52B2" w:rsidP="009A52B2">
            <w:pPr>
              <w:spacing w:line="240" w:lineRule="auto"/>
              <w:jc w:val="center"/>
              <w:rPr>
                <w:rFonts w:cs="Times New Roman"/>
                <w:sz w:val="20"/>
                <w:szCs w:val="20"/>
              </w:rPr>
            </w:pPr>
            <w:r w:rsidRPr="00087470">
              <w:rPr>
                <w:sz w:val="20"/>
                <w:szCs w:val="20"/>
              </w:rPr>
              <w:t>36 836 272,18 zł</w:t>
            </w:r>
          </w:p>
        </w:tc>
      </w:tr>
      <w:tr w:rsidR="0092226B" w:rsidRPr="00087470" w14:paraId="7B4074C4" w14:textId="77777777" w:rsidTr="0027745A">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386D1B11" w14:textId="77777777" w:rsidR="002D4445" w:rsidRPr="00087470" w:rsidRDefault="002D4445" w:rsidP="002D4445">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119" w:type="dxa"/>
            <w:gridSpan w:val="2"/>
          </w:tcPr>
          <w:p w14:paraId="4CB43D68" w14:textId="77777777" w:rsidR="002D4445" w:rsidRPr="00087470" w:rsidRDefault="002D4445" w:rsidP="002D4445">
            <w:pPr>
              <w:spacing w:line="240" w:lineRule="auto"/>
              <w:rPr>
                <w:rFonts w:cs="Times New Roman"/>
                <w:sz w:val="20"/>
                <w:szCs w:val="20"/>
              </w:rPr>
            </w:pPr>
            <w:r w:rsidRPr="00087470">
              <w:rPr>
                <w:rFonts w:cs="Times New Roman"/>
                <w:sz w:val="20"/>
                <w:szCs w:val="20"/>
              </w:rPr>
              <w:t>w tym:</w:t>
            </w:r>
          </w:p>
        </w:tc>
        <w:tc>
          <w:tcPr>
            <w:tcW w:w="8792" w:type="dxa"/>
            <w:gridSpan w:val="4"/>
          </w:tcPr>
          <w:p w14:paraId="39A49DA4" w14:textId="77777777" w:rsidR="002D4445" w:rsidRPr="00087470" w:rsidRDefault="002D4445" w:rsidP="002D4445">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9A52B2" w:rsidRPr="00087470" w14:paraId="2C36D42A" w14:textId="77777777" w:rsidTr="0027745A">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72CC7B63"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119" w:type="dxa"/>
            <w:gridSpan w:val="2"/>
          </w:tcPr>
          <w:p w14:paraId="29A66C4B" w14:textId="77777777" w:rsidR="009A52B2" w:rsidRPr="00087470" w:rsidRDefault="009A52B2" w:rsidP="009A52B2">
            <w:pPr>
              <w:spacing w:line="240" w:lineRule="auto"/>
              <w:rPr>
                <w:rFonts w:cs="Times New Roman"/>
                <w:sz w:val="20"/>
                <w:szCs w:val="20"/>
              </w:rPr>
            </w:pPr>
            <w:r w:rsidRPr="00087470">
              <w:rPr>
                <w:rFonts w:cs="Times New Roman"/>
                <w:sz w:val="20"/>
                <w:szCs w:val="20"/>
              </w:rPr>
              <w:t>specjalistyczne usługi opiekuńcze</w:t>
            </w:r>
          </w:p>
        </w:tc>
        <w:tc>
          <w:tcPr>
            <w:tcW w:w="3685" w:type="dxa"/>
            <w:gridSpan w:val="2"/>
          </w:tcPr>
          <w:p w14:paraId="70953F4D" w14:textId="3BEC6F3E" w:rsidR="009A52B2" w:rsidRPr="00087470" w:rsidRDefault="009A52B2" w:rsidP="009A52B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87470">
              <w:rPr>
                <w:sz w:val="20"/>
                <w:szCs w:val="20"/>
              </w:rPr>
              <w:t>175</w:t>
            </w:r>
          </w:p>
        </w:tc>
        <w:tc>
          <w:tcPr>
            <w:cnfStyle w:val="000010000000" w:firstRow="0" w:lastRow="0" w:firstColumn="0" w:lastColumn="0" w:oddVBand="1" w:evenVBand="0" w:oddHBand="0" w:evenHBand="0" w:firstRowFirstColumn="0" w:firstRowLastColumn="0" w:lastRowFirstColumn="0" w:lastRowLastColumn="0"/>
            <w:tcW w:w="5107" w:type="dxa"/>
            <w:gridSpan w:val="2"/>
          </w:tcPr>
          <w:p w14:paraId="28AA66CF" w14:textId="279276C5" w:rsidR="009A52B2" w:rsidRPr="00087470" w:rsidRDefault="009A52B2" w:rsidP="009A52B2">
            <w:pPr>
              <w:spacing w:line="240" w:lineRule="auto"/>
              <w:jc w:val="center"/>
              <w:rPr>
                <w:rFonts w:cs="Times New Roman"/>
                <w:sz w:val="20"/>
                <w:szCs w:val="20"/>
              </w:rPr>
            </w:pPr>
            <w:r w:rsidRPr="00087470">
              <w:rPr>
                <w:sz w:val="20"/>
                <w:szCs w:val="20"/>
              </w:rPr>
              <w:t>1 009 370,58 zł</w:t>
            </w:r>
          </w:p>
        </w:tc>
      </w:tr>
      <w:tr w:rsidR="009A52B2" w:rsidRPr="00087470" w14:paraId="6475FA52" w14:textId="77777777" w:rsidTr="002774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0" w:type="dxa"/>
            <w:vMerge/>
          </w:tcPr>
          <w:p w14:paraId="4E76153E"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119" w:type="dxa"/>
            <w:gridSpan w:val="2"/>
          </w:tcPr>
          <w:p w14:paraId="2319B807" w14:textId="77777777" w:rsidR="009A52B2" w:rsidRPr="00087470" w:rsidRDefault="009A52B2" w:rsidP="009A52B2">
            <w:pPr>
              <w:spacing w:line="240" w:lineRule="auto"/>
              <w:rPr>
                <w:rFonts w:cs="Times New Roman"/>
                <w:sz w:val="20"/>
                <w:szCs w:val="20"/>
              </w:rPr>
            </w:pPr>
            <w:r w:rsidRPr="00087470">
              <w:rPr>
                <w:rFonts w:cs="Times New Roman"/>
                <w:sz w:val="20"/>
                <w:szCs w:val="20"/>
              </w:rPr>
              <w:t>specjalistyczne usługi opiekuńcze w miejscu zamieszkania dla osób z zaburzeniami psychicznymi</w:t>
            </w:r>
          </w:p>
        </w:tc>
        <w:tc>
          <w:tcPr>
            <w:tcW w:w="3685" w:type="dxa"/>
            <w:gridSpan w:val="2"/>
          </w:tcPr>
          <w:p w14:paraId="2CB5A97A" w14:textId="7C7EC114" w:rsidR="009A52B2" w:rsidRPr="00087470" w:rsidRDefault="009A52B2" w:rsidP="009A52B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87470">
              <w:rPr>
                <w:sz w:val="20"/>
                <w:szCs w:val="20"/>
              </w:rPr>
              <w:t>303</w:t>
            </w:r>
          </w:p>
        </w:tc>
        <w:tc>
          <w:tcPr>
            <w:cnfStyle w:val="000010000000" w:firstRow="0" w:lastRow="0" w:firstColumn="0" w:lastColumn="0" w:oddVBand="1" w:evenVBand="0" w:oddHBand="0" w:evenHBand="0" w:firstRowFirstColumn="0" w:firstRowLastColumn="0" w:lastRowFirstColumn="0" w:lastRowLastColumn="0"/>
            <w:tcW w:w="5107" w:type="dxa"/>
            <w:gridSpan w:val="2"/>
          </w:tcPr>
          <w:p w14:paraId="50338B5B" w14:textId="1F38E278" w:rsidR="009A52B2" w:rsidRPr="00087470" w:rsidRDefault="009A52B2" w:rsidP="009A52B2">
            <w:pPr>
              <w:spacing w:line="240" w:lineRule="auto"/>
              <w:jc w:val="center"/>
              <w:rPr>
                <w:rFonts w:cs="Times New Roman"/>
                <w:sz w:val="20"/>
                <w:szCs w:val="20"/>
              </w:rPr>
            </w:pPr>
            <w:r w:rsidRPr="00087470">
              <w:rPr>
                <w:sz w:val="20"/>
                <w:szCs w:val="20"/>
              </w:rPr>
              <w:t>3 968 255,50 zł</w:t>
            </w:r>
          </w:p>
        </w:tc>
      </w:tr>
      <w:tr w:rsidR="0092226B" w:rsidRPr="00087470" w14:paraId="2F8393E7" w14:textId="77777777" w:rsidTr="0027745A">
        <w:trPr>
          <w:trHeight w:val="19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1D111AF2" w14:textId="77777777" w:rsidR="002D4445" w:rsidRPr="00087470" w:rsidRDefault="002D4445" w:rsidP="002D4445">
            <w:pPr>
              <w:spacing w:line="240" w:lineRule="auto"/>
              <w:rPr>
                <w:rFonts w:cs="Times New Roman"/>
                <w:b w:val="0"/>
                <w:bCs w:val="0"/>
                <w:color w:val="auto"/>
                <w:sz w:val="20"/>
                <w:szCs w:val="20"/>
                <w:lang w:eastAsia="pl-PL"/>
              </w:rPr>
            </w:pPr>
            <w:r w:rsidRPr="00087470">
              <w:rPr>
                <w:rFonts w:cs="Times New Roman"/>
                <w:color w:val="auto"/>
                <w:sz w:val="20"/>
                <w:szCs w:val="20"/>
                <w:lang w:eastAsia="pl-PL"/>
              </w:rPr>
              <w:t>Świadczenia pieniężne przyznane osobom starszym</w:t>
            </w:r>
          </w:p>
        </w:tc>
        <w:tc>
          <w:tcPr>
            <w:cnfStyle w:val="000010000000" w:firstRow="0" w:lastRow="0" w:firstColumn="0" w:lastColumn="0" w:oddVBand="1" w:evenVBand="0" w:oddHBand="0" w:evenHBand="0" w:firstRowFirstColumn="0" w:firstRowLastColumn="0" w:lastRowFirstColumn="0" w:lastRowLastColumn="0"/>
            <w:tcW w:w="3119" w:type="dxa"/>
            <w:gridSpan w:val="2"/>
          </w:tcPr>
          <w:p w14:paraId="344372C2" w14:textId="77777777" w:rsidR="002D4445" w:rsidRPr="00087470" w:rsidRDefault="002D4445" w:rsidP="002D4445">
            <w:pPr>
              <w:spacing w:line="240" w:lineRule="auto"/>
              <w:jc w:val="center"/>
              <w:rPr>
                <w:rFonts w:cs="Times New Roman"/>
                <w:b/>
                <w:bCs/>
                <w:sz w:val="20"/>
                <w:szCs w:val="20"/>
              </w:rPr>
            </w:pPr>
            <w:r w:rsidRPr="00087470">
              <w:rPr>
                <w:rFonts w:cs="Times New Roman"/>
                <w:b/>
                <w:bCs/>
                <w:sz w:val="20"/>
                <w:szCs w:val="20"/>
              </w:rPr>
              <w:t>Nazwa świadczenia</w:t>
            </w:r>
          </w:p>
        </w:tc>
        <w:tc>
          <w:tcPr>
            <w:tcW w:w="3685" w:type="dxa"/>
            <w:gridSpan w:val="2"/>
          </w:tcPr>
          <w:p w14:paraId="1A9642D6" w14:textId="77777777" w:rsidR="002D4445" w:rsidRPr="00087470" w:rsidRDefault="002D4445" w:rsidP="002D4445">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087470">
              <w:rPr>
                <w:rFonts w:cs="Times New Roman"/>
                <w:b/>
                <w:bCs/>
                <w:sz w:val="20"/>
                <w:szCs w:val="20"/>
              </w:rPr>
              <w:t>Liczba osób starszych</w:t>
            </w:r>
          </w:p>
        </w:tc>
        <w:tc>
          <w:tcPr>
            <w:cnfStyle w:val="000010000000" w:firstRow="0" w:lastRow="0" w:firstColumn="0" w:lastColumn="0" w:oddVBand="1" w:evenVBand="0" w:oddHBand="0" w:evenHBand="0" w:firstRowFirstColumn="0" w:firstRowLastColumn="0" w:lastRowFirstColumn="0" w:lastRowLastColumn="0"/>
            <w:tcW w:w="5107" w:type="dxa"/>
            <w:gridSpan w:val="2"/>
          </w:tcPr>
          <w:p w14:paraId="118ED4BA" w14:textId="77777777" w:rsidR="002D4445" w:rsidRPr="00087470" w:rsidRDefault="002D4445" w:rsidP="002D4445">
            <w:pPr>
              <w:spacing w:line="240" w:lineRule="auto"/>
              <w:jc w:val="center"/>
              <w:rPr>
                <w:rFonts w:cs="Times New Roman"/>
                <w:b/>
                <w:bCs/>
                <w:sz w:val="20"/>
                <w:szCs w:val="20"/>
              </w:rPr>
            </w:pPr>
            <w:r w:rsidRPr="00087470">
              <w:rPr>
                <w:rFonts w:cs="Times New Roman"/>
                <w:b/>
                <w:bCs/>
                <w:sz w:val="20"/>
                <w:szCs w:val="20"/>
              </w:rPr>
              <w:t>Kwota świadczenia</w:t>
            </w:r>
          </w:p>
        </w:tc>
      </w:tr>
      <w:tr w:rsidR="009A52B2" w:rsidRPr="00087470" w14:paraId="527CA10B" w14:textId="77777777" w:rsidTr="0027745A">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65CDBE76"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119" w:type="dxa"/>
            <w:gridSpan w:val="2"/>
          </w:tcPr>
          <w:p w14:paraId="2110A1E4" w14:textId="77777777" w:rsidR="009A52B2" w:rsidRPr="00087470" w:rsidRDefault="009A52B2" w:rsidP="009A52B2">
            <w:pPr>
              <w:spacing w:line="240" w:lineRule="auto"/>
              <w:rPr>
                <w:rFonts w:cs="Times New Roman"/>
                <w:sz w:val="20"/>
                <w:szCs w:val="20"/>
              </w:rPr>
            </w:pPr>
            <w:r w:rsidRPr="00087470">
              <w:rPr>
                <w:rFonts w:cs="Times New Roman"/>
                <w:sz w:val="20"/>
                <w:szCs w:val="20"/>
              </w:rPr>
              <w:t>Zasiłek stały</w:t>
            </w:r>
          </w:p>
        </w:tc>
        <w:tc>
          <w:tcPr>
            <w:tcW w:w="3685" w:type="dxa"/>
            <w:gridSpan w:val="2"/>
          </w:tcPr>
          <w:p w14:paraId="161F6652" w14:textId="4854511C" w:rsidR="009A52B2" w:rsidRPr="00087470" w:rsidRDefault="009A52B2" w:rsidP="009A52B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87470">
              <w:rPr>
                <w:sz w:val="20"/>
                <w:szCs w:val="20"/>
              </w:rPr>
              <w:t>3 650</w:t>
            </w:r>
          </w:p>
        </w:tc>
        <w:tc>
          <w:tcPr>
            <w:cnfStyle w:val="000010000000" w:firstRow="0" w:lastRow="0" w:firstColumn="0" w:lastColumn="0" w:oddVBand="1" w:evenVBand="0" w:oddHBand="0" w:evenHBand="0" w:firstRowFirstColumn="0" w:firstRowLastColumn="0" w:lastRowFirstColumn="0" w:lastRowLastColumn="0"/>
            <w:tcW w:w="5107" w:type="dxa"/>
            <w:gridSpan w:val="2"/>
          </w:tcPr>
          <w:p w14:paraId="4DA51DFF" w14:textId="72DEA48D" w:rsidR="009A52B2" w:rsidRPr="00087470" w:rsidRDefault="009A52B2" w:rsidP="009A52B2">
            <w:pPr>
              <w:spacing w:line="240" w:lineRule="auto"/>
              <w:jc w:val="center"/>
              <w:rPr>
                <w:rFonts w:cs="Times New Roman"/>
                <w:sz w:val="20"/>
                <w:szCs w:val="20"/>
              </w:rPr>
            </w:pPr>
            <w:r w:rsidRPr="00087470">
              <w:rPr>
                <w:sz w:val="20"/>
                <w:szCs w:val="20"/>
              </w:rPr>
              <w:t>20 751 188,49 zł</w:t>
            </w:r>
          </w:p>
        </w:tc>
      </w:tr>
      <w:tr w:rsidR="009A52B2" w:rsidRPr="00087470" w14:paraId="16B2E860" w14:textId="77777777" w:rsidTr="0027745A">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123B01EF"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119" w:type="dxa"/>
            <w:gridSpan w:val="2"/>
          </w:tcPr>
          <w:p w14:paraId="7CC5E69E" w14:textId="77777777" w:rsidR="009A52B2" w:rsidRPr="00087470" w:rsidRDefault="009A52B2" w:rsidP="009A52B2">
            <w:pPr>
              <w:spacing w:line="240" w:lineRule="auto"/>
              <w:rPr>
                <w:rFonts w:cs="Times New Roman"/>
                <w:sz w:val="20"/>
                <w:szCs w:val="20"/>
              </w:rPr>
            </w:pPr>
            <w:r w:rsidRPr="00087470">
              <w:rPr>
                <w:rFonts w:cs="Times New Roman"/>
                <w:sz w:val="20"/>
                <w:szCs w:val="20"/>
              </w:rPr>
              <w:t>Zasiłek okresowy</w:t>
            </w:r>
          </w:p>
        </w:tc>
        <w:tc>
          <w:tcPr>
            <w:tcW w:w="3685" w:type="dxa"/>
            <w:gridSpan w:val="2"/>
          </w:tcPr>
          <w:p w14:paraId="4F2D2F76" w14:textId="6FAE51FC" w:rsidR="009A52B2" w:rsidRPr="00087470" w:rsidRDefault="009A52B2" w:rsidP="009A52B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87470">
              <w:rPr>
                <w:sz w:val="20"/>
                <w:szCs w:val="20"/>
              </w:rPr>
              <w:t>1 150</w:t>
            </w:r>
          </w:p>
        </w:tc>
        <w:tc>
          <w:tcPr>
            <w:cnfStyle w:val="000010000000" w:firstRow="0" w:lastRow="0" w:firstColumn="0" w:lastColumn="0" w:oddVBand="1" w:evenVBand="0" w:oddHBand="0" w:evenHBand="0" w:firstRowFirstColumn="0" w:firstRowLastColumn="0" w:lastRowFirstColumn="0" w:lastRowLastColumn="0"/>
            <w:tcW w:w="5107" w:type="dxa"/>
            <w:gridSpan w:val="2"/>
          </w:tcPr>
          <w:p w14:paraId="1382A9A5" w14:textId="54D57754" w:rsidR="009A52B2" w:rsidRPr="00087470" w:rsidRDefault="009A52B2" w:rsidP="009A52B2">
            <w:pPr>
              <w:spacing w:line="240" w:lineRule="auto"/>
              <w:jc w:val="center"/>
              <w:rPr>
                <w:rFonts w:cs="Times New Roman"/>
                <w:sz w:val="20"/>
                <w:szCs w:val="20"/>
              </w:rPr>
            </w:pPr>
            <w:r w:rsidRPr="00087470">
              <w:rPr>
                <w:sz w:val="20"/>
                <w:szCs w:val="20"/>
              </w:rPr>
              <w:t>4 545 012,61 zł</w:t>
            </w:r>
          </w:p>
        </w:tc>
      </w:tr>
      <w:tr w:rsidR="009A52B2" w:rsidRPr="00087470" w14:paraId="4036C985" w14:textId="77777777" w:rsidTr="0027745A">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68895EA6"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119" w:type="dxa"/>
            <w:gridSpan w:val="2"/>
          </w:tcPr>
          <w:p w14:paraId="7900F3D9" w14:textId="77777777" w:rsidR="009A52B2" w:rsidRPr="00087470" w:rsidRDefault="009A52B2" w:rsidP="009A52B2">
            <w:pPr>
              <w:spacing w:line="240" w:lineRule="auto"/>
              <w:rPr>
                <w:rFonts w:cs="Times New Roman"/>
                <w:sz w:val="20"/>
                <w:szCs w:val="20"/>
              </w:rPr>
            </w:pPr>
            <w:r w:rsidRPr="00087470">
              <w:rPr>
                <w:rFonts w:cs="Times New Roman"/>
                <w:sz w:val="20"/>
                <w:szCs w:val="20"/>
              </w:rPr>
              <w:t>Zasiłek celowy</w:t>
            </w:r>
          </w:p>
        </w:tc>
        <w:tc>
          <w:tcPr>
            <w:tcW w:w="3685" w:type="dxa"/>
            <w:gridSpan w:val="2"/>
          </w:tcPr>
          <w:p w14:paraId="3497BB1A" w14:textId="3895A669" w:rsidR="009A52B2" w:rsidRPr="00087470" w:rsidRDefault="009A52B2" w:rsidP="009A52B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87470">
              <w:rPr>
                <w:sz w:val="20"/>
                <w:szCs w:val="20"/>
              </w:rPr>
              <w:t>3 086</w:t>
            </w:r>
          </w:p>
        </w:tc>
        <w:tc>
          <w:tcPr>
            <w:cnfStyle w:val="000010000000" w:firstRow="0" w:lastRow="0" w:firstColumn="0" w:lastColumn="0" w:oddVBand="1" w:evenVBand="0" w:oddHBand="0" w:evenHBand="0" w:firstRowFirstColumn="0" w:firstRowLastColumn="0" w:lastRowFirstColumn="0" w:lastRowLastColumn="0"/>
            <w:tcW w:w="5107" w:type="dxa"/>
            <w:gridSpan w:val="2"/>
          </w:tcPr>
          <w:p w14:paraId="3BF1A43F" w14:textId="754FF142" w:rsidR="009A52B2" w:rsidRPr="00087470" w:rsidRDefault="009A52B2" w:rsidP="009A52B2">
            <w:pPr>
              <w:spacing w:line="240" w:lineRule="auto"/>
              <w:jc w:val="center"/>
              <w:rPr>
                <w:rFonts w:cs="Times New Roman"/>
                <w:sz w:val="20"/>
                <w:szCs w:val="20"/>
              </w:rPr>
            </w:pPr>
            <w:r w:rsidRPr="00087470">
              <w:rPr>
                <w:sz w:val="20"/>
                <w:szCs w:val="20"/>
              </w:rPr>
              <w:t>2 157 408,38 zł</w:t>
            </w:r>
          </w:p>
        </w:tc>
      </w:tr>
      <w:tr w:rsidR="009A52B2" w:rsidRPr="00087470" w14:paraId="2F18C8AE" w14:textId="77777777" w:rsidTr="0027745A">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10DDDBD8" w14:textId="77777777" w:rsidR="009A52B2" w:rsidRPr="00087470" w:rsidRDefault="009A52B2" w:rsidP="009A52B2">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119" w:type="dxa"/>
            <w:gridSpan w:val="2"/>
          </w:tcPr>
          <w:p w14:paraId="2A47AFDB" w14:textId="77777777" w:rsidR="009A52B2" w:rsidRPr="00087470" w:rsidRDefault="009A52B2" w:rsidP="009A52B2">
            <w:pPr>
              <w:spacing w:line="240" w:lineRule="auto"/>
              <w:rPr>
                <w:rFonts w:cs="Times New Roman"/>
                <w:sz w:val="20"/>
                <w:szCs w:val="20"/>
              </w:rPr>
            </w:pPr>
            <w:r w:rsidRPr="00087470">
              <w:rPr>
                <w:rFonts w:cs="Times New Roman"/>
                <w:sz w:val="20"/>
                <w:szCs w:val="20"/>
              </w:rPr>
              <w:t>Specjalny zasiłek celowy</w:t>
            </w:r>
          </w:p>
        </w:tc>
        <w:tc>
          <w:tcPr>
            <w:tcW w:w="3685" w:type="dxa"/>
            <w:gridSpan w:val="2"/>
          </w:tcPr>
          <w:p w14:paraId="1B323BDA" w14:textId="48F357C4" w:rsidR="009A52B2" w:rsidRPr="00087470" w:rsidRDefault="009A52B2" w:rsidP="009A52B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87470">
              <w:rPr>
                <w:sz w:val="20"/>
                <w:szCs w:val="20"/>
              </w:rPr>
              <w:t>1 739</w:t>
            </w:r>
          </w:p>
        </w:tc>
        <w:tc>
          <w:tcPr>
            <w:cnfStyle w:val="000010000000" w:firstRow="0" w:lastRow="0" w:firstColumn="0" w:lastColumn="0" w:oddVBand="1" w:evenVBand="0" w:oddHBand="0" w:evenHBand="0" w:firstRowFirstColumn="0" w:firstRowLastColumn="0" w:lastRowFirstColumn="0" w:lastRowLastColumn="0"/>
            <w:tcW w:w="5107" w:type="dxa"/>
            <w:gridSpan w:val="2"/>
          </w:tcPr>
          <w:p w14:paraId="712EE51F" w14:textId="12B5B7BC" w:rsidR="009A52B2" w:rsidRPr="00087470" w:rsidRDefault="009A52B2" w:rsidP="009A52B2">
            <w:pPr>
              <w:spacing w:line="240" w:lineRule="auto"/>
              <w:jc w:val="center"/>
              <w:rPr>
                <w:rFonts w:cs="Times New Roman"/>
                <w:sz w:val="20"/>
                <w:szCs w:val="20"/>
              </w:rPr>
            </w:pPr>
            <w:r w:rsidRPr="00087470">
              <w:rPr>
                <w:sz w:val="20"/>
                <w:szCs w:val="20"/>
              </w:rPr>
              <w:t>941 631,34 zł</w:t>
            </w:r>
          </w:p>
        </w:tc>
      </w:tr>
      <w:tr w:rsidR="0092226B" w:rsidRPr="00087470" w14:paraId="10B82882" w14:textId="77777777" w:rsidTr="0027745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64D77CC5" w14:textId="77777777" w:rsidR="002D4445" w:rsidRPr="00087470" w:rsidRDefault="002D4445" w:rsidP="002D4445">
            <w:pPr>
              <w:spacing w:line="240" w:lineRule="auto"/>
              <w:rPr>
                <w:rFonts w:cs="Times New Roman"/>
                <w:b w:val="0"/>
                <w:bCs w:val="0"/>
                <w:color w:val="auto"/>
                <w:sz w:val="20"/>
                <w:szCs w:val="20"/>
                <w:lang w:eastAsia="pl-PL"/>
              </w:rPr>
            </w:pPr>
            <w:r w:rsidRPr="00087470">
              <w:rPr>
                <w:rFonts w:cs="Times New Roman"/>
                <w:color w:val="auto"/>
                <w:sz w:val="20"/>
                <w:szCs w:val="20"/>
                <w:lang w:eastAsia="pl-PL"/>
              </w:rPr>
              <w:t>Największe problemy/niedogodności w świadczeniu opieki nad osobami starszymi (np. zasoby kadrowe, rzeczowe, finansowe itp.)</w:t>
            </w:r>
          </w:p>
        </w:tc>
        <w:tc>
          <w:tcPr>
            <w:cnfStyle w:val="000010000000" w:firstRow="0" w:lastRow="0" w:firstColumn="0" w:lastColumn="0" w:oddVBand="1" w:evenVBand="0" w:oddHBand="0" w:evenHBand="0" w:firstRowFirstColumn="0" w:firstRowLastColumn="0" w:lastRowFirstColumn="0" w:lastRowLastColumn="0"/>
            <w:tcW w:w="11911" w:type="dxa"/>
            <w:gridSpan w:val="6"/>
          </w:tcPr>
          <w:p w14:paraId="39DA8F4C" w14:textId="77777777" w:rsidR="002D4445" w:rsidRPr="00087470" w:rsidRDefault="002D4445" w:rsidP="002D4445">
            <w:pPr>
              <w:spacing w:line="240" w:lineRule="auto"/>
              <w:rPr>
                <w:rFonts w:cs="Times New Roman"/>
                <w:sz w:val="20"/>
                <w:szCs w:val="20"/>
              </w:rPr>
            </w:pPr>
            <w:r w:rsidRPr="00087470">
              <w:rPr>
                <w:rFonts w:cs="Times New Roman"/>
                <w:b/>
                <w:sz w:val="20"/>
                <w:szCs w:val="20"/>
              </w:rPr>
              <w:t>1.</w:t>
            </w:r>
            <w:r w:rsidRPr="00087470">
              <w:rPr>
                <w:rFonts w:cs="Times New Roman"/>
                <w:sz w:val="20"/>
                <w:szCs w:val="20"/>
              </w:rPr>
              <w:t>Trudności w znalezieniu osób na stanowisko opiekunki środowiskowej</w:t>
            </w:r>
          </w:p>
        </w:tc>
      </w:tr>
      <w:tr w:rsidR="0092226B" w:rsidRPr="00087470" w14:paraId="04CFD05B" w14:textId="77777777" w:rsidTr="0027745A">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03F6CB29" w14:textId="77777777" w:rsidR="002D4445" w:rsidRPr="00087470" w:rsidRDefault="002D4445" w:rsidP="002D4445">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11911" w:type="dxa"/>
            <w:gridSpan w:val="6"/>
          </w:tcPr>
          <w:p w14:paraId="2DDCA5C2" w14:textId="77777777" w:rsidR="002D4445" w:rsidRPr="00087470" w:rsidRDefault="002D4445" w:rsidP="002D4445">
            <w:pPr>
              <w:spacing w:line="240" w:lineRule="auto"/>
              <w:rPr>
                <w:rFonts w:cs="Times New Roman"/>
                <w:sz w:val="20"/>
                <w:szCs w:val="20"/>
              </w:rPr>
            </w:pPr>
            <w:r w:rsidRPr="00087470">
              <w:rPr>
                <w:rFonts w:cs="Times New Roman"/>
                <w:b/>
                <w:sz w:val="20"/>
                <w:szCs w:val="20"/>
              </w:rPr>
              <w:t>2.</w:t>
            </w:r>
            <w:r w:rsidRPr="00087470">
              <w:rPr>
                <w:rFonts w:cs="Times New Roman"/>
                <w:sz w:val="20"/>
                <w:szCs w:val="20"/>
              </w:rPr>
              <w:t xml:space="preserve"> Rozległy teren gminy i brak środków komunikacji publicznej (wymóg posiadania własnego środka transportu).</w:t>
            </w:r>
          </w:p>
        </w:tc>
      </w:tr>
      <w:tr w:rsidR="0092226B" w:rsidRPr="00087470" w14:paraId="4E54A31A" w14:textId="77777777" w:rsidTr="0027745A">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3378F479" w14:textId="77777777" w:rsidR="002D4445" w:rsidRPr="00087470" w:rsidRDefault="002D4445" w:rsidP="002D4445">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11911" w:type="dxa"/>
            <w:gridSpan w:val="6"/>
          </w:tcPr>
          <w:p w14:paraId="42478F63" w14:textId="77777777" w:rsidR="002D4445" w:rsidRPr="00087470" w:rsidRDefault="002D4445" w:rsidP="002D4445">
            <w:pPr>
              <w:spacing w:line="240" w:lineRule="auto"/>
              <w:rPr>
                <w:rFonts w:cs="Times New Roman"/>
                <w:sz w:val="20"/>
                <w:szCs w:val="20"/>
              </w:rPr>
            </w:pPr>
            <w:r w:rsidRPr="00087470">
              <w:rPr>
                <w:rFonts w:cs="Times New Roman"/>
                <w:b/>
                <w:sz w:val="20"/>
                <w:szCs w:val="20"/>
              </w:rPr>
              <w:t>3.</w:t>
            </w:r>
            <w:r w:rsidRPr="00087470">
              <w:rPr>
                <w:rFonts w:cs="Times New Roman"/>
                <w:sz w:val="20"/>
                <w:szCs w:val="20"/>
              </w:rPr>
              <w:t>Trudności finansowe gmin uniemożliwiają zatrudnienie opiekunek na umowę o pracę.</w:t>
            </w:r>
          </w:p>
        </w:tc>
      </w:tr>
      <w:tr w:rsidR="0092226B" w:rsidRPr="00087470" w14:paraId="62009A6F" w14:textId="77777777" w:rsidTr="0027745A">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200209FE" w14:textId="77777777" w:rsidR="002D4445" w:rsidRPr="00087470" w:rsidRDefault="002D4445" w:rsidP="002D4445">
            <w:pPr>
              <w:spacing w:line="240" w:lineRule="auto"/>
              <w:rPr>
                <w:rFonts w:cs="Times New Roman"/>
                <w:b w:val="0"/>
                <w:bCs w:val="0"/>
                <w:color w:val="auto"/>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11911" w:type="dxa"/>
            <w:gridSpan w:val="6"/>
          </w:tcPr>
          <w:p w14:paraId="09461E2F" w14:textId="03A961C0" w:rsidR="002D4445" w:rsidRPr="00087470" w:rsidRDefault="002D4445" w:rsidP="002D4445">
            <w:pPr>
              <w:spacing w:line="240" w:lineRule="auto"/>
              <w:rPr>
                <w:rFonts w:cs="Times New Roman"/>
                <w:sz w:val="20"/>
                <w:szCs w:val="20"/>
              </w:rPr>
            </w:pPr>
            <w:r w:rsidRPr="00087470">
              <w:rPr>
                <w:rFonts w:cs="Times New Roman"/>
                <w:b/>
                <w:sz w:val="20"/>
                <w:szCs w:val="20"/>
              </w:rPr>
              <w:t>4.</w:t>
            </w:r>
            <w:r w:rsidRPr="00087470">
              <w:rPr>
                <w:rFonts w:cs="Times New Roman"/>
                <w:sz w:val="20"/>
                <w:szCs w:val="20"/>
              </w:rPr>
              <w:t xml:space="preserve"> Bardzo często opiekunki zaopatrują się  w środki higieny osobistej ze środków własnych</w:t>
            </w:r>
          </w:p>
        </w:tc>
      </w:tr>
      <w:tr w:rsidR="0092226B" w:rsidRPr="00087470" w14:paraId="3FB74EFB" w14:textId="77777777" w:rsidTr="009A52B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830" w:type="dxa"/>
          </w:tcPr>
          <w:p w14:paraId="4C31785A" w14:textId="77777777" w:rsidR="002D4445" w:rsidRPr="00087470" w:rsidRDefault="002D4445" w:rsidP="002D4445">
            <w:pPr>
              <w:spacing w:line="240" w:lineRule="auto"/>
              <w:rPr>
                <w:rFonts w:cs="Times New Roman"/>
                <w:b w:val="0"/>
                <w:bCs w:val="0"/>
                <w:color w:val="auto"/>
                <w:sz w:val="20"/>
                <w:szCs w:val="20"/>
                <w:lang w:eastAsia="pl-PL"/>
              </w:rPr>
            </w:pPr>
            <w:r w:rsidRPr="00087470">
              <w:rPr>
                <w:rFonts w:cs="Times New Roman"/>
                <w:color w:val="auto"/>
                <w:sz w:val="20"/>
                <w:szCs w:val="20"/>
                <w:lang w:eastAsia="pl-PL"/>
              </w:rPr>
              <w:t>Stopień zaspokojenia potrzeb w zakresie usług opiekuńczych</w:t>
            </w:r>
          </w:p>
        </w:tc>
        <w:tc>
          <w:tcPr>
            <w:cnfStyle w:val="000010000000" w:firstRow="0" w:lastRow="0" w:firstColumn="0" w:lastColumn="0" w:oddVBand="1" w:evenVBand="0" w:oddHBand="0" w:evenHBand="0" w:firstRowFirstColumn="0" w:firstRowLastColumn="0" w:lastRowFirstColumn="0" w:lastRowLastColumn="0"/>
            <w:tcW w:w="11911" w:type="dxa"/>
            <w:gridSpan w:val="6"/>
          </w:tcPr>
          <w:p w14:paraId="20E30158" w14:textId="6D0993C5" w:rsidR="002D4445" w:rsidRPr="00087470" w:rsidRDefault="009A52B2" w:rsidP="002D4445">
            <w:pPr>
              <w:spacing w:line="240" w:lineRule="auto"/>
              <w:rPr>
                <w:rFonts w:cs="Times New Roman"/>
                <w:sz w:val="20"/>
                <w:szCs w:val="20"/>
              </w:rPr>
            </w:pPr>
            <w:r w:rsidRPr="00087470">
              <w:rPr>
                <w:rFonts w:cs="Times New Roman"/>
                <w:sz w:val="20"/>
                <w:szCs w:val="20"/>
              </w:rPr>
              <w:t>Na terenie województwa lubelskiego stopień zaspokojenia potrzeb w zakresie usług opiekuńczych uzależniony jest od posiadanych przez gminy zasobów kadrowych i środków finansowych. Z posiadanych informacji wynika, że osoby korzystające z usług opiekuńczych w większości przypadków pozostają w dotychczasowym środowisku bez konieczności kierowania do domów pomocy społecznej, usługi są adekwatne do potrzeb wynikających z wieku, stanu zdrowia, niepełnosprawności.</w:t>
            </w:r>
            <w:r w:rsidR="002D4445" w:rsidRPr="00087470">
              <w:rPr>
                <w:rFonts w:cs="Times New Roman"/>
                <w:sz w:val="20"/>
                <w:szCs w:val="20"/>
              </w:rPr>
              <w:t>.</w:t>
            </w:r>
          </w:p>
        </w:tc>
      </w:tr>
    </w:tbl>
    <w:p w14:paraId="765DCDFE" w14:textId="77777777" w:rsidR="005C6286" w:rsidRDefault="005C6286" w:rsidP="005C6286">
      <w:pPr>
        <w:tabs>
          <w:tab w:val="left" w:pos="5400"/>
        </w:tabs>
        <w:rPr>
          <w:rFonts w:eastAsia="Times New Roman" w:cs="Times New Roman"/>
          <w:b/>
          <w:szCs w:val="24"/>
          <w:lang w:eastAsia="pl-PL"/>
        </w:rPr>
      </w:pPr>
      <w:r w:rsidRPr="00432294">
        <w:rPr>
          <w:rFonts w:eastAsia="Times New Roman" w:cs="Times New Roman"/>
          <w:b/>
          <w:szCs w:val="24"/>
          <w:lang w:eastAsia="pl-PL"/>
        </w:rPr>
        <w:t xml:space="preserve">Źródło: </w:t>
      </w:r>
      <w:r>
        <w:rPr>
          <w:rFonts w:eastAsia="Times New Roman" w:cs="Times New Roman"/>
          <w:b/>
          <w:szCs w:val="24"/>
          <w:lang w:eastAsia="pl-PL"/>
        </w:rPr>
        <w:t>Dane Wojewody Lubelskiego</w:t>
      </w:r>
      <w:r w:rsidRPr="00432294">
        <w:rPr>
          <w:rFonts w:eastAsia="Times New Roman" w:cs="Times New Roman"/>
          <w:b/>
          <w:szCs w:val="24"/>
          <w:lang w:eastAsia="pl-PL"/>
        </w:rPr>
        <w:t xml:space="preserve">. </w:t>
      </w:r>
    </w:p>
    <w:p w14:paraId="07B48F2D" w14:textId="77777777" w:rsidR="0076773A" w:rsidRPr="0092226B" w:rsidRDefault="0076773A" w:rsidP="00CB509F">
      <w:pPr>
        <w:pStyle w:val="Nagwek2"/>
        <w:spacing w:before="0"/>
        <w:rPr>
          <w:rFonts w:eastAsia="Times New Roman" w:cs="Times New Roman"/>
          <w:color w:val="FF0000"/>
          <w:sz w:val="24"/>
          <w:szCs w:val="24"/>
          <w:lang w:eastAsia="ar-SA"/>
        </w:rPr>
        <w:sectPr w:rsidR="0076773A" w:rsidRPr="0092226B" w:rsidSect="00080A38">
          <w:pgSz w:w="16838" w:h="11900" w:orient="landscape"/>
          <w:pgMar w:top="1380" w:right="1384" w:bottom="1386" w:left="1038" w:header="0" w:footer="567" w:gutter="0"/>
          <w:cols w:space="0" w:equalWidth="0">
            <w:col w:w="9140"/>
          </w:cols>
          <w:docGrid w:linePitch="360"/>
        </w:sectPr>
      </w:pPr>
    </w:p>
    <w:p w14:paraId="34E5553D" w14:textId="77777777" w:rsidR="00B723E6" w:rsidRPr="000252DF" w:rsidRDefault="00475EFA" w:rsidP="00AF051D">
      <w:pPr>
        <w:pStyle w:val="Nagwek2"/>
        <w:spacing w:before="240" w:after="240"/>
        <w:ind w:left="432"/>
        <w:rPr>
          <w:rFonts w:eastAsia="Times New Roman" w:cs="Times New Roman"/>
          <w:sz w:val="40"/>
          <w:szCs w:val="24"/>
          <w:lang w:eastAsia="ar-SA"/>
        </w:rPr>
      </w:pPr>
      <w:bookmarkStart w:id="161" w:name="_Toc80523119"/>
      <w:r w:rsidRPr="000252DF">
        <w:rPr>
          <w:rFonts w:eastAsia="Times New Roman" w:cs="Times New Roman"/>
          <w:sz w:val="40"/>
          <w:szCs w:val="24"/>
          <w:lang w:eastAsia="ar-SA"/>
        </w:rPr>
        <w:lastRenderedPageBreak/>
        <w:t>Województwo</w:t>
      </w:r>
      <w:r w:rsidR="005F0A32" w:rsidRPr="000252DF">
        <w:rPr>
          <w:rFonts w:eastAsia="Times New Roman" w:cs="Times New Roman"/>
          <w:sz w:val="40"/>
          <w:szCs w:val="24"/>
          <w:lang w:eastAsia="ar-SA"/>
        </w:rPr>
        <w:t xml:space="preserve"> l</w:t>
      </w:r>
      <w:r w:rsidRPr="000252DF">
        <w:rPr>
          <w:rFonts w:eastAsia="Times New Roman" w:cs="Times New Roman"/>
          <w:sz w:val="40"/>
          <w:szCs w:val="24"/>
          <w:lang w:eastAsia="ar-SA"/>
        </w:rPr>
        <w:t>ubuskie</w:t>
      </w:r>
      <w:bookmarkEnd w:id="161"/>
    </w:p>
    <w:p w14:paraId="5D03DF39" w14:textId="61E132C3" w:rsidR="000252DF" w:rsidRDefault="000252DF" w:rsidP="00794616">
      <w:pPr>
        <w:pStyle w:val="Nagwek3"/>
        <w:rPr>
          <w:lang w:eastAsia="ar-SA"/>
        </w:rPr>
      </w:pPr>
      <w:bookmarkStart w:id="162" w:name="_Toc77513966"/>
      <w:bookmarkStart w:id="163" w:name="_Toc80523120"/>
      <w:r w:rsidRPr="005B6EB7">
        <w:rPr>
          <w:lang w:eastAsia="ar-SA"/>
        </w:rPr>
        <w:t>Aktywność ekonomiczna i warunki bytowe</w:t>
      </w:r>
      <w:bookmarkEnd w:id="162"/>
      <w:bookmarkEnd w:id="163"/>
    </w:p>
    <w:p w14:paraId="17655D0D" w14:textId="77777777" w:rsidR="000B1B06" w:rsidRPr="000B1B06" w:rsidRDefault="000B1B06" w:rsidP="000B1B06">
      <w:pPr>
        <w:rPr>
          <w:lang w:eastAsia="ar-SA"/>
        </w:rPr>
      </w:pPr>
    </w:p>
    <w:p w14:paraId="78977448" w14:textId="77777777" w:rsidR="000252DF" w:rsidRDefault="000252DF" w:rsidP="000252DF">
      <w:pPr>
        <w:rPr>
          <w:rFonts w:cs="Times New Roman"/>
          <w:szCs w:val="24"/>
        </w:rPr>
      </w:pPr>
      <w:r w:rsidRPr="006570C1">
        <w:rPr>
          <w:rFonts w:cs="Times New Roman"/>
          <w:szCs w:val="24"/>
        </w:rPr>
        <w:t>W 2020 r. w województwie lubuskim przeciętny miesięczny dochód rozporządzalny przypadający na 1 osobę w gospodarstwach domowych wyniósł  1971 zł. Na dochód rozporządzalny gospodarstwa domowego składają się przede wszystkim dochody z pracy najemnej oraz dochody ze świadczeń społecznych. W 2020 r. ich udział w dochodzie rozporządzalnym wyniósł odpowiednio 57,1% i 32,3%. W 2020 r. przeciętne miesięczne wydatki na 1 osobę w gospodarstwach domowych wyniosły 1157 zł.  Na żywność i napoje bezalkoholowe gospodarstwa domowe przeznaczały przeciętnie 29,5% ogólnej kwoty wydatków, na opłaty z tytułu użytkowania mieszkania lub domu i za korzystanie z nośników energii  - 20,1%, a na zdrowie – 4,8%.</w:t>
      </w:r>
    </w:p>
    <w:p w14:paraId="6554E18B" w14:textId="77777777" w:rsidR="000252DF" w:rsidRPr="006570C1" w:rsidRDefault="000252DF" w:rsidP="000252DF">
      <w:pPr>
        <w:rPr>
          <w:rFonts w:cs="Times New Roman"/>
          <w:szCs w:val="24"/>
        </w:rPr>
      </w:pPr>
    </w:p>
    <w:p w14:paraId="045D8736" w14:textId="77777777" w:rsidR="000252DF" w:rsidRDefault="000252DF" w:rsidP="000252DF">
      <w:pPr>
        <w:rPr>
          <w:rFonts w:cs="Times New Roman"/>
          <w:szCs w:val="24"/>
        </w:rPr>
      </w:pPr>
      <w:r w:rsidRPr="006570C1">
        <w:rPr>
          <w:rFonts w:cs="Times New Roman"/>
          <w:szCs w:val="24"/>
        </w:rPr>
        <w:t>W 2020 r. swoją sytuację materialną jako bardzo dobrą i raczej dobrą oceniło 57,5% gospodarstw domowych. Udział gospodarstw określających swoją sytuację materialną jako przeciętną wyniósł 38,0%, a raczej złą i złą ukształtował się na poziomie 4,5%.</w:t>
      </w:r>
    </w:p>
    <w:p w14:paraId="1318E3CF" w14:textId="77777777" w:rsidR="000252DF" w:rsidRPr="006570C1" w:rsidRDefault="000252DF" w:rsidP="000252DF">
      <w:pPr>
        <w:rPr>
          <w:rFonts w:cs="Times New Roman"/>
          <w:szCs w:val="24"/>
        </w:rPr>
      </w:pPr>
    </w:p>
    <w:p w14:paraId="3CE830B9" w14:textId="77777777" w:rsidR="000252DF" w:rsidRPr="005B6EB7" w:rsidRDefault="000252DF" w:rsidP="000252DF">
      <w:pPr>
        <w:rPr>
          <w:rFonts w:cs="Times New Roman"/>
          <w:szCs w:val="24"/>
        </w:rPr>
      </w:pPr>
      <w:r w:rsidRPr="006570C1">
        <w:rPr>
          <w:rFonts w:cs="Times New Roman"/>
          <w:szCs w:val="24"/>
        </w:rPr>
        <w:t>W analizowanym roku przeciętna liczba osób w gospodarstwie domowym ukształtowała się na poziomie 2,57. Przeciętna powierzchnia użytkowa mieszkania zajmowana przez gospodarstwo domowe wyniosła 74,09 m</w:t>
      </w:r>
      <w:r w:rsidRPr="000252DF">
        <w:rPr>
          <w:rFonts w:cs="Times New Roman"/>
          <w:szCs w:val="24"/>
          <w:vertAlign w:val="superscript"/>
        </w:rPr>
        <w:t>2</w:t>
      </w:r>
      <w:r w:rsidRPr="006570C1">
        <w:rPr>
          <w:rFonts w:cs="Times New Roman"/>
          <w:szCs w:val="24"/>
        </w:rPr>
        <w:t>.</w:t>
      </w:r>
      <w:r w:rsidRPr="006570C1">
        <w:rPr>
          <w:rFonts w:cs="Times New Roman"/>
          <w:szCs w:val="24"/>
        </w:rPr>
        <w:tab/>
      </w:r>
    </w:p>
    <w:p w14:paraId="32A20FB6" w14:textId="77777777" w:rsidR="000252DF" w:rsidRDefault="000252DF" w:rsidP="000252DF">
      <w:pPr>
        <w:rPr>
          <w:rFonts w:cs="Times New Roman"/>
          <w:b/>
          <w:color w:val="FF0000"/>
          <w:szCs w:val="24"/>
          <w:lang w:eastAsia="ar-SA"/>
        </w:rPr>
      </w:pPr>
    </w:p>
    <w:p w14:paraId="0E417F2E" w14:textId="5C2C8AC7" w:rsidR="000252DF" w:rsidRDefault="000252DF" w:rsidP="000252DF">
      <w:pPr>
        <w:pStyle w:val="Legenda"/>
        <w:keepNext/>
        <w:rPr>
          <w:rFonts w:cs="Times New Roman"/>
          <w:b/>
          <w:i w:val="0"/>
          <w:color w:val="auto"/>
          <w:sz w:val="24"/>
        </w:rPr>
      </w:pPr>
      <w:r w:rsidRPr="00432294">
        <w:rPr>
          <w:rFonts w:cs="Times New Roman"/>
          <w:b/>
          <w:i w:val="0"/>
          <w:color w:val="auto"/>
          <w:sz w:val="24"/>
        </w:rPr>
        <w:t xml:space="preserve">Tabela </w:t>
      </w:r>
      <w:r w:rsidR="005B094D">
        <w:rPr>
          <w:rFonts w:cs="Times New Roman"/>
          <w:b/>
          <w:i w:val="0"/>
          <w:color w:val="auto"/>
          <w:sz w:val="24"/>
        </w:rPr>
        <w:t>55</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Aktywność ekonomiczna osób starszych w województwie lubuskim</w:t>
      </w:r>
    </w:p>
    <w:tbl>
      <w:tblPr>
        <w:tblStyle w:val="Tabelasiatki6kolorowaakcent2"/>
        <w:tblpPr w:leftFromText="141" w:rightFromText="141" w:vertAnchor="text" w:tblpXSpec="center" w:tblpY="1"/>
        <w:tblW w:w="9214" w:type="dxa"/>
        <w:tblLayout w:type="fixed"/>
        <w:tblLook w:val="04A0" w:firstRow="1" w:lastRow="0" w:firstColumn="1" w:lastColumn="0" w:noHBand="0" w:noVBand="1"/>
      </w:tblPr>
      <w:tblGrid>
        <w:gridCol w:w="1705"/>
        <w:gridCol w:w="3969"/>
        <w:gridCol w:w="3540"/>
      </w:tblGrid>
      <w:tr w:rsidR="000252DF" w:rsidRPr="000F492E" w14:paraId="25FD9D1B" w14:textId="77777777" w:rsidTr="00EB7DC7">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214" w:type="dxa"/>
            <w:gridSpan w:val="3"/>
          </w:tcPr>
          <w:p w14:paraId="01B8B4D2" w14:textId="77777777" w:rsidR="000252DF" w:rsidRPr="002C1B74" w:rsidRDefault="000252DF" w:rsidP="00EB7DC7">
            <w:pPr>
              <w:jc w:val="center"/>
              <w:rPr>
                <w:rFonts w:cs="Times New Roman"/>
                <w:color w:val="auto"/>
                <w:sz w:val="20"/>
                <w:szCs w:val="20"/>
              </w:rPr>
            </w:pPr>
            <w:r w:rsidRPr="002C1B74">
              <w:rPr>
                <w:rFonts w:cs="Times New Roman"/>
                <w:color w:val="auto"/>
                <w:sz w:val="20"/>
                <w:szCs w:val="20"/>
                <w:lang w:eastAsia="pl-PL"/>
              </w:rPr>
              <w:t>AKTYWNOŚĆ EKONOMICZNA OSÓB STARSZYCH – DANE ZA 2020 R.</w:t>
            </w:r>
          </w:p>
        </w:tc>
      </w:tr>
      <w:tr w:rsidR="000252DF" w:rsidRPr="000F492E" w14:paraId="298066D2" w14:textId="77777777" w:rsidTr="00EB7DC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674" w:type="dxa"/>
            <w:gridSpan w:val="2"/>
          </w:tcPr>
          <w:p w14:paraId="0D80CCDC" w14:textId="77777777" w:rsidR="000252DF" w:rsidRPr="002C1B74" w:rsidRDefault="000252DF" w:rsidP="00EB7DC7">
            <w:pPr>
              <w:rPr>
                <w:rFonts w:cs="Times New Roman"/>
                <w:color w:val="auto"/>
                <w:sz w:val="20"/>
                <w:szCs w:val="20"/>
              </w:rPr>
            </w:pPr>
            <w:r w:rsidRPr="002C1B74">
              <w:rPr>
                <w:rFonts w:cs="Times New Roman"/>
                <w:color w:val="auto"/>
                <w:sz w:val="20"/>
                <w:szCs w:val="20"/>
              </w:rPr>
              <w:t>Podział</w:t>
            </w:r>
          </w:p>
        </w:tc>
        <w:tc>
          <w:tcPr>
            <w:tcW w:w="3540" w:type="dxa"/>
          </w:tcPr>
          <w:p w14:paraId="213FD94F" w14:textId="77777777" w:rsidR="000252DF" w:rsidRPr="002C1B74" w:rsidRDefault="000252DF"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2C1B74">
              <w:rPr>
                <w:rFonts w:cs="Times New Roman"/>
                <w:b/>
                <w:color w:val="auto"/>
                <w:sz w:val="20"/>
                <w:szCs w:val="20"/>
              </w:rPr>
              <w:t>Liczba</w:t>
            </w:r>
          </w:p>
        </w:tc>
      </w:tr>
      <w:tr w:rsidR="000252DF" w:rsidRPr="000F492E" w14:paraId="00A2ED14"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3DF545D4" w14:textId="77777777" w:rsidR="000252DF" w:rsidRPr="002C1B74" w:rsidRDefault="000252DF" w:rsidP="00EB7DC7">
            <w:pPr>
              <w:rPr>
                <w:rFonts w:cs="Times New Roman"/>
                <w:b w:val="0"/>
                <w:color w:val="auto"/>
                <w:sz w:val="20"/>
                <w:szCs w:val="20"/>
                <w:lang w:eastAsia="pl-PL"/>
              </w:rPr>
            </w:pPr>
            <w:r w:rsidRPr="002C1B74">
              <w:rPr>
                <w:rFonts w:cs="Times New Roman"/>
                <w:color w:val="auto"/>
                <w:sz w:val="20"/>
                <w:szCs w:val="20"/>
                <w:lang w:eastAsia="pl-PL"/>
              </w:rPr>
              <w:t>Osoby aktywne zawodowo razem (w tys.)</w:t>
            </w:r>
          </w:p>
        </w:tc>
        <w:tc>
          <w:tcPr>
            <w:tcW w:w="3969" w:type="dxa"/>
          </w:tcPr>
          <w:p w14:paraId="0584B10F"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ogółem</w:t>
            </w:r>
          </w:p>
        </w:tc>
        <w:tc>
          <w:tcPr>
            <w:tcW w:w="3540" w:type="dxa"/>
          </w:tcPr>
          <w:p w14:paraId="4E893429"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433</w:t>
            </w:r>
          </w:p>
        </w:tc>
      </w:tr>
      <w:tr w:rsidR="000252DF" w:rsidRPr="000F492E" w14:paraId="18763549" w14:textId="77777777" w:rsidTr="00EB7DC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705" w:type="dxa"/>
            <w:vMerge/>
          </w:tcPr>
          <w:p w14:paraId="056DC620" w14:textId="77777777" w:rsidR="000252DF" w:rsidRPr="002C1B74" w:rsidRDefault="000252DF" w:rsidP="00EB7DC7">
            <w:pPr>
              <w:rPr>
                <w:rFonts w:cs="Times New Roman"/>
                <w:b w:val="0"/>
                <w:color w:val="auto"/>
                <w:sz w:val="20"/>
                <w:szCs w:val="20"/>
                <w:lang w:eastAsia="pl-PL"/>
              </w:rPr>
            </w:pPr>
          </w:p>
        </w:tc>
        <w:tc>
          <w:tcPr>
            <w:tcW w:w="3969" w:type="dxa"/>
          </w:tcPr>
          <w:p w14:paraId="5F567365"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w tym w wieku 60+</w:t>
            </w:r>
          </w:p>
        </w:tc>
        <w:tc>
          <w:tcPr>
            <w:tcW w:w="3540" w:type="dxa"/>
          </w:tcPr>
          <w:p w14:paraId="1295D0C1"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38</w:t>
            </w:r>
          </w:p>
        </w:tc>
      </w:tr>
      <w:tr w:rsidR="000252DF" w:rsidRPr="000F492E" w14:paraId="0416DA06"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09E6FBB4" w14:textId="77777777" w:rsidR="000252DF" w:rsidRPr="002C1B74" w:rsidRDefault="000252DF" w:rsidP="00EB7DC7">
            <w:pPr>
              <w:rPr>
                <w:rFonts w:cs="Times New Roman"/>
                <w:b w:val="0"/>
                <w:color w:val="auto"/>
                <w:sz w:val="20"/>
                <w:szCs w:val="20"/>
                <w:lang w:eastAsia="pl-PL"/>
              </w:rPr>
            </w:pPr>
            <w:r w:rsidRPr="002C1B74">
              <w:rPr>
                <w:rFonts w:cs="Times New Roman"/>
                <w:color w:val="auto"/>
                <w:sz w:val="20"/>
                <w:szCs w:val="20"/>
                <w:lang w:eastAsia="pl-PL"/>
              </w:rPr>
              <w:t xml:space="preserve">Osoby aktywne zawodowo </w:t>
            </w:r>
            <w:r w:rsidRPr="002C1B74">
              <w:rPr>
                <w:rFonts w:cs="Times New Roman"/>
                <w:color w:val="auto"/>
                <w:sz w:val="20"/>
                <w:szCs w:val="20"/>
                <w:lang w:eastAsia="pl-PL"/>
              </w:rPr>
              <w:br/>
              <w:t>– pracujący (w tys.)</w:t>
            </w:r>
          </w:p>
        </w:tc>
        <w:tc>
          <w:tcPr>
            <w:tcW w:w="3969" w:type="dxa"/>
          </w:tcPr>
          <w:p w14:paraId="7D52D51F"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Ogółem</w:t>
            </w:r>
          </w:p>
        </w:tc>
        <w:tc>
          <w:tcPr>
            <w:tcW w:w="3540" w:type="dxa"/>
          </w:tcPr>
          <w:p w14:paraId="6DC6F0F5"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424</w:t>
            </w:r>
          </w:p>
        </w:tc>
      </w:tr>
      <w:tr w:rsidR="000252DF" w:rsidRPr="000F492E" w14:paraId="1BEB62F9" w14:textId="77777777" w:rsidTr="00EB7D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05" w:type="dxa"/>
            <w:vMerge/>
          </w:tcPr>
          <w:p w14:paraId="7BB6C4C2" w14:textId="77777777" w:rsidR="000252DF" w:rsidRPr="002C1B74" w:rsidRDefault="000252DF" w:rsidP="00EB7DC7">
            <w:pPr>
              <w:rPr>
                <w:rFonts w:cs="Times New Roman"/>
                <w:b w:val="0"/>
                <w:color w:val="auto"/>
                <w:sz w:val="20"/>
                <w:szCs w:val="20"/>
                <w:lang w:eastAsia="pl-PL"/>
              </w:rPr>
            </w:pPr>
          </w:p>
        </w:tc>
        <w:tc>
          <w:tcPr>
            <w:tcW w:w="3969" w:type="dxa"/>
          </w:tcPr>
          <w:p w14:paraId="2DA7499A"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w tym w wieku 60+</w:t>
            </w:r>
          </w:p>
        </w:tc>
        <w:tc>
          <w:tcPr>
            <w:tcW w:w="3540" w:type="dxa"/>
          </w:tcPr>
          <w:p w14:paraId="05BF6DFE"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38</w:t>
            </w:r>
          </w:p>
        </w:tc>
      </w:tr>
      <w:tr w:rsidR="000252DF" w:rsidRPr="000F492E" w14:paraId="3BF21B13"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304098B0" w14:textId="77777777" w:rsidR="000252DF" w:rsidRPr="002C1B74" w:rsidRDefault="000252DF" w:rsidP="00EB7DC7">
            <w:pPr>
              <w:rPr>
                <w:rFonts w:cs="Times New Roman"/>
                <w:b w:val="0"/>
                <w:color w:val="auto"/>
                <w:sz w:val="20"/>
                <w:szCs w:val="20"/>
                <w:lang w:eastAsia="pl-PL"/>
              </w:rPr>
            </w:pPr>
            <w:r w:rsidRPr="002C1B74">
              <w:rPr>
                <w:rFonts w:cs="Times New Roman"/>
                <w:color w:val="auto"/>
                <w:sz w:val="20"/>
                <w:szCs w:val="20"/>
                <w:lang w:eastAsia="pl-PL"/>
              </w:rPr>
              <w:t>Osoby bierne zawodowo (w tys.)</w:t>
            </w:r>
          </w:p>
        </w:tc>
        <w:tc>
          <w:tcPr>
            <w:tcW w:w="3969" w:type="dxa"/>
          </w:tcPr>
          <w:p w14:paraId="392E748D"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ogółem</w:t>
            </w:r>
          </w:p>
        </w:tc>
        <w:tc>
          <w:tcPr>
            <w:tcW w:w="3540" w:type="dxa"/>
          </w:tcPr>
          <w:p w14:paraId="463A0C2E"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357</w:t>
            </w:r>
          </w:p>
        </w:tc>
      </w:tr>
      <w:tr w:rsidR="000252DF" w:rsidRPr="000F492E" w14:paraId="78309A64" w14:textId="77777777" w:rsidTr="00EB7DC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705" w:type="dxa"/>
            <w:vMerge/>
          </w:tcPr>
          <w:p w14:paraId="520583FD" w14:textId="77777777" w:rsidR="000252DF" w:rsidRPr="002C1B74" w:rsidRDefault="000252DF" w:rsidP="00EB7DC7">
            <w:pPr>
              <w:rPr>
                <w:rFonts w:cs="Times New Roman"/>
                <w:b w:val="0"/>
                <w:color w:val="auto"/>
                <w:sz w:val="20"/>
                <w:szCs w:val="20"/>
                <w:lang w:eastAsia="pl-PL"/>
              </w:rPr>
            </w:pPr>
          </w:p>
        </w:tc>
        <w:tc>
          <w:tcPr>
            <w:tcW w:w="3969" w:type="dxa"/>
          </w:tcPr>
          <w:p w14:paraId="38A563D1"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w tym w wieku 60+</w:t>
            </w:r>
          </w:p>
        </w:tc>
        <w:tc>
          <w:tcPr>
            <w:tcW w:w="3540" w:type="dxa"/>
          </w:tcPr>
          <w:p w14:paraId="3BF319C6"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212</w:t>
            </w:r>
          </w:p>
        </w:tc>
      </w:tr>
      <w:tr w:rsidR="000252DF" w:rsidRPr="000F492E" w14:paraId="4E8D0172"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7B9FE9E2" w14:textId="77777777" w:rsidR="000252DF" w:rsidRPr="002C1B74" w:rsidRDefault="000252DF" w:rsidP="00EB7DC7">
            <w:pPr>
              <w:rPr>
                <w:rFonts w:cs="Times New Roman"/>
                <w:b w:val="0"/>
                <w:color w:val="auto"/>
                <w:sz w:val="20"/>
                <w:szCs w:val="20"/>
                <w:lang w:eastAsia="pl-PL"/>
              </w:rPr>
            </w:pPr>
            <w:r w:rsidRPr="002C1B74">
              <w:rPr>
                <w:rFonts w:cs="Times New Roman"/>
                <w:color w:val="auto"/>
                <w:sz w:val="20"/>
                <w:szCs w:val="20"/>
                <w:lang w:eastAsia="pl-PL"/>
              </w:rPr>
              <w:t>Współczynnik aktywności zawodowej %</w:t>
            </w:r>
          </w:p>
        </w:tc>
        <w:tc>
          <w:tcPr>
            <w:tcW w:w="3969" w:type="dxa"/>
          </w:tcPr>
          <w:p w14:paraId="40DC712C"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Ogółem</w:t>
            </w:r>
          </w:p>
        </w:tc>
        <w:tc>
          <w:tcPr>
            <w:tcW w:w="3540" w:type="dxa"/>
          </w:tcPr>
          <w:p w14:paraId="63EE7861"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54,8</w:t>
            </w:r>
          </w:p>
        </w:tc>
      </w:tr>
      <w:tr w:rsidR="000252DF" w:rsidRPr="000F492E" w14:paraId="7A59D876" w14:textId="77777777" w:rsidTr="00EB7D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05" w:type="dxa"/>
            <w:vMerge/>
          </w:tcPr>
          <w:p w14:paraId="127D54F3" w14:textId="77777777" w:rsidR="000252DF" w:rsidRPr="002C1B74" w:rsidRDefault="000252DF" w:rsidP="00EB7DC7">
            <w:pPr>
              <w:rPr>
                <w:rFonts w:cs="Times New Roman"/>
                <w:b w:val="0"/>
                <w:color w:val="auto"/>
                <w:sz w:val="20"/>
                <w:szCs w:val="20"/>
                <w:lang w:eastAsia="pl-PL"/>
              </w:rPr>
            </w:pPr>
          </w:p>
        </w:tc>
        <w:tc>
          <w:tcPr>
            <w:tcW w:w="3969" w:type="dxa"/>
          </w:tcPr>
          <w:p w14:paraId="6D309C48"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w tym w wieku 60+</w:t>
            </w:r>
          </w:p>
        </w:tc>
        <w:tc>
          <w:tcPr>
            <w:tcW w:w="3540" w:type="dxa"/>
          </w:tcPr>
          <w:p w14:paraId="7CE86439"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15,2</w:t>
            </w:r>
          </w:p>
        </w:tc>
      </w:tr>
      <w:tr w:rsidR="000252DF" w:rsidRPr="000F492E" w14:paraId="0D8D6A49" w14:textId="77777777" w:rsidTr="00EB7DC7">
        <w:trPr>
          <w:trHeight w:val="143"/>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63D22D83" w14:textId="77777777" w:rsidR="000252DF" w:rsidRPr="002C1B74" w:rsidRDefault="000252DF" w:rsidP="00EB7DC7">
            <w:pPr>
              <w:rPr>
                <w:rFonts w:cs="Times New Roman"/>
                <w:b w:val="0"/>
                <w:color w:val="auto"/>
                <w:sz w:val="20"/>
                <w:szCs w:val="20"/>
                <w:lang w:eastAsia="pl-PL"/>
              </w:rPr>
            </w:pPr>
            <w:r w:rsidRPr="002C1B74">
              <w:rPr>
                <w:rFonts w:cs="Times New Roman"/>
                <w:color w:val="auto"/>
                <w:sz w:val="20"/>
                <w:szCs w:val="20"/>
                <w:lang w:eastAsia="pl-PL"/>
              </w:rPr>
              <w:t>Wskaźnik zatrudnienia %</w:t>
            </w:r>
          </w:p>
        </w:tc>
        <w:tc>
          <w:tcPr>
            <w:tcW w:w="3969" w:type="dxa"/>
          </w:tcPr>
          <w:p w14:paraId="1128E42B"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ogółem</w:t>
            </w:r>
          </w:p>
        </w:tc>
        <w:tc>
          <w:tcPr>
            <w:tcW w:w="3540" w:type="dxa"/>
          </w:tcPr>
          <w:p w14:paraId="68C5F679"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53,7</w:t>
            </w:r>
          </w:p>
        </w:tc>
      </w:tr>
      <w:tr w:rsidR="000252DF" w:rsidRPr="000F492E" w14:paraId="0194C76E" w14:textId="77777777" w:rsidTr="00EB7DC7">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705" w:type="dxa"/>
            <w:vMerge/>
          </w:tcPr>
          <w:p w14:paraId="05331C55" w14:textId="77777777" w:rsidR="000252DF" w:rsidRPr="002C1B74" w:rsidRDefault="000252DF" w:rsidP="00EB7DC7">
            <w:pPr>
              <w:rPr>
                <w:rFonts w:cs="Times New Roman"/>
                <w:b w:val="0"/>
                <w:color w:val="auto"/>
                <w:sz w:val="20"/>
                <w:szCs w:val="20"/>
                <w:lang w:eastAsia="pl-PL"/>
              </w:rPr>
            </w:pPr>
          </w:p>
        </w:tc>
        <w:tc>
          <w:tcPr>
            <w:tcW w:w="3969" w:type="dxa"/>
          </w:tcPr>
          <w:p w14:paraId="14D2A9FF"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w tym w wieku 60+</w:t>
            </w:r>
          </w:p>
        </w:tc>
        <w:tc>
          <w:tcPr>
            <w:tcW w:w="3540" w:type="dxa"/>
          </w:tcPr>
          <w:p w14:paraId="70D04931"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15,2</w:t>
            </w:r>
          </w:p>
        </w:tc>
      </w:tr>
      <w:tr w:rsidR="000252DF" w:rsidRPr="000F492E" w14:paraId="1879F5AA" w14:textId="77777777" w:rsidTr="00EB7DC7">
        <w:trPr>
          <w:trHeight w:val="282"/>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43B3665B" w14:textId="77777777" w:rsidR="000252DF" w:rsidRPr="002C1B74" w:rsidRDefault="000252DF" w:rsidP="00EB7DC7">
            <w:pPr>
              <w:rPr>
                <w:rFonts w:cs="Times New Roman"/>
                <w:b w:val="0"/>
                <w:color w:val="auto"/>
                <w:sz w:val="20"/>
                <w:szCs w:val="20"/>
                <w:lang w:eastAsia="pl-PL"/>
              </w:rPr>
            </w:pPr>
            <w:r w:rsidRPr="002C1B74">
              <w:rPr>
                <w:rFonts w:eastAsia="Times New Roman" w:cs="Times New Roman"/>
                <w:color w:val="auto"/>
                <w:sz w:val="20"/>
                <w:szCs w:val="20"/>
                <w:lang w:eastAsia="pl-PL"/>
              </w:rPr>
              <w:t xml:space="preserve">Osoby bierne zawodowo  w wieku 60 lat i więcej według wybranych przyczyn bierności </w:t>
            </w:r>
            <w:r w:rsidRPr="002C1B74">
              <w:rPr>
                <w:rFonts w:eastAsia="Times New Roman" w:cs="Times New Roman"/>
                <w:color w:val="auto"/>
                <w:sz w:val="20"/>
                <w:szCs w:val="20"/>
                <w:lang w:eastAsia="pl-PL"/>
              </w:rPr>
              <w:br/>
              <w:t>(w tys.)</w:t>
            </w:r>
          </w:p>
        </w:tc>
        <w:tc>
          <w:tcPr>
            <w:tcW w:w="3969" w:type="dxa"/>
          </w:tcPr>
          <w:p w14:paraId="546A8F05"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ogółem</w:t>
            </w:r>
          </w:p>
        </w:tc>
        <w:tc>
          <w:tcPr>
            <w:tcW w:w="3540" w:type="dxa"/>
          </w:tcPr>
          <w:p w14:paraId="16FD8F95"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212</w:t>
            </w:r>
          </w:p>
        </w:tc>
      </w:tr>
      <w:tr w:rsidR="000252DF" w:rsidRPr="000F492E" w14:paraId="146C8B3F"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705" w:type="dxa"/>
            <w:vMerge/>
          </w:tcPr>
          <w:p w14:paraId="19D22685" w14:textId="77777777" w:rsidR="000252DF" w:rsidRPr="002C1B74" w:rsidRDefault="000252DF" w:rsidP="00EB7DC7">
            <w:pPr>
              <w:rPr>
                <w:rFonts w:eastAsia="Times New Roman" w:cs="Times New Roman"/>
                <w:b w:val="0"/>
                <w:bCs w:val="0"/>
                <w:color w:val="auto"/>
                <w:sz w:val="20"/>
                <w:szCs w:val="20"/>
                <w:lang w:eastAsia="pl-PL"/>
              </w:rPr>
            </w:pPr>
          </w:p>
        </w:tc>
        <w:tc>
          <w:tcPr>
            <w:tcW w:w="7509" w:type="dxa"/>
            <w:gridSpan w:val="2"/>
          </w:tcPr>
          <w:p w14:paraId="2E1C72CA"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w tym:</w:t>
            </w:r>
          </w:p>
        </w:tc>
      </w:tr>
      <w:tr w:rsidR="000252DF" w:rsidRPr="000F492E" w14:paraId="46BCFC32" w14:textId="77777777" w:rsidTr="00EB7DC7">
        <w:trPr>
          <w:trHeight w:val="280"/>
        </w:trPr>
        <w:tc>
          <w:tcPr>
            <w:cnfStyle w:val="001000000000" w:firstRow="0" w:lastRow="0" w:firstColumn="1" w:lastColumn="0" w:oddVBand="0" w:evenVBand="0" w:oddHBand="0" w:evenHBand="0" w:firstRowFirstColumn="0" w:firstRowLastColumn="0" w:lastRowFirstColumn="0" w:lastRowLastColumn="0"/>
            <w:tcW w:w="1705" w:type="dxa"/>
            <w:vMerge/>
          </w:tcPr>
          <w:p w14:paraId="2326BDE4" w14:textId="77777777" w:rsidR="000252DF" w:rsidRPr="002C1B74" w:rsidRDefault="000252DF" w:rsidP="00EB7DC7">
            <w:pPr>
              <w:rPr>
                <w:rFonts w:eastAsia="Times New Roman" w:cs="Times New Roman"/>
                <w:b w:val="0"/>
                <w:bCs w:val="0"/>
                <w:color w:val="auto"/>
                <w:sz w:val="20"/>
                <w:szCs w:val="20"/>
                <w:lang w:eastAsia="pl-PL"/>
              </w:rPr>
            </w:pPr>
          </w:p>
        </w:tc>
        <w:tc>
          <w:tcPr>
            <w:tcW w:w="3969" w:type="dxa"/>
          </w:tcPr>
          <w:p w14:paraId="204F8AAE"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2C1B74">
              <w:rPr>
                <w:rFonts w:eastAsia="Times New Roman" w:cs="Times New Roman"/>
                <w:color w:val="auto"/>
                <w:sz w:val="20"/>
                <w:szCs w:val="20"/>
                <w:lang w:eastAsia="pl-PL"/>
              </w:rPr>
              <w:t>osoby nieposzukujące pracy - razem</w:t>
            </w:r>
          </w:p>
        </w:tc>
        <w:tc>
          <w:tcPr>
            <w:tcW w:w="3540" w:type="dxa"/>
          </w:tcPr>
          <w:p w14:paraId="2687E731"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212</w:t>
            </w:r>
          </w:p>
        </w:tc>
      </w:tr>
      <w:tr w:rsidR="000252DF" w:rsidRPr="000F492E" w14:paraId="07B265D1"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705" w:type="dxa"/>
            <w:vMerge/>
          </w:tcPr>
          <w:p w14:paraId="5B23E93F" w14:textId="77777777" w:rsidR="000252DF" w:rsidRPr="002C1B74" w:rsidRDefault="000252DF" w:rsidP="00EB7DC7">
            <w:pPr>
              <w:rPr>
                <w:rFonts w:eastAsia="Times New Roman" w:cs="Times New Roman"/>
                <w:b w:val="0"/>
                <w:bCs w:val="0"/>
                <w:color w:val="auto"/>
                <w:sz w:val="20"/>
                <w:szCs w:val="20"/>
                <w:lang w:eastAsia="pl-PL"/>
              </w:rPr>
            </w:pPr>
          </w:p>
        </w:tc>
        <w:tc>
          <w:tcPr>
            <w:tcW w:w="3969" w:type="dxa"/>
          </w:tcPr>
          <w:p w14:paraId="0BB802FC"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eastAsia="Times New Roman" w:cs="Times New Roman"/>
                <w:color w:val="auto"/>
                <w:sz w:val="20"/>
                <w:szCs w:val="20"/>
                <w:lang w:eastAsia="pl-PL"/>
              </w:rPr>
              <w:t>osoby nieposzukujące pracy - emerytura</w:t>
            </w:r>
          </w:p>
        </w:tc>
        <w:tc>
          <w:tcPr>
            <w:tcW w:w="3540" w:type="dxa"/>
          </w:tcPr>
          <w:p w14:paraId="2D574302"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193</w:t>
            </w:r>
          </w:p>
        </w:tc>
      </w:tr>
      <w:tr w:rsidR="000252DF" w:rsidRPr="000F492E" w14:paraId="1707791C" w14:textId="77777777" w:rsidTr="00EB7DC7">
        <w:trPr>
          <w:trHeight w:val="280"/>
        </w:trPr>
        <w:tc>
          <w:tcPr>
            <w:cnfStyle w:val="001000000000" w:firstRow="0" w:lastRow="0" w:firstColumn="1" w:lastColumn="0" w:oddVBand="0" w:evenVBand="0" w:oddHBand="0" w:evenHBand="0" w:firstRowFirstColumn="0" w:firstRowLastColumn="0" w:lastRowFirstColumn="0" w:lastRowLastColumn="0"/>
            <w:tcW w:w="1705" w:type="dxa"/>
            <w:vMerge/>
          </w:tcPr>
          <w:p w14:paraId="61F8BE58" w14:textId="77777777" w:rsidR="000252DF" w:rsidRPr="002C1B74" w:rsidRDefault="000252DF" w:rsidP="00EB7DC7">
            <w:pPr>
              <w:rPr>
                <w:rFonts w:eastAsia="Times New Roman" w:cs="Times New Roman"/>
                <w:b w:val="0"/>
                <w:bCs w:val="0"/>
                <w:color w:val="auto"/>
                <w:sz w:val="20"/>
                <w:szCs w:val="20"/>
                <w:lang w:eastAsia="pl-PL"/>
              </w:rPr>
            </w:pPr>
          </w:p>
        </w:tc>
        <w:tc>
          <w:tcPr>
            <w:tcW w:w="3969" w:type="dxa"/>
          </w:tcPr>
          <w:p w14:paraId="1EAB1162"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eastAsia="Times New Roman" w:cs="Times New Roman"/>
                <w:color w:val="auto"/>
                <w:sz w:val="20"/>
                <w:szCs w:val="20"/>
                <w:lang w:eastAsia="pl-PL"/>
              </w:rPr>
              <w:t>osoby nieposzukujące pracy - choroba, niepełnosprawność</w:t>
            </w:r>
          </w:p>
        </w:tc>
        <w:tc>
          <w:tcPr>
            <w:tcW w:w="3540" w:type="dxa"/>
          </w:tcPr>
          <w:p w14:paraId="23C6A728"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13*</w:t>
            </w:r>
          </w:p>
        </w:tc>
      </w:tr>
      <w:tr w:rsidR="000252DF" w:rsidRPr="000F492E" w14:paraId="6A9E86B4" w14:textId="77777777" w:rsidTr="00EB7D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14BDD6E7" w14:textId="77777777" w:rsidR="000252DF" w:rsidRPr="002C1B74" w:rsidRDefault="000252DF" w:rsidP="00EB7DC7">
            <w:pPr>
              <w:rPr>
                <w:rFonts w:eastAsia="Times New Roman" w:cs="Times New Roman"/>
                <w:b w:val="0"/>
                <w:bCs w:val="0"/>
                <w:color w:val="auto"/>
                <w:sz w:val="20"/>
                <w:szCs w:val="20"/>
                <w:lang w:eastAsia="pl-PL"/>
              </w:rPr>
            </w:pPr>
            <w:r w:rsidRPr="002C1B74">
              <w:rPr>
                <w:rFonts w:eastAsia="Times New Roman" w:cs="Times New Roman"/>
                <w:color w:val="auto"/>
                <w:sz w:val="20"/>
                <w:szCs w:val="20"/>
                <w:lang w:eastAsia="pl-PL"/>
              </w:rPr>
              <w:lastRenderedPageBreak/>
              <w:t>Osoby bezrobotne zarejestrowane w urzędach pracy (w tys.)</w:t>
            </w:r>
          </w:p>
        </w:tc>
        <w:tc>
          <w:tcPr>
            <w:tcW w:w="3969" w:type="dxa"/>
          </w:tcPr>
          <w:p w14:paraId="51EA2A71"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ogółem</w:t>
            </w:r>
          </w:p>
        </w:tc>
        <w:tc>
          <w:tcPr>
            <w:tcW w:w="3540" w:type="dxa"/>
          </w:tcPr>
          <w:p w14:paraId="1F6B18AE"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23,7</w:t>
            </w:r>
          </w:p>
        </w:tc>
      </w:tr>
      <w:tr w:rsidR="000252DF" w:rsidRPr="000F492E" w14:paraId="63EC90DE" w14:textId="77777777" w:rsidTr="00EB7DC7">
        <w:trPr>
          <w:trHeight w:val="284"/>
        </w:trPr>
        <w:tc>
          <w:tcPr>
            <w:cnfStyle w:val="001000000000" w:firstRow="0" w:lastRow="0" w:firstColumn="1" w:lastColumn="0" w:oddVBand="0" w:evenVBand="0" w:oddHBand="0" w:evenHBand="0" w:firstRowFirstColumn="0" w:firstRowLastColumn="0" w:lastRowFirstColumn="0" w:lastRowLastColumn="0"/>
            <w:tcW w:w="1705" w:type="dxa"/>
            <w:vMerge/>
          </w:tcPr>
          <w:p w14:paraId="5EA289C5" w14:textId="77777777" w:rsidR="000252DF" w:rsidRPr="002C1B74" w:rsidRDefault="000252DF" w:rsidP="00EB7DC7">
            <w:pPr>
              <w:rPr>
                <w:rFonts w:eastAsia="Times New Roman" w:cs="Times New Roman"/>
                <w:b w:val="0"/>
                <w:bCs w:val="0"/>
                <w:color w:val="auto"/>
                <w:sz w:val="20"/>
                <w:szCs w:val="20"/>
                <w:lang w:eastAsia="pl-PL"/>
              </w:rPr>
            </w:pPr>
          </w:p>
        </w:tc>
        <w:tc>
          <w:tcPr>
            <w:tcW w:w="3969" w:type="dxa"/>
          </w:tcPr>
          <w:p w14:paraId="1C8C375D"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w tym w wieku 60+</w:t>
            </w:r>
          </w:p>
        </w:tc>
        <w:tc>
          <w:tcPr>
            <w:tcW w:w="3540" w:type="dxa"/>
          </w:tcPr>
          <w:p w14:paraId="4A34BABC"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1,6</w:t>
            </w:r>
          </w:p>
        </w:tc>
      </w:tr>
      <w:tr w:rsidR="000252DF" w:rsidRPr="000F492E" w14:paraId="6996289D" w14:textId="77777777" w:rsidTr="00EB7DC7">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057E74EF" w14:textId="77777777" w:rsidR="000252DF" w:rsidRPr="002C1B74" w:rsidRDefault="000252DF" w:rsidP="00EB7DC7">
            <w:pPr>
              <w:rPr>
                <w:rFonts w:eastAsia="Times New Roman" w:cs="Times New Roman"/>
                <w:b w:val="0"/>
                <w:bCs w:val="0"/>
                <w:color w:val="auto"/>
                <w:sz w:val="20"/>
                <w:szCs w:val="20"/>
                <w:lang w:eastAsia="pl-PL"/>
              </w:rPr>
            </w:pPr>
            <w:r w:rsidRPr="002C1B74">
              <w:rPr>
                <w:rFonts w:eastAsia="Times New Roman" w:cs="Times New Roman"/>
                <w:color w:val="auto"/>
                <w:sz w:val="20"/>
                <w:szCs w:val="20"/>
                <w:lang w:eastAsia="pl-PL"/>
              </w:rPr>
              <w:t xml:space="preserve">Osoby pobierające renty </w:t>
            </w:r>
            <w:r w:rsidRPr="002C1B74">
              <w:rPr>
                <w:rFonts w:eastAsia="Times New Roman" w:cs="Times New Roman"/>
                <w:color w:val="auto"/>
                <w:sz w:val="20"/>
                <w:szCs w:val="20"/>
                <w:lang w:eastAsia="pl-PL"/>
              </w:rPr>
              <w:br/>
              <w:t xml:space="preserve">i emerytury </w:t>
            </w:r>
          </w:p>
        </w:tc>
        <w:tc>
          <w:tcPr>
            <w:tcW w:w="7509" w:type="dxa"/>
            <w:gridSpan w:val="2"/>
          </w:tcPr>
          <w:p w14:paraId="5F58B7F5" w14:textId="77777777" w:rsidR="000252DF" w:rsidRPr="002C1B74" w:rsidRDefault="000252DF" w:rsidP="00EB7DC7">
            <w:pPr>
              <w:tabs>
                <w:tab w:val="left" w:pos="1725"/>
                <w:tab w:val="center" w:pos="2363"/>
              </w:tabs>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2C1B74">
              <w:rPr>
                <w:rFonts w:cs="Times New Roman"/>
                <w:b/>
                <w:color w:val="auto"/>
                <w:sz w:val="20"/>
                <w:szCs w:val="20"/>
              </w:rPr>
              <w:t>ZUS</w:t>
            </w:r>
          </w:p>
        </w:tc>
      </w:tr>
      <w:tr w:rsidR="000252DF" w:rsidRPr="000F492E" w14:paraId="4ADAEFBC" w14:textId="77777777" w:rsidTr="00EB7DC7">
        <w:trPr>
          <w:trHeight w:val="189"/>
        </w:trPr>
        <w:tc>
          <w:tcPr>
            <w:cnfStyle w:val="001000000000" w:firstRow="0" w:lastRow="0" w:firstColumn="1" w:lastColumn="0" w:oddVBand="0" w:evenVBand="0" w:oddHBand="0" w:evenHBand="0" w:firstRowFirstColumn="0" w:firstRowLastColumn="0" w:lastRowFirstColumn="0" w:lastRowLastColumn="0"/>
            <w:tcW w:w="1705" w:type="dxa"/>
            <w:vMerge/>
          </w:tcPr>
          <w:p w14:paraId="40A0FD7B" w14:textId="77777777" w:rsidR="000252DF" w:rsidRPr="002C1B74" w:rsidRDefault="000252DF" w:rsidP="00EB7DC7">
            <w:pPr>
              <w:rPr>
                <w:rFonts w:eastAsia="Times New Roman" w:cs="Times New Roman"/>
                <w:b w:val="0"/>
                <w:bCs w:val="0"/>
                <w:color w:val="auto"/>
                <w:sz w:val="20"/>
                <w:szCs w:val="20"/>
                <w:lang w:eastAsia="pl-PL"/>
              </w:rPr>
            </w:pPr>
          </w:p>
        </w:tc>
        <w:tc>
          <w:tcPr>
            <w:tcW w:w="3969" w:type="dxa"/>
          </w:tcPr>
          <w:p w14:paraId="7B29277B" w14:textId="77777777" w:rsidR="000252DF" w:rsidRPr="002C1B74" w:rsidRDefault="000252DF" w:rsidP="00EB7DC7">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2C1B74">
              <w:rPr>
                <w:rFonts w:cs="Times New Roman"/>
                <w:b/>
                <w:color w:val="auto"/>
                <w:sz w:val="20"/>
                <w:szCs w:val="20"/>
              </w:rPr>
              <w:t>Rodzaj świadczenia</w:t>
            </w:r>
          </w:p>
        </w:tc>
        <w:tc>
          <w:tcPr>
            <w:tcW w:w="3540" w:type="dxa"/>
          </w:tcPr>
          <w:p w14:paraId="74DC84AE" w14:textId="77777777" w:rsidR="000252DF" w:rsidRPr="002C1B74" w:rsidRDefault="000252DF" w:rsidP="00EB7DC7">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2C1B74">
              <w:rPr>
                <w:rFonts w:cs="Times New Roman"/>
                <w:b/>
                <w:color w:val="auto"/>
                <w:sz w:val="20"/>
                <w:szCs w:val="20"/>
              </w:rPr>
              <w:t>Przeciętna miesięczna liczba emerytów i rencistów (w tys.)</w:t>
            </w:r>
          </w:p>
        </w:tc>
      </w:tr>
      <w:tr w:rsidR="000252DF" w:rsidRPr="000F492E" w14:paraId="442379D6" w14:textId="77777777" w:rsidTr="00EB7DC7">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705" w:type="dxa"/>
            <w:vMerge/>
          </w:tcPr>
          <w:p w14:paraId="4C2BE81F" w14:textId="77777777" w:rsidR="000252DF" w:rsidRPr="002C1B74" w:rsidRDefault="000252DF" w:rsidP="00EB7DC7">
            <w:pPr>
              <w:rPr>
                <w:rFonts w:eastAsia="Times New Roman" w:cs="Times New Roman"/>
                <w:b w:val="0"/>
                <w:bCs w:val="0"/>
                <w:color w:val="auto"/>
                <w:sz w:val="20"/>
                <w:szCs w:val="20"/>
                <w:lang w:eastAsia="pl-PL"/>
              </w:rPr>
            </w:pPr>
          </w:p>
        </w:tc>
        <w:tc>
          <w:tcPr>
            <w:tcW w:w="3969" w:type="dxa"/>
          </w:tcPr>
          <w:p w14:paraId="4B74CB85"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Emerytury</w:t>
            </w:r>
          </w:p>
        </w:tc>
        <w:tc>
          <w:tcPr>
            <w:tcW w:w="3540" w:type="dxa"/>
          </w:tcPr>
          <w:p w14:paraId="5AB09A7C"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159,7</w:t>
            </w:r>
          </w:p>
        </w:tc>
      </w:tr>
      <w:tr w:rsidR="000252DF" w:rsidRPr="000F492E" w14:paraId="7249E2E5" w14:textId="77777777" w:rsidTr="00EB7DC7">
        <w:trPr>
          <w:trHeight w:val="142"/>
        </w:trPr>
        <w:tc>
          <w:tcPr>
            <w:cnfStyle w:val="001000000000" w:firstRow="0" w:lastRow="0" w:firstColumn="1" w:lastColumn="0" w:oddVBand="0" w:evenVBand="0" w:oddHBand="0" w:evenHBand="0" w:firstRowFirstColumn="0" w:firstRowLastColumn="0" w:lastRowFirstColumn="0" w:lastRowLastColumn="0"/>
            <w:tcW w:w="1705" w:type="dxa"/>
            <w:vMerge/>
          </w:tcPr>
          <w:p w14:paraId="2005EB13" w14:textId="77777777" w:rsidR="000252DF" w:rsidRPr="002C1B74" w:rsidRDefault="000252DF" w:rsidP="00EB7DC7">
            <w:pPr>
              <w:rPr>
                <w:rFonts w:eastAsia="Times New Roman" w:cs="Times New Roman"/>
                <w:b w:val="0"/>
                <w:bCs w:val="0"/>
                <w:color w:val="auto"/>
                <w:sz w:val="20"/>
                <w:szCs w:val="20"/>
                <w:lang w:eastAsia="pl-PL"/>
              </w:rPr>
            </w:pPr>
          </w:p>
        </w:tc>
        <w:tc>
          <w:tcPr>
            <w:tcW w:w="3969" w:type="dxa"/>
          </w:tcPr>
          <w:p w14:paraId="1E17F3B3"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Renty z tytułu niezdolności do pracy</w:t>
            </w:r>
          </w:p>
        </w:tc>
        <w:tc>
          <w:tcPr>
            <w:tcW w:w="3540" w:type="dxa"/>
          </w:tcPr>
          <w:p w14:paraId="17ECCB8F"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23,3</w:t>
            </w:r>
          </w:p>
        </w:tc>
      </w:tr>
      <w:tr w:rsidR="000252DF" w:rsidRPr="000F492E" w14:paraId="6D128FC0" w14:textId="77777777" w:rsidTr="00EB7DC7">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705" w:type="dxa"/>
            <w:vMerge/>
          </w:tcPr>
          <w:p w14:paraId="17926301" w14:textId="77777777" w:rsidR="000252DF" w:rsidRPr="002C1B74" w:rsidRDefault="000252DF" w:rsidP="00EB7DC7">
            <w:pPr>
              <w:rPr>
                <w:rFonts w:eastAsia="Times New Roman" w:cs="Times New Roman"/>
                <w:b w:val="0"/>
                <w:bCs w:val="0"/>
                <w:color w:val="auto"/>
                <w:sz w:val="20"/>
                <w:szCs w:val="20"/>
                <w:lang w:eastAsia="pl-PL"/>
              </w:rPr>
            </w:pPr>
          </w:p>
        </w:tc>
        <w:tc>
          <w:tcPr>
            <w:tcW w:w="3969" w:type="dxa"/>
          </w:tcPr>
          <w:p w14:paraId="65ECE1EC"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Renty rodzinne</w:t>
            </w:r>
          </w:p>
        </w:tc>
        <w:tc>
          <w:tcPr>
            <w:tcW w:w="3540" w:type="dxa"/>
          </w:tcPr>
          <w:p w14:paraId="4BA3FC4A"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29,7</w:t>
            </w:r>
          </w:p>
        </w:tc>
      </w:tr>
      <w:tr w:rsidR="000252DF" w:rsidRPr="000F492E" w14:paraId="272CC6CB" w14:textId="77777777" w:rsidTr="00EB7DC7">
        <w:trPr>
          <w:trHeight w:val="284"/>
        </w:trPr>
        <w:tc>
          <w:tcPr>
            <w:cnfStyle w:val="001000000000" w:firstRow="0" w:lastRow="0" w:firstColumn="1" w:lastColumn="0" w:oddVBand="0" w:evenVBand="0" w:oddHBand="0" w:evenHBand="0" w:firstRowFirstColumn="0" w:firstRowLastColumn="0" w:lastRowFirstColumn="0" w:lastRowLastColumn="0"/>
            <w:tcW w:w="1705" w:type="dxa"/>
            <w:vMerge/>
          </w:tcPr>
          <w:p w14:paraId="7C21B607" w14:textId="77777777" w:rsidR="000252DF" w:rsidRPr="002C1B74" w:rsidRDefault="000252DF" w:rsidP="00EB7DC7">
            <w:pPr>
              <w:rPr>
                <w:rFonts w:eastAsia="Times New Roman" w:cs="Times New Roman"/>
                <w:b w:val="0"/>
                <w:bCs w:val="0"/>
                <w:color w:val="auto"/>
                <w:sz w:val="20"/>
                <w:szCs w:val="20"/>
                <w:lang w:eastAsia="pl-PL"/>
              </w:rPr>
            </w:pPr>
          </w:p>
        </w:tc>
        <w:tc>
          <w:tcPr>
            <w:tcW w:w="7509" w:type="dxa"/>
            <w:gridSpan w:val="2"/>
          </w:tcPr>
          <w:p w14:paraId="34511F5B" w14:textId="77777777" w:rsidR="000252DF" w:rsidRPr="002C1B74" w:rsidRDefault="000252DF" w:rsidP="00EB7DC7">
            <w:pPr>
              <w:tabs>
                <w:tab w:val="left" w:pos="1507"/>
                <w:tab w:val="center" w:pos="2363"/>
              </w:tabs>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2C1B74">
              <w:rPr>
                <w:rFonts w:cs="Times New Roman"/>
                <w:b/>
                <w:color w:val="auto"/>
                <w:sz w:val="20"/>
                <w:szCs w:val="20"/>
              </w:rPr>
              <w:t>KRUS</w:t>
            </w:r>
          </w:p>
        </w:tc>
      </w:tr>
      <w:tr w:rsidR="000252DF" w:rsidRPr="000F492E" w14:paraId="7EA2C95C" w14:textId="77777777" w:rsidTr="00EB7DC7">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705" w:type="dxa"/>
            <w:vMerge/>
          </w:tcPr>
          <w:p w14:paraId="7BD32053" w14:textId="77777777" w:rsidR="000252DF" w:rsidRPr="002C1B74" w:rsidRDefault="000252DF" w:rsidP="00EB7DC7">
            <w:pPr>
              <w:rPr>
                <w:rFonts w:eastAsia="Times New Roman" w:cs="Times New Roman"/>
                <w:b w:val="0"/>
                <w:bCs w:val="0"/>
                <w:color w:val="auto"/>
                <w:sz w:val="20"/>
                <w:szCs w:val="20"/>
                <w:lang w:eastAsia="pl-PL"/>
              </w:rPr>
            </w:pPr>
          </w:p>
        </w:tc>
        <w:tc>
          <w:tcPr>
            <w:tcW w:w="3969" w:type="dxa"/>
          </w:tcPr>
          <w:p w14:paraId="6D8C1466" w14:textId="77777777" w:rsidR="000252DF" w:rsidRPr="002C1B74" w:rsidRDefault="000252DF"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2C1B74">
              <w:rPr>
                <w:rFonts w:cs="Times New Roman"/>
                <w:b/>
                <w:color w:val="auto"/>
                <w:sz w:val="20"/>
                <w:szCs w:val="20"/>
              </w:rPr>
              <w:t>Rodzaj świadczenia</w:t>
            </w:r>
          </w:p>
        </w:tc>
        <w:tc>
          <w:tcPr>
            <w:tcW w:w="3540" w:type="dxa"/>
          </w:tcPr>
          <w:p w14:paraId="31F77DD3" w14:textId="77777777" w:rsidR="000252DF" w:rsidRPr="002C1B74" w:rsidRDefault="000252DF"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2C1B74">
              <w:rPr>
                <w:rFonts w:cs="Times New Roman"/>
                <w:b/>
                <w:color w:val="auto"/>
                <w:sz w:val="20"/>
                <w:szCs w:val="20"/>
              </w:rPr>
              <w:t>Przeciętna miesięczna liczba emerytów i rencistów (w tys.)</w:t>
            </w:r>
          </w:p>
        </w:tc>
      </w:tr>
      <w:tr w:rsidR="000252DF" w:rsidRPr="000F492E" w14:paraId="747933BF"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1705" w:type="dxa"/>
            <w:vMerge/>
          </w:tcPr>
          <w:p w14:paraId="4613DA17" w14:textId="77777777" w:rsidR="000252DF" w:rsidRPr="002C1B74" w:rsidRDefault="000252DF" w:rsidP="00EB7DC7">
            <w:pPr>
              <w:rPr>
                <w:rFonts w:eastAsia="Times New Roman" w:cs="Times New Roman"/>
                <w:b w:val="0"/>
                <w:bCs w:val="0"/>
                <w:color w:val="auto"/>
                <w:sz w:val="20"/>
                <w:szCs w:val="20"/>
                <w:lang w:eastAsia="pl-PL"/>
              </w:rPr>
            </w:pPr>
          </w:p>
        </w:tc>
        <w:tc>
          <w:tcPr>
            <w:tcW w:w="3969" w:type="dxa"/>
          </w:tcPr>
          <w:p w14:paraId="02A26E04"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Emerytury</w:t>
            </w:r>
          </w:p>
        </w:tc>
        <w:tc>
          <w:tcPr>
            <w:tcW w:w="3540" w:type="dxa"/>
          </w:tcPr>
          <w:p w14:paraId="2C6331C6"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11,2</w:t>
            </w:r>
          </w:p>
        </w:tc>
      </w:tr>
      <w:tr w:rsidR="000252DF" w:rsidRPr="000F492E" w14:paraId="657C71E7" w14:textId="77777777" w:rsidTr="00EB7DC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705" w:type="dxa"/>
            <w:vMerge/>
          </w:tcPr>
          <w:p w14:paraId="68C32DC8" w14:textId="77777777" w:rsidR="000252DF" w:rsidRPr="002C1B74" w:rsidRDefault="000252DF" w:rsidP="00EB7DC7">
            <w:pPr>
              <w:rPr>
                <w:rFonts w:eastAsia="Times New Roman" w:cs="Times New Roman"/>
                <w:b w:val="0"/>
                <w:bCs w:val="0"/>
                <w:color w:val="auto"/>
                <w:sz w:val="20"/>
                <w:szCs w:val="20"/>
                <w:lang w:eastAsia="pl-PL"/>
              </w:rPr>
            </w:pPr>
          </w:p>
        </w:tc>
        <w:tc>
          <w:tcPr>
            <w:tcW w:w="3969" w:type="dxa"/>
          </w:tcPr>
          <w:p w14:paraId="22C03430"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Renty z tytułu niezdolności do pracy</w:t>
            </w:r>
          </w:p>
        </w:tc>
        <w:tc>
          <w:tcPr>
            <w:tcW w:w="3540" w:type="dxa"/>
          </w:tcPr>
          <w:p w14:paraId="429EE9CF" w14:textId="77777777" w:rsidR="000252DF" w:rsidRPr="002C1B74" w:rsidRDefault="000252DF"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C1B74">
              <w:rPr>
                <w:rFonts w:cs="Times New Roman"/>
                <w:color w:val="auto"/>
                <w:sz w:val="20"/>
                <w:szCs w:val="20"/>
              </w:rPr>
              <w:t>3,1</w:t>
            </w:r>
          </w:p>
        </w:tc>
      </w:tr>
      <w:tr w:rsidR="000252DF" w:rsidRPr="000F492E" w14:paraId="4653696F"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1705" w:type="dxa"/>
            <w:vMerge/>
          </w:tcPr>
          <w:p w14:paraId="722AA499" w14:textId="77777777" w:rsidR="000252DF" w:rsidRPr="002C1B74" w:rsidRDefault="000252DF" w:rsidP="00EB7DC7">
            <w:pPr>
              <w:rPr>
                <w:rFonts w:eastAsia="Times New Roman" w:cs="Times New Roman"/>
                <w:b w:val="0"/>
                <w:bCs w:val="0"/>
                <w:color w:val="auto"/>
                <w:sz w:val="20"/>
                <w:szCs w:val="20"/>
                <w:lang w:eastAsia="pl-PL"/>
              </w:rPr>
            </w:pPr>
          </w:p>
        </w:tc>
        <w:tc>
          <w:tcPr>
            <w:tcW w:w="3969" w:type="dxa"/>
          </w:tcPr>
          <w:p w14:paraId="68F9812F"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Renty rodzinne</w:t>
            </w:r>
          </w:p>
        </w:tc>
        <w:tc>
          <w:tcPr>
            <w:tcW w:w="3540" w:type="dxa"/>
          </w:tcPr>
          <w:p w14:paraId="46DDCECD" w14:textId="77777777" w:rsidR="000252DF" w:rsidRPr="002C1B74" w:rsidRDefault="000252DF"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C1B74">
              <w:rPr>
                <w:rFonts w:cs="Times New Roman"/>
                <w:color w:val="auto"/>
                <w:sz w:val="20"/>
                <w:szCs w:val="20"/>
              </w:rPr>
              <w:t>0,6</w:t>
            </w:r>
          </w:p>
        </w:tc>
      </w:tr>
    </w:tbl>
    <w:p w14:paraId="0900B4CC" w14:textId="77777777" w:rsidR="000252DF" w:rsidRDefault="000252DF" w:rsidP="000252DF">
      <w:pPr>
        <w:tabs>
          <w:tab w:val="left" w:pos="5400"/>
        </w:tabs>
        <w:rPr>
          <w:rFonts w:eastAsia="Times New Roman" w:cs="Times New Roman"/>
          <w:b/>
          <w:szCs w:val="24"/>
          <w:lang w:eastAsia="pl-PL"/>
        </w:rPr>
      </w:pPr>
      <w:r w:rsidRPr="00432294">
        <w:rPr>
          <w:rFonts w:eastAsia="Times New Roman" w:cs="Times New Roman"/>
          <w:b/>
          <w:szCs w:val="24"/>
          <w:lang w:eastAsia="pl-PL"/>
        </w:rPr>
        <w:t xml:space="preserve">Źródło: </w:t>
      </w:r>
      <w:r w:rsidRPr="00377FB8">
        <w:rPr>
          <w:rFonts w:eastAsia="Times New Roman" w:cs="Times New Roman"/>
          <w:b/>
          <w:szCs w:val="24"/>
          <w:lang w:eastAsia="pl-PL"/>
        </w:rPr>
        <w:t>GUS</w:t>
      </w:r>
      <w:r w:rsidRPr="00432294">
        <w:rPr>
          <w:rFonts w:eastAsia="Times New Roman" w:cs="Times New Roman"/>
          <w:b/>
          <w:szCs w:val="24"/>
          <w:lang w:eastAsia="pl-PL"/>
        </w:rPr>
        <w:t xml:space="preserve">. </w:t>
      </w:r>
    </w:p>
    <w:p w14:paraId="7B24B80B" w14:textId="77777777" w:rsidR="000252DF" w:rsidRDefault="000252DF" w:rsidP="00493925">
      <w:pPr>
        <w:rPr>
          <w:rFonts w:cs="Times New Roman"/>
          <w:b/>
          <w:color w:val="FF0000"/>
          <w:szCs w:val="24"/>
          <w:lang w:eastAsia="ar-SA"/>
        </w:rPr>
      </w:pPr>
    </w:p>
    <w:p w14:paraId="4AB57834" w14:textId="6AE4D690" w:rsidR="00BA4636" w:rsidRPr="00D96C8C" w:rsidRDefault="00794616" w:rsidP="00BA4636">
      <w:pPr>
        <w:pStyle w:val="Nagwek3"/>
        <w:rPr>
          <w:lang w:eastAsia="ar-SA"/>
        </w:rPr>
      </w:pPr>
      <w:bookmarkStart w:id="164" w:name="_Toc77513967"/>
      <w:bookmarkStart w:id="165" w:name="_Toc80523121"/>
      <w:r w:rsidRPr="00794616">
        <w:rPr>
          <w:lang w:eastAsia="ar-SA"/>
        </w:rPr>
        <w:t>Sytuacja osób niepełnosprawnych i ich opiekunów</w:t>
      </w:r>
      <w:bookmarkEnd w:id="164"/>
      <w:bookmarkEnd w:id="165"/>
    </w:p>
    <w:p w14:paraId="4DB3551D" w14:textId="73D5297A" w:rsidR="00FD2030" w:rsidRDefault="00FD2030" w:rsidP="00BA4636">
      <w:pPr>
        <w:rPr>
          <w:rFonts w:cs="Times New Roman"/>
          <w:szCs w:val="24"/>
        </w:rPr>
      </w:pPr>
    </w:p>
    <w:p w14:paraId="679C2378" w14:textId="2ED728EC" w:rsidR="00FD2030" w:rsidRPr="00FD2030" w:rsidRDefault="00FD2030" w:rsidP="00FD2030">
      <w:pPr>
        <w:rPr>
          <w:rFonts w:cs="Times New Roman"/>
          <w:szCs w:val="24"/>
        </w:rPr>
      </w:pPr>
      <w:r w:rsidRPr="00FD2030">
        <w:rPr>
          <w:rFonts w:cs="Times New Roman"/>
          <w:szCs w:val="24"/>
        </w:rPr>
        <w:t xml:space="preserve">Pomocą społeczną z tytułu niepełnosprawności w 2020 r. było objętych 11 850 rodzin i 18 140 osób w rodzinach.  W 2020 </w:t>
      </w:r>
      <w:r w:rsidR="004D289B">
        <w:rPr>
          <w:rFonts w:cs="Times New Roman"/>
          <w:szCs w:val="24"/>
        </w:rPr>
        <w:t xml:space="preserve">r. </w:t>
      </w:r>
      <w:r w:rsidRPr="00FD2030">
        <w:rPr>
          <w:rFonts w:cs="Times New Roman"/>
          <w:szCs w:val="24"/>
        </w:rPr>
        <w:t>w porównaniu do 2019</w:t>
      </w:r>
      <w:r w:rsidR="004D289B">
        <w:rPr>
          <w:rFonts w:cs="Times New Roman"/>
          <w:szCs w:val="24"/>
        </w:rPr>
        <w:t xml:space="preserve"> r.</w:t>
      </w:r>
      <w:r w:rsidRPr="00FD2030">
        <w:rPr>
          <w:rFonts w:cs="Times New Roman"/>
          <w:szCs w:val="24"/>
        </w:rPr>
        <w:t xml:space="preserve"> odnotowano spadek o 10,52% rodzin objętych pomocą społeczną z powodu niepełnosprawności (z 13 245 do 11 852). Wynagrodzenie należne opiekunowi z tytułu sprawowania opieki przyznane przez sąd w 2020 r. otrzymywało 270 osób na łączną kwotę 1 121 689 zł. Z każdym rokiem wzrasta liczba osób, które korzystają z tej formy pomocy (w 2020</w:t>
      </w:r>
      <w:r w:rsidR="004D289B">
        <w:rPr>
          <w:rFonts w:cs="Times New Roman"/>
          <w:szCs w:val="24"/>
        </w:rPr>
        <w:t xml:space="preserve"> r.</w:t>
      </w:r>
      <w:r w:rsidRPr="00FD2030">
        <w:rPr>
          <w:rFonts w:cs="Times New Roman"/>
          <w:szCs w:val="24"/>
        </w:rPr>
        <w:t xml:space="preserve"> wzrost wyniósł 13,92% w stosunku do 2019</w:t>
      </w:r>
      <w:r w:rsidR="004D289B">
        <w:rPr>
          <w:rFonts w:cs="Times New Roman"/>
          <w:szCs w:val="24"/>
        </w:rPr>
        <w:t xml:space="preserve"> r.</w:t>
      </w:r>
      <w:r w:rsidRPr="00FD2030">
        <w:rPr>
          <w:rFonts w:cs="Times New Roman"/>
          <w:szCs w:val="24"/>
        </w:rPr>
        <w:t>).</w:t>
      </w:r>
    </w:p>
    <w:p w14:paraId="15F22280" w14:textId="77777777" w:rsidR="00A40A9C" w:rsidRDefault="00A40A9C" w:rsidP="00FD2030">
      <w:pPr>
        <w:rPr>
          <w:rFonts w:cs="Times New Roman"/>
          <w:szCs w:val="24"/>
        </w:rPr>
      </w:pPr>
    </w:p>
    <w:p w14:paraId="6ACC0883" w14:textId="77777777" w:rsidR="00A40A9C" w:rsidRDefault="00FD2030" w:rsidP="00FD2030">
      <w:pPr>
        <w:rPr>
          <w:rFonts w:cs="Times New Roman"/>
          <w:szCs w:val="24"/>
        </w:rPr>
      </w:pPr>
      <w:r w:rsidRPr="00FD2030">
        <w:rPr>
          <w:rFonts w:cs="Times New Roman"/>
          <w:szCs w:val="24"/>
        </w:rPr>
        <w:t xml:space="preserve">Sytuacja osób niepełnosprawnych i ich opiekunów ulega stopniowej poprawie głównie za sprawą realizowanych na terenie województwa Programów Funduszu Solidarnościowego „Usługi opiekuńcze dla osób niepełnosprawnych”, „Asystent Osobisty Osoby Niepełnosprawnej”, „Opieka </w:t>
      </w:r>
      <w:proofErr w:type="spellStart"/>
      <w:r w:rsidRPr="00FD2030">
        <w:rPr>
          <w:rFonts w:cs="Times New Roman"/>
          <w:szCs w:val="24"/>
        </w:rPr>
        <w:t>Wytchnieniowa</w:t>
      </w:r>
      <w:proofErr w:type="spellEnd"/>
      <w:r w:rsidRPr="00FD2030">
        <w:rPr>
          <w:rFonts w:cs="Times New Roman"/>
          <w:szCs w:val="24"/>
        </w:rPr>
        <w:t xml:space="preserve">”. </w:t>
      </w:r>
      <w:r w:rsidR="00A40A9C">
        <w:rPr>
          <w:rFonts w:cs="Times New Roman"/>
          <w:szCs w:val="24"/>
        </w:rPr>
        <w:t xml:space="preserve"> </w:t>
      </w:r>
    </w:p>
    <w:p w14:paraId="419307AB" w14:textId="77777777" w:rsidR="00A40A9C" w:rsidRDefault="00A40A9C" w:rsidP="00FD2030">
      <w:pPr>
        <w:rPr>
          <w:rFonts w:cs="Times New Roman"/>
          <w:szCs w:val="24"/>
        </w:rPr>
      </w:pPr>
    </w:p>
    <w:p w14:paraId="488DAB44" w14:textId="306F86CC" w:rsidR="00FD2030" w:rsidRPr="00FD2030" w:rsidRDefault="00FD2030" w:rsidP="00FD2030">
      <w:pPr>
        <w:rPr>
          <w:rFonts w:cs="Times New Roman"/>
          <w:szCs w:val="24"/>
        </w:rPr>
      </w:pPr>
      <w:r w:rsidRPr="00FD2030">
        <w:rPr>
          <w:rFonts w:cs="Times New Roman"/>
          <w:szCs w:val="24"/>
        </w:rPr>
        <w:t>Do Programu „Asystent osobisty osoby niepełnosprawnej” w województwie lubuskim w 2020 r. przystąpiło 18 samorządów (15 gmin oraz 3 powiaty). Koszt usług asystenta osobistego osoby niepełnosprawnej w 2020 r. wyniósł 1.747.540 zł. Z programu skorzystało ogółem 315 niepełnosprawnych mieszkańców województwa. Spośród tych mieszkańców 105 osób (33,3%) było powyżej 60 r. ż. Na usługi asystenckie dla osób starszych przeznaczono środki w wysokości 525.336,03 zł.</w:t>
      </w:r>
    </w:p>
    <w:p w14:paraId="6CAC6658" w14:textId="77777777" w:rsidR="00A40A9C" w:rsidRDefault="00A40A9C" w:rsidP="00FD2030">
      <w:pPr>
        <w:rPr>
          <w:rFonts w:cs="Times New Roman"/>
          <w:szCs w:val="24"/>
        </w:rPr>
      </w:pPr>
    </w:p>
    <w:p w14:paraId="7DF03C1F" w14:textId="19029633" w:rsidR="00FD2030" w:rsidRPr="00FD2030" w:rsidRDefault="00FD2030" w:rsidP="00FD2030">
      <w:pPr>
        <w:rPr>
          <w:rFonts w:cs="Times New Roman"/>
          <w:szCs w:val="24"/>
        </w:rPr>
      </w:pPr>
      <w:r w:rsidRPr="00FD2030">
        <w:rPr>
          <w:rFonts w:cs="Times New Roman"/>
          <w:szCs w:val="24"/>
        </w:rPr>
        <w:t xml:space="preserve">Odciążeniem dla opiekunów osób niepełnosprawnych jest Program Opieka </w:t>
      </w:r>
      <w:proofErr w:type="spellStart"/>
      <w:r w:rsidRPr="00FD2030">
        <w:rPr>
          <w:rFonts w:cs="Times New Roman"/>
          <w:szCs w:val="24"/>
        </w:rPr>
        <w:t>Wytchnieniowa</w:t>
      </w:r>
      <w:proofErr w:type="spellEnd"/>
      <w:r w:rsidRPr="00FD2030">
        <w:rPr>
          <w:rFonts w:cs="Times New Roman"/>
          <w:szCs w:val="24"/>
        </w:rPr>
        <w:t>. W</w:t>
      </w:r>
      <w:r w:rsidR="00A40A9C">
        <w:rPr>
          <w:rFonts w:cs="Times New Roman"/>
          <w:szCs w:val="24"/>
        </w:rPr>
        <w:t> </w:t>
      </w:r>
      <w:r w:rsidRPr="00FD2030">
        <w:rPr>
          <w:rFonts w:cs="Times New Roman"/>
          <w:szCs w:val="24"/>
        </w:rPr>
        <w:t>2020 r</w:t>
      </w:r>
      <w:r w:rsidR="004D289B">
        <w:rPr>
          <w:rFonts w:cs="Times New Roman"/>
          <w:szCs w:val="24"/>
        </w:rPr>
        <w:t>.</w:t>
      </w:r>
      <w:r w:rsidRPr="00FD2030">
        <w:rPr>
          <w:rFonts w:cs="Times New Roman"/>
          <w:szCs w:val="24"/>
        </w:rPr>
        <w:t xml:space="preserve"> z Programu korzystało 14 gmin i 1 powiat. Opiekę </w:t>
      </w:r>
      <w:proofErr w:type="spellStart"/>
      <w:r w:rsidRPr="00FD2030">
        <w:rPr>
          <w:rFonts w:cs="Times New Roman"/>
          <w:szCs w:val="24"/>
        </w:rPr>
        <w:t>wytchnieniową</w:t>
      </w:r>
      <w:proofErr w:type="spellEnd"/>
      <w:r w:rsidRPr="00FD2030">
        <w:rPr>
          <w:rFonts w:cs="Times New Roman"/>
          <w:szCs w:val="24"/>
        </w:rPr>
        <w:t xml:space="preserve"> realizowano w</w:t>
      </w:r>
      <w:r w:rsidR="000B0137">
        <w:rPr>
          <w:rFonts w:cs="Times New Roman"/>
          <w:szCs w:val="24"/>
        </w:rPr>
        <w:t> </w:t>
      </w:r>
      <w:r w:rsidRPr="00FD2030">
        <w:rPr>
          <w:rFonts w:cs="Times New Roman"/>
          <w:szCs w:val="24"/>
        </w:rPr>
        <w:t>następujących formach:</w:t>
      </w:r>
    </w:p>
    <w:p w14:paraId="5765CF4A" w14:textId="66F6BECD" w:rsidR="00A40A9C" w:rsidRDefault="00A40A9C" w:rsidP="00FE70E3">
      <w:pPr>
        <w:pStyle w:val="Akapitzlist"/>
        <w:numPr>
          <w:ilvl w:val="0"/>
          <w:numId w:val="132"/>
        </w:numPr>
        <w:rPr>
          <w:rFonts w:cs="Times New Roman"/>
          <w:szCs w:val="24"/>
        </w:rPr>
      </w:pPr>
      <w:r w:rsidRPr="00A40A9C">
        <w:rPr>
          <w:rFonts w:cs="Times New Roman"/>
          <w:szCs w:val="24"/>
        </w:rPr>
        <w:t>p</w:t>
      </w:r>
      <w:r w:rsidR="00FD2030" w:rsidRPr="00A40A9C">
        <w:rPr>
          <w:rFonts w:cs="Times New Roman"/>
          <w:szCs w:val="24"/>
        </w:rPr>
        <w:t>obyt dzienny oferowało 14 gmin – dla 73 osób niepełnosprawnych, dofinansowanie z</w:t>
      </w:r>
      <w:r w:rsidR="000B0137">
        <w:rPr>
          <w:rFonts w:cs="Times New Roman"/>
          <w:szCs w:val="24"/>
        </w:rPr>
        <w:t> </w:t>
      </w:r>
      <w:r w:rsidR="00FD2030" w:rsidRPr="00A40A9C">
        <w:rPr>
          <w:rFonts w:cs="Times New Roman"/>
          <w:szCs w:val="24"/>
        </w:rPr>
        <w:t>Funduszu Solidarnościowego wyniosło 375.386 zł;</w:t>
      </w:r>
    </w:p>
    <w:p w14:paraId="0ED84747" w14:textId="385A470D" w:rsidR="00A40A9C" w:rsidRDefault="00FD2030" w:rsidP="00FE70E3">
      <w:pPr>
        <w:pStyle w:val="Akapitzlist"/>
        <w:numPr>
          <w:ilvl w:val="0"/>
          <w:numId w:val="132"/>
        </w:numPr>
        <w:rPr>
          <w:rFonts w:cs="Times New Roman"/>
          <w:szCs w:val="24"/>
        </w:rPr>
      </w:pPr>
      <w:r w:rsidRPr="00A40A9C">
        <w:rPr>
          <w:rFonts w:cs="Times New Roman"/>
          <w:szCs w:val="24"/>
        </w:rPr>
        <w:t>pobyt całodobowy oferowały 2 gminy – dla 34 osób niepełnosprawnych, dofinansowanie z</w:t>
      </w:r>
      <w:r w:rsidR="000B0137">
        <w:rPr>
          <w:rFonts w:cs="Times New Roman"/>
          <w:szCs w:val="24"/>
        </w:rPr>
        <w:t> </w:t>
      </w:r>
      <w:r w:rsidRPr="00A40A9C">
        <w:rPr>
          <w:rFonts w:cs="Times New Roman"/>
          <w:szCs w:val="24"/>
        </w:rPr>
        <w:t>Funduszu Solidarnościowego wyniosło 118.380 zł;</w:t>
      </w:r>
    </w:p>
    <w:p w14:paraId="5FD71557" w14:textId="178CC7C3" w:rsidR="00FD2030" w:rsidRPr="00A40A9C" w:rsidRDefault="00FD2030" w:rsidP="00FE70E3">
      <w:pPr>
        <w:pStyle w:val="Akapitzlist"/>
        <w:numPr>
          <w:ilvl w:val="0"/>
          <w:numId w:val="132"/>
        </w:numPr>
        <w:rPr>
          <w:rFonts w:cs="Times New Roman"/>
          <w:szCs w:val="24"/>
        </w:rPr>
      </w:pPr>
      <w:r w:rsidRPr="00A40A9C">
        <w:rPr>
          <w:rFonts w:cs="Times New Roman"/>
          <w:szCs w:val="24"/>
        </w:rPr>
        <w:lastRenderedPageBreak/>
        <w:t>poradnictwo specjalistyczne oferował 1 powiat – dla 117 opiekunów osób niepełnosprawnych, dofinansowanie z Funduszu Solidarnościowego wyniosło 33.280 zł.</w:t>
      </w:r>
    </w:p>
    <w:p w14:paraId="3973E32F" w14:textId="77777777" w:rsidR="00A40A9C" w:rsidRDefault="00A40A9C" w:rsidP="00FD2030">
      <w:pPr>
        <w:rPr>
          <w:rFonts w:cs="Times New Roman"/>
          <w:szCs w:val="24"/>
        </w:rPr>
      </w:pPr>
    </w:p>
    <w:p w14:paraId="0457EFE5" w14:textId="6B8E406C" w:rsidR="00FD2030" w:rsidRPr="00FD2030" w:rsidRDefault="00FD2030" w:rsidP="00FD2030">
      <w:pPr>
        <w:rPr>
          <w:rFonts w:cs="Times New Roman"/>
          <w:szCs w:val="24"/>
        </w:rPr>
      </w:pPr>
      <w:r w:rsidRPr="00FD2030">
        <w:rPr>
          <w:rFonts w:cs="Times New Roman"/>
          <w:szCs w:val="24"/>
        </w:rPr>
        <w:t xml:space="preserve">W 2020 r. z Programu „Usług opiekuńczych dla osób niepełnosprawnych” skorzystało 185 mieszkańców z 17 gmin. Wsparcie z Funduszu Solidarnościowego wynosiło 512.129 zł. W ramach Programu ze specjalistycznych usług opiekuńczych dla osób niepełnosprawnych korzystało </w:t>
      </w:r>
      <w:r w:rsidR="00A40A9C">
        <w:rPr>
          <w:rFonts w:cs="Times New Roman"/>
          <w:szCs w:val="24"/>
        </w:rPr>
        <w:t xml:space="preserve"> </w:t>
      </w:r>
      <w:r w:rsidRPr="00FD2030">
        <w:rPr>
          <w:rFonts w:cs="Times New Roman"/>
          <w:szCs w:val="24"/>
        </w:rPr>
        <w:t>2 mieszkańców, wsparcie z FS wyniosło 9.100 zł.</w:t>
      </w:r>
    </w:p>
    <w:p w14:paraId="7D3B2020" w14:textId="77777777" w:rsidR="00A40A9C" w:rsidRDefault="00A40A9C" w:rsidP="00FD2030">
      <w:pPr>
        <w:rPr>
          <w:rFonts w:cs="Times New Roman"/>
          <w:szCs w:val="24"/>
        </w:rPr>
      </w:pPr>
    </w:p>
    <w:p w14:paraId="3C9ADBDD" w14:textId="4B4A5210" w:rsidR="00FD2030" w:rsidRPr="00FD2030" w:rsidRDefault="00FD2030" w:rsidP="00FD2030">
      <w:pPr>
        <w:rPr>
          <w:rFonts w:cs="Times New Roman"/>
          <w:szCs w:val="24"/>
        </w:rPr>
      </w:pPr>
      <w:r w:rsidRPr="00FD2030">
        <w:rPr>
          <w:rFonts w:cs="Times New Roman"/>
          <w:szCs w:val="24"/>
        </w:rPr>
        <w:t>W 2020 r. Powiatowe Zespoły ds. Orzekania o Niepełnosprawności wydały 22 120 orzeczeń o niepełnosprawności. Dla osób pow. 60 r. ż. wydano 10 063 orzeczeń o stopniu niepełnosprawności, co stanowi 45,5% ogólnej liczby wydanych orzeczeń. Wśród przyczyn niepełnosprawności osób starszych najczęściej występowały: upośledzenie narządu ruchu (5.242 – 52,1%), choroby układu oddechowego i krążenia (4.180 – 41,5%), choroby neurologiczne (2.720 – 27%). Osoby starsze najczęściej były niepełnosprawne z powodu jednej przyczyny (4.703 osób – 46,7%). Z dwóch przyczyn było niepełnosprawnych 3.572 seniorów (35,5%), a z trzech przyczyn 1.788 seniorów (17,7%).</w:t>
      </w:r>
    </w:p>
    <w:p w14:paraId="706C8357" w14:textId="77777777" w:rsidR="00A40A9C" w:rsidRDefault="00A40A9C" w:rsidP="00FD2030">
      <w:pPr>
        <w:rPr>
          <w:rFonts w:cs="Times New Roman"/>
          <w:szCs w:val="24"/>
        </w:rPr>
      </w:pPr>
    </w:p>
    <w:p w14:paraId="1BF1858E" w14:textId="604C768A" w:rsidR="00FD2030" w:rsidRPr="00FD2030" w:rsidRDefault="00FD2030" w:rsidP="00FD2030">
      <w:pPr>
        <w:rPr>
          <w:rFonts w:cs="Times New Roman"/>
          <w:szCs w:val="24"/>
        </w:rPr>
      </w:pPr>
      <w:r w:rsidRPr="00FD2030">
        <w:rPr>
          <w:rFonts w:cs="Times New Roman"/>
          <w:szCs w:val="24"/>
        </w:rPr>
        <w:t>Osoby niepełnosprawne powyżej 60 r. ż. objęte były finansową pomocą społeczną w formie: zasiłku stałego (2.267 osób), zasiłku okresowego (484 osoby), zasiłku celowego (1.061 osób), zasiłku celowego w ramach Programu „Posiłek w szkole i w domu” ( 1.880 osób) i specjalnego zasiłku celowego ( 1.199 osób) w łącznej kwocie 16.108.454,90 zł.</w:t>
      </w:r>
    </w:p>
    <w:p w14:paraId="7E3176D6" w14:textId="77777777" w:rsidR="000B0137" w:rsidRDefault="000B0137" w:rsidP="00FD2030">
      <w:pPr>
        <w:rPr>
          <w:rFonts w:cs="Times New Roman"/>
          <w:szCs w:val="24"/>
        </w:rPr>
      </w:pPr>
    </w:p>
    <w:p w14:paraId="3650AFEE" w14:textId="77777777" w:rsidR="000B0137" w:rsidRDefault="00FD2030" w:rsidP="00FD2030">
      <w:pPr>
        <w:rPr>
          <w:rFonts w:cs="Times New Roman"/>
          <w:szCs w:val="24"/>
        </w:rPr>
      </w:pPr>
      <w:r w:rsidRPr="00FD2030">
        <w:rPr>
          <w:rFonts w:cs="Times New Roman"/>
          <w:szCs w:val="24"/>
        </w:rPr>
        <w:t xml:space="preserve">Niepełnosprawne osoby starsze – w celu polepszenia swojej sytuacji – korzystały </w:t>
      </w:r>
      <w:r w:rsidR="000B0137">
        <w:rPr>
          <w:rFonts w:cs="Times New Roman"/>
          <w:szCs w:val="24"/>
        </w:rPr>
        <w:t xml:space="preserve">również </w:t>
      </w:r>
      <w:r w:rsidRPr="00FD2030">
        <w:rPr>
          <w:rFonts w:cs="Times New Roman"/>
          <w:szCs w:val="24"/>
        </w:rPr>
        <w:t>z dofinansowania ze środków PFRON m.in., do:</w:t>
      </w:r>
    </w:p>
    <w:p w14:paraId="33FC15BE" w14:textId="77777777" w:rsidR="000B0137" w:rsidRDefault="00FD2030" w:rsidP="00FE70E3">
      <w:pPr>
        <w:pStyle w:val="Akapitzlist"/>
        <w:numPr>
          <w:ilvl w:val="0"/>
          <w:numId w:val="133"/>
        </w:numPr>
        <w:rPr>
          <w:rFonts w:cs="Times New Roman"/>
          <w:szCs w:val="24"/>
        </w:rPr>
      </w:pPr>
      <w:r w:rsidRPr="000B0137">
        <w:rPr>
          <w:rFonts w:cs="Times New Roman"/>
          <w:szCs w:val="24"/>
        </w:rPr>
        <w:t>zaopatrzenia w przedmioty ortopedyczne i środki pomocnicze (7.396 osób na kwotę 4.992.881 zł);</w:t>
      </w:r>
    </w:p>
    <w:p w14:paraId="52DE2433" w14:textId="77777777" w:rsidR="000B0137" w:rsidRDefault="00FD2030" w:rsidP="00FE70E3">
      <w:pPr>
        <w:pStyle w:val="Akapitzlist"/>
        <w:numPr>
          <w:ilvl w:val="0"/>
          <w:numId w:val="133"/>
        </w:numPr>
        <w:rPr>
          <w:rFonts w:cs="Times New Roman"/>
          <w:szCs w:val="24"/>
        </w:rPr>
      </w:pPr>
      <w:r w:rsidRPr="000B0137">
        <w:rPr>
          <w:rFonts w:cs="Times New Roman"/>
          <w:szCs w:val="24"/>
        </w:rPr>
        <w:t>likwidacji barier architektonicznych (121 osób na kwotę 792.005 zł);</w:t>
      </w:r>
    </w:p>
    <w:p w14:paraId="02FC0DDC" w14:textId="77777777" w:rsidR="000B0137" w:rsidRDefault="00FD2030" w:rsidP="00FE70E3">
      <w:pPr>
        <w:pStyle w:val="Akapitzlist"/>
        <w:numPr>
          <w:ilvl w:val="0"/>
          <w:numId w:val="133"/>
        </w:numPr>
        <w:rPr>
          <w:rFonts w:cs="Times New Roman"/>
          <w:szCs w:val="24"/>
        </w:rPr>
      </w:pPr>
      <w:r w:rsidRPr="000B0137">
        <w:rPr>
          <w:rFonts w:cs="Times New Roman"/>
          <w:szCs w:val="24"/>
        </w:rPr>
        <w:t>likwidacji barier technicznych (172 osoby na kwotę 530.293 zł);</w:t>
      </w:r>
    </w:p>
    <w:p w14:paraId="2290F078" w14:textId="57FF94CB" w:rsidR="00FD2030" w:rsidRPr="000B0137" w:rsidRDefault="00FD2030" w:rsidP="00FE70E3">
      <w:pPr>
        <w:pStyle w:val="Akapitzlist"/>
        <w:numPr>
          <w:ilvl w:val="0"/>
          <w:numId w:val="133"/>
        </w:numPr>
        <w:rPr>
          <w:rFonts w:cs="Times New Roman"/>
          <w:szCs w:val="24"/>
        </w:rPr>
      </w:pPr>
      <w:r w:rsidRPr="000B0137">
        <w:rPr>
          <w:rFonts w:cs="Times New Roman"/>
          <w:szCs w:val="24"/>
        </w:rPr>
        <w:t>sprzętu rehabilitacyjnego (71 osób na kwotę 121.212 zł).</w:t>
      </w:r>
    </w:p>
    <w:p w14:paraId="1CEB5D8E" w14:textId="77777777" w:rsidR="00794616" w:rsidRDefault="00794616" w:rsidP="00794616">
      <w:pPr>
        <w:rPr>
          <w:rFonts w:cs="Times New Roman"/>
          <w:b/>
          <w:color w:val="FF0000"/>
          <w:szCs w:val="24"/>
          <w:lang w:eastAsia="ar-SA"/>
        </w:rPr>
      </w:pPr>
    </w:p>
    <w:p w14:paraId="5E9F9A27" w14:textId="591EEDE5" w:rsidR="00794616" w:rsidRPr="00FD2030" w:rsidRDefault="00FD2030" w:rsidP="00794616">
      <w:pPr>
        <w:pStyle w:val="Nagwek3"/>
        <w:rPr>
          <w:lang w:eastAsia="ar-SA"/>
        </w:rPr>
      </w:pPr>
      <w:bookmarkStart w:id="166" w:name="_Toc77513968"/>
      <w:bookmarkStart w:id="167" w:name="_Toc80523122"/>
      <w:r w:rsidRPr="00FD2030">
        <w:rPr>
          <w:lang w:eastAsia="ar-SA"/>
        </w:rPr>
        <w:t xml:space="preserve">Działania i inicjatywy realizowane na rzecz osób starszych w województwie </w:t>
      </w:r>
      <w:r>
        <w:rPr>
          <w:lang w:eastAsia="ar-SA"/>
        </w:rPr>
        <w:t>lubuskim</w:t>
      </w:r>
      <w:bookmarkEnd w:id="166"/>
      <w:bookmarkEnd w:id="167"/>
    </w:p>
    <w:p w14:paraId="7688B348" w14:textId="7552BE06" w:rsidR="00FD2030" w:rsidRDefault="00FD2030" w:rsidP="00794616">
      <w:pPr>
        <w:rPr>
          <w:rFonts w:cs="Times New Roman"/>
          <w:szCs w:val="24"/>
        </w:rPr>
      </w:pPr>
    </w:p>
    <w:p w14:paraId="217B4B0A" w14:textId="19E7A343" w:rsidR="00FD2030" w:rsidRDefault="00FD2030" w:rsidP="000B0137">
      <w:r w:rsidRPr="00FD2030">
        <w:t xml:space="preserve">Z uwagi na prognozowany wzrost liczby osób starszych w populacji województwa istotny staje się problem zabezpieczenia szeroko pojętego wsparcia, opieki geriatrycznej i długoterminowej, zarówno w formie opieki instytucjonalnej (Domy Pomocy Społecznej, Zakłady Opiekuńczo- Lecznicze, Zakłady Pielęgnacyjno-Opiekuńcze), jak i domowej (opieka pielęgniarska, usługi opiekuńcze). Każdego roku inicjowane są nowe działania mające na celu podniesienie jakości życia osób starszych i zabezpieczenie ich potrzeb. Działania na rzecz osób starszych w 2020 r., z uwagi na sytuację epidemiologiczną były podejmowane w szczególności w takim obszarze, jak promocja </w:t>
      </w:r>
      <w:proofErr w:type="spellStart"/>
      <w:r w:rsidRPr="00FD2030">
        <w:t>zachowań</w:t>
      </w:r>
      <w:proofErr w:type="spellEnd"/>
      <w:r w:rsidRPr="00FD2030">
        <w:t xml:space="preserve"> prozdrowotnych i zasad bezpieczeństwa mających na celu przeciwdziałanie zachorowaniu na Covid-19, jak również wielowymiarowe wspieranie osób starszych </w:t>
      </w:r>
      <w:r w:rsidR="000B0137">
        <w:t xml:space="preserve"> </w:t>
      </w:r>
      <w:r w:rsidRPr="00FD2030">
        <w:t>w sytuacji obostrzeń i izolacji społecznej.</w:t>
      </w:r>
    </w:p>
    <w:p w14:paraId="666F0CB7" w14:textId="77777777" w:rsidR="000B0137" w:rsidRPr="00FD2030" w:rsidRDefault="000B0137" w:rsidP="000B0137"/>
    <w:p w14:paraId="11FA7CFA" w14:textId="5C5975A5" w:rsidR="00FD2030" w:rsidRPr="000B0137" w:rsidRDefault="00FD2030" w:rsidP="00FD2030">
      <w:pPr>
        <w:rPr>
          <w:rFonts w:cs="Times New Roman"/>
          <w:b/>
          <w:bCs/>
          <w:szCs w:val="24"/>
        </w:rPr>
      </w:pPr>
      <w:r w:rsidRPr="000B0137">
        <w:rPr>
          <w:rFonts w:cs="Times New Roman"/>
          <w:b/>
          <w:bCs/>
          <w:szCs w:val="24"/>
        </w:rPr>
        <w:lastRenderedPageBreak/>
        <w:t>Dokumenty i strategie przyjęte w województwie lubuskim</w:t>
      </w:r>
    </w:p>
    <w:p w14:paraId="3CE26A69" w14:textId="77777777" w:rsidR="000B0137" w:rsidRDefault="00FD2030" w:rsidP="00FD2030">
      <w:pPr>
        <w:rPr>
          <w:rFonts w:cs="Times New Roman"/>
          <w:szCs w:val="24"/>
        </w:rPr>
      </w:pPr>
      <w:r w:rsidRPr="00FD2030">
        <w:rPr>
          <w:rFonts w:cs="Times New Roman"/>
          <w:szCs w:val="24"/>
        </w:rPr>
        <w:t>Mając na względzie starzenie się społeczeństwa Wojewoda Lubuski w „Priorytetach dla Regionalnej Polityki Zdrowotnej Województwa Lubuskiego na lata 2019-2021” ustalonych Zarządzeniem Wojewody Lubuskiego z dnia 31 sierpnia 2018 r. ujął m.in.:</w:t>
      </w:r>
    </w:p>
    <w:p w14:paraId="7BCE781D" w14:textId="77777777" w:rsidR="000B0137" w:rsidRDefault="00FD2030" w:rsidP="00FE70E3">
      <w:pPr>
        <w:pStyle w:val="Akapitzlist"/>
        <w:numPr>
          <w:ilvl w:val="0"/>
          <w:numId w:val="134"/>
        </w:numPr>
        <w:rPr>
          <w:rFonts w:cs="Times New Roman"/>
          <w:szCs w:val="24"/>
        </w:rPr>
      </w:pPr>
      <w:r w:rsidRPr="000B0137">
        <w:rPr>
          <w:rFonts w:cs="Times New Roman"/>
          <w:szCs w:val="24"/>
        </w:rPr>
        <w:t>„Poprawa dostępności do rehabilitacji medycznej” – w celu minimalizowania skutków zdrowotnych i społecznych wynikających z niepełnosprawności – np. poprzez utworzenie oddziałów rehabilitacji dziennej i rozwój rehabilitacji domowej;</w:t>
      </w:r>
    </w:p>
    <w:p w14:paraId="733A9AA9" w14:textId="77777777" w:rsidR="000B0137" w:rsidRDefault="00FD2030" w:rsidP="00FE70E3">
      <w:pPr>
        <w:pStyle w:val="Akapitzlist"/>
        <w:numPr>
          <w:ilvl w:val="0"/>
          <w:numId w:val="134"/>
        </w:numPr>
        <w:rPr>
          <w:rFonts w:cs="Times New Roman"/>
          <w:szCs w:val="24"/>
        </w:rPr>
      </w:pPr>
      <w:r w:rsidRPr="000B0137">
        <w:rPr>
          <w:rFonts w:cs="Times New Roman"/>
          <w:szCs w:val="24"/>
        </w:rPr>
        <w:t xml:space="preserve">„Zagwarantowanie instytucjonalnej opieki dla osób przewlekle chorych” – w celu poprawy dostępności do opieki długoterminowej – poprzez np. zwiększenie dostępności do specjalistycznych form opieki długoterminowej czy zabezpieczenie </w:t>
      </w:r>
      <w:r w:rsidR="000B0137">
        <w:rPr>
          <w:rFonts w:cs="Times New Roman"/>
          <w:szCs w:val="24"/>
        </w:rPr>
        <w:t xml:space="preserve"> </w:t>
      </w:r>
      <w:r w:rsidRPr="000B0137">
        <w:rPr>
          <w:rFonts w:cs="Times New Roman"/>
          <w:szCs w:val="24"/>
        </w:rPr>
        <w:t>w sprzęt specjalistyczny niezbędny do opieki długoterminowej;</w:t>
      </w:r>
    </w:p>
    <w:p w14:paraId="27922D45" w14:textId="7F0C4AFE" w:rsidR="00FD2030" w:rsidRPr="000B0137" w:rsidRDefault="00FD2030" w:rsidP="00FE70E3">
      <w:pPr>
        <w:pStyle w:val="Akapitzlist"/>
        <w:numPr>
          <w:ilvl w:val="0"/>
          <w:numId w:val="134"/>
        </w:numPr>
        <w:rPr>
          <w:rFonts w:cs="Times New Roman"/>
          <w:szCs w:val="24"/>
        </w:rPr>
      </w:pPr>
      <w:r w:rsidRPr="000B0137">
        <w:rPr>
          <w:rFonts w:cs="Times New Roman"/>
          <w:szCs w:val="24"/>
        </w:rPr>
        <w:t>„Rozwój opieki geriatrycznej oraz zwiększenie efektywności procesu diagnostyczno-terapeutycznego” – w celu poprawy opieki nad osobami starszymi oraz utrzymania - jak najdłużej - zdrowia i samodzielności seniorów poprzez np. tworzenie lub dostosowywanie oddziałów do leczenia schorzeń geriatrycznych z fachową obsadą, rehabilitacji</w:t>
      </w:r>
      <w:r w:rsidR="000B0137">
        <w:rPr>
          <w:rFonts w:cs="Times New Roman"/>
          <w:szCs w:val="24"/>
        </w:rPr>
        <w:t xml:space="preserve"> </w:t>
      </w:r>
      <w:r w:rsidRPr="000B0137">
        <w:rPr>
          <w:rFonts w:cs="Times New Roman"/>
          <w:szCs w:val="24"/>
        </w:rPr>
        <w:t xml:space="preserve">geriatrycznej, tworzenie </w:t>
      </w:r>
      <w:proofErr w:type="spellStart"/>
      <w:r w:rsidRPr="000B0137">
        <w:rPr>
          <w:rFonts w:cs="Times New Roman"/>
          <w:szCs w:val="24"/>
        </w:rPr>
        <w:t>pozaszpitalnych</w:t>
      </w:r>
      <w:proofErr w:type="spellEnd"/>
      <w:r w:rsidRPr="000B0137">
        <w:rPr>
          <w:rFonts w:cs="Times New Roman"/>
          <w:szCs w:val="24"/>
        </w:rPr>
        <w:t xml:space="preserve"> form opieki dziennej</w:t>
      </w:r>
      <w:r w:rsidR="000B0137">
        <w:rPr>
          <w:rFonts w:cs="Times New Roman"/>
          <w:szCs w:val="24"/>
        </w:rPr>
        <w:t xml:space="preserve"> </w:t>
      </w:r>
      <w:r w:rsidRPr="000B0137">
        <w:rPr>
          <w:rFonts w:cs="Times New Roman"/>
          <w:szCs w:val="24"/>
        </w:rPr>
        <w:t>i środowiskowej czy tworzenie warunków do zwiększenia liczby miejsc specjalizacyjnych dla lekarzy geriatrów i innych lekarzy w dziedzinach związanych z opieką nad osobą starszą.</w:t>
      </w:r>
    </w:p>
    <w:p w14:paraId="7941C02F" w14:textId="77777777" w:rsidR="00FD2030" w:rsidRPr="00FD2030" w:rsidRDefault="00FD2030" w:rsidP="00FD2030">
      <w:pPr>
        <w:rPr>
          <w:rFonts w:cs="Times New Roman"/>
          <w:szCs w:val="24"/>
        </w:rPr>
      </w:pPr>
    </w:p>
    <w:p w14:paraId="6C0AA166" w14:textId="4A98EDDA" w:rsidR="00FD2030" w:rsidRPr="00FD2030" w:rsidRDefault="00FD2030" w:rsidP="00FD2030">
      <w:pPr>
        <w:rPr>
          <w:rFonts w:cs="Times New Roman"/>
          <w:szCs w:val="24"/>
        </w:rPr>
      </w:pPr>
      <w:r w:rsidRPr="00FD2030">
        <w:rPr>
          <w:rFonts w:cs="Times New Roman"/>
          <w:szCs w:val="24"/>
        </w:rPr>
        <w:t xml:space="preserve">Regionalny Ośrodek Pomocy Społecznej opracował „Wojewódzki Program na rzecz Osób Starszych”, który obowiązuje od 2018 r. Celem strategicznym Programu jest </w:t>
      </w:r>
      <w:r w:rsidR="000B0137">
        <w:rPr>
          <w:rFonts w:cs="Times New Roman"/>
          <w:szCs w:val="24"/>
        </w:rPr>
        <w:t>p</w:t>
      </w:r>
      <w:r w:rsidRPr="00FD2030">
        <w:rPr>
          <w:rFonts w:cs="Times New Roman"/>
          <w:szCs w:val="24"/>
        </w:rPr>
        <w:t>oprawa jakości i warunków życia osób starszych w województwie lubuskim.</w:t>
      </w:r>
      <w:r w:rsidR="000B0137">
        <w:rPr>
          <w:rFonts w:cs="Times New Roman"/>
          <w:szCs w:val="24"/>
        </w:rPr>
        <w:t xml:space="preserve"> </w:t>
      </w:r>
      <w:r w:rsidRPr="00FD2030">
        <w:rPr>
          <w:rFonts w:cs="Times New Roman"/>
          <w:szCs w:val="24"/>
        </w:rPr>
        <w:t>Realizacja głównych celów „Wojewódzkiego Programu na rzecz Osób Starszych” odbywa się poprzez liczne programy dotyczące:</w:t>
      </w:r>
    </w:p>
    <w:p w14:paraId="0B506484" w14:textId="77777777" w:rsidR="000B0137" w:rsidRDefault="00FD2030" w:rsidP="00FE70E3">
      <w:pPr>
        <w:pStyle w:val="Akapitzlist"/>
        <w:numPr>
          <w:ilvl w:val="0"/>
          <w:numId w:val="135"/>
        </w:numPr>
        <w:rPr>
          <w:rFonts w:cs="Times New Roman"/>
          <w:szCs w:val="24"/>
        </w:rPr>
      </w:pPr>
      <w:r w:rsidRPr="000B0137">
        <w:rPr>
          <w:rFonts w:cs="Times New Roman"/>
          <w:szCs w:val="24"/>
        </w:rPr>
        <w:t>Poprawy jakości i dostępności usług medycznych.</w:t>
      </w:r>
    </w:p>
    <w:p w14:paraId="685112CA" w14:textId="77777777" w:rsidR="000B0137" w:rsidRDefault="00FD2030" w:rsidP="00FE70E3">
      <w:pPr>
        <w:pStyle w:val="Akapitzlist"/>
        <w:numPr>
          <w:ilvl w:val="0"/>
          <w:numId w:val="135"/>
        </w:numPr>
        <w:rPr>
          <w:rFonts w:cs="Times New Roman"/>
          <w:szCs w:val="24"/>
        </w:rPr>
      </w:pPr>
      <w:r w:rsidRPr="000B0137">
        <w:rPr>
          <w:rFonts w:cs="Times New Roman"/>
          <w:szCs w:val="24"/>
        </w:rPr>
        <w:t>Przeciwdziałania wykluczeniu społecznemu osób starszych i ich rodzin.</w:t>
      </w:r>
    </w:p>
    <w:p w14:paraId="02249B97" w14:textId="77777777" w:rsidR="000B0137" w:rsidRDefault="00FD2030" w:rsidP="00FE70E3">
      <w:pPr>
        <w:pStyle w:val="Akapitzlist"/>
        <w:numPr>
          <w:ilvl w:val="0"/>
          <w:numId w:val="135"/>
        </w:numPr>
        <w:rPr>
          <w:rFonts w:cs="Times New Roman"/>
          <w:szCs w:val="24"/>
        </w:rPr>
      </w:pPr>
      <w:r w:rsidRPr="000B0137">
        <w:rPr>
          <w:rFonts w:cs="Times New Roman"/>
          <w:szCs w:val="24"/>
        </w:rPr>
        <w:t>Rozwoju aktywności społecznej, kulturalnej i edukacyjnej osób starszych oraz przeciwdziałania izolacji społecznej.</w:t>
      </w:r>
    </w:p>
    <w:p w14:paraId="7A43869F" w14:textId="77777777" w:rsidR="000B0137" w:rsidRDefault="00FD2030" w:rsidP="00FE70E3">
      <w:pPr>
        <w:pStyle w:val="Akapitzlist"/>
        <w:numPr>
          <w:ilvl w:val="0"/>
          <w:numId w:val="135"/>
        </w:numPr>
        <w:rPr>
          <w:rFonts w:cs="Times New Roman"/>
          <w:szCs w:val="24"/>
        </w:rPr>
      </w:pPr>
      <w:r w:rsidRPr="000B0137">
        <w:rPr>
          <w:rFonts w:cs="Times New Roman"/>
          <w:szCs w:val="24"/>
        </w:rPr>
        <w:t>Wzrostu aktywności zawodowej osób starszych.</w:t>
      </w:r>
    </w:p>
    <w:p w14:paraId="2BC0D61D" w14:textId="67F9EE9A" w:rsidR="00FD2030" w:rsidRPr="000B0137" w:rsidRDefault="00FD2030" w:rsidP="00FE70E3">
      <w:pPr>
        <w:pStyle w:val="Akapitzlist"/>
        <w:numPr>
          <w:ilvl w:val="0"/>
          <w:numId w:val="135"/>
        </w:numPr>
        <w:rPr>
          <w:rFonts w:cs="Times New Roman"/>
          <w:szCs w:val="24"/>
        </w:rPr>
      </w:pPr>
      <w:r w:rsidRPr="000B0137">
        <w:rPr>
          <w:rFonts w:cs="Times New Roman"/>
          <w:szCs w:val="24"/>
        </w:rPr>
        <w:t>Zapobiegania przemocy i dyskryminacji wobec osób starszych.</w:t>
      </w:r>
    </w:p>
    <w:p w14:paraId="5E71B876" w14:textId="77777777" w:rsidR="00FD2030" w:rsidRPr="00FD2030" w:rsidRDefault="00FD2030" w:rsidP="00FD2030">
      <w:pPr>
        <w:rPr>
          <w:rFonts w:cs="Times New Roman"/>
          <w:szCs w:val="24"/>
        </w:rPr>
      </w:pPr>
    </w:p>
    <w:p w14:paraId="1EFF7745" w14:textId="0FD7E1DE" w:rsidR="00FD2030" w:rsidRPr="000B0137" w:rsidRDefault="00FD2030" w:rsidP="00FD2030">
      <w:pPr>
        <w:rPr>
          <w:rFonts w:cs="Times New Roman"/>
          <w:b/>
          <w:bCs/>
          <w:szCs w:val="24"/>
        </w:rPr>
      </w:pPr>
      <w:r w:rsidRPr="000B0137">
        <w:rPr>
          <w:rFonts w:cs="Times New Roman"/>
          <w:b/>
          <w:bCs/>
          <w:szCs w:val="24"/>
        </w:rPr>
        <w:t>Przykłady programów wspierających aktywność społeczną, kulturalną, edukacyjną, sportową i obywatelską osób starszych</w:t>
      </w:r>
    </w:p>
    <w:p w14:paraId="498F5401" w14:textId="77777777" w:rsidR="00FD2030" w:rsidRPr="00FD2030" w:rsidRDefault="00FD2030" w:rsidP="00FD2030">
      <w:pPr>
        <w:rPr>
          <w:rFonts w:cs="Times New Roman"/>
          <w:szCs w:val="24"/>
        </w:rPr>
      </w:pPr>
      <w:r w:rsidRPr="00FD2030">
        <w:rPr>
          <w:rFonts w:cs="Times New Roman"/>
          <w:szCs w:val="24"/>
        </w:rPr>
        <w:t xml:space="preserve">Lubuskie gminy realizowały liczne programy wspierające osoby starsze. Były to programy inicjowane przez samorząd, środowiska lokalne oraz w ramach polityki rządowej, </w:t>
      </w:r>
      <w:proofErr w:type="spellStart"/>
      <w:r w:rsidRPr="00FD2030">
        <w:rPr>
          <w:rFonts w:cs="Times New Roman"/>
          <w:szCs w:val="24"/>
        </w:rPr>
        <w:t>np</w:t>
      </w:r>
      <w:proofErr w:type="spellEnd"/>
      <w:r w:rsidRPr="00FD2030">
        <w:rPr>
          <w:rFonts w:cs="Times New Roman"/>
          <w:szCs w:val="24"/>
        </w:rPr>
        <w:t>:</w:t>
      </w:r>
    </w:p>
    <w:p w14:paraId="2F4F37A2" w14:textId="77777777" w:rsidR="000B0137" w:rsidRDefault="00FD2030" w:rsidP="00FE70E3">
      <w:pPr>
        <w:pStyle w:val="Akapitzlist"/>
        <w:numPr>
          <w:ilvl w:val="0"/>
          <w:numId w:val="138"/>
        </w:numPr>
        <w:rPr>
          <w:rFonts w:cs="Times New Roman"/>
          <w:szCs w:val="24"/>
        </w:rPr>
      </w:pPr>
      <w:r w:rsidRPr="000B0137">
        <w:rPr>
          <w:rFonts w:cs="Times New Roman"/>
          <w:szCs w:val="24"/>
        </w:rPr>
        <w:t xml:space="preserve">Gorzów Wlkp. – Projekt „Świadomie bez przemocy” w ramach Programu Osłonowego Wspieranie Jednostek Samorządu Terytorialnego w Tworzeniu Systemu Przeciwdziałania Przemocy w Rodzinie. Projekt był dedykowany seniorom, którzy stanowią grupę szczególnie narażoną na przemoc domową. W ramach projektu zrealizowano m.in. - szkolenie dla przedstawicieli ochrony zdrowia z zakresu procedury Niebieskiej Karty i przeciwdziałanie przemocy w rodzinie wobec seniorów. Organizowano spotkana edukacyjne odbyły się w Domach Dziennego Pobytu i klubach seniora na terenie miasta. Opracowano kompendium wiedzy z zakresu przemocy w rodzinie dla seniorów, utworzono </w:t>
      </w:r>
      <w:r w:rsidRPr="000B0137">
        <w:rPr>
          <w:rFonts w:cs="Times New Roman"/>
          <w:szCs w:val="24"/>
        </w:rPr>
        <w:lastRenderedPageBreak/>
        <w:t xml:space="preserve">punkt konsultacyjny, spotkania informacyjno- warsztatowe, prowadzono kampanię informacyjno- edukacyjną - opracowanie i rozpowszechnienie ulotek i plakatów. </w:t>
      </w:r>
    </w:p>
    <w:p w14:paraId="0BA75985" w14:textId="77777777" w:rsidR="000B0137" w:rsidRDefault="00FD2030" w:rsidP="00FE70E3">
      <w:pPr>
        <w:pStyle w:val="Akapitzlist"/>
        <w:numPr>
          <w:ilvl w:val="0"/>
          <w:numId w:val="138"/>
        </w:numPr>
        <w:rPr>
          <w:rFonts w:cs="Times New Roman"/>
          <w:szCs w:val="24"/>
        </w:rPr>
      </w:pPr>
      <w:r w:rsidRPr="000B0137">
        <w:rPr>
          <w:rFonts w:cs="Times New Roman"/>
          <w:szCs w:val="24"/>
        </w:rPr>
        <w:t>Kolsko – Projekt „Uczymy się Seniora” realizowany przez Lokalną Grupę Działania Między Odrą a Bobrem. Działanie obejmowało 6 warsztatów (bezpłatnych) nt.: dietetyka, potrzeby osób starszych, cyfryzacja, możliwości seniorów w czasie pandemii, profilaktyka, podstawowe choroby wieku senioralnego, komunikacja, empatia. Miejscem realizacji była miejscowość Bojadła.</w:t>
      </w:r>
    </w:p>
    <w:p w14:paraId="34CB8EE9" w14:textId="703A8883" w:rsidR="000B0137" w:rsidRDefault="00FD2030" w:rsidP="00FE70E3">
      <w:pPr>
        <w:pStyle w:val="Akapitzlist"/>
        <w:numPr>
          <w:ilvl w:val="0"/>
          <w:numId w:val="138"/>
        </w:numPr>
        <w:rPr>
          <w:rFonts w:cs="Times New Roman"/>
          <w:szCs w:val="24"/>
        </w:rPr>
      </w:pPr>
      <w:r w:rsidRPr="000B0137">
        <w:rPr>
          <w:rFonts w:cs="Times New Roman"/>
          <w:szCs w:val="24"/>
        </w:rPr>
        <w:t xml:space="preserve">Kożuchów - Projekt Decyzji Zielonogórsko Gorzowskiej Caritas. Posiłki dla seniorów </w:t>
      </w:r>
      <w:r w:rsidR="000B0137">
        <w:rPr>
          <w:rFonts w:cs="Times New Roman"/>
          <w:szCs w:val="24"/>
        </w:rPr>
        <w:t xml:space="preserve"> </w:t>
      </w:r>
      <w:r w:rsidRPr="000B0137">
        <w:rPr>
          <w:rFonts w:cs="Times New Roman"/>
          <w:szCs w:val="24"/>
        </w:rPr>
        <w:t>„Z nami możesz więcej” - liczba osób objętych - 104, realizacja - miejsce zamieszkania seniora, siedziba OPS. Pomoc polegała na codziennym dostarczaniu przez pracowników socjalnych oraz opiekunki środowiskowe posiłków seniorom przez okres 2 m-</w:t>
      </w:r>
      <w:proofErr w:type="spellStart"/>
      <w:r w:rsidRPr="000B0137">
        <w:rPr>
          <w:rFonts w:cs="Times New Roman"/>
          <w:szCs w:val="24"/>
        </w:rPr>
        <w:t>cy</w:t>
      </w:r>
      <w:proofErr w:type="spellEnd"/>
      <w:r w:rsidRPr="000B0137">
        <w:rPr>
          <w:rFonts w:cs="Times New Roman"/>
          <w:szCs w:val="24"/>
        </w:rPr>
        <w:t xml:space="preserve"> (od </w:t>
      </w:r>
      <w:r w:rsidR="004F3404">
        <w:rPr>
          <w:rFonts w:cs="Times New Roman"/>
          <w:szCs w:val="24"/>
        </w:rPr>
        <w:t xml:space="preserve">października </w:t>
      </w:r>
      <w:r w:rsidRPr="000B0137">
        <w:rPr>
          <w:rFonts w:cs="Times New Roman"/>
          <w:szCs w:val="24"/>
        </w:rPr>
        <w:t xml:space="preserve"> do </w:t>
      </w:r>
      <w:r w:rsidR="004F3404">
        <w:rPr>
          <w:rFonts w:cs="Times New Roman"/>
          <w:szCs w:val="24"/>
        </w:rPr>
        <w:t xml:space="preserve">grudnia </w:t>
      </w:r>
      <w:r w:rsidRPr="000B0137">
        <w:rPr>
          <w:rFonts w:cs="Times New Roman"/>
          <w:szCs w:val="24"/>
        </w:rPr>
        <w:t xml:space="preserve"> 2020 r). Posiłki były dwudaniowe plus obiadokolacja, dostarczane były w dni robocze.</w:t>
      </w:r>
    </w:p>
    <w:p w14:paraId="4B4ED92C" w14:textId="29F4F0ED" w:rsidR="00FD2030" w:rsidRPr="000B0137" w:rsidRDefault="00FD2030" w:rsidP="00FE70E3">
      <w:pPr>
        <w:pStyle w:val="Akapitzlist"/>
        <w:numPr>
          <w:ilvl w:val="0"/>
          <w:numId w:val="138"/>
        </w:numPr>
        <w:rPr>
          <w:rFonts w:cs="Times New Roman"/>
          <w:szCs w:val="24"/>
        </w:rPr>
      </w:pPr>
      <w:r w:rsidRPr="000B0137">
        <w:rPr>
          <w:rFonts w:cs="Times New Roman"/>
          <w:szCs w:val="24"/>
        </w:rPr>
        <w:t>Małomice – Projekt „Aktywny Senior pełny zdrowia i mądrości rozwój usług społecznych w gminie Małomice”. Celem projektu jest ułatwienie dostępu do usług społecznych poprzez zwiększenie o 60 miejsc świadczenia usług opiekuńczych w formie stacjonarnej opieki dziennej klub seniora (dla 30 kobiet i 30 mężczyzn). Utworzono wypożyczalnię sprzętu pielęgnacyjnego i wspomagającego oraz utworzenie mieszkania wspomaganego.</w:t>
      </w:r>
    </w:p>
    <w:p w14:paraId="41148EE4" w14:textId="77777777" w:rsidR="000B0137" w:rsidRDefault="000B0137" w:rsidP="00FD2030">
      <w:pPr>
        <w:rPr>
          <w:rFonts w:cs="Times New Roman"/>
          <w:szCs w:val="24"/>
        </w:rPr>
      </w:pPr>
    </w:p>
    <w:p w14:paraId="11FD5FE1" w14:textId="3077D107" w:rsidR="00FD2030" w:rsidRPr="000B0137" w:rsidRDefault="00FD2030" w:rsidP="00FD2030">
      <w:pPr>
        <w:rPr>
          <w:rFonts w:cs="Times New Roman"/>
          <w:b/>
          <w:bCs/>
          <w:szCs w:val="24"/>
        </w:rPr>
      </w:pPr>
      <w:r w:rsidRPr="000B0137">
        <w:rPr>
          <w:rFonts w:cs="Times New Roman"/>
          <w:b/>
          <w:bCs/>
          <w:szCs w:val="24"/>
        </w:rPr>
        <w:t xml:space="preserve">Przykłady działań w zakresie przeciwdziałania dyskryminacji ze względu na wiek </w:t>
      </w:r>
    </w:p>
    <w:p w14:paraId="47B0ED88" w14:textId="57751958" w:rsidR="00FD2030" w:rsidRPr="00FD2030" w:rsidRDefault="00FD2030" w:rsidP="00FD2030">
      <w:pPr>
        <w:rPr>
          <w:rFonts w:cs="Times New Roman"/>
          <w:szCs w:val="24"/>
        </w:rPr>
      </w:pPr>
      <w:r w:rsidRPr="00FD2030">
        <w:rPr>
          <w:rFonts w:cs="Times New Roman"/>
          <w:szCs w:val="24"/>
        </w:rPr>
        <w:t xml:space="preserve">Na obszarze woj. lubuskiego funkcjonują Kluby Seniora, regularnie organizowane </w:t>
      </w:r>
      <w:r w:rsidR="000B0137">
        <w:rPr>
          <w:rFonts w:cs="Times New Roman"/>
          <w:szCs w:val="24"/>
        </w:rPr>
        <w:t xml:space="preserve"> </w:t>
      </w:r>
      <w:r w:rsidRPr="00FD2030">
        <w:rPr>
          <w:rFonts w:cs="Times New Roman"/>
          <w:szCs w:val="24"/>
        </w:rPr>
        <w:t xml:space="preserve">są obchody dni seniora, wyjazdy integracyjne, wieczorki taneczne, prelekcje </w:t>
      </w:r>
      <w:r w:rsidR="000B0137">
        <w:rPr>
          <w:rFonts w:cs="Times New Roman"/>
          <w:szCs w:val="24"/>
        </w:rPr>
        <w:t xml:space="preserve"> </w:t>
      </w:r>
      <w:r w:rsidRPr="00FD2030">
        <w:rPr>
          <w:rFonts w:cs="Times New Roman"/>
          <w:szCs w:val="24"/>
        </w:rPr>
        <w:t>o charakterze edukacyjnym oraz cykliczne lub jednorazowe akcje świadczące nieodpłatne wsparcie. Tego typu praktyki przeciwdziałają marginalizacji osób starszych, jednocześnie przyczyniając się do poprawy kondycji psychofizycznej tej grupy społecznej. Działalność placówek jak i propozycje form aktywności dostosowane były do ograniczeń wynikających ze stanu epidemii. Przykładowe działania obejmują:</w:t>
      </w:r>
    </w:p>
    <w:p w14:paraId="577E2D8E" w14:textId="77777777" w:rsidR="000B0137" w:rsidRDefault="00FD2030" w:rsidP="00FE70E3">
      <w:pPr>
        <w:pStyle w:val="Akapitzlist"/>
        <w:numPr>
          <w:ilvl w:val="0"/>
          <w:numId w:val="139"/>
        </w:numPr>
        <w:rPr>
          <w:rFonts w:cs="Times New Roman"/>
          <w:szCs w:val="24"/>
        </w:rPr>
      </w:pPr>
      <w:r w:rsidRPr="000B0137">
        <w:rPr>
          <w:rFonts w:cs="Times New Roman"/>
          <w:szCs w:val="24"/>
        </w:rPr>
        <w:t xml:space="preserve">Coroczną organizację „ </w:t>
      </w:r>
      <w:proofErr w:type="spellStart"/>
      <w:r w:rsidRPr="000B0137">
        <w:rPr>
          <w:rFonts w:cs="Times New Roman"/>
          <w:szCs w:val="24"/>
        </w:rPr>
        <w:t>Senioraliów</w:t>
      </w:r>
      <w:proofErr w:type="spellEnd"/>
      <w:r w:rsidRPr="000B0137">
        <w:rPr>
          <w:rFonts w:cs="Times New Roman"/>
          <w:szCs w:val="24"/>
        </w:rPr>
        <w:t xml:space="preserve">”. W 2020 r. – w związku z pandemią - obchody dni seniora przebiegały w zmienionej formie m.in. online.  W przypadku M. Gorzowa istniała możliwość zwiedzenia muzeum i z uczestnictwa w koncercie.pl. </w:t>
      </w:r>
    </w:p>
    <w:p w14:paraId="57C0DE94" w14:textId="77777777" w:rsidR="000B0137" w:rsidRDefault="00FD2030" w:rsidP="00FE70E3">
      <w:pPr>
        <w:pStyle w:val="Akapitzlist"/>
        <w:numPr>
          <w:ilvl w:val="0"/>
          <w:numId w:val="139"/>
        </w:numPr>
        <w:rPr>
          <w:rFonts w:cs="Times New Roman"/>
          <w:szCs w:val="24"/>
        </w:rPr>
      </w:pPr>
      <w:r w:rsidRPr="000B0137">
        <w:rPr>
          <w:rFonts w:cs="Times New Roman"/>
          <w:szCs w:val="24"/>
        </w:rPr>
        <w:t>Gmina Nowa Sól - propagowanie działalności kulturalnej i edukacyjnej poprzez organizowanie koncertów muzyki poważnej dla seniorów, spotkań przy literaturze, warsztatów plastycznych, kulinarnych, florystycznych, komputerowych czy manicure. Ponadto uczestnictwo w grach umysłowych, pogadankach na temat zdrowego trybu życia i higieny, ochrony środowiska, a także spotkania z prawnikiem.</w:t>
      </w:r>
      <w:r w:rsidR="000B0137" w:rsidRPr="000B0137">
        <w:rPr>
          <w:rFonts w:cs="Times New Roman"/>
          <w:szCs w:val="24"/>
        </w:rPr>
        <w:t xml:space="preserve"> </w:t>
      </w:r>
      <w:r w:rsidRPr="000B0137">
        <w:rPr>
          <w:rFonts w:cs="Times New Roman"/>
          <w:szCs w:val="24"/>
        </w:rPr>
        <w:t>Z uwagi na wprowadzone obostrzenia część spotkań indywidualnych lub w małych grupach odbywała się w Klubie Seniora, część w domach poprzez kontakty telefoniczne, czy przez Messenger</w:t>
      </w:r>
      <w:r w:rsidR="000B0137">
        <w:rPr>
          <w:rFonts w:cs="Times New Roman"/>
          <w:szCs w:val="24"/>
        </w:rPr>
        <w:t>.</w:t>
      </w:r>
    </w:p>
    <w:p w14:paraId="298B5124" w14:textId="18E22250" w:rsidR="000B0137" w:rsidRDefault="00FD2030" w:rsidP="00FE70E3">
      <w:pPr>
        <w:pStyle w:val="Akapitzlist"/>
        <w:numPr>
          <w:ilvl w:val="0"/>
          <w:numId w:val="139"/>
        </w:numPr>
        <w:rPr>
          <w:rFonts w:cs="Times New Roman"/>
          <w:szCs w:val="24"/>
        </w:rPr>
      </w:pPr>
      <w:r w:rsidRPr="000B0137">
        <w:rPr>
          <w:rFonts w:cs="Times New Roman"/>
          <w:szCs w:val="24"/>
        </w:rPr>
        <w:t>M. Gorzów Wlkp. – realizacja programu „Złota rączka dla seniora”, który polega na zapewnieniu nieodpłatnej pomocy gorzowskim seniorom w drobnych, domowych naprawach. Z bezpłatnej pomocy mogą skorzystać mieszkańcy Gorzowa powyżej 60 roku życia, nieaktywni zawodowo, ze szczególnym uwzględnieniem osób samotnych i niepełnosprawnych.</w:t>
      </w:r>
    </w:p>
    <w:p w14:paraId="364B11F5" w14:textId="77777777" w:rsidR="00641C42" w:rsidRDefault="00641C42" w:rsidP="00641C42">
      <w:pPr>
        <w:pStyle w:val="Akapitzlist"/>
        <w:rPr>
          <w:rFonts w:cs="Times New Roman"/>
          <w:szCs w:val="24"/>
        </w:rPr>
      </w:pPr>
    </w:p>
    <w:p w14:paraId="13669435" w14:textId="376C5586" w:rsidR="00FD2030" w:rsidRPr="00CC5F6F" w:rsidRDefault="00CC5F6F" w:rsidP="00FD2030">
      <w:pPr>
        <w:rPr>
          <w:rFonts w:cs="Times New Roman"/>
          <w:b/>
          <w:bCs/>
          <w:szCs w:val="24"/>
        </w:rPr>
      </w:pPr>
      <w:r w:rsidRPr="00CC5F6F">
        <w:rPr>
          <w:rFonts w:cs="Times New Roman"/>
          <w:b/>
          <w:bCs/>
          <w:szCs w:val="24"/>
        </w:rPr>
        <w:lastRenderedPageBreak/>
        <w:t>Przykłady dobrych praktyk na poziomie powiatu, gminy.</w:t>
      </w:r>
    </w:p>
    <w:p w14:paraId="406C5352" w14:textId="56D8AD6B" w:rsidR="00CC5F6F" w:rsidRDefault="00FD2030" w:rsidP="00FD2030">
      <w:pPr>
        <w:rPr>
          <w:rFonts w:cs="Times New Roman"/>
          <w:szCs w:val="24"/>
        </w:rPr>
      </w:pPr>
      <w:r w:rsidRPr="00FD2030">
        <w:rPr>
          <w:rFonts w:cs="Times New Roman"/>
          <w:szCs w:val="24"/>
        </w:rPr>
        <w:t>Program Taxi  Senior 60 plus</w:t>
      </w:r>
      <w:r w:rsidR="00CC5F6F">
        <w:rPr>
          <w:rFonts w:cs="Times New Roman"/>
          <w:szCs w:val="24"/>
        </w:rPr>
        <w:t xml:space="preserve"> (</w:t>
      </w:r>
      <w:r w:rsidR="00CC5F6F" w:rsidRPr="00FD2030">
        <w:rPr>
          <w:rFonts w:cs="Times New Roman"/>
          <w:szCs w:val="24"/>
        </w:rPr>
        <w:t>Gmina Świebodzin</w:t>
      </w:r>
      <w:r w:rsidR="00CC5F6F">
        <w:rPr>
          <w:rFonts w:cs="Times New Roman"/>
          <w:szCs w:val="24"/>
        </w:rPr>
        <w:t>)</w:t>
      </w:r>
      <w:r w:rsidRPr="00FD2030">
        <w:rPr>
          <w:rFonts w:cs="Times New Roman"/>
          <w:szCs w:val="24"/>
        </w:rPr>
        <w:tab/>
      </w:r>
    </w:p>
    <w:p w14:paraId="61505E3D" w14:textId="075E163C" w:rsidR="00FD2030" w:rsidRPr="00FD2030" w:rsidRDefault="00FD2030" w:rsidP="00CC5F6F">
      <w:r w:rsidRPr="00FD2030">
        <w:t>Program polega na wsparciu seniorów po 60 r. życia ( w szczególności osoby, samotne, chore, niepełnosprawne), świadczenie bezpłatnych usług transportowych do lekarza. Zgłoszenie przejazdu i odwołanie odbywa się za pośrednictwem infolinii w OPS w Świebodzinie. Przewozy realizowane są w dni robocze od poniedziałku do piątku w godzinach 7:00 - 18:00</w:t>
      </w:r>
      <w:r w:rsidR="00CC5F6F">
        <w:t>.</w:t>
      </w:r>
    </w:p>
    <w:p w14:paraId="03A5AD6E" w14:textId="77777777" w:rsidR="00FD2030" w:rsidRPr="00FD2030" w:rsidRDefault="00FD2030" w:rsidP="00FD2030">
      <w:pPr>
        <w:rPr>
          <w:rFonts w:cs="Times New Roman"/>
          <w:szCs w:val="24"/>
        </w:rPr>
      </w:pPr>
    </w:p>
    <w:p w14:paraId="0C2EAEF7" w14:textId="414B0F32" w:rsidR="00FD2030" w:rsidRPr="00FD2030" w:rsidRDefault="00FD2030" w:rsidP="00FD2030">
      <w:pPr>
        <w:rPr>
          <w:rFonts w:cs="Times New Roman"/>
          <w:szCs w:val="24"/>
        </w:rPr>
      </w:pPr>
      <w:r w:rsidRPr="00FD2030">
        <w:rPr>
          <w:rFonts w:cs="Times New Roman"/>
          <w:szCs w:val="24"/>
        </w:rPr>
        <w:t>Międzyrzecka Karta Seniora</w:t>
      </w:r>
      <w:r w:rsidR="00CC5F6F">
        <w:rPr>
          <w:rFonts w:cs="Times New Roman"/>
          <w:szCs w:val="24"/>
        </w:rPr>
        <w:t xml:space="preserve"> (Gmina Międzyrzecz)</w:t>
      </w:r>
    </w:p>
    <w:p w14:paraId="35B2E434" w14:textId="53243252" w:rsidR="00FD2030" w:rsidRPr="00FD2030" w:rsidRDefault="00FD2030" w:rsidP="00CC5F6F">
      <w:pPr>
        <w:rPr>
          <w:rFonts w:cs="Times New Roman"/>
          <w:szCs w:val="24"/>
        </w:rPr>
      </w:pPr>
      <w:r w:rsidRPr="00FD2030">
        <w:rPr>
          <w:rFonts w:cs="Times New Roman"/>
          <w:szCs w:val="24"/>
        </w:rPr>
        <w:t>Budowanie kolejnego elementu polityki społecznej - stworzenie oraz poszerzanie systemu zniżek, ulg, preferencji dla osób w wiekuj 60+.</w:t>
      </w:r>
    </w:p>
    <w:p w14:paraId="2AE973A3" w14:textId="77777777" w:rsidR="00FD2030" w:rsidRPr="00FD2030" w:rsidRDefault="00FD2030" w:rsidP="00FD2030">
      <w:pPr>
        <w:rPr>
          <w:rFonts w:cs="Times New Roman"/>
          <w:szCs w:val="24"/>
        </w:rPr>
      </w:pPr>
    </w:p>
    <w:p w14:paraId="7007CBDF" w14:textId="302749B8" w:rsidR="00CC5F6F" w:rsidRDefault="00FD2030" w:rsidP="00FD2030">
      <w:pPr>
        <w:rPr>
          <w:rFonts w:cs="Times New Roman"/>
          <w:szCs w:val="24"/>
        </w:rPr>
      </w:pPr>
      <w:r w:rsidRPr="00FD2030">
        <w:rPr>
          <w:rFonts w:cs="Times New Roman"/>
          <w:szCs w:val="24"/>
        </w:rPr>
        <w:t>Domowe S.O.S</w:t>
      </w:r>
      <w:r w:rsidR="00CC5F6F">
        <w:rPr>
          <w:rFonts w:cs="Times New Roman"/>
          <w:szCs w:val="24"/>
        </w:rPr>
        <w:t xml:space="preserve"> (</w:t>
      </w:r>
      <w:r w:rsidR="00CC5F6F" w:rsidRPr="00FD2030">
        <w:rPr>
          <w:rFonts w:cs="Times New Roman"/>
          <w:szCs w:val="24"/>
        </w:rPr>
        <w:t>Gmina Zbąszynek</w:t>
      </w:r>
      <w:r w:rsidR="00CC5F6F">
        <w:rPr>
          <w:rFonts w:cs="Times New Roman"/>
          <w:szCs w:val="24"/>
        </w:rPr>
        <w:t>)</w:t>
      </w:r>
      <w:r w:rsidRPr="00FD2030">
        <w:rPr>
          <w:rFonts w:cs="Times New Roman"/>
          <w:szCs w:val="24"/>
        </w:rPr>
        <w:tab/>
      </w:r>
    </w:p>
    <w:p w14:paraId="3D671D66" w14:textId="3DD56CAE" w:rsidR="00FD2030" w:rsidRPr="00FD2030" w:rsidRDefault="00FD2030" w:rsidP="00FD2030">
      <w:pPr>
        <w:rPr>
          <w:rFonts w:cs="Times New Roman"/>
          <w:szCs w:val="24"/>
        </w:rPr>
      </w:pPr>
      <w:r w:rsidRPr="00FD2030">
        <w:rPr>
          <w:rFonts w:cs="Times New Roman"/>
          <w:szCs w:val="24"/>
        </w:rPr>
        <w:t>Usuwanie drobnych usterek domowych, program kierowany jest do osób w wieku 70+, zwłaszcza samotnych.</w:t>
      </w:r>
    </w:p>
    <w:p w14:paraId="5B1A4890" w14:textId="04ABA9D3" w:rsidR="00FD2030" w:rsidRDefault="00FD2030" w:rsidP="00CC5F6F">
      <w:pPr>
        <w:rPr>
          <w:rFonts w:cs="Times New Roman"/>
          <w:szCs w:val="24"/>
        </w:rPr>
      </w:pPr>
    </w:p>
    <w:p w14:paraId="489EA811" w14:textId="77777777" w:rsidR="00CC5F6F" w:rsidRPr="00FD2030" w:rsidRDefault="00CC5F6F" w:rsidP="00CC5F6F">
      <w:pPr>
        <w:rPr>
          <w:rFonts w:cs="Times New Roman"/>
          <w:szCs w:val="24"/>
        </w:rPr>
      </w:pPr>
    </w:p>
    <w:p w14:paraId="38FB8EC3" w14:textId="6EBAB376" w:rsidR="00CC5F6F" w:rsidRDefault="00FD2030" w:rsidP="00FD2030">
      <w:pPr>
        <w:rPr>
          <w:rFonts w:cs="Times New Roman"/>
          <w:szCs w:val="24"/>
        </w:rPr>
      </w:pPr>
      <w:r w:rsidRPr="00FD2030">
        <w:rPr>
          <w:rFonts w:cs="Times New Roman"/>
          <w:szCs w:val="24"/>
        </w:rPr>
        <w:t>Program polityki zdrowotnej dla seniorów z terenu powiatu nowosolskiego na lata 2020-2021 "Koperta życia - twoje zdrowie, twoje życie"</w:t>
      </w:r>
      <w:r w:rsidR="00CC5F6F">
        <w:rPr>
          <w:rFonts w:cs="Times New Roman"/>
          <w:szCs w:val="24"/>
        </w:rPr>
        <w:t xml:space="preserve"> (Powiat Nowosolski)</w:t>
      </w:r>
      <w:r w:rsidRPr="00FD2030">
        <w:rPr>
          <w:rFonts w:cs="Times New Roman"/>
          <w:szCs w:val="24"/>
        </w:rPr>
        <w:tab/>
      </w:r>
    </w:p>
    <w:p w14:paraId="4ABE31F4" w14:textId="77777777" w:rsidR="00CC5F6F" w:rsidRDefault="00FD2030" w:rsidP="00FD2030">
      <w:pPr>
        <w:rPr>
          <w:rFonts w:cs="Times New Roman"/>
          <w:szCs w:val="24"/>
        </w:rPr>
      </w:pPr>
      <w:r w:rsidRPr="00FD2030">
        <w:rPr>
          <w:rFonts w:cs="Times New Roman"/>
          <w:szCs w:val="24"/>
        </w:rPr>
        <w:t xml:space="preserve">Program obejmuje: </w:t>
      </w:r>
    </w:p>
    <w:p w14:paraId="4061B949" w14:textId="77777777" w:rsidR="00CC5F6F" w:rsidRDefault="00FD2030" w:rsidP="00FE70E3">
      <w:pPr>
        <w:pStyle w:val="Akapitzlist"/>
        <w:numPr>
          <w:ilvl w:val="0"/>
          <w:numId w:val="140"/>
        </w:numPr>
        <w:rPr>
          <w:rFonts w:cs="Times New Roman"/>
          <w:szCs w:val="24"/>
        </w:rPr>
      </w:pPr>
      <w:r w:rsidRPr="00CC5F6F">
        <w:rPr>
          <w:rFonts w:cs="Times New Roman"/>
          <w:szCs w:val="24"/>
        </w:rPr>
        <w:t xml:space="preserve">zakup i rozdysponowanie wśród seniorów pakietów "Koperta życia”: oraz gadżetów w postaci breloków ratowniczych, </w:t>
      </w:r>
    </w:p>
    <w:p w14:paraId="115FBFFC" w14:textId="63409A06" w:rsidR="00FD2030" w:rsidRPr="00CC5F6F" w:rsidRDefault="00FD2030" w:rsidP="00FE70E3">
      <w:pPr>
        <w:pStyle w:val="Akapitzlist"/>
        <w:numPr>
          <w:ilvl w:val="0"/>
          <w:numId w:val="140"/>
        </w:numPr>
        <w:rPr>
          <w:rFonts w:cs="Times New Roman"/>
          <w:szCs w:val="24"/>
        </w:rPr>
      </w:pPr>
      <w:r w:rsidRPr="00CC5F6F">
        <w:rPr>
          <w:rFonts w:cs="Times New Roman"/>
          <w:szCs w:val="24"/>
        </w:rPr>
        <w:t>edukacja w zakresie udzielania pierwszej pomocy przedmedycznej".</w:t>
      </w:r>
      <w:r w:rsidRPr="00CC5F6F">
        <w:rPr>
          <w:rFonts w:cs="Times New Roman"/>
          <w:szCs w:val="24"/>
        </w:rPr>
        <w:tab/>
        <w:t>1300</w:t>
      </w:r>
      <w:r w:rsidRPr="00CC5F6F">
        <w:rPr>
          <w:rFonts w:cs="Times New Roman"/>
          <w:szCs w:val="24"/>
        </w:rPr>
        <w:tab/>
        <w:t>Starostwo Powiatowe</w:t>
      </w:r>
      <w:r w:rsidRPr="00CC5F6F">
        <w:rPr>
          <w:rFonts w:cs="Times New Roman"/>
          <w:szCs w:val="24"/>
        </w:rPr>
        <w:tab/>
        <w:t>powiat nowosolski</w:t>
      </w:r>
      <w:r w:rsidRPr="00CC5F6F">
        <w:rPr>
          <w:rFonts w:cs="Times New Roman"/>
          <w:szCs w:val="24"/>
        </w:rPr>
        <w:tab/>
        <w:t>https://powiat-nowosolski.pl/koperty-zycia-trafia-do-lodowki/</w:t>
      </w:r>
    </w:p>
    <w:p w14:paraId="2154D707" w14:textId="77777777" w:rsidR="00FD2030" w:rsidRPr="00FD2030" w:rsidRDefault="00FD2030" w:rsidP="00FD2030">
      <w:pPr>
        <w:rPr>
          <w:rFonts w:cs="Times New Roman"/>
          <w:szCs w:val="24"/>
        </w:rPr>
      </w:pPr>
    </w:p>
    <w:p w14:paraId="6F1FC04D" w14:textId="36602332" w:rsidR="00FD2030" w:rsidRPr="00CC5F6F" w:rsidRDefault="00FD2030" w:rsidP="00FD2030">
      <w:pPr>
        <w:rPr>
          <w:rFonts w:cs="Times New Roman"/>
          <w:b/>
          <w:bCs/>
          <w:szCs w:val="24"/>
        </w:rPr>
      </w:pPr>
      <w:r w:rsidRPr="00CC5F6F">
        <w:rPr>
          <w:rFonts w:cs="Times New Roman"/>
          <w:b/>
          <w:bCs/>
          <w:szCs w:val="24"/>
        </w:rPr>
        <w:t xml:space="preserve">Przykłady innowacyjnych rozwiązań w opiece nad osobami starszymi  </w:t>
      </w:r>
    </w:p>
    <w:p w14:paraId="30212CA8" w14:textId="2133015F" w:rsidR="00FD2030" w:rsidRDefault="00FD2030" w:rsidP="00FD2030">
      <w:pPr>
        <w:rPr>
          <w:rFonts w:cs="Times New Roman"/>
          <w:szCs w:val="24"/>
        </w:rPr>
      </w:pPr>
      <w:r w:rsidRPr="00FD2030">
        <w:rPr>
          <w:rFonts w:cs="Times New Roman"/>
          <w:szCs w:val="24"/>
        </w:rPr>
        <w:t xml:space="preserve">Dynamicznie zmieniająca się rzeczywistość, rozwój technologii oraz coraz dłuższe życie, wpływają na zmiany potrzeb osób starszych. To z kolei determinuje stałe aktualizowanie i dostosowywanie oferty usług na rzecz seniorów.  Realizowanie innowacyjnych działań jest niezbędnym elementem kompleksowego wsparcia. Stąd też lubuskie gminy dokładają wszelkich starań, by działania dedykowane osobom 60 + odpowiadały ich bieżącym potrzebom i uwzględniały zachodzące zmiany. </w:t>
      </w:r>
    </w:p>
    <w:p w14:paraId="3CC85036" w14:textId="77777777" w:rsidR="00CC5F6F" w:rsidRPr="00FD2030" w:rsidRDefault="00CC5F6F" w:rsidP="00FD2030">
      <w:pPr>
        <w:rPr>
          <w:rFonts w:cs="Times New Roman"/>
          <w:szCs w:val="24"/>
        </w:rPr>
      </w:pPr>
    </w:p>
    <w:p w14:paraId="75784434" w14:textId="77777777" w:rsidR="00CC5F6F" w:rsidRDefault="00FD2030" w:rsidP="00FD2030">
      <w:pPr>
        <w:rPr>
          <w:rFonts w:cs="Times New Roman"/>
          <w:szCs w:val="24"/>
        </w:rPr>
      </w:pPr>
      <w:r w:rsidRPr="00FD2030">
        <w:rPr>
          <w:rFonts w:cs="Times New Roman"/>
          <w:szCs w:val="24"/>
        </w:rPr>
        <w:t>Gmina Cybinka</w:t>
      </w:r>
    </w:p>
    <w:p w14:paraId="33F1EA28" w14:textId="12B6F8E0" w:rsidR="00FD2030" w:rsidRDefault="00CC5F6F" w:rsidP="00FD2030">
      <w:pPr>
        <w:rPr>
          <w:rFonts w:cs="Times New Roman"/>
          <w:szCs w:val="24"/>
        </w:rPr>
      </w:pPr>
      <w:r>
        <w:rPr>
          <w:rFonts w:cs="Times New Roman"/>
          <w:szCs w:val="24"/>
        </w:rPr>
        <w:t>P</w:t>
      </w:r>
      <w:r w:rsidR="00FD2030" w:rsidRPr="00FD2030">
        <w:rPr>
          <w:rFonts w:cs="Times New Roman"/>
          <w:szCs w:val="24"/>
        </w:rPr>
        <w:t>rojekt „Obywatel Cyfrowej Przyszłości" - wzrost aktywności obywatelskiej w obszarze kompetencji cyfrowych - zagadnienia związane z obsługą tabletu, korzystanie z usług internetowych takich jak np. bankowość elektroniczna, zakupy internetowe, kontakty z urzędami online, korzystanie z narzędzi takich jak, drukarka, komunikator internetowy, informacje o zasadach bezpieczeństwa w sieci;</w:t>
      </w:r>
      <w:r>
        <w:rPr>
          <w:rFonts w:cs="Times New Roman"/>
          <w:szCs w:val="24"/>
        </w:rPr>
        <w:t xml:space="preserve"> </w:t>
      </w:r>
      <w:r w:rsidR="00FD2030" w:rsidRPr="00FD2030">
        <w:rPr>
          <w:rFonts w:cs="Times New Roman"/>
          <w:szCs w:val="24"/>
        </w:rPr>
        <w:t>- warsztaty z zakresu obsługi komputera i telefonów komórkowych dla seniorów - nauka posługiwania się nowymi telefonami komórkowymi;</w:t>
      </w:r>
    </w:p>
    <w:p w14:paraId="10765390" w14:textId="77777777" w:rsidR="00CC5F6F" w:rsidRPr="00FD2030" w:rsidRDefault="00CC5F6F" w:rsidP="00FD2030">
      <w:pPr>
        <w:rPr>
          <w:rFonts w:cs="Times New Roman"/>
          <w:szCs w:val="24"/>
        </w:rPr>
      </w:pPr>
    </w:p>
    <w:p w14:paraId="6BC39A6D" w14:textId="77777777" w:rsidR="00CC5F6F" w:rsidRDefault="00FD2030" w:rsidP="00FD2030">
      <w:pPr>
        <w:rPr>
          <w:rFonts w:cs="Times New Roman"/>
          <w:szCs w:val="24"/>
        </w:rPr>
      </w:pPr>
      <w:r w:rsidRPr="00FD2030">
        <w:rPr>
          <w:rFonts w:cs="Times New Roman"/>
          <w:szCs w:val="24"/>
        </w:rPr>
        <w:t>Gmina Witnica</w:t>
      </w:r>
    </w:p>
    <w:p w14:paraId="4F7A8AE5" w14:textId="642D7E3F" w:rsidR="00FD2030" w:rsidRDefault="00CC5F6F" w:rsidP="00FD2030">
      <w:pPr>
        <w:rPr>
          <w:rFonts w:cs="Times New Roman"/>
          <w:szCs w:val="24"/>
        </w:rPr>
      </w:pPr>
      <w:r>
        <w:rPr>
          <w:rFonts w:cs="Times New Roman"/>
          <w:szCs w:val="24"/>
        </w:rPr>
        <w:t>O</w:t>
      </w:r>
      <w:r w:rsidR="00FD2030" w:rsidRPr="00FD2030">
        <w:rPr>
          <w:rFonts w:cs="Times New Roman"/>
          <w:szCs w:val="24"/>
        </w:rPr>
        <w:t xml:space="preserve">bostrzenia związane z pandemią wpłynęły znacząco na zmianę dotychczasowych metod pracy w wielu instytucjach. Również w Dziennym Domu „Senior-Wigor” w Witnicy. Sposób </w:t>
      </w:r>
      <w:r w:rsidR="00FD2030" w:rsidRPr="00FD2030">
        <w:rPr>
          <w:rFonts w:cs="Times New Roman"/>
          <w:szCs w:val="24"/>
        </w:rPr>
        <w:lastRenderedPageBreak/>
        <w:t>prowadzenia zajęć edukacyjnych w DDP wzbogacony został o zajęcia on-line poprzez dostępność zwiedzania różnych instytucji tj. muzea czy parki w formie on-line. Terapia zajęciowa czy aktywizacja ruchowa odbywała się za pomocą zadań bezpośrednio dostarczanych do domów podopiecznych lub gotowych programów upublicznianych w mediach społecznościowych np. linki do strony  czas seniora. Nową formą opieki stał się dowóz gorącego posiłku bezpośrednio do domów podopiecznych, pomoc w załatwianiu spraw dnia codziennego odbywał się za pomocą porad telefonicznych.</w:t>
      </w:r>
    </w:p>
    <w:p w14:paraId="40511A77" w14:textId="77777777" w:rsidR="00CC5F6F" w:rsidRPr="00FD2030" w:rsidRDefault="00CC5F6F" w:rsidP="00FD2030">
      <w:pPr>
        <w:rPr>
          <w:rFonts w:cs="Times New Roman"/>
          <w:szCs w:val="24"/>
        </w:rPr>
      </w:pPr>
    </w:p>
    <w:p w14:paraId="022B4187" w14:textId="77777777" w:rsidR="00CC5F6F" w:rsidRDefault="00FD2030" w:rsidP="00FD2030">
      <w:pPr>
        <w:rPr>
          <w:rFonts w:cs="Times New Roman"/>
          <w:szCs w:val="24"/>
        </w:rPr>
      </w:pPr>
      <w:r w:rsidRPr="00FD2030">
        <w:rPr>
          <w:rFonts w:cs="Times New Roman"/>
          <w:szCs w:val="24"/>
        </w:rPr>
        <w:t xml:space="preserve">Miasto Zielona Góra </w:t>
      </w:r>
    </w:p>
    <w:p w14:paraId="7E7C74B8" w14:textId="0796AFC8" w:rsidR="00CC5F6F" w:rsidRPr="00FD2030" w:rsidRDefault="00CC5F6F" w:rsidP="00FD2030">
      <w:pPr>
        <w:rPr>
          <w:rFonts w:cs="Times New Roman"/>
          <w:szCs w:val="24"/>
        </w:rPr>
      </w:pPr>
      <w:r>
        <w:rPr>
          <w:rFonts w:cs="Times New Roman"/>
          <w:szCs w:val="24"/>
        </w:rPr>
        <w:t>U</w:t>
      </w:r>
      <w:r w:rsidR="00FD2030" w:rsidRPr="00FD2030">
        <w:rPr>
          <w:rFonts w:cs="Times New Roman"/>
          <w:szCs w:val="24"/>
        </w:rPr>
        <w:t xml:space="preserve">dostępnianie dla podopiecznych Domu Pomocy Społecznej przy ul. Słowackiego 11 komunikatorów społecznościowych umożliwiających kontakt z rodzinami (komputery, tablety z dostępem do </w:t>
      </w:r>
      <w:r>
        <w:rPr>
          <w:rFonts w:cs="Times New Roman"/>
          <w:szCs w:val="24"/>
        </w:rPr>
        <w:t>komunikatorów internetowych</w:t>
      </w:r>
      <w:r w:rsidR="00FD2030" w:rsidRPr="00FD2030">
        <w:rPr>
          <w:rFonts w:cs="Times New Roman"/>
          <w:szCs w:val="24"/>
        </w:rPr>
        <w:t>).</w:t>
      </w:r>
    </w:p>
    <w:p w14:paraId="29778B35" w14:textId="77777777" w:rsidR="00794616" w:rsidRDefault="00794616" w:rsidP="00794616">
      <w:pPr>
        <w:rPr>
          <w:rFonts w:cs="Times New Roman"/>
          <w:b/>
          <w:color w:val="FF0000"/>
          <w:szCs w:val="24"/>
          <w:lang w:eastAsia="ar-SA"/>
        </w:rPr>
      </w:pPr>
    </w:p>
    <w:p w14:paraId="6A243D47" w14:textId="6F60F064" w:rsidR="00794616" w:rsidRPr="00D96C8C" w:rsidRDefault="00FD2030" w:rsidP="00794616">
      <w:pPr>
        <w:pStyle w:val="Nagwek3"/>
        <w:rPr>
          <w:lang w:eastAsia="ar-SA"/>
        </w:rPr>
      </w:pPr>
      <w:bookmarkStart w:id="168" w:name="_Toc77513969"/>
      <w:bookmarkStart w:id="169" w:name="_Toc80523123"/>
      <w:r w:rsidRPr="00FD2030">
        <w:rPr>
          <w:lang w:eastAsia="ar-SA"/>
        </w:rPr>
        <w:t xml:space="preserve">Działania związane z ochroną seniorów przed negatywnymi skutkami pandemii COVID-19, które zostały podjęte w 2020 r w województwie </w:t>
      </w:r>
      <w:r>
        <w:rPr>
          <w:lang w:eastAsia="ar-SA"/>
        </w:rPr>
        <w:t>lubuskim</w:t>
      </w:r>
      <w:bookmarkEnd w:id="168"/>
      <w:bookmarkEnd w:id="169"/>
    </w:p>
    <w:p w14:paraId="4E8FA7D9" w14:textId="11BE47EB" w:rsidR="00FD2030" w:rsidRDefault="00FD2030" w:rsidP="00794616">
      <w:pPr>
        <w:rPr>
          <w:rFonts w:cs="Times New Roman"/>
          <w:szCs w:val="24"/>
        </w:rPr>
      </w:pPr>
    </w:p>
    <w:p w14:paraId="5003C1E0" w14:textId="77777777" w:rsidR="000B0137" w:rsidRDefault="000B0137" w:rsidP="000B0137">
      <w:pPr>
        <w:rPr>
          <w:rFonts w:cs="Times New Roman"/>
          <w:szCs w:val="24"/>
        </w:rPr>
      </w:pPr>
      <w:r w:rsidRPr="000B0137">
        <w:rPr>
          <w:rFonts w:cs="Times New Roman"/>
          <w:szCs w:val="24"/>
        </w:rPr>
        <w:t>Okres pandemii COVID-19 wymagał od gmin, powiatów i jednostek im podległych wprowadzenia ograniczeń i podjęcia zintensyfikowanych działań, których celem było zabezpieczenie i ochrona osób w podeszłym wieku.</w:t>
      </w:r>
      <w:r>
        <w:rPr>
          <w:rFonts w:cs="Times New Roman"/>
          <w:szCs w:val="24"/>
        </w:rPr>
        <w:t xml:space="preserve"> </w:t>
      </w:r>
      <w:r w:rsidRPr="000B0137">
        <w:rPr>
          <w:rFonts w:cs="Times New Roman"/>
          <w:szCs w:val="24"/>
        </w:rPr>
        <w:t>Lubuskie gminy podejmowały szereg działań związanych z ochroną seniorów przed negatywnymi skutkami pandemii COVID-19, m.in.:</w:t>
      </w:r>
    </w:p>
    <w:p w14:paraId="70804ADD" w14:textId="77777777" w:rsidR="000B0137" w:rsidRDefault="000B0137" w:rsidP="00FE70E3">
      <w:pPr>
        <w:pStyle w:val="Akapitzlist"/>
        <w:numPr>
          <w:ilvl w:val="0"/>
          <w:numId w:val="136"/>
        </w:numPr>
        <w:rPr>
          <w:rFonts w:cs="Times New Roman"/>
          <w:szCs w:val="24"/>
        </w:rPr>
      </w:pPr>
      <w:r w:rsidRPr="000B0137">
        <w:rPr>
          <w:rFonts w:cs="Times New Roman"/>
          <w:szCs w:val="24"/>
        </w:rPr>
        <w:t>realizacja Programu „Wspieraj Seniora”;</w:t>
      </w:r>
    </w:p>
    <w:p w14:paraId="4939CFF8" w14:textId="77777777" w:rsidR="000B0137" w:rsidRDefault="000B0137" w:rsidP="00FE70E3">
      <w:pPr>
        <w:pStyle w:val="Akapitzlist"/>
        <w:numPr>
          <w:ilvl w:val="0"/>
          <w:numId w:val="136"/>
        </w:numPr>
        <w:rPr>
          <w:rFonts w:cs="Times New Roman"/>
          <w:szCs w:val="24"/>
        </w:rPr>
      </w:pPr>
      <w:r w:rsidRPr="000B0137">
        <w:rPr>
          <w:rFonts w:cs="Times New Roman"/>
          <w:szCs w:val="24"/>
        </w:rPr>
        <w:t>praca socjalna dostosowana do aktualnej sytuacji epidemicznej w regionie i potrzeb seniorów - kontakt telefoniczny z seniorami, monitorowanie ogólnego samopoczucia psychicznego i fizycznego, mobilizacja do aktywności fizycznej. Zapewnienie artykułów i paczek żywnościowych i przemysłowych, dowóz posiłków do domów seniorów;</w:t>
      </w:r>
    </w:p>
    <w:p w14:paraId="2C66D426" w14:textId="77777777" w:rsidR="000B0137" w:rsidRDefault="000B0137" w:rsidP="00FE70E3">
      <w:pPr>
        <w:pStyle w:val="Akapitzlist"/>
        <w:numPr>
          <w:ilvl w:val="0"/>
          <w:numId w:val="136"/>
        </w:numPr>
        <w:rPr>
          <w:rFonts w:cs="Times New Roman"/>
          <w:szCs w:val="24"/>
        </w:rPr>
      </w:pPr>
      <w:r w:rsidRPr="000B0137">
        <w:rPr>
          <w:rFonts w:cs="Times New Roman"/>
          <w:szCs w:val="24"/>
        </w:rPr>
        <w:t>zaopatrzenie seniorów w środki ochrony osobistej: maseczki, rękawiczki, środki dezynfekcyjne;</w:t>
      </w:r>
    </w:p>
    <w:p w14:paraId="1B0E2345" w14:textId="77777777" w:rsidR="000B0137" w:rsidRDefault="000B0137" w:rsidP="00FE70E3">
      <w:pPr>
        <w:pStyle w:val="Akapitzlist"/>
        <w:numPr>
          <w:ilvl w:val="0"/>
          <w:numId w:val="136"/>
        </w:numPr>
        <w:rPr>
          <w:rFonts w:cs="Times New Roman"/>
          <w:szCs w:val="24"/>
        </w:rPr>
      </w:pPr>
      <w:r w:rsidRPr="000B0137">
        <w:rPr>
          <w:rFonts w:cs="Times New Roman"/>
          <w:szCs w:val="24"/>
        </w:rPr>
        <w:t xml:space="preserve">organizacja pomocy sąsiedzkiej w zakresie wsparcia seniorów; </w:t>
      </w:r>
    </w:p>
    <w:p w14:paraId="6B15B45D" w14:textId="77777777" w:rsidR="000B0137" w:rsidRDefault="000B0137" w:rsidP="00FE70E3">
      <w:pPr>
        <w:pStyle w:val="Akapitzlist"/>
        <w:numPr>
          <w:ilvl w:val="0"/>
          <w:numId w:val="136"/>
        </w:numPr>
        <w:rPr>
          <w:rFonts w:cs="Times New Roman"/>
          <w:szCs w:val="24"/>
        </w:rPr>
      </w:pPr>
      <w:r w:rsidRPr="000B0137">
        <w:rPr>
          <w:rFonts w:cs="Times New Roman"/>
          <w:szCs w:val="24"/>
        </w:rPr>
        <w:t>współpraca z sołtysami w celu jak najszybszego rozeznania potrzeb środowiska lokalnego;</w:t>
      </w:r>
    </w:p>
    <w:p w14:paraId="1C8A27EE" w14:textId="77777777" w:rsidR="000B0137" w:rsidRDefault="000B0137" w:rsidP="00FE70E3">
      <w:pPr>
        <w:pStyle w:val="Akapitzlist"/>
        <w:numPr>
          <w:ilvl w:val="0"/>
          <w:numId w:val="136"/>
        </w:numPr>
        <w:rPr>
          <w:rFonts w:cs="Times New Roman"/>
          <w:szCs w:val="24"/>
        </w:rPr>
      </w:pPr>
      <w:r w:rsidRPr="000B0137">
        <w:rPr>
          <w:rFonts w:cs="Times New Roman"/>
          <w:szCs w:val="24"/>
        </w:rPr>
        <w:t>promowanie idei wolontariatu i włączanie wolontariuszy w pomoc osobom w podeszłym wieku (baza wolontariuszy w gminie);</w:t>
      </w:r>
    </w:p>
    <w:p w14:paraId="7653681D" w14:textId="77777777" w:rsidR="000B0137" w:rsidRDefault="000B0137" w:rsidP="00FE70E3">
      <w:pPr>
        <w:pStyle w:val="Akapitzlist"/>
        <w:numPr>
          <w:ilvl w:val="0"/>
          <w:numId w:val="136"/>
        </w:numPr>
        <w:rPr>
          <w:rFonts w:cs="Times New Roman"/>
          <w:szCs w:val="24"/>
        </w:rPr>
      </w:pPr>
      <w:r w:rsidRPr="000B0137">
        <w:rPr>
          <w:rFonts w:cs="Times New Roman"/>
          <w:szCs w:val="24"/>
        </w:rPr>
        <w:t>rozpowszechnianie informacji o szczepieniach przeciwko COVID-19 i dowozy seniorów na szczepienia;</w:t>
      </w:r>
    </w:p>
    <w:p w14:paraId="4BD9CCA0" w14:textId="34A9EF70" w:rsidR="000B0137" w:rsidRPr="000B0137" w:rsidRDefault="000B0137" w:rsidP="00FE70E3">
      <w:pPr>
        <w:pStyle w:val="Akapitzlist"/>
        <w:numPr>
          <w:ilvl w:val="0"/>
          <w:numId w:val="136"/>
        </w:numPr>
        <w:rPr>
          <w:rFonts w:cs="Times New Roman"/>
          <w:szCs w:val="24"/>
        </w:rPr>
      </w:pPr>
      <w:r w:rsidRPr="000B0137">
        <w:rPr>
          <w:rFonts w:cs="Times New Roman"/>
          <w:szCs w:val="24"/>
        </w:rPr>
        <w:t>powołanie spośród pracowników, grup wspierających seniorów w robieniu zakupów i załatwianiu niezbędnych spraw poza domem, telefoniczne wsparcie psychologiczne.</w:t>
      </w:r>
    </w:p>
    <w:p w14:paraId="5F7CF022" w14:textId="77777777" w:rsidR="000B0137" w:rsidRDefault="000B0137" w:rsidP="000B0137">
      <w:pPr>
        <w:rPr>
          <w:rFonts w:cs="Times New Roman"/>
          <w:szCs w:val="24"/>
        </w:rPr>
      </w:pPr>
    </w:p>
    <w:p w14:paraId="47D1FEBF" w14:textId="77777777" w:rsidR="000B0137" w:rsidRDefault="000B0137" w:rsidP="00FD2030">
      <w:pPr>
        <w:rPr>
          <w:rFonts w:cs="Times New Roman"/>
          <w:szCs w:val="24"/>
        </w:rPr>
      </w:pPr>
      <w:r>
        <w:rPr>
          <w:rFonts w:cs="Times New Roman"/>
          <w:szCs w:val="24"/>
        </w:rPr>
        <w:t>Ponadto zrealizowano następujące inicjatywy:</w:t>
      </w:r>
    </w:p>
    <w:p w14:paraId="5B2E6F77" w14:textId="22B06E46" w:rsidR="000B0137" w:rsidRDefault="000B0137" w:rsidP="00FE70E3">
      <w:pPr>
        <w:pStyle w:val="Akapitzlist"/>
        <w:numPr>
          <w:ilvl w:val="0"/>
          <w:numId w:val="137"/>
        </w:numPr>
        <w:rPr>
          <w:rFonts w:cs="Times New Roman"/>
          <w:szCs w:val="24"/>
        </w:rPr>
      </w:pPr>
      <w:r>
        <w:rPr>
          <w:rFonts w:cs="Times New Roman"/>
          <w:szCs w:val="24"/>
        </w:rPr>
        <w:t>Z</w:t>
      </w:r>
      <w:r w:rsidRPr="000B0137">
        <w:rPr>
          <w:rFonts w:cs="Times New Roman"/>
          <w:szCs w:val="24"/>
        </w:rPr>
        <w:t xml:space="preserve">arząd woj. Lubuskiego przekazał środki pieniężne na wykonanie </w:t>
      </w:r>
      <w:r w:rsidR="00FD2030" w:rsidRPr="000B0137">
        <w:rPr>
          <w:rFonts w:cs="Times New Roman"/>
          <w:szCs w:val="24"/>
        </w:rPr>
        <w:t>zadania publicznego: „Pomoc Lubuskim Seniorom”, realizowanego w okresie od 9</w:t>
      </w:r>
      <w:r w:rsidR="004F3404">
        <w:rPr>
          <w:rFonts w:cs="Times New Roman"/>
          <w:szCs w:val="24"/>
        </w:rPr>
        <w:t xml:space="preserve"> kwietnia </w:t>
      </w:r>
      <w:r w:rsidR="00FD2030" w:rsidRPr="000B0137">
        <w:rPr>
          <w:rFonts w:cs="Times New Roman"/>
          <w:szCs w:val="24"/>
        </w:rPr>
        <w:t>2020 r. do dnia 30</w:t>
      </w:r>
      <w:r w:rsidR="004F3404">
        <w:rPr>
          <w:rFonts w:cs="Times New Roman"/>
          <w:szCs w:val="24"/>
        </w:rPr>
        <w:t xml:space="preserve"> czerwca </w:t>
      </w:r>
      <w:r w:rsidR="00FD2030" w:rsidRPr="000B0137">
        <w:rPr>
          <w:rFonts w:cs="Times New Roman"/>
          <w:szCs w:val="24"/>
        </w:rPr>
        <w:t>2020 r.</w:t>
      </w:r>
      <w:r w:rsidRPr="000B0137">
        <w:rPr>
          <w:rFonts w:cs="Times New Roman"/>
          <w:szCs w:val="24"/>
        </w:rPr>
        <w:t xml:space="preserve"> </w:t>
      </w:r>
      <w:r w:rsidR="00FD2030" w:rsidRPr="000B0137">
        <w:rPr>
          <w:rFonts w:cs="Times New Roman"/>
          <w:szCs w:val="24"/>
        </w:rPr>
        <w:t>W ramach projektu Ochotnicza Straż Pożarna w porozumieniu</w:t>
      </w:r>
      <w:r w:rsidRPr="000B0137">
        <w:rPr>
          <w:rFonts w:cs="Times New Roman"/>
          <w:szCs w:val="24"/>
        </w:rPr>
        <w:t xml:space="preserve"> </w:t>
      </w:r>
      <w:r w:rsidR="00FD2030" w:rsidRPr="000B0137">
        <w:rPr>
          <w:rFonts w:cs="Times New Roman"/>
          <w:szCs w:val="24"/>
        </w:rPr>
        <w:t>z Ośrodkami Pomocy Społecznej w poszczególnych gminach, świadczyła pomoc (zakup żywności i śr. higieny) osobom starszym</w:t>
      </w:r>
      <w:r w:rsidRPr="000B0137">
        <w:rPr>
          <w:rFonts w:cs="Times New Roman"/>
          <w:szCs w:val="24"/>
        </w:rPr>
        <w:t xml:space="preserve"> </w:t>
      </w:r>
      <w:r w:rsidR="00FD2030" w:rsidRPr="000B0137">
        <w:rPr>
          <w:rFonts w:cs="Times New Roman"/>
          <w:szCs w:val="24"/>
        </w:rPr>
        <w:t xml:space="preserve">w wieku emerytalnym, którzy w wyniku pandemii nie mogli opuścić miejsca zamieszkania. </w:t>
      </w:r>
    </w:p>
    <w:p w14:paraId="0E9ACBE2" w14:textId="77777777" w:rsidR="000B0137" w:rsidRDefault="00FD2030" w:rsidP="00FE70E3">
      <w:pPr>
        <w:pStyle w:val="Akapitzlist"/>
        <w:numPr>
          <w:ilvl w:val="0"/>
          <w:numId w:val="137"/>
        </w:numPr>
        <w:rPr>
          <w:rFonts w:cs="Times New Roman"/>
          <w:szCs w:val="24"/>
        </w:rPr>
      </w:pPr>
      <w:r w:rsidRPr="000B0137">
        <w:rPr>
          <w:rFonts w:cs="Times New Roman"/>
          <w:szCs w:val="24"/>
        </w:rPr>
        <w:lastRenderedPageBreak/>
        <w:t xml:space="preserve">Realizacja programu – przez lokalne Ośrodki Pomocy Społecznej na terenie gminy - Wspieraj Seniora Solidarnościowy Korpus Wsparcia Seniorów – </w:t>
      </w:r>
      <w:r w:rsidR="000B0137" w:rsidRPr="000B0137">
        <w:rPr>
          <w:rFonts w:cs="Times New Roman"/>
          <w:szCs w:val="24"/>
        </w:rPr>
        <w:t xml:space="preserve"> </w:t>
      </w:r>
      <w:r w:rsidRPr="000B0137">
        <w:rPr>
          <w:rFonts w:cs="Times New Roman"/>
          <w:szCs w:val="24"/>
        </w:rPr>
        <w:t>od 20 października do 31 grudnia 2020</w:t>
      </w:r>
      <w:r w:rsidR="000B0137" w:rsidRPr="000B0137">
        <w:rPr>
          <w:rFonts w:cs="Times New Roman"/>
          <w:szCs w:val="24"/>
        </w:rPr>
        <w:t> </w:t>
      </w:r>
      <w:r w:rsidRPr="000B0137">
        <w:rPr>
          <w:rFonts w:cs="Times New Roman"/>
          <w:szCs w:val="24"/>
        </w:rPr>
        <w:t>r.</w:t>
      </w:r>
      <w:r w:rsidR="000B0137" w:rsidRPr="000B0137">
        <w:rPr>
          <w:rFonts w:cs="Times New Roman"/>
          <w:szCs w:val="24"/>
        </w:rPr>
        <w:t xml:space="preserve"> (w</w:t>
      </w:r>
      <w:r w:rsidRPr="000B0137">
        <w:rPr>
          <w:rFonts w:cs="Times New Roman"/>
          <w:szCs w:val="24"/>
        </w:rPr>
        <w:t xml:space="preserve"> ramach programu realizacja m.in. gorzowskiej akcji Posiłek dla Seniora – skierowanej do osób po 70 roku życia.</w:t>
      </w:r>
    </w:p>
    <w:p w14:paraId="7145D08D" w14:textId="77777777" w:rsidR="000B0137" w:rsidRDefault="00FD2030" w:rsidP="00FE70E3">
      <w:pPr>
        <w:pStyle w:val="Akapitzlist"/>
        <w:numPr>
          <w:ilvl w:val="0"/>
          <w:numId w:val="137"/>
        </w:numPr>
        <w:rPr>
          <w:rFonts w:cs="Times New Roman"/>
          <w:szCs w:val="24"/>
        </w:rPr>
      </w:pPr>
      <w:r w:rsidRPr="000B0137">
        <w:rPr>
          <w:rFonts w:cs="Times New Roman"/>
          <w:szCs w:val="24"/>
        </w:rPr>
        <w:t>Rekrutacja wolontariuszy oraz koordynacja współpracy pomiędzy Ośrodkami Pomocy Społecznej, a osobami najbardziej narażonymi na skutki pandemii. - z wykorzystaniem platformy „ pomoc dla osób potrzebujących”.</w:t>
      </w:r>
    </w:p>
    <w:p w14:paraId="437CFC34" w14:textId="77777777" w:rsidR="000B0137" w:rsidRDefault="00FD2030" w:rsidP="00FE70E3">
      <w:pPr>
        <w:pStyle w:val="Akapitzlist"/>
        <w:numPr>
          <w:ilvl w:val="0"/>
          <w:numId w:val="137"/>
        </w:numPr>
        <w:rPr>
          <w:rFonts w:cs="Times New Roman"/>
          <w:szCs w:val="24"/>
        </w:rPr>
      </w:pPr>
      <w:r w:rsidRPr="000B0137">
        <w:rPr>
          <w:rFonts w:cs="Times New Roman"/>
          <w:szCs w:val="24"/>
        </w:rPr>
        <w:t>Przekazanie środków ochrony osobistej (maseczki, rękawice, przyłbice, środki do dezynfekcji) placówkom świadczącym pomoc dla osób starszych tj. domy pomocy społecznej, placówki dziennego pobytu, noclegownie i schroniska dla osób bezdomnych.</w:t>
      </w:r>
    </w:p>
    <w:p w14:paraId="0BA2690F" w14:textId="30C8D9EB" w:rsidR="00FD2030" w:rsidRPr="000B0137" w:rsidRDefault="00FD2030" w:rsidP="00FE70E3">
      <w:pPr>
        <w:pStyle w:val="Akapitzlist"/>
        <w:numPr>
          <w:ilvl w:val="0"/>
          <w:numId w:val="137"/>
        </w:numPr>
        <w:rPr>
          <w:rFonts w:cs="Times New Roman"/>
          <w:szCs w:val="24"/>
        </w:rPr>
      </w:pPr>
      <w:r w:rsidRPr="000B0137">
        <w:rPr>
          <w:rFonts w:cs="Times New Roman"/>
          <w:szCs w:val="24"/>
        </w:rPr>
        <w:t>Stały monitoring sytuacji zdrowotnej mieszkańców, pracowników i personelu w domach pomocy społecznej, prowadzony – codziennie - od czerwca 2020 r.</w:t>
      </w:r>
    </w:p>
    <w:p w14:paraId="40AF8B15" w14:textId="77777777" w:rsidR="00794616" w:rsidRPr="005C6286" w:rsidRDefault="00794616" w:rsidP="00BA4636">
      <w:pPr>
        <w:rPr>
          <w:rFonts w:cs="Times New Roman"/>
          <w:szCs w:val="24"/>
        </w:rPr>
      </w:pPr>
    </w:p>
    <w:p w14:paraId="747F01C6" w14:textId="26AF7904" w:rsidR="00AC180B" w:rsidRDefault="00AC180B" w:rsidP="00AC180B">
      <w:pPr>
        <w:pStyle w:val="Nagwek3"/>
      </w:pPr>
      <w:bookmarkStart w:id="170" w:name="_Toc77513970"/>
      <w:bookmarkStart w:id="171" w:name="_Toc80523124"/>
      <w:r>
        <w:t>Infrastruktura społeczna oraz usługi świadczone osobom starszym w 2020 r.</w:t>
      </w:r>
      <w:bookmarkEnd w:id="170"/>
      <w:bookmarkEnd w:id="171"/>
    </w:p>
    <w:p w14:paraId="34C25842" w14:textId="77777777" w:rsidR="000B1B06" w:rsidRPr="000B1B06" w:rsidRDefault="000B1B06" w:rsidP="000B1B06"/>
    <w:p w14:paraId="4773FB0C" w14:textId="4D31E3BD" w:rsidR="00AC180B" w:rsidRDefault="00AC180B" w:rsidP="00AC180B">
      <w:pPr>
        <w:rPr>
          <w:rFonts w:cs="Times New Roman"/>
          <w:szCs w:val="24"/>
        </w:rPr>
      </w:pPr>
      <w:r w:rsidRPr="00D96C8C">
        <w:rPr>
          <w:rFonts w:cs="Times New Roman"/>
          <w:szCs w:val="24"/>
        </w:rPr>
        <w:t xml:space="preserve">Szczegółowe informacje dotyczące usług oraz infrastruktury społecznej dostępnej dla osób starszych w województwie </w:t>
      </w:r>
      <w:r w:rsidR="00FD2030">
        <w:rPr>
          <w:rFonts w:cs="Times New Roman"/>
          <w:szCs w:val="24"/>
        </w:rPr>
        <w:t>lubuskim</w:t>
      </w:r>
      <w:r>
        <w:rPr>
          <w:rFonts w:cs="Times New Roman"/>
          <w:szCs w:val="24"/>
        </w:rPr>
        <w:t xml:space="preserve"> w 2020 r. przedstawia poniższa tabela</w:t>
      </w:r>
    </w:p>
    <w:p w14:paraId="4772C769" w14:textId="77777777" w:rsidR="00AC180B" w:rsidRPr="0092226B" w:rsidRDefault="00AC180B" w:rsidP="00851299">
      <w:pPr>
        <w:widowControl w:val="0"/>
        <w:autoSpaceDE w:val="0"/>
        <w:autoSpaceDN w:val="0"/>
        <w:adjustRightInd w:val="0"/>
        <w:rPr>
          <w:rFonts w:cs="Times New Roman"/>
          <w:color w:val="FF0000"/>
          <w:szCs w:val="24"/>
        </w:rPr>
      </w:pPr>
    </w:p>
    <w:p w14:paraId="1958EEFF" w14:textId="77777777" w:rsidR="00397459" w:rsidRPr="0092226B" w:rsidRDefault="00397459" w:rsidP="0010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color w:val="FF0000"/>
          <w:szCs w:val="24"/>
        </w:rPr>
        <w:sectPr w:rsidR="00397459" w:rsidRPr="0092226B" w:rsidSect="006145C4">
          <w:pgSz w:w="11900" w:h="16838"/>
          <w:pgMar w:top="1384" w:right="1386" w:bottom="1038" w:left="1380" w:header="0" w:footer="567" w:gutter="0"/>
          <w:cols w:space="0" w:equalWidth="0">
            <w:col w:w="9140"/>
          </w:cols>
          <w:docGrid w:linePitch="360"/>
        </w:sectPr>
      </w:pPr>
    </w:p>
    <w:p w14:paraId="03D57D0A" w14:textId="52AD2AC6" w:rsidR="005F20F3" w:rsidRPr="005B094D" w:rsidRDefault="005F20F3" w:rsidP="005F20F3">
      <w:pPr>
        <w:pStyle w:val="Legenda"/>
        <w:keepNext/>
        <w:rPr>
          <w:rFonts w:cs="Times New Roman"/>
          <w:b/>
          <w:i w:val="0"/>
          <w:color w:val="auto"/>
          <w:sz w:val="24"/>
        </w:rPr>
      </w:pPr>
      <w:bookmarkStart w:id="172" w:name="_Toc49171433"/>
      <w:r w:rsidRPr="005B094D">
        <w:rPr>
          <w:rFonts w:cs="Times New Roman"/>
          <w:b/>
          <w:i w:val="0"/>
          <w:color w:val="auto"/>
          <w:sz w:val="24"/>
        </w:rPr>
        <w:lastRenderedPageBreak/>
        <w:t xml:space="preserve">Tabela </w:t>
      </w:r>
      <w:r w:rsidR="005B094D" w:rsidRPr="005B094D">
        <w:rPr>
          <w:rFonts w:cs="Times New Roman"/>
          <w:b/>
          <w:i w:val="0"/>
          <w:color w:val="auto"/>
          <w:sz w:val="24"/>
        </w:rPr>
        <w:t>56</w:t>
      </w:r>
      <w:r w:rsidR="00054E88">
        <w:rPr>
          <w:rFonts w:cs="Times New Roman"/>
          <w:b/>
          <w:i w:val="0"/>
          <w:color w:val="auto"/>
          <w:sz w:val="24"/>
        </w:rPr>
        <w:t>.</w:t>
      </w:r>
      <w:r w:rsidRPr="005B094D">
        <w:rPr>
          <w:rFonts w:cs="Times New Roman"/>
          <w:b/>
          <w:i w:val="0"/>
          <w:color w:val="auto"/>
          <w:sz w:val="24"/>
        </w:rPr>
        <w:t xml:space="preserve"> Karta województwa lubuskiego</w:t>
      </w:r>
      <w:bookmarkEnd w:id="172"/>
    </w:p>
    <w:tbl>
      <w:tblPr>
        <w:tblStyle w:val="Tabelasiatki5ciemnaakcent2"/>
        <w:tblpPr w:leftFromText="142" w:rightFromText="142" w:vertAnchor="text" w:horzAnchor="margin" w:tblpXSpec="center" w:tblpY="1"/>
        <w:tblW w:w="14741" w:type="dxa"/>
        <w:tblLayout w:type="fixed"/>
        <w:tblLook w:val="04A0" w:firstRow="1" w:lastRow="0" w:firstColumn="1" w:lastColumn="0" w:noHBand="0" w:noVBand="1"/>
      </w:tblPr>
      <w:tblGrid>
        <w:gridCol w:w="2830"/>
        <w:gridCol w:w="3066"/>
        <w:gridCol w:w="53"/>
        <w:gridCol w:w="2895"/>
        <w:gridCol w:w="790"/>
        <w:gridCol w:w="2158"/>
        <w:gridCol w:w="2949"/>
      </w:tblGrid>
      <w:tr w:rsidR="009F568A" w:rsidRPr="0092226B" w14:paraId="65D01EA7" w14:textId="77777777" w:rsidTr="009F568A">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741" w:type="dxa"/>
            <w:gridSpan w:val="7"/>
          </w:tcPr>
          <w:p w14:paraId="48D31B6E" w14:textId="2A6F7BC4" w:rsidR="009F568A" w:rsidRPr="00087470" w:rsidRDefault="009F568A" w:rsidP="005E07E1">
            <w:pPr>
              <w:spacing w:line="240" w:lineRule="auto"/>
              <w:jc w:val="center"/>
              <w:rPr>
                <w:color w:val="auto"/>
                <w:sz w:val="20"/>
                <w:szCs w:val="20"/>
              </w:rPr>
            </w:pPr>
            <w:r w:rsidRPr="00087470">
              <w:rPr>
                <w:color w:val="auto"/>
                <w:sz w:val="20"/>
                <w:szCs w:val="20"/>
              </w:rPr>
              <w:t>WOJEWÓDZTWO LUBUSKIE</w:t>
            </w:r>
          </w:p>
        </w:tc>
      </w:tr>
      <w:tr w:rsidR="0092226B" w:rsidRPr="0092226B" w14:paraId="6D211670" w14:textId="77777777" w:rsidTr="009F568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4741" w:type="dxa"/>
            <w:gridSpan w:val="7"/>
          </w:tcPr>
          <w:p w14:paraId="302A984A" w14:textId="5757E582" w:rsidR="00397459" w:rsidRPr="00087470" w:rsidRDefault="00397459" w:rsidP="005E07E1">
            <w:pPr>
              <w:spacing w:line="240" w:lineRule="auto"/>
              <w:jc w:val="center"/>
              <w:rPr>
                <w:color w:val="auto"/>
                <w:sz w:val="20"/>
                <w:szCs w:val="20"/>
              </w:rPr>
            </w:pPr>
            <w:r w:rsidRPr="00087470">
              <w:rPr>
                <w:color w:val="auto"/>
                <w:sz w:val="20"/>
                <w:szCs w:val="20"/>
              </w:rPr>
              <w:t>USŁUGI SPOŁECZNE DLA OSÓB STARSZYCH / INFRASTRUKTURA POMOCY SPOLECZNEJ – DANE ZA 20</w:t>
            </w:r>
            <w:r w:rsidR="009F568A" w:rsidRPr="00087470">
              <w:rPr>
                <w:color w:val="auto"/>
                <w:sz w:val="20"/>
                <w:szCs w:val="20"/>
              </w:rPr>
              <w:t>20</w:t>
            </w:r>
            <w:r w:rsidRPr="00087470">
              <w:rPr>
                <w:color w:val="auto"/>
                <w:sz w:val="20"/>
                <w:szCs w:val="20"/>
              </w:rPr>
              <w:t xml:space="preserve"> R.</w:t>
            </w:r>
          </w:p>
        </w:tc>
      </w:tr>
      <w:tr w:rsidR="0092226B" w:rsidRPr="0092226B" w14:paraId="16C0BB3C" w14:textId="77777777" w:rsidTr="009F568A">
        <w:trPr>
          <w:trHeight w:val="60"/>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2966B270" w14:textId="77777777" w:rsidR="00397459" w:rsidRPr="00087470" w:rsidRDefault="00397459" w:rsidP="00B337AF">
            <w:pPr>
              <w:spacing w:line="240" w:lineRule="auto"/>
              <w:rPr>
                <w:rFonts w:eastAsia="Times New Roman"/>
                <w:b w:val="0"/>
                <w:bCs w:val="0"/>
                <w:color w:val="auto"/>
                <w:sz w:val="20"/>
                <w:szCs w:val="20"/>
                <w:lang w:eastAsia="pl-PL"/>
              </w:rPr>
            </w:pPr>
            <w:r w:rsidRPr="00087470">
              <w:rPr>
                <w:rFonts w:eastAsia="Times New Roman"/>
                <w:color w:val="auto"/>
                <w:sz w:val="20"/>
                <w:szCs w:val="20"/>
                <w:lang w:eastAsia="pl-PL"/>
              </w:rPr>
              <w:t>Instytucje pomocy społecznej, w tym:</w:t>
            </w:r>
          </w:p>
        </w:tc>
        <w:tc>
          <w:tcPr>
            <w:tcW w:w="3066" w:type="dxa"/>
          </w:tcPr>
          <w:p w14:paraId="63D82DF4" w14:textId="77777777" w:rsidR="00397459" w:rsidRPr="00087470" w:rsidRDefault="00397459" w:rsidP="005E07E1">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87470">
              <w:rPr>
                <w:b/>
                <w:sz w:val="20"/>
                <w:szCs w:val="20"/>
              </w:rPr>
              <w:t>Rodzaj placówki</w:t>
            </w:r>
          </w:p>
        </w:tc>
        <w:tc>
          <w:tcPr>
            <w:tcW w:w="2948" w:type="dxa"/>
            <w:gridSpan w:val="2"/>
          </w:tcPr>
          <w:p w14:paraId="7767DD7A" w14:textId="77777777" w:rsidR="00397459" w:rsidRPr="00087470" w:rsidRDefault="00397459" w:rsidP="005E07E1">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87470">
              <w:rPr>
                <w:b/>
                <w:sz w:val="20"/>
                <w:szCs w:val="20"/>
              </w:rPr>
              <w:t>Liczba placówek</w:t>
            </w:r>
          </w:p>
        </w:tc>
        <w:tc>
          <w:tcPr>
            <w:tcW w:w="2948" w:type="dxa"/>
            <w:gridSpan w:val="2"/>
          </w:tcPr>
          <w:p w14:paraId="66A88A7A" w14:textId="77777777" w:rsidR="00397459" w:rsidRPr="00087470" w:rsidRDefault="00397459" w:rsidP="005E07E1">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87470">
              <w:rPr>
                <w:b/>
                <w:sz w:val="20"/>
                <w:szCs w:val="20"/>
              </w:rPr>
              <w:t>Liczba miejsc dla osób starszych</w:t>
            </w:r>
          </w:p>
        </w:tc>
        <w:tc>
          <w:tcPr>
            <w:tcW w:w="2949" w:type="dxa"/>
          </w:tcPr>
          <w:p w14:paraId="6AD55F95" w14:textId="77777777" w:rsidR="00397459" w:rsidRPr="00087470" w:rsidRDefault="00397459" w:rsidP="005E07E1">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087470">
              <w:rPr>
                <w:b/>
                <w:sz w:val="20"/>
                <w:szCs w:val="20"/>
              </w:rPr>
              <w:t>Liczba korzystających osób starszych</w:t>
            </w:r>
          </w:p>
        </w:tc>
      </w:tr>
      <w:tr w:rsidR="009F568A" w:rsidRPr="0092226B" w14:paraId="00F9067B" w14:textId="77777777" w:rsidTr="009F568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5814452" w14:textId="77777777" w:rsidR="009F568A" w:rsidRPr="00087470" w:rsidRDefault="009F568A" w:rsidP="009F568A">
            <w:pPr>
              <w:spacing w:line="240" w:lineRule="auto"/>
              <w:rPr>
                <w:rFonts w:eastAsia="Times New Roman"/>
                <w:color w:val="auto"/>
                <w:sz w:val="20"/>
                <w:szCs w:val="20"/>
                <w:lang w:eastAsia="pl-PL"/>
              </w:rPr>
            </w:pPr>
          </w:p>
        </w:tc>
        <w:tc>
          <w:tcPr>
            <w:tcW w:w="3066" w:type="dxa"/>
          </w:tcPr>
          <w:p w14:paraId="4B26BF20" w14:textId="77777777" w:rsidR="009F568A" w:rsidRPr="00087470" w:rsidRDefault="009F568A" w:rsidP="009F568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Środowiskowe Domy Samopomocy</w:t>
            </w:r>
          </w:p>
        </w:tc>
        <w:tc>
          <w:tcPr>
            <w:tcW w:w="2948" w:type="dxa"/>
            <w:gridSpan w:val="2"/>
          </w:tcPr>
          <w:p w14:paraId="287F1774" w14:textId="530FAD03"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34</w:t>
            </w:r>
          </w:p>
        </w:tc>
        <w:tc>
          <w:tcPr>
            <w:tcW w:w="2948" w:type="dxa"/>
            <w:gridSpan w:val="2"/>
          </w:tcPr>
          <w:p w14:paraId="2EB3750A" w14:textId="477FB42C"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994</w:t>
            </w:r>
          </w:p>
        </w:tc>
        <w:tc>
          <w:tcPr>
            <w:tcW w:w="2949" w:type="dxa"/>
          </w:tcPr>
          <w:p w14:paraId="359DC771" w14:textId="0CA36063"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1 040</w:t>
            </w:r>
          </w:p>
        </w:tc>
      </w:tr>
      <w:tr w:rsidR="009F568A" w:rsidRPr="0092226B" w14:paraId="16291D18" w14:textId="77777777" w:rsidTr="009F568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C7A5AA6" w14:textId="77777777" w:rsidR="009F568A" w:rsidRPr="00087470" w:rsidRDefault="009F568A" w:rsidP="009F568A">
            <w:pPr>
              <w:spacing w:line="240" w:lineRule="auto"/>
              <w:rPr>
                <w:rFonts w:eastAsia="Times New Roman"/>
                <w:color w:val="auto"/>
                <w:sz w:val="20"/>
                <w:szCs w:val="20"/>
                <w:lang w:eastAsia="pl-PL"/>
              </w:rPr>
            </w:pPr>
          </w:p>
        </w:tc>
        <w:tc>
          <w:tcPr>
            <w:tcW w:w="3066" w:type="dxa"/>
          </w:tcPr>
          <w:p w14:paraId="2CF47477" w14:textId="77777777" w:rsidR="009F568A" w:rsidRPr="00087470" w:rsidRDefault="009F568A" w:rsidP="009F568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Dzienne Domy Pomocy</w:t>
            </w:r>
          </w:p>
        </w:tc>
        <w:tc>
          <w:tcPr>
            <w:tcW w:w="2948" w:type="dxa"/>
            <w:gridSpan w:val="2"/>
          </w:tcPr>
          <w:p w14:paraId="3924B64C" w14:textId="341F4B49"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8</w:t>
            </w:r>
          </w:p>
        </w:tc>
        <w:tc>
          <w:tcPr>
            <w:tcW w:w="2948" w:type="dxa"/>
            <w:gridSpan w:val="2"/>
          </w:tcPr>
          <w:p w14:paraId="50725CDF" w14:textId="746CF9F5"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165</w:t>
            </w:r>
          </w:p>
        </w:tc>
        <w:tc>
          <w:tcPr>
            <w:tcW w:w="2949" w:type="dxa"/>
          </w:tcPr>
          <w:p w14:paraId="4E61B9FE" w14:textId="7EAAA1EA"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175</w:t>
            </w:r>
          </w:p>
        </w:tc>
      </w:tr>
      <w:tr w:rsidR="009F568A" w:rsidRPr="0092226B" w14:paraId="09FF5DE9" w14:textId="77777777" w:rsidTr="009F568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24DD0B3" w14:textId="77777777" w:rsidR="009F568A" w:rsidRPr="00087470" w:rsidRDefault="009F568A" w:rsidP="009F568A">
            <w:pPr>
              <w:spacing w:line="240" w:lineRule="auto"/>
              <w:rPr>
                <w:rFonts w:eastAsia="Times New Roman"/>
                <w:color w:val="auto"/>
                <w:sz w:val="20"/>
                <w:szCs w:val="20"/>
                <w:lang w:eastAsia="pl-PL"/>
              </w:rPr>
            </w:pPr>
          </w:p>
        </w:tc>
        <w:tc>
          <w:tcPr>
            <w:tcW w:w="3066" w:type="dxa"/>
          </w:tcPr>
          <w:p w14:paraId="3E4C3899" w14:textId="77777777" w:rsidR="009F568A" w:rsidRPr="00087470" w:rsidRDefault="009F568A" w:rsidP="009F568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Noclegownie, schroniska i domy dla osób bezdomnych</w:t>
            </w:r>
          </w:p>
        </w:tc>
        <w:tc>
          <w:tcPr>
            <w:tcW w:w="2948" w:type="dxa"/>
            <w:gridSpan w:val="2"/>
          </w:tcPr>
          <w:p w14:paraId="0D2409B2" w14:textId="2AE653C8"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12</w:t>
            </w:r>
          </w:p>
        </w:tc>
        <w:tc>
          <w:tcPr>
            <w:tcW w:w="2948" w:type="dxa"/>
            <w:gridSpan w:val="2"/>
          </w:tcPr>
          <w:p w14:paraId="3A94A969" w14:textId="78B0F492"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335</w:t>
            </w:r>
          </w:p>
        </w:tc>
        <w:tc>
          <w:tcPr>
            <w:tcW w:w="2949" w:type="dxa"/>
          </w:tcPr>
          <w:p w14:paraId="74340060" w14:textId="1386D7F3"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629</w:t>
            </w:r>
          </w:p>
        </w:tc>
      </w:tr>
      <w:tr w:rsidR="009F568A" w:rsidRPr="0092226B" w14:paraId="73DCB05A" w14:textId="77777777" w:rsidTr="009F568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4C27103" w14:textId="77777777" w:rsidR="009F568A" w:rsidRPr="00087470" w:rsidRDefault="009F568A" w:rsidP="009F568A">
            <w:pPr>
              <w:spacing w:line="240" w:lineRule="auto"/>
              <w:rPr>
                <w:rFonts w:eastAsia="Times New Roman"/>
                <w:color w:val="auto"/>
                <w:sz w:val="20"/>
                <w:szCs w:val="20"/>
                <w:lang w:eastAsia="pl-PL"/>
              </w:rPr>
            </w:pPr>
          </w:p>
        </w:tc>
        <w:tc>
          <w:tcPr>
            <w:tcW w:w="3066" w:type="dxa"/>
          </w:tcPr>
          <w:p w14:paraId="527650DD" w14:textId="77777777" w:rsidR="009F568A" w:rsidRPr="00087470" w:rsidRDefault="009F568A" w:rsidP="009F568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Ogrzewalnie</w:t>
            </w:r>
          </w:p>
        </w:tc>
        <w:tc>
          <w:tcPr>
            <w:tcW w:w="2948" w:type="dxa"/>
            <w:gridSpan w:val="2"/>
          </w:tcPr>
          <w:p w14:paraId="200900C9" w14:textId="14784CCB"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6</w:t>
            </w:r>
          </w:p>
        </w:tc>
        <w:tc>
          <w:tcPr>
            <w:tcW w:w="2948" w:type="dxa"/>
            <w:gridSpan w:val="2"/>
          </w:tcPr>
          <w:p w14:paraId="146FD1F9" w14:textId="768A6FA5"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75</w:t>
            </w:r>
          </w:p>
        </w:tc>
        <w:tc>
          <w:tcPr>
            <w:tcW w:w="2949" w:type="dxa"/>
          </w:tcPr>
          <w:p w14:paraId="20D704B7" w14:textId="26581506"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135</w:t>
            </w:r>
          </w:p>
        </w:tc>
      </w:tr>
      <w:tr w:rsidR="009F568A" w:rsidRPr="0092226B" w14:paraId="10832D49" w14:textId="77777777" w:rsidTr="009F568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4665EA9" w14:textId="77777777" w:rsidR="009F568A" w:rsidRPr="00087470" w:rsidRDefault="009F568A" w:rsidP="009F568A">
            <w:pPr>
              <w:spacing w:line="240" w:lineRule="auto"/>
              <w:rPr>
                <w:rFonts w:eastAsia="Times New Roman"/>
                <w:color w:val="auto"/>
                <w:sz w:val="20"/>
                <w:szCs w:val="20"/>
                <w:lang w:eastAsia="pl-PL"/>
              </w:rPr>
            </w:pPr>
          </w:p>
        </w:tc>
        <w:tc>
          <w:tcPr>
            <w:tcW w:w="3066" w:type="dxa"/>
          </w:tcPr>
          <w:p w14:paraId="164A5DE0" w14:textId="77777777" w:rsidR="009F568A" w:rsidRPr="00087470" w:rsidRDefault="009F568A" w:rsidP="009F568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Kluby Samopomocy</w:t>
            </w:r>
          </w:p>
        </w:tc>
        <w:tc>
          <w:tcPr>
            <w:tcW w:w="2948" w:type="dxa"/>
            <w:gridSpan w:val="2"/>
          </w:tcPr>
          <w:p w14:paraId="3E00242E" w14:textId="454484DD"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0</w:t>
            </w:r>
          </w:p>
        </w:tc>
        <w:tc>
          <w:tcPr>
            <w:tcW w:w="2948" w:type="dxa"/>
            <w:gridSpan w:val="2"/>
          </w:tcPr>
          <w:p w14:paraId="2678CF54" w14:textId="3F5ED59F"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0</w:t>
            </w:r>
          </w:p>
        </w:tc>
        <w:tc>
          <w:tcPr>
            <w:tcW w:w="2949" w:type="dxa"/>
          </w:tcPr>
          <w:p w14:paraId="03B6A276" w14:textId="16121BB1"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0</w:t>
            </w:r>
          </w:p>
        </w:tc>
      </w:tr>
      <w:tr w:rsidR="009F568A" w:rsidRPr="0092226B" w14:paraId="401E4D89" w14:textId="77777777" w:rsidTr="009F568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36D07A3" w14:textId="77777777" w:rsidR="009F568A" w:rsidRPr="00087470" w:rsidRDefault="009F568A" w:rsidP="009F568A">
            <w:pPr>
              <w:spacing w:line="240" w:lineRule="auto"/>
              <w:rPr>
                <w:rFonts w:eastAsia="Times New Roman"/>
                <w:color w:val="auto"/>
                <w:sz w:val="20"/>
                <w:szCs w:val="20"/>
                <w:lang w:eastAsia="pl-PL"/>
              </w:rPr>
            </w:pPr>
          </w:p>
        </w:tc>
        <w:tc>
          <w:tcPr>
            <w:tcW w:w="3066" w:type="dxa"/>
          </w:tcPr>
          <w:p w14:paraId="58CAC1F1" w14:textId="77777777" w:rsidR="009F568A" w:rsidRPr="00087470" w:rsidRDefault="009F568A" w:rsidP="009F568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Placówki zapewniające całodobową opiekę osobom niepełnosprawnym, przewlekle chorym lub osobom w podeszłym wieku</w:t>
            </w:r>
          </w:p>
        </w:tc>
        <w:tc>
          <w:tcPr>
            <w:tcW w:w="2948" w:type="dxa"/>
            <w:gridSpan w:val="2"/>
          </w:tcPr>
          <w:p w14:paraId="757F308F" w14:textId="25A42253"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9</w:t>
            </w:r>
          </w:p>
        </w:tc>
        <w:tc>
          <w:tcPr>
            <w:tcW w:w="2948" w:type="dxa"/>
            <w:gridSpan w:val="2"/>
          </w:tcPr>
          <w:p w14:paraId="2B76E160" w14:textId="49BBC0C7"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234</w:t>
            </w:r>
          </w:p>
        </w:tc>
        <w:tc>
          <w:tcPr>
            <w:tcW w:w="2949" w:type="dxa"/>
          </w:tcPr>
          <w:p w14:paraId="0AB0EA6F" w14:textId="10B1611D"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188</w:t>
            </w:r>
          </w:p>
        </w:tc>
      </w:tr>
      <w:tr w:rsidR="009F568A" w:rsidRPr="0092226B" w14:paraId="31866192" w14:textId="77777777" w:rsidTr="009F568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59156DC" w14:textId="77777777" w:rsidR="009F568A" w:rsidRPr="00087470" w:rsidRDefault="009F568A" w:rsidP="009F568A">
            <w:pPr>
              <w:spacing w:line="240" w:lineRule="auto"/>
              <w:rPr>
                <w:rFonts w:eastAsia="Times New Roman"/>
                <w:color w:val="auto"/>
                <w:sz w:val="20"/>
                <w:szCs w:val="20"/>
                <w:lang w:eastAsia="pl-PL"/>
              </w:rPr>
            </w:pPr>
          </w:p>
        </w:tc>
        <w:tc>
          <w:tcPr>
            <w:tcW w:w="3066" w:type="dxa"/>
          </w:tcPr>
          <w:p w14:paraId="13BE2AD0" w14:textId="77777777" w:rsidR="009F568A" w:rsidRPr="00087470" w:rsidRDefault="009F568A" w:rsidP="009F568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Domy Pomocy Społecznej</w:t>
            </w:r>
          </w:p>
        </w:tc>
        <w:tc>
          <w:tcPr>
            <w:tcW w:w="2948" w:type="dxa"/>
            <w:gridSpan w:val="2"/>
          </w:tcPr>
          <w:p w14:paraId="017D2ED4" w14:textId="665ECFF8"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23</w:t>
            </w:r>
          </w:p>
        </w:tc>
        <w:tc>
          <w:tcPr>
            <w:tcW w:w="2948" w:type="dxa"/>
            <w:gridSpan w:val="2"/>
          </w:tcPr>
          <w:p w14:paraId="3A7A3682" w14:textId="39EBB6AB"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2 337</w:t>
            </w:r>
          </w:p>
        </w:tc>
        <w:tc>
          <w:tcPr>
            <w:tcW w:w="2949" w:type="dxa"/>
          </w:tcPr>
          <w:p w14:paraId="7D89FB9B" w14:textId="768ED5AD"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2 506</w:t>
            </w:r>
          </w:p>
        </w:tc>
      </w:tr>
      <w:tr w:rsidR="009F568A" w:rsidRPr="0092226B" w14:paraId="3E913850" w14:textId="77777777" w:rsidTr="009F568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B59E60C" w14:textId="77777777" w:rsidR="009F568A" w:rsidRPr="00087470" w:rsidRDefault="009F568A" w:rsidP="009F568A">
            <w:pPr>
              <w:spacing w:line="240" w:lineRule="auto"/>
              <w:rPr>
                <w:rFonts w:eastAsia="Times New Roman"/>
                <w:color w:val="auto"/>
                <w:sz w:val="20"/>
                <w:szCs w:val="20"/>
                <w:lang w:eastAsia="pl-PL"/>
              </w:rPr>
            </w:pPr>
          </w:p>
        </w:tc>
        <w:tc>
          <w:tcPr>
            <w:tcW w:w="3066" w:type="dxa"/>
          </w:tcPr>
          <w:p w14:paraId="12DB2331" w14:textId="77777777" w:rsidR="009F568A" w:rsidRPr="00087470" w:rsidRDefault="009F568A" w:rsidP="009F568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Mieszkania chronione ogółem</w:t>
            </w:r>
          </w:p>
        </w:tc>
        <w:tc>
          <w:tcPr>
            <w:tcW w:w="2948" w:type="dxa"/>
            <w:gridSpan w:val="2"/>
          </w:tcPr>
          <w:p w14:paraId="7BE1D78E" w14:textId="31CD313B"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49</w:t>
            </w:r>
          </w:p>
        </w:tc>
        <w:tc>
          <w:tcPr>
            <w:tcW w:w="2948" w:type="dxa"/>
            <w:gridSpan w:val="2"/>
          </w:tcPr>
          <w:p w14:paraId="22174ABD" w14:textId="50F7300F"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123</w:t>
            </w:r>
          </w:p>
        </w:tc>
        <w:tc>
          <w:tcPr>
            <w:tcW w:w="2949" w:type="dxa"/>
          </w:tcPr>
          <w:p w14:paraId="729AFAB7" w14:textId="0CA69AE1"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91</w:t>
            </w:r>
          </w:p>
        </w:tc>
      </w:tr>
      <w:tr w:rsidR="009F568A" w:rsidRPr="0092226B" w14:paraId="02C41006" w14:textId="77777777" w:rsidTr="009F568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42A3C63" w14:textId="77777777" w:rsidR="009F568A" w:rsidRPr="00087470" w:rsidRDefault="009F568A" w:rsidP="009F568A">
            <w:pPr>
              <w:spacing w:line="240" w:lineRule="auto"/>
              <w:rPr>
                <w:rFonts w:eastAsia="Times New Roman"/>
                <w:color w:val="auto"/>
                <w:sz w:val="20"/>
                <w:szCs w:val="20"/>
                <w:lang w:eastAsia="pl-PL"/>
              </w:rPr>
            </w:pPr>
          </w:p>
        </w:tc>
        <w:tc>
          <w:tcPr>
            <w:tcW w:w="3066" w:type="dxa"/>
          </w:tcPr>
          <w:p w14:paraId="435B8E50" w14:textId="77777777" w:rsidR="009F568A" w:rsidRPr="00087470" w:rsidRDefault="009F568A" w:rsidP="009F568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Ośrodki Interwencji Kryzysowej ogółem</w:t>
            </w:r>
          </w:p>
        </w:tc>
        <w:tc>
          <w:tcPr>
            <w:tcW w:w="2948" w:type="dxa"/>
            <w:gridSpan w:val="2"/>
          </w:tcPr>
          <w:p w14:paraId="2A6F5F91" w14:textId="33A27529"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7</w:t>
            </w:r>
          </w:p>
        </w:tc>
        <w:tc>
          <w:tcPr>
            <w:tcW w:w="2948" w:type="dxa"/>
            <w:gridSpan w:val="2"/>
          </w:tcPr>
          <w:p w14:paraId="0DB2029D" w14:textId="2C8DEBB3" w:rsidR="009F568A" w:rsidRPr="00087470" w:rsidRDefault="00087470"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w:t>
            </w:r>
          </w:p>
        </w:tc>
        <w:tc>
          <w:tcPr>
            <w:tcW w:w="2949" w:type="dxa"/>
          </w:tcPr>
          <w:p w14:paraId="011AF8B6" w14:textId="35EE039A"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1 956</w:t>
            </w:r>
          </w:p>
        </w:tc>
      </w:tr>
      <w:tr w:rsidR="009F568A" w:rsidRPr="0092226B" w14:paraId="311E79B6" w14:textId="77777777" w:rsidTr="009F568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6A7689C" w14:textId="77777777" w:rsidR="009F568A" w:rsidRPr="00087470" w:rsidRDefault="009F568A" w:rsidP="009F568A">
            <w:pPr>
              <w:spacing w:line="240" w:lineRule="auto"/>
              <w:rPr>
                <w:rFonts w:eastAsia="Times New Roman"/>
                <w:color w:val="auto"/>
                <w:sz w:val="20"/>
                <w:szCs w:val="20"/>
                <w:lang w:eastAsia="pl-PL"/>
              </w:rPr>
            </w:pPr>
          </w:p>
        </w:tc>
        <w:tc>
          <w:tcPr>
            <w:tcW w:w="3066" w:type="dxa"/>
          </w:tcPr>
          <w:p w14:paraId="4F64F103" w14:textId="77777777" w:rsidR="009F568A" w:rsidRPr="00087470" w:rsidRDefault="009F568A" w:rsidP="009F568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Jednostki specjalistycznego poradnictwa</w:t>
            </w:r>
          </w:p>
        </w:tc>
        <w:tc>
          <w:tcPr>
            <w:tcW w:w="2948" w:type="dxa"/>
            <w:gridSpan w:val="2"/>
          </w:tcPr>
          <w:p w14:paraId="6E7EE47E" w14:textId="16194BC0"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18</w:t>
            </w:r>
          </w:p>
        </w:tc>
        <w:tc>
          <w:tcPr>
            <w:tcW w:w="2948" w:type="dxa"/>
            <w:gridSpan w:val="2"/>
          </w:tcPr>
          <w:p w14:paraId="15109EE7" w14:textId="5B933C9A" w:rsidR="009F568A" w:rsidRPr="00087470" w:rsidRDefault="00087470"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w:t>
            </w:r>
          </w:p>
        </w:tc>
        <w:tc>
          <w:tcPr>
            <w:tcW w:w="2949" w:type="dxa"/>
          </w:tcPr>
          <w:p w14:paraId="39ACB166" w14:textId="54E81157"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6 835</w:t>
            </w:r>
          </w:p>
        </w:tc>
      </w:tr>
      <w:tr w:rsidR="009F568A" w:rsidRPr="0092226B" w14:paraId="12380A86" w14:textId="77777777" w:rsidTr="009F568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EA82657" w14:textId="77777777" w:rsidR="009F568A" w:rsidRPr="00087470" w:rsidRDefault="009F568A" w:rsidP="00B337AF">
            <w:pPr>
              <w:spacing w:line="240" w:lineRule="auto"/>
              <w:rPr>
                <w:rFonts w:eastAsia="Times New Roman"/>
                <w:sz w:val="20"/>
                <w:szCs w:val="20"/>
                <w:lang w:eastAsia="pl-PL"/>
              </w:rPr>
            </w:pPr>
          </w:p>
        </w:tc>
        <w:tc>
          <w:tcPr>
            <w:tcW w:w="3066" w:type="dxa"/>
          </w:tcPr>
          <w:p w14:paraId="33D3ACBA" w14:textId="71996D1F" w:rsidR="009F568A" w:rsidRPr="00087470" w:rsidRDefault="009F568A" w:rsidP="00B337A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Placówki wsparcia dziennego</w:t>
            </w:r>
          </w:p>
        </w:tc>
        <w:tc>
          <w:tcPr>
            <w:tcW w:w="2948" w:type="dxa"/>
            <w:gridSpan w:val="2"/>
          </w:tcPr>
          <w:p w14:paraId="5A961C3B" w14:textId="77777777" w:rsidR="009F568A" w:rsidRPr="00087470" w:rsidRDefault="009F568A" w:rsidP="005E07E1">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948" w:type="dxa"/>
            <w:gridSpan w:val="2"/>
          </w:tcPr>
          <w:p w14:paraId="4BC5FA45" w14:textId="77777777" w:rsidR="009F568A" w:rsidRPr="00087470" w:rsidRDefault="009F568A" w:rsidP="005E07E1">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949" w:type="dxa"/>
          </w:tcPr>
          <w:p w14:paraId="051F060E" w14:textId="77777777" w:rsidR="009F568A" w:rsidRPr="00087470" w:rsidRDefault="009F568A" w:rsidP="005E07E1">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92226B" w:rsidRPr="0092226B" w14:paraId="44A100FE" w14:textId="77777777" w:rsidTr="009F568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93004EB" w14:textId="77777777" w:rsidR="00397459" w:rsidRPr="00087470" w:rsidRDefault="00397459" w:rsidP="00B337AF">
            <w:pPr>
              <w:spacing w:line="240" w:lineRule="auto"/>
              <w:rPr>
                <w:rFonts w:eastAsia="Times New Roman"/>
                <w:color w:val="auto"/>
                <w:sz w:val="20"/>
                <w:szCs w:val="20"/>
                <w:lang w:eastAsia="pl-PL"/>
              </w:rPr>
            </w:pPr>
          </w:p>
        </w:tc>
        <w:tc>
          <w:tcPr>
            <w:tcW w:w="3066" w:type="dxa"/>
          </w:tcPr>
          <w:p w14:paraId="4239A85A" w14:textId="77777777" w:rsidR="00397459" w:rsidRPr="00087470" w:rsidRDefault="00397459" w:rsidP="00B337A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Placówki Senior+, w tym:</w:t>
            </w:r>
          </w:p>
        </w:tc>
        <w:tc>
          <w:tcPr>
            <w:tcW w:w="8845" w:type="dxa"/>
            <w:gridSpan w:val="5"/>
          </w:tcPr>
          <w:p w14:paraId="38FC5DA3" w14:textId="77777777" w:rsidR="00397459" w:rsidRPr="00087470" w:rsidRDefault="00397459" w:rsidP="00B337A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C2933" w:rsidRPr="0092226B" w14:paraId="18941A92" w14:textId="77777777" w:rsidTr="009C293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FAFF4C0" w14:textId="77777777" w:rsidR="009C2933" w:rsidRPr="00087470" w:rsidRDefault="009C2933" w:rsidP="009F568A">
            <w:pPr>
              <w:spacing w:line="240" w:lineRule="auto"/>
              <w:rPr>
                <w:rFonts w:eastAsia="Times New Roman"/>
                <w:color w:val="auto"/>
                <w:sz w:val="20"/>
                <w:szCs w:val="20"/>
                <w:lang w:eastAsia="pl-PL"/>
              </w:rPr>
            </w:pPr>
          </w:p>
        </w:tc>
        <w:tc>
          <w:tcPr>
            <w:tcW w:w="3066" w:type="dxa"/>
          </w:tcPr>
          <w:p w14:paraId="4C4D59D8" w14:textId="77777777" w:rsidR="009C2933" w:rsidRPr="00087470" w:rsidRDefault="009C2933" w:rsidP="009F568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Domy Dziennego Pobytu</w:t>
            </w:r>
          </w:p>
        </w:tc>
        <w:tc>
          <w:tcPr>
            <w:tcW w:w="2948" w:type="dxa"/>
            <w:gridSpan w:val="2"/>
          </w:tcPr>
          <w:p w14:paraId="4E7C831E" w14:textId="42508A88" w:rsidR="009C2933" w:rsidRPr="00087470" w:rsidRDefault="009C2933"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14</w:t>
            </w:r>
          </w:p>
        </w:tc>
        <w:tc>
          <w:tcPr>
            <w:tcW w:w="2948" w:type="dxa"/>
            <w:gridSpan w:val="2"/>
          </w:tcPr>
          <w:p w14:paraId="19BEF2F6" w14:textId="1097538A" w:rsidR="009C2933" w:rsidRPr="00087470" w:rsidRDefault="009C2933"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338</w:t>
            </w:r>
          </w:p>
        </w:tc>
        <w:tc>
          <w:tcPr>
            <w:tcW w:w="2949" w:type="dxa"/>
            <w:vMerge w:val="restart"/>
            <w:vAlign w:val="center"/>
          </w:tcPr>
          <w:p w14:paraId="4D7B91C5" w14:textId="7F296ECB" w:rsidR="009C2933" w:rsidRPr="00087470" w:rsidRDefault="009C2933" w:rsidP="008470A9">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1 024</w:t>
            </w:r>
          </w:p>
        </w:tc>
      </w:tr>
      <w:tr w:rsidR="009C2933" w:rsidRPr="0092226B" w14:paraId="0CB69B99" w14:textId="77777777" w:rsidTr="009C2933">
        <w:trPr>
          <w:trHeight w:val="85"/>
        </w:trPr>
        <w:tc>
          <w:tcPr>
            <w:cnfStyle w:val="001000000000" w:firstRow="0" w:lastRow="0" w:firstColumn="1" w:lastColumn="0" w:oddVBand="0" w:evenVBand="0" w:oddHBand="0" w:evenHBand="0" w:firstRowFirstColumn="0" w:firstRowLastColumn="0" w:lastRowFirstColumn="0" w:lastRowLastColumn="0"/>
            <w:tcW w:w="2830" w:type="dxa"/>
            <w:vMerge/>
          </w:tcPr>
          <w:p w14:paraId="04CC0B04" w14:textId="77777777" w:rsidR="009C2933" w:rsidRPr="00087470" w:rsidRDefault="009C2933" w:rsidP="009F568A">
            <w:pPr>
              <w:spacing w:line="240" w:lineRule="auto"/>
              <w:rPr>
                <w:rFonts w:eastAsia="Times New Roman"/>
                <w:color w:val="auto"/>
                <w:sz w:val="20"/>
                <w:szCs w:val="20"/>
                <w:lang w:eastAsia="pl-PL"/>
              </w:rPr>
            </w:pPr>
          </w:p>
        </w:tc>
        <w:tc>
          <w:tcPr>
            <w:tcW w:w="3066" w:type="dxa"/>
          </w:tcPr>
          <w:p w14:paraId="22CF3FDE" w14:textId="77777777" w:rsidR="009C2933" w:rsidRPr="00087470" w:rsidRDefault="009C2933" w:rsidP="009F568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Kluby Senior+</w:t>
            </w:r>
          </w:p>
        </w:tc>
        <w:tc>
          <w:tcPr>
            <w:tcW w:w="2948" w:type="dxa"/>
            <w:gridSpan w:val="2"/>
          </w:tcPr>
          <w:p w14:paraId="03D1EFF5" w14:textId="0B1F9190" w:rsidR="009C2933" w:rsidRPr="00087470" w:rsidRDefault="009C2933"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27</w:t>
            </w:r>
          </w:p>
        </w:tc>
        <w:tc>
          <w:tcPr>
            <w:tcW w:w="2948" w:type="dxa"/>
            <w:gridSpan w:val="2"/>
          </w:tcPr>
          <w:p w14:paraId="27EF4859" w14:textId="5CEE903F" w:rsidR="009C2933" w:rsidRPr="00087470" w:rsidRDefault="009C2933"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585</w:t>
            </w:r>
          </w:p>
        </w:tc>
        <w:tc>
          <w:tcPr>
            <w:tcW w:w="2949" w:type="dxa"/>
            <w:vMerge/>
            <w:vAlign w:val="center"/>
          </w:tcPr>
          <w:p w14:paraId="21B7369B" w14:textId="1251B986" w:rsidR="009C2933" w:rsidRPr="00087470" w:rsidRDefault="009C2933" w:rsidP="009C293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92226B" w:rsidRPr="0092226B" w14:paraId="4F33385D" w14:textId="77777777" w:rsidTr="009F568A">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2D7832AC" w14:textId="77777777" w:rsidR="00397459" w:rsidRPr="00087470" w:rsidRDefault="00397459" w:rsidP="00B337AF">
            <w:pPr>
              <w:spacing w:line="240" w:lineRule="auto"/>
              <w:rPr>
                <w:rFonts w:eastAsia="Times New Roman"/>
                <w:b w:val="0"/>
                <w:bCs w:val="0"/>
                <w:color w:val="auto"/>
                <w:sz w:val="20"/>
                <w:szCs w:val="20"/>
                <w:lang w:eastAsia="pl-PL"/>
              </w:rPr>
            </w:pPr>
            <w:r w:rsidRPr="00087470">
              <w:rPr>
                <w:rFonts w:eastAsia="Times New Roman"/>
                <w:color w:val="auto"/>
                <w:sz w:val="20"/>
                <w:szCs w:val="20"/>
                <w:lang w:eastAsia="pl-PL"/>
              </w:rPr>
              <w:t>Usługi świadczone osobom starszym</w:t>
            </w:r>
          </w:p>
        </w:tc>
        <w:tc>
          <w:tcPr>
            <w:tcW w:w="3119" w:type="dxa"/>
            <w:gridSpan w:val="2"/>
          </w:tcPr>
          <w:p w14:paraId="773CAD40" w14:textId="77777777" w:rsidR="00397459" w:rsidRPr="00087470" w:rsidRDefault="00397459" w:rsidP="005E07E1">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087470">
              <w:rPr>
                <w:b/>
                <w:sz w:val="20"/>
                <w:szCs w:val="20"/>
              </w:rPr>
              <w:t>Rodzaj usług</w:t>
            </w:r>
          </w:p>
        </w:tc>
        <w:tc>
          <w:tcPr>
            <w:tcW w:w="3685" w:type="dxa"/>
            <w:gridSpan w:val="2"/>
          </w:tcPr>
          <w:p w14:paraId="6DCF5600" w14:textId="77777777" w:rsidR="00397459" w:rsidRPr="00087470" w:rsidRDefault="00397459" w:rsidP="005E07E1">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087470">
              <w:rPr>
                <w:b/>
                <w:sz w:val="20"/>
                <w:szCs w:val="20"/>
              </w:rPr>
              <w:t>Liczba osób starszych objętych pomocą</w:t>
            </w:r>
          </w:p>
        </w:tc>
        <w:tc>
          <w:tcPr>
            <w:tcW w:w="5107" w:type="dxa"/>
            <w:gridSpan w:val="2"/>
          </w:tcPr>
          <w:p w14:paraId="4623319D" w14:textId="77777777" w:rsidR="00397459" w:rsidRPr="00087470" w:rsidRDefault="00397459" w:rsidP="005E07E1">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087470">
              <w:rPr>
                <w:b/>
                <w:sz w:val="20"/>
                <w:szCs w:val="20"/>
              </w:rPr>
              <w:t>Wysokość środków przeznaczonych na usługi</w:t>
            </w:r>
          </w:p>
        </w:tc>
      </w:tr>
      <w:tr w:rsidR="0092226B" w:rsidRPr="0092226B" w14:paraId="59E0EE2C" w14:textId="77777777" w:rsidTr="009F568A">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7B0629F0" w14:textId="77777777" w:rsidR="00397459" w:rsidRPr="00087470" w:rsidRDefault="00397459" w:rsidP="00B337AF">
            <w:pPr>
              <w:spacing w:line="240" w:lineRule="auto"/>
              <w:rPr>
                <w:rFonts w:eastAsia="Times New Roman"/>
                <w:b w:val="0"/>
                <w:bCs w:val="0"/>
                <w:color w:val="auto"/>
                <w:sz w:val="20"/>
                <w:szCs w:val="20"/>
                <w:lang w:eastAsia="pl-PL"/>
              </w:rPr>
            </w:pPr>
          </w:p>
        </w:tc>
        <w:tc>
          <w:tcPr>
            <w:tcW w:w="3119" w:type="dxa"/>
            <w:gridSpan w:val="2"/>
          </w:tcPr>
          <w:p w14:paraId="3683DA71" w14:textId="77777777" w:rsidR="00397459" w:rsidRPr="00087470" w:rsidRDefault="002C4A06" w:rsidP="00B337A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Usługi o</w:t>
            </w:r>
            <w:r w:rsidR="00397459" w:rsidRPr="00087470">
              <w:rPr>
                <w:sz w:val="20"/>
                <w:szCs w:val="20"/>
              </w:rPr>
              <w:t>piekuńcze ogółem</w:t>
            </w:r>
          </w:p>
        </w:tc>
        <w:tc>
          <w:tcPr>
            <w:tcW w:w="3685" w:type="dxa"/>
            <w:gridSpan w:val="2"/>
          </w:tcPr>
          <w:p w14:paraId="7B5FFD6F" w14:textId="77777777" w:rsidR="00397459" w:rsidRPr="00087470" w:rsidRDefault="00397459" w:rsidP="005E07E1">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rFonts w:eastAsia="Times New Roman"/>
                <w:sz w:val="20"/>
                <w:szCs w:val="20"/>
                <w:lang w:eastAsia="pl-PL"/>
              </w:rPr>
              <w:t>3 081</w:t>
            </w:r>
          </w:p>
        </w:tc>
        <w:tc>
          <w:tcPr>
            <w:tcW w:w="5107" w:type="dxa"/>
            <w:gridSpan w:val="2"/>
          </w:tcPr>
          <w:p w14:paraId="2C8A8A1B" w14:textId="4ED85BEB" w:rsidR="00397459" w:rsidRPr="00087470" w:rsidRDefault="00397459" w:rsidP="005E07E1">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rFonts w:eastAsia="Times New Roman"/>
                <w:sz w:val="20"/>
                <w:szCs w:val="20"/>
                <w:lang w:eastAsia="pl-PL"/>
              </w:rPr>
              <w:t>16 865 286,06</w:t>
            </w:r>
            <w:r w:rsidR="00087470" w:rsidRPr="00087470">
              <w:rPr>
                <w:rFonts w:eastAsia="Times New Roman"/>
                <w:sz w:val="20"/>
                <w:szCs w:val="20"/>
                <w:lang w:eastAsia="pl-PL"/>
              </w:rPr>
              <w:t xml:space="preserve"> zł</w:t>
            </w:r>
          </w:p>
        </w:tc>
      </w:tr>
      <w:tr w:rsidR="0092226B" w:rsidRPr="0092226B" w14:paraId="1A038CE8" w14:textId="77777777" w:rsidTr="009F568A">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251DE8F3" w14:textId="77777777" w:rsidR="005E07E1" w:rsidRPr="00087470" w:rsidRDefault="005E07E1" w:rsidP="00B337AF">
            <w:pPr>
              <w:spacing w:line="240" w:lineRule="auto"/>
              <w:rPr>
                <w:rFonts w:eastAsia="Times New Roman"/>
                <w:b w:val="0"/>
                <w:bCs w:val="0"/>
                <w:color w:val="auto"/>
                <w:sz w:val="20"/>
                <w:szCs w:val="20"/>
                <w:lang w:eastAsia="pl-PL"/>
              </w:rPr>
            </w:pPr>
          </w:p>
        </w:tc>
        <w:tc>
          <w:tcPr>
            <w:tcW w:w="11911" w:type="dxa"/>
            <w:gridSpan w:val="6"/>
          </w:tcPr>
          <w:p w14:paraId="077E7963" w14:textId="77777777" w:rsidR="005E07E1" w:rsidRPr="00087470" w:rsidRDefault="005E07E1" w:rsidP="00B337A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b/>
                <w:sz w:val="20"/>
                <w:szCs w:val="20"/>
              </w:rPr>
              <w:t>w tym:</w:t>
            </w:r>
          </w:p>
        </w:tc>
      </w:tr>
      <w:tr w:rsidR="009F568A" w:rsidRPr="0092226B" w14:paraId="3A597090" w14:textId="77777777" w:rsidTr="009F568A">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15414DC4" w14:textId="77777777" w:rsidR="009F568A" w:rsidRPr="00087470" w:rsidRDefault="009F568A" w:rsidP="009F568A">
            <w:pPr>
              <w:spacing w:line="240" w:lineRule="auto"/>
              <w:rPr>
                <w:rFonts w:eastAsia="Times New Roman"/>
                <w:b w:val="0"/>
                <w:bCs w:val="0"/>
                <w:color w:val="auto"/>
                <w:sz w:val="20"/>
                <w:szCs w:val="20"/>
                <w:lang w:eastAsia="pl-PL"/>
              </w:rPr>
            </w:pPr>
          </w:p>
        </w:tc>
        <w:tc>
          <w:tcPr>
            <w:tcW w:w="3119" w:type="dxa"/>
            <w:gridSpan w:val="2"/>
          </w:tcPr>
          <w:p w14:paraId="05511580" w14:textId="77777777" w:rsidR="009F568A" w:rsidRPr="00087470" w:rsidRDefault="009F568A" w:rsidP="009F568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specjalistyczne usługi opiekuńcze</w:t>
            </w:r>
          </w:p>
        </w:tc>
        <w:tc>
          <w:tcPr>
            <w:tcW w:w="3685" w:type="dxa"/>
            <w:gridSpan w:val="2"/>
          </w:tcPr>
          <w:p w14:paraId="12B272F2" w14:textId="6BAA89DB"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14</w:t>
            </w:r>
          </w:p>
        </w:tc>
        <w:tc>
          <w:tcPr>
            <w:tcW w:w="5107" w:type="dxa"/>
            <w:gridSpan w:val="2"/>
          </w:tcPr>
          <w:p w14:paraId="62F05E2B" w14:textId="2C26EF61"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208</w:t>
            </w:r>
            <w:r w:rsidR="00087470" w:rsidRPr="00087470">
              <w:rPr>
                <w:sz w:val="20"/>
                <w:szCs w:val="20"/>
              </w:rPr>
              <w:t xml:space="preserve"> </w:t>
            </w:r>
            <w:r w:rsidRPr="00087470">
              <w:rPr>
                <w:sz w:val="20"/>
                <w:szCs w:val="20"/>
              </w:rPr>
              <w:t>191,00</w:t>
            </w:r>
            <w:r w:rsidR="00087470" w:rsidRPr="00087470">
              <w:rPr>
                <w:sz w:val="20"/>
                <w:szCs w:val="20"/>
              </w:rPr>
              <w:t xml:space="preserve"> zł</w:t>
            </w:r>
          </w:p>
        </w:tc>
      </w:tr>
      <w:tr w:rsidR="009F568A" w:rsidRPr="0092226B" w14:paraId="4013FAEA" w14:textId="77777777" w:rsidTr="009F568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0" w:type="dxa"/>
            <w:vMerge/>
          </w:tcPr>
          <w:p w14:paraId="14400F18" w14:textId="77777777" w:rsidR="009F568A" w:rsidRPr="00087470" w:rsidRDefault="009F568A" w:rsidP="009F568A">
            <w:pPr>
              <w:spacing w:line="240" w:lineRule="auto"/>
              <w:rPr>
                <w:rFonts w:eastAsia="Times New Roman"/>
                <w:b w:val="0"/>
                <w:bCs w:val="0"/>
                <w:color w:val="auto"/>
                <w:sz w:val="20"/>
                <w:szCs w:val="20"/>
                <w:lang w:eastAsia="pl-PL"/>
              </w:rPr>
            </w:pPr>
          </w:p>
        </w:tc>
        <w:tc>
          <w:tcPr>
            <w:tcW w:w="3119" w:type="dxa"/>
            <w:gridSpan w:val="2"/>
          </w:tcPr>
          <w:p w14:paraId="788FC9D5" w14:textId="77777777" w:rsidR="009F568A" w:rsidRPr="00087470" w:rsidRDefault="009F568A" w:rsidP="009F568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specjalistyczne usługi opiekuńcze w miejscu zamieszkania dla osób z zaburzeniami psychicznymi</w:t>
            </w:r>
          </w:p>
          <w:p w14:paraId="3F3EE079" w14:textId="77777777" w:rsidR="009F568A" w:rsidRPr="00087470" w:rsidRDefault="009F568A" w:rsidP="009F568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685" w:type="dxa"/>
            <w:gridSpan w:val="2"/>
          </w:tcPr>
          <w:p w14:paraId="6A36519B" w14:textId="55FF995D"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9</w:t>
            </w:r>
          </w:p>
        </w:tc>
        <w:tc>
          <w:tcPr>
            <w:tcW w:w="5107" w:type="dxa"/>
            <w:gridSpan w:val="2"/>
          </w:tcPr>
          <w:p w14:paraId="40E5845F" w14:textId="444C4BE3"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120</w:t>
            </w:r>
            <w:r w:rsidR="00087470" w:rsidRPr="00087470">
              <w:rPr>
                <w:sz w:val="20"/>
                <w:szCs w:val="20"/>
              </w:rPr>
              <w:t xml:space="preserve"> </w:t>
            </w:r>
            <w:r w:rsidRPr="00087470">
              <w:rPr>
                <w:sz w:val="20"/>
                <w:szCs w:val="20"/>
              </w:rPr>
              <w:t>900,00</w:t>
            </w:r>
            <w:r w:rsidR="00087470" w:rsidRPr="00087470">
              <w:rPr>
                <w:sz w:val="20"/>
                <w:szCs w:val="20"/>
              </w:rPr>
              <w:t xml:space="preserve"> zł</w:t>
            </w:r>
          </w:p>
        </w:tc>
      </w:tr>
      <w:tr w:rsidR="0092226B" w:rsidRPr="0092226B" w14:paraId="0865CB9A" w14:textId="77777777" w:rsidTr="009F568A">
        <w:trPr>
          <w:trHeight w:val="19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598DCB02" w14:textId="77777777" w:rsidR="00397459" w:rsidRPr="00087470" w:rsidRDefault="00397459" w:rsidP="00B337AF">
            <w:pPr>
              <w:spacing w:line="240" w:lineRule="auto"/>
              <w:rPr>
                <w:rFonts w:eastAsia="Times New Roman"/>
                <w:b w:val="0"/>
                <w:bCs w:val="0"/>
                <w:color w:val="auto"/>
                <w:sz w:val="20"/>
                <w:szCs w:val="20"/>
                <w:lang w:eastAsia="pl-PL"/>
              </w:rPr>
            </w:pPr>
            <w:r w:rsidRPr="00087470">
              <w:rPr>
                <w:rFonts w:eastAsia="Times New Roman"/>
                <w:color w:val="auto"/>
                <w:sz w:val="20"/>
                <w:szCs w:val="20"/>
                <w:lang w:eastAsia="pl-PL"/>
              </w:rPr>
              <w:t>Świadczenia pieniężne przyznane osobom starszym</w:t>
            </w:r>
          </w:p>
        </w:tc>
        <w:tc>
          <w:tcPr>
            <w:tcW w:w="3119" w:type="dxa"/>
            <w:gridSpan w:val="2"/>
          </w:tcPr>
          <w:p w14:paraId="2FB1EA10" w14:textId="77777777" w:rsidR="00397459" w:rsidRPr="00087470" w:rsidRDefault="00397459" w:rsidP="005E07E1">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087470">
              <w:rPr>
                <w:b/>
                <w:sz w:val="20"/>
                <w:szCs w:val="20"/>
              </w:rPr>
              <w:t>Nazwa świadczenia</w:t>
            </w:r>
          </w:p>
        </w:tc>
        <w:tc>
          <w:tcPr>
            <w:tcW w:w="3685" w:type="dxa"/>
            <w:gridSpan w:val="2"/>
          </w:tcPr>
          <w:p w14:paraId="576D3596" w14:textId="77777777" w:rsidR="00397459" w:rsidRPr="00087470" w:rsidRDefault="00397459" w:rsidP="005E07E1">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087470">
              <w:rPr>
                <w:b/>
                <w:sz w:val="20"/>
                <w:szCs w:val="20"/>
              </w:rPr>
              <w:t>Liczba osób starszych</w:t>
            </w:r>
          </w:p>
        </w:tc>
        <w:tc>
          <w:tcPr>
            <w:tcW w:w="5107" w:type="dxa"/>
            <w:gridSpan w:val="2"/>
          </w:tcPr>
          <w:p w14:paraId="13ADAA2A" w14:textId="77777777" w:rsidR="00397459" w:rsidRPr="00087470" w:rsidRDefault="00397459" w:rsidP="005E07E1">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087470">
              <w:rPr>
                <w:b/>
                <w:sz w:val="20"/>
                <w:szCs w:val="20"/>
              </w:rPr>
              <w:t>Kwota świadczenia</w:t>
            </w:r>
          </w:p>
        </w:tc>
      </w:tr>
      <w:tr w:rsidR="009F568A" w:rsidRPr="0092226B" w14:paraId="1AD0385C" w14:textId="77777777" w:rsidTr="009F568A">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44408B37" w14:textId="77777777" w:rsidR="009F568A" w:rsidRPr="00087470" w:rsidRDefault="009F568A" w:rsidP="009F568A">
            <w:pPr>
              <w:spacing w:line="240" w:lineRule="auto"/>
              <w:rPr>
                <w:rFonts w:eastAsia="Times New Roman"/>
                <w:b w:val="0"/>
                <w:bCs w:val="0"/>
                <w:color w:val="auto"/>
                <w:sz w:val="20"/>
                <w:szCs w:val="20"/>
                <w:lang w:eastAsia="pl-PL"/>
              </w:rPr>
            </w:pPr>
          </w:p>
        </w:tc>
        <w:tc>
          <w:tcPr>
            <w:tcW w:w="3119" w:type="dxa"/>
            <w:gridSpan w:val="2"/>
          </w:tcPr>
          <w:p w14:paraId="7B29A6A0" w14:textId="77777777" w:rsidR="009F568A" w:rsidRPr="00087470" w:rsidRDefault="009F568A" w:rsidP="009F568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Zasiłek stały</w:t>
            </w:r>
          </w:p>
        </w:tc>
        <w:tc>
          <w:tcPr>
            <w:tcW w:w="3685" w:type="dxa"/>
            <w:gridSpan w:val="2"/>
          </w:tcPr>
          <w:p w14:paraId="07EA4CAD" w14:textId="5A8991CA"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2</w:t>
            </w:r>
            <w:r w:rsidR="00087470" w:rsidRPr="00087470">
              <w:rPr>
                <w:sz w:val="20"/>
                <w:szCs w:val="20"/>
              </w:rPr>
              <w:t xml:space="preserve"> </w:t>
            </w:r>
            <w:r w:rsidRPr="00087470">
              <w:rPr>
                <w:sz w:val="20"/>
                <w:szCs w:val="20"/>
              </w:rPr>
              <w:t>597</w:t>
            </w:r>
          </w:p>
        </w:tc>
        <w:tc>
          <w:tcPr>
            <w:tcW w:w="5107" w:type="dxa"/>
            <w:gridSpan w:val="2"/>
          </w:tcPr>
          <w:p w14:paraId="428C48C3" w14:textId="6120D117"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13</w:t>
            </w:r>
            <w:r w:rsidR="00087470" w:rsidRPr="00087470">
              <w:rPr>
                <w:sz w:val="20"/>
                <w:szCs w:val="20"/>
              </w:rPr>
              <w:t> </w:t>
            </w:r>
            <w:r w:rsidRPr="00087470">
              <w:rPr>
                <w:sz w:val="20"/>
                <w:szCs w:val="20"/>
              </w:rPr>
              <w:t>930</w:t>
            </w:r>
            <w:r w:rsidR="00087470" w:rsidRPr="00087470">
              <w:rPr>
                <w:sz w:val="20"/>
                <w:szCs w:val="20"/>
              </w:rPr>
              <w:t xml:space="preserve"> </w:t>
            </w:r>
            <w:r w:rsidRPr="00087470">
              <w:rPr>
                <w:sz w:val="20"/>
                <w:szCs w:val="20"/>
              </w:rPr>
              <w:t>610,64</w:t>
            </w:r>
            <w:r w:rsidR="00087470" w:rsidRPr="00087470">
              <w:rPr>
                <w:sz w:val="20"/>
                <w:szCs w:val="20"/>
              </w:rPr>
              <w:t xml:space="preserve"> zł</w:t>
            </w:r>
          </w:p>
        </w:tc>
      </w:tr>
      <w:tr w:rsidR="009F568A" w:rsidRPr="0092226B" w14:paraId="671ED5DC" w14:textId="77777777" w:rsidTr="009F568A">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410EDAE4" w14:textId="77777777" w:rsidR="009F568A" w:rsidRPr="00087470" w:rsidRDefault="009F568A" w:rsidP="009F568A">
            <w:pPr>
              <w:spacing w:line="240" w:lineRule="auto"/>
              <w:rPr>
                <w:rFonts w:eastAsia="Times New Roman"/>
                <w:b w:val="0"/>
                <w:bCs w:val="0"/>
                <w:color w:val="auto"/>
                <w:sz w:val="20"/>
                <w:szCs w:val="20"/>
                <w:lang w:eastAsia="pl-PL"/>
              </w:rPr>
            </w:pPr>
          </w:p>
        </w:tc>
        <w:tc>
          <w:tcPr>
            <w:tcW w:w="3119" w:type="dxa"/>
            <w:gridSpan w:val="2"/>
          </w:tcPr>
          <w:p w14:paraId="71F042E1" w14:textId="77777777" w:rsidR="009F568A" w:rsidRPr="00087470" w:rsidRDefault="009F568A" w:rsidP="009F568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Zasiłek okresowy</w:t>
            </w:r>
          </w:p>
        </w:tc>
        <w:tc>
          <w:tcPr>
            <w:tcW w:w="3685" w:type="dxa"/>
            <w:gridSpan w:val="2"/>
          </w:tcPr>
          <w:p w14:paraId="29429AB7" w14:textId="35A5D5AA"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w:t>
            </w:r>
            <w:r w:rsidR="00087470" w:rsidRPr="00087470">
              <w:rPr>
                <w:sz w:val="20"/>
                <w:szCs w:val="20"/>
              </w:rPr>
              <w:t xml:space="preserve"> </w:t>
            </w:r>
            <w:r w:rsidRPr="00087470">
              <w:rPr>
                <w:sz w:val="20"/>
                <w:szCs w:val="20"/>
              </w:rPr>
              <w:t>353</w:t>
            </w:r>
          </w:p>
        </w:tc>
        <w:tc>
          <w:tcPr>
            <w:tcW w:w="5107" w:type="dxa"/>
            <w:gridSpan w:val="2"/>
          </w:tcPr>
          <w:p w14:paraId="7B362463" w14:textId="12988FB8"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2</w:t>
            </w:r>
            <w:r w:rsidR="00087470" w:rsidRPr="00087470">
              <w:rPr>
                <w:sz w:val="20"/>
                <w:szCs w:val="20"/>
              </w:rPr>
              <w:t> </w:t>
            </w:r>
            <w:r w:rsidRPr="00087470">
              <w:rPr>
                <w:sz w:val="20"/>
                <w:szCs w:val="20"/>
              </w:rPr>
              <w:t>227</w:t>
            </w:r>
            <w:r w:rsidR="00087470" w:rsidRPr="00087470">
              <w:rPr>
                <w:sz w:val="20"/>
                <w:szCs w:val="20"/>
              </w:rPr>
              <w:t xml:space="preserve"> </w:t>
            </w:r>
            <w:r w:rsidRPr="00087470">
              <w:rPr>
                <w:sz w:val="20"/>
                <w:szCs w:val="20"/>
              </w:rPr>
              <w:t>352,93</w:t>
            </w:r>
            <w:r w:rsidR="00087470" w:rsidRPr="00087470">
              <w:rPr>
                <w:sz w:val="20"/>
                <w:szCs w:val="20"/>
              </w:rPr>
              <w:t xml:space="preserve"> zł</w:t>
            </w:r>
          </w:p>
        </w:tc>
      </w:tr>
      <w:tr w:rsidR="009F568A" w:rsidRPr="0092226B" w14:paraId="78EE5F09" w14:textId="77777777" w:rsidTr="009F568A">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24FF4858" w14:textId="77777777" w:rsidR="009F568A" w:rsidRPr="00087470" w:rsidRDefault="009F568A" w:rsidP="009F568A">
            <w:pPr>
              <w:spacing w:line="240" w:lineRule="auto"/>
              <w:rPr>
                <w:rFonts w:eastAsia="Times New Roman"/>
                <w:b w:val="0"/>
                <w:bCs w:val="0"/>
                <w:color w:val="auto"/>
                <w:sz w:val="20"/>
                <w:szCs w:val="20"/>
                <w:lang w:eastAsia="pl-PL"/>
              </w:rPr>
            </w:pPr>
          </w:p>
        </w:tc>
        <w:tc>
          <w:tcPr>
            <w:tcW w:w="3119" w:type="dxa"/>
            <w:gridSpan w:val="2"/>
          </w:tcPr>
          <w:p w14:paraId="70870F43" w14:textId="77777777" w:rsidR="009F568A" w:rsidRPr="00087470" w:rsidRDefault="009F568A" w:rsidP="009F568A">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Zasiłek celowy</w:t>
            </w:r>
          </w:p>
        </w:tc>
        <w:tc>
          <w:tcPr>
            <w:tcW w:w="3685" w:type="dxa"/>
            <w:gridSpan w:val="2"/>
          </w:tcPr>
          <w:p w14:paraId="08617F7E" w14:textId="1F4D54F9"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1</w:t>
            </w:r>
            <w:r w:rsidR="00087470" w:rsidRPr="00087470">
              <w:rPr>
                <w:sz w:val="20"/>
                <w:szCs w:val="20"/>
              </w:rPr>
              <w:t xml:space="preserve"> </w:t>
            </w:r>
            <w:r w:rsidRPr="00087470">
              <w:rPr>
                <w:sz w:val="20"/>
                <w:szCs w:val="20"/>
              </w:rPr>
              <w:t>735</w:t>
            </w:r>
          </w:p>
        </w:tc>
        <w:tc>
          <w:tcPr>
            <w:tcW w:w="5107" w:type="dxa"/>
            <w:gridSpan w:val="2"/>
          </w:tcPr>
          <w:p w14:paraId="1F64CBE2" w14:textId="7CDE7B2D" w:rsidR="009F568A" w:rsidRPr="00087470" w:rsidRDefault="009F568A" w:rsidP="009F568A">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1</w:t>
            </w:r>
            <w:r w:rsidR="00087470" w:rsidRPr="00087470">
              <w:rPr>
                <w:sz w:val="20"/>
                <w:szCs w:val="20"/>
              </w:rPr>
              <w:t> </w:t>
            </w:r>
            <w:r w:rsidRPr="00087470">
              <w:rPr>
                <w:sz w:val="20"/>
                <w:szCs w:val="20"/>
              </w:rPr>
              <w:t>129</w:t>
            </w:r>
            <w:r w:rsidR="00087470" w:rsidRPr="00087470">
              <w:rPr>
                <w:sz w:val="20"/>
                <w:szCs w:val="20"/>
              </w:rPr>
              <w:t xml:space="preserve"> </w:t>
            </w:r>
            <w:r w:rsidRPr="00087470">
              <w:rPr>
                <w:sz w:val="20"/>
                <w:szCs w:val="20"/>
              </w:rPr>
              <w:t>568,54</w:t>
            </w:r>
            <w:r w:rsidR="00087470" w:rsidRPr="00087470">
              <w:rPr>
                <w:sz w:val="20"/>
                <w:szCs w:val="20"/>
              </w:rPr>
              <w:t xml:space="preserve"> zł</w:t>
            </w:r>
          </w:p>
        </w:tc>
      </w:tr>
      <w:tr w:rsidR="009F568A" w:rsidRPr="0092226B" w14:paraId="346C690F" w14:textId="77777777" w:rsidTr="009F568A">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6BC0D67A" w14:textId="77777777" w:rsidR="009F568A" w:rsidRPr="00087470" w:rsidRDefault="009F568A" w:rsidP="009F568A">
            <w:pPr>
              <w:spacing w:line="240" w:lineRule="auto"/>
              <w:rPr>
                <w:rFonts w:eastAsia="Times New Roman"/>
                <w:b w:val="0"/>
                <w:bCs w:val="0"/>
                <w:color w:val="auto"/>
                <w:sz w:val="20"/>
                <w:szCs w:val="20"/>
                <w:lang w:eastAsia="pl-PL"/>
              </w:rPr>
            </w:pPr>
          </w:p>
        </w:tc>
        <w:tc>
          <w:tcPr>
            <w:tcW w:w="3119" w:type="dxa"/>
            <w:gridSpan w:val="2"/>
          </w:tcPr>
          <w:p w14:paraId="5FF0EA0C" w14:textId="77777777" w:rsidR="009F568A" w:rsidRPr="00087470" w:rsidRDefault="009F568A" w:rsidP="009F568A">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Specjalny zasiłek celowy</w:t>
            </w:r>
          </w:p>
        </w:tc>
        <w:tc>
          <w:tcPr>
            <w:tcW w:w="3685" w:type="dxa"/>
            <w:gridSpan w:val="2"/>
          </w:tcPr>
          <w:p w14:paraId="384FC592" w14:textId="43965ECF"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w:t>
            </w:r>
            <w:r w:rsidR="00087470" w:rsidRPr="00087470">
              <w:rPr>
                <w:sz w:val="20"/>
                <w:szCs w:val="20"/>
              </w:rPr>
              <w:t xml:space="preserve"> </w:t>
            </w:r>
            <w:r w:rsidRPr="00087470">
              <w:rPr>
                <w:sz w:val="20"/>
                <w:szCs w:val="20"/>
              </w:rPr>
              <w:t>895</w:t>
            </w:r>
          </w:p>
        </w:tc>
        <w:tc>
          <w:tcPr>
            <w:tcW w:w="5107" w:type="dxa"/>
            <w:gridSpan w:val="2"/>
          </w:tcPr>
          <w:p w14:paraId="675B4B80" w14:textId="47983761" w:rsidR="009F568A" w:rsidRPr="00087470" w:rsidRDefault="009F568A" w:rsidP="009F568A">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w:t>
            </w:r>
            <w:r w:rsidR="00087470" w:rsidRPr="00087470">
              <w:rPr>
                <w:sz w:val="20"/>
                <w:szCs w:val="20"/>
              </w:rPr>
              <w:t> </w:t>
            </w:r>
            <w:r w:rsidRPr="00087470">
              <w:rPr>
                <w:sz w:val="20"/>
                <w:szCs w:val="20"/>
              </w:rPr>
              <w:t>026</w:t>
            </w:r>
            <w:r w:rsidR="00087470" w:rsidRPr="00087470">
              <w:rPr>
                <w:sz w:val="20"/>
                <w:szCs w:val="20"/>
              </w:rPr>
              <w:t xml:space="preserve"> </w:t>
            </w:r>
            <w:r w:rsidRPr="00087470">
              <w:rPr>
                <w:sz w:val="20"/>
                <w:szCs w:val="20"/>
              </w:rPr>
              <w:t>762,10</w:t>
            </w:r>
            <w:r w:rsidR="00087470" w:rsidRPr="00087470">
              <w:rPr>
                <w:sz w:val="20"/>
                <w:szCs w:val="20"/>
              </w:rPr>
              <w:t xml:space="preserve"> zł</w:t>
            </w:r>
          </w:p>
        </w:tc>
      </w:tr>
      <w:tr w:rsidR="0092226B" w:rsidRPr="0092226B" w14:paraId="20E0938C" w14:textId="77777777" w:rsidTr="009F568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3E072C15" w14:textId="77777777" w:rsidR="00397459" w:rsidRPr="00087470" w:rsidRDefault="00397459" w:rsidP="00B337AF">
            <w:pPr>
              <w:spacing w:line="240" w:lineRule="auto"/>
              <w:rPr>
                <w:b w:val="0"/>
                <w:color w:val="auto"/>
                <w:sz w:val="20"/>
                <w:szCs w:val="20"/>
                <w:lang w:eastAsia="pl-PL"/>
              </w:rPr>
            </w:pPr>
            <w:r w:rsidRPr="00087470">
              <w:rPr>
                <w:color w:val="auto"/>
                <w:sz w:val="20"/>
                <w:szCs w:val="20"/>
                <w:lang w:eastAsia="pl-PL"/>
              </w:rPr>
              <w:t>Największe problemy/niedogodności w świadczeniu opieki nad osobami starszymi (np. zasoby kadrowe, rzeczowe, finansowe itp.)</w:t>
            </w:r>
          </w:p>
        </w:tc>
        <w:tc>
          <w:tcPr>
            <w:tcW w:w="11911" w:type="dxa"/>
            <w:gridSpan w:val="6"/>
          </w:tcPr>
          <w:p w14:paraId="3432EDFB" w14:textId="3037FBC4" w:rsidR="00397459" w:rsidRPr="00087470" w:rsidRDefault="00397459" w:rsidP="00B337A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b/>
                <w:sz w:val="20"/>
                <w:szCs w:val="20"/>
              </w:rPr>
              <w:t>1.</w:t>
            </w:r>
            <w:r w:rsidRPr="00087470">
              <w:rPr>
                <w:sz w:val="20"/>
                <w:szCs w:val="20"/>
              </w:rPr>
              <w:t xml:space="preserve"> </w:t>
            </w:r>
            <w:r w:rsidR="009F568A" w:rsidRPr="00087470">
              <w:rPr>
                <w:sz w:val="20"/>
                <w:szCs w:val="20"/>
              </w:rPr>
              <w:t xml:space="preserve"> Ograniczone możliwości finansowe gmin, dla których koszty usług opiekuńczych stanowią duże obciążenie dla budżetu.</w:t>
            </w:r>
          </w:p>
        </w:tc>
      </w:tr>
      <w:tr w:rsidR="0092226B" w:rsidRPr="0092226B" w14:paraId="03097540" w14:textId="77777777" w:rsidTr="009F568A">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628921C5" w14:textId="77777777" w:rsidR="00397459" w:rsidRPr="00087470" w:rsidRDefault="00397459" w:rsidP="00B337AF">
            <w:pPr>
              <w:spacing w:line="240" w:lineRule="auto"/>
              <w:rPr>
                <w:color w:val="auto"/>
                <w:sz w:val="20"/>
                <w:szCs w:val="20"/>
                <w:lang w:eastAsia="pl-PL"/>
              </w:rPr>
            </w:pPr>
          </w:p>
        </w:tc>
        <w:tc>
          <w:tcPr>
            <w:tcW w:w="11911" w:type="dxa"/>
            <w:gridSpan w:val="6"/>
          </w:tcPr>
          <w:p w14:paraId="41E18072" w14:textId="057808A6" w:rsidR="00397459" w:rsidRPr="00087470" w:rsidRDefault="00397459" w:rsidP="00B337A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b/>
                <w:sz w:val="20"/>
                <w:szCs w:val="20"/>
              </w:rPr>
              <w:t>2.</w:t>
            </w:r>
            <w:r w:rsidR="009F568A" w:rsidRPr="00087470">
              <w:rPr>
                <w:sz w:val="20"/>
                <w:szCs w:val="20"/>
              </w:rPr>
              <w:t> Brak odpowiednio przeszkolonej kadry. W związku z położeniem geograficznym wielu wykształconych i doświadczonych</w:t>
            </w:r>
          </w:p>
        </w:tc>
      </w:tr>
      <w:tr w:rsidR="0092226B" w:rsidRPr="0092226B" w14:paraId="0AB35719" w14:textId="77777777" w:rsidTr="009F568A">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1CE3D7F1" w14:textId="77777777" w:rsidR="00397459" w:rsidRPr="00087470" w:rsidRDefault="00397459" w:rsidP="00B337AF">
            <w:pPr>
              <w:spacing w:line="240" w:lineRule="auto"/>
              <w:rPr>
                <w:color w:val="auto"/>
                <w:sz w:val="20"/>
                <w:szCs w:val="20"/>
                <w:lang w:eastAsia="pl-PL"/>
              </w:rPr>
            </w:pPr>
          </w:p>
        </w:tc>
        <w:tc>
          <w:tcPr>
            <w:tcW w:w="11911" w:type="dxa"/>
            <w:gridSpan w:val="6"/>
          </w:tcPr>
          <w:p w14:paraId="6BDFFB29" w14:textId="256A225D" w:rsidR="00397459" w:rsidRPr="00087470" w:rsidRDefault="00397459" w:rsidP="00B337A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b/>
                <w:sz w:val="20"/>
                <w:szCs w:val="20"/>
              </w:rPr>
              <w:t>3.</w:t>
            </w:r>
            <w:r w:rsidRPr="00087470">
              <w:rPr>
                <w:sz w:val="20"/>
                <w:szCs w:val="20"/>
              </w:rPr>
              <w:t xml:space="preserve"> </w:t>
            </w:r>
            <w:r w:rsidR="009F568A" w:rsidRPr="00087470">
              <w:rPr>
                <w:sz w:val="20"/>
                <w:szCs w:val="20"/>
              </w:rPr>
              <w:t xml:space="preserve"> Brak alternatywnych form wsparcia seniorów w środowisku.</w:t>
            </w:r>
          </w:p>
        </w:tc>
      </w:tr>
      <w:tr w:rsidR="0092226B" w:rsidRPr="0092226B" w14:paraId="779FFD11" w14:textId="77777777" w:rsidTr="009F568A">
        <w:trPr>
          <w:trHeight w:val="442"/>
        </w:trPr>
        <w:tc>
          <w:tcPr>
            <w:cnfStyle w:val="001000000000" w:firstRow="0" w:lastRow="0" w:firstColumn="1" w:lastColumn="0" w:oddVBand="0" w:evenVBand="0" w:oddHBand="0" w:evenHBand="0" w:firstRowFirstColumn="0" w:firstRowLastColumn="0" w:lastRowFirstColumn="0" w:lastRowLastColumn="0"/>
            <w:tcW w:w="2830" w:type="dxa"/>
          </w:tcPr>
          <w:p w14:paraId="1D210FA9" w14:textId="77777777" w:rsidR="00397459" w:rsidRPr="00087470" w:rsidRDefault="00397459" w:rsidP="00B337AF">
            <w:pPr>
              <w:spacing w:line="240" w:lineRule="auto"/>
              <w:rPr>
                <w:color w:val="auto"/>
                <w:sz w:val="20"/>
                <w:szCs w:val="20"/>
                <w:lang w:eastAsia="pl-PL"/>
              </w:rPr>
            </w:pPr>
            <w:r w:rsidRPr="00087470">
              <w:rPr>
                <w:color w:val="auto"/>
                <w:sz w:val="20"/>
                <w:szCs w:val="20"/>
                <w:lang w:eastAsia="pl-PL"/>
              </w:rPr>
              <w:t>Stopień zaspokojenia potrzeb w zakresie usług opiekuńczych</w:t>
            </w:r>
          </w:p>
        </w:tc>
        <w:tc>
          <w:tcPr>
            <w:tcW w:w="11911" w:type="dxa"/>
            <w:gridSpan w:val="6"/>
          </w:tcPr>
          <w:p w14:paraId="260F8454" w14:textId="4EA2A6CA" w:rsidR="009F568A" w:rsidRPr="00087470" w:rsidRDefault="009F568A" w:rsidP="009F568A">
            <w:pPr>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Usługi opiekuńcze realizowane są zgodnie z zapotrzebowaniem i możliwościami pomocy społecznej. Ogółem w 2020 r</w:t>
            </w:r>
            <w:r w:rsidR="004D289B">
              <w:rPr>
                <w:sz w:val="20"/>
                <w:szCs w:val="20"/>
              </w:rPr>
              <w:t>.</w:t>
            </w:r>
            <w:r w:rsidRPr="00087470">
              <w:rPr>
                <w:sz w:val="20"/>
                <w:szCs w:val="20"/>
              </w:rPr>
              <w:t xml:space="preserve">  3.339 osób w województwie lubuskim skorzystało z usług opiekuńczych. Jest to spadek o 4,8% w stosunku do 2019</w:t>
            </w:r>
            <w:r w:rsidR="00EE280C">
              <w:rPr>
                <w:sz w:val="20"/>
                <w:szCs w:val="20"/>
              </w:rPr>
              <w:t xml:space="preserve"> r.</w:t>
            </w:r>
            <w:r w:rsidRPr="00087470">
              <w:rPr>
                <w:sz w:val="20"/>
                <w:szCs w:val="20"/>
              </w:rPr>
              <w:t xml:space="preserve"> (3.506 osób).  Wysokość środków przeznaczonych na usługi opiekuńcze w woj. lubuskim za 2020 r. wzrosła o 6,4% i wyniosła 17.950.277 zł. </w:t>
            </w:r>
          </w:p>
          <w:p w14:paraId="3C544902" w14:textId="502E7D39" w:rsidR="009F568A" w:rsidRPr="00087470" w:rsidRDefault="009F568A" w:rsidP="009F568A">
            <w:pPr>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Z zebranych danych wynika, że liczba osób, którym przyznano świadczenie w grupie wiekowej 60 + wyniosła 2.921 (spadek o 5,2%, w stosunku do 2019</w:t>
            </w:r>
            <w:r w:rsidR="004D289B">
              <w:rPr>
                <w:sz w:val="20"/>
                <w:szCs w:val="20"/>
              </w:rPr>
              <w:t xml:space="preserve"> r.</w:t>
            </w:r>
            <w:r w:rsidRPr="00087470">
              <w:rPr>
                <w:sz w:val="20"/>
                <w:szCs w:val="20"/>
              </w:rPr>
              <w:t xml:space="preserve">  - 3.081 osób). Spadek ilości zatrudnionych osób świadczących usługi opiekuńcze wyniósł aż 26,2% (z 1.017 osób w 2019 r. do 751 osób w 2020</w:t>
            </w:r>
            <w:r w:rsidR="00EE280C">
              <w:rPr>
                <w:sz w:val="20"/>
                <w:szCs w:val="20"/>
              </w:rPr>
              <w:t xml:space="preserve"> r.</w:t>
            </w:r>
            <w:r w:rsidRPr="00087470">
              <w:rPr>
                <w:sz w:val="20"/>
                <w:szCs w:val="20"/>
              </w:rPr>
              <w:t>). Spowodowane to zostało częstszym zatrudnianiem osób świadczących usługi opiekuńcze w pełnym wymiarze czasu pracy. Usługi opiekuńcze w woj. lubuskim świadczone są przede wszystkim przez opiekunki zatrudniane przez OPS 69 gmin (81,1% gmin). Jednostki zlecają również świadczenie usług opiekuńczych podmiotowi ekonomii społecznej jakim jest Centrum Integracji Społecznej, firmom zewnętrznym oraz Polskiemu Czerwonemu Krzyżowi.  W 2020 r. usług opiekuńczych nie świadczyły 3 gminy. Powodem był okresowy brak zapotrzebowania mieszkańców lub opieka ze strony członków rodziny, którzy otrzymują z tego tytułu świadczenie pielęgnacyjne lub zasiłek opiekuńczy.</w:t>
            </w:r>
          </w:p>
          <w:p w14:paraId="088197F0" w14:textId="2286CA2D" w:rsidR="009F568A" w:rsidRPr="00087470" w:rsidRDefault="009F568A" w:rsidP="009F568A">
            <w:pPr>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W województwie lubuskim na koniec 2020</w:t>
            </w:r>
            <w:r w:rsidR="004D289B">
              <w:rPr>
                <w:sz w:val="20"/>
                <w:szCs w:val="20"/>
              </w:rPr>
              <w:t xml:space="preserve"> r.</w:t>
            </w:r>
            <w:r w:rsidRPr="00087470">
              <w:rPr>
                <w:sz w:val="20"/>
                <w:szCs w:val="20"/>
              </w:rPr>
              <w:t xml:space="preserve"> działały 2 rodzinne domy pomocy, oferujące 16 miejsc; stan ten utrzymuje się od 31 grudnia 2018 r. Wojewoda zaleca rozpoznanie lokalnych możliwości i rozwój alternatywnych form wsparcia seniorów w środowisku. Gminy nie są zainteresowane tworzeniem tych form pomocy ze względu na brak środków i infrastruktury. W efekcie opieka osób zależnych w wieku 60+ skoncentrowana jest przede wszystkim na usługach opiekuńczych w domu beneficjenta. Obejmują one również specjalistyczne usługi opiekuńcze (w 2020 r. świadczone dla </w:t>
            </w:r>
          </w:p>
          <w:p w14:paraId="6EAE8D3A" w14:textId="77777777" w:rsidR="009F568A" w:rsidRPr="00087470" w:rsidRDefault="009F568A" w:rsidP="009F568A">
            <w:pPr>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 xml:space="preserve">14 seniorów) oraz specjalistyczne usługi opiekuńcze dla osób z zaburzeniami psychicznymi (w 2020 r. świadczone dla </w:t>
            </w:r>
          </w:p>
          <w:p w14:paraId="396CEF5E" w14:textId="77777777" w:rsidR="009F568A" w:rsidRPr="00087470" w:rsidRDefault="009F568A" w:rsidP="009F568A">
            <w:pPr>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9 seniorów).</w:t>
            </w:r>
          </w:p>
          <w:p w14:paraId="2327C862" w14:textId="2806EB5A" w:rsidR="009F568A" w:rsidRPr="00087470" w:rsidRDefault="009F568A" w:rsidP="009F568A">
            <w:pPr>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 xml:space="preserve">Na początku 2020 </w:t>
            </w:r>
            <w:r w:rsidR="004D289B">
              <w:rPr>
                <w:sz w:val="20"/>
                <w:szCs w:val="20"/>
              </w:rPr>
              <w:t xml:space="preserve">r. </w:t>
            </w:r>
            <w:r w:rsidRPr="00087470">
              <w:rPr>
                <w:sz w:val="20"/>
                <w:szCs w:val="20"/>
              </w:rPr>
              <w:t xml:space="preserve">w domach pomocy społecznej były wolne miejsca dla osób starszych, przy braku skierowań </w:t>
            </w:r>
          </w:p>
          <w:p w14:paraId="142F5A18" w14:textId="483F2C45" w:rsidR="00397459" w:rsidRPr="00087470" w:rsidRDefault="009F568A" w:rsidP="009F568A">
            <w:pPr>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z powiatów. Sytuacja ta została spowodowana epidemią wirusa SARS Cov-2. Rodziny odwlekały umieszczenie osób starszych w DPS ze względu na brak możliwości odwiedzin oraz strach przed zakażeniem.</w:t>
            </w:r>
          </w:p>
        </w:tc>
      </w:tr>
    </w:tbl>
    <w:p w14:paraId="4FBC77C6" w14:textId="77777777" w:rsidR="005C6286" w:rsidRDefault="005C6286" w:rsidP="005C6286">
      <w:pPr>
        <w:tabs>
          <w:tab w:val="left" w:pos="5400"/>
        </w:tabs>
        <w:rPr>
          <w:rFonts w:eastAsia="Times New Roman" w:cs="Times New Roman"/>
          <w:b/>
          <w:szCs w:val="24"/>
          <w:lang w:eastAsia="pl-PL"/>
        </w:rPr>
      </w:pPr>
      <w:r w:rsidRPr="00432294">
        <w:rPr>
          <w:rFonts w:eastAsia="Times New Roman" w:cs="Times New Roman"/>
          <w:b/>
          <w:szCs w:val="24"/>
          <w:lang w:eastAsia="pl-PL"/>
        </w:rPr>
        <w:t xml:space="preserve">Źródło: </w:t>
      </w:r>
      <w:r>
        <w:rPr>
          <w:rFonts w:eastAsia="Times New Roman" w:cs="Times New Roman"/>
          <w:b/>
          <w:szCs w:val="24"/>
          <w:lang w:eastAsia="pl-PL"/>
        </w:rPr>
        <w:t>Dane Wojewody Lubuskiego</w:t>
      </w:r>
      <w:r w:rsidRPr="00432294">
        <w:rPr>
          <w:rFonts w:eastAsia="Times New Roman" w:cs="Times New Roman"/>
          <w:b/>
          <w:szCs w:val="24"/>
          <w:lang w:eastAsia="pl-PL"/>
        </w:rPr>
        <w:t xml:space="preserve">. </w:t>
      </w:r>
    </w:p>
    <w:p w14:paraId="0C4BD7DA" w14:textId="77777777" w:rsidR="00397459" w:rsidRPr="0092226B" w:rsidRDefault="00397459" w:rsidP="00CB509F">
      <w:pPr>
        <w:pStyle w:val="Nagwek2"/>
        <w:rPr>
          <w:rFonts w:eastAsia="Times New Roman"/>
          <w:color w:val="FF0000"/>
          <w:lang w:eastAsia="ar-SA"/>
        </w:rPr>
        <w:sectPr w:rsidR="00397459" w:rsidRPr="0092226B" w:rsidSect="00080A38">
          <w:pgSz w:w="16838" w:h="11900" w:orient="landscape"/>
          <w:pgMar w:top="1380" w:right="1384" w:bottom="1386" w:left="1038" w:header="0" w:footer="567" w:gutter="0"/>
          <w:cols w:space="0" w:equalWidth="0">
            <w:col w:w="9140"/>
          </w:cols>
          <w:docGrid w:linePitch="360"/>
        </w:sectPr>
      </w:pPr>
    </w:p>
    <w:p w14:paraId="54A46F68" w14:textId="77777777" w:rsidR="009D554B" w:rsidRPr="00D15498" w:rsidRDefault="00B25D75" w:rsidP="00AF051D">
      <w:pPr>
        <w:pStyle w:val="Nagwek2"/>
        <w:spacing w:before="240" w:after="240"/>
        <w:ind w:left="432"/>
        <w:rPr>
          <w:rFonts w:eastAsia="Times New Roman" w:cs="Times New Roman"/>
          <w:sz w:val="40"/>
          <w:lang w:eastAsia="ar-SA"/>
        </w:rPr>
      </w:pPr>
      <w:bookmarkStart w:id="173" w:name="_Toc80523125"/>
      <w:r w:rsidRPr="00D15498">
        <w:rPr>
          <w:rFonts w:eastAsia="Times New Roman" w:cs="Times New Roman"/>
          <w:sz w:val="40"/>
          <w:lang w:eastAsia="ar-SA"/>
        </w:rPr>
        <w:lastRenderedPageBreak/>
        <w:t xml:space="preserve">Województwo </w:t>
      </w:r>
      <w:r w:rsidR="005F0A32" w:rsidRPr="00D15498">
        <w:rPr>
          <w:rFonts w:eastAsia="Times New Roman" w:cs="Times New Roman"/>
          <w:sz w:val="40"/>
          <w:lang w:eastAsia="ar-SA"/>
        </w:rPr>
        <w:t>ł</w:t>
      </w:r>
      <w:r w:rsidR="00475EFA" w:rsidRPr="00D15498">
        <w:rPr>
          <w:rFonts w:eastAsia="Times New Roman" w:cs="Times New Roman"/>
          <w:sz w:val="40"/>
          <w:lang w:eastAsia="ar-SA"/>
        </w:rPr>
        <w:t>ódzkie</w:t>
      </w:r>
      <w:bookmarkEnd w:id="173"/>
    </w:p>
    <w:p w14:paraId="4352BEE0" w14:textId="1EC0B299" w:rsidR="00723037" w:rsidRDefault="00723037" w:rsidP="00994F37">
      <w:pPr>
        <w:pStyle w:val="Nagwek3"/>
        <w:rPr>
          <w:lang w:eastAsia="ar-SA"/>
        </w:rPr>
      </w:pPr>
      <w:bookmarkStart w:id="174" w:name="_Toc77513972"/>
      <w:bookmarkStart w:id="175" w:name="_Toc80523126"/>
      <w:r w:rsidRPr="005B6EB7">
        <w:rPr>
          <w:lang w:eastAsia="ar-SA"/>
        </w:rPr>
        <w:t>Aktywność ekonomiczna i warunki bytowe</w:t>
      </w:r>
      <w:bookmarkEnd w:id="174"/>
      <w:bookmarkEnd w:id="175"/>
    </w:p>
    <w:p w14:paraId="61904A28" w14:textId="77777777" w:rsidR="000B1B06" w:rsidRPr="000B1B06" w:rsidRDefault="000B1B06" w:rsidP="000B1B06">
      <w:pPr>
        <w:rPr>
          <w:lang w:eastAsia="ar-SA"/>
        </w:rPr>
      </w:pPr>
    </w:p>
    <w:p w14:paraId="587165E6" w14:textId="77777777" w:rsidR="00723037" w:rsidRDefault="00723037" w:rsidP="00723037">
      <w:pPr>
        <w:rPr>
          <w:rFonts w:cs="Times New Roman"/>
          <w:szCs w:val="24"/>
        </w:rPr>
      </w:pPr>
      <w:r w:rsidRPr="008B434B">
        <w:rPr>
          <w:rFonts w:cs="Times New Roman"/>
          <w:szCs w:val="24"/>
        </w:rPr>
        <w:t>W 2020 r. w województwie łódzkim przeciętny miesięczny dochód rozporządzalny przypadający na 1 osobę w gospodarstwach domowych wyniósł  1872 zł. Na dochód rozporządzalny gospodarstwa domowego składają się przede wszystkim dochody z pracy najemnej oraz dochody ze świadczeń społecznych. W 2020 r. ich udział w dochodzie rozporządzalnym wyniósł odpowiednio 53,9% i 32,3%. W 2020 r. przeciętne miesięczne wydatki na 1 osobę w gospodarstwach domowych wyniosły 1226 zł.  Na żywność i napoje bezalkoholowe gospodarstwa domowe przeznaczały przeciętnie 27,1% ogólnej kwoty wydatków, na opłaty z tytułu użytkowania mieszkania lub domu i za korzystanie z nośników energii  - 17,9%, a na zdrowie – 5,6%.</w:t>
      </w:r>
    </w:p>
    <w:p w14:paraId="115F102F" w14:textId="77777777" w:rsidR="00723037" w:rsidRPr="008B434B" w:rsidRDefault="00723037" w:rsidP="00723037">
      <w:pPr>
        <w:rPr>
          <w:rFonts w:cs="Times New Roman"/>
          <w:szCs w:val="24"/>
        </w:rPr>
      </w:pPr>
    </w:p>
    <w:p w14:paraId="06FC9692" w14:textId="77777777" w:rsidR="00723037" w:rsidRDefault="00723037" w:rsidP="00723037">
      <w:pPr>
        <w:rPr>
          <w:rFonts w:cs="Times New Roman"/>
          <w:szCs w:val="24"/>
        </w:rPr>
      </w:pPr>
      <w:r w:rsidRPr="008B434B">
        <w:rPr>
          <w:rFonts w:cs="Times New Roman"/>
          <w:szCs w:val="24"/>
        </w:rPr>
        <w:t>W 2020 r. swoją sytuację materialną jako bardzo dobrą i raczej dobrą oceniło 39,7% gospodarstw domowych. Udział gospodarstw określających swoją sytuację materialną jako przeciętną wyniósł 52,2%, a raczej złą i złą ukształtował się na poziomie 8,1%.</w:t>
      </w:r>
    </w:p>
    <w:p w14:paraId="23291B0F" w14:textId="77777777" w:rsidR="00723037" w:rsidRPr="008B434B" w:rsidRDefault="00723037" w:rsidP="00723037">
      <w:pPr>
        <w:rPr>
          <w:rFonts w:cs="Times New Roman"/>
          <w:szCs w:val="24"/>
        </w:rPr>
      </w:pPr>
    </w:p>
    <w:p w14:paraId="7AFFD4E1" w14:textId="77777777" w:rsidR="00723037" w:rsidRPr="005B6EB7" w:rsidRDefault="00723037" w:rsidP="00723037">
      <w:pPr>
        <w:rPr>
          <w:rFonts w:cs="Times New Roman"/>
          <w:szCs w:val="24"/>
        </w:rPr>
      </w:pPr>
      <w:r w:rsidRPr="008B434B">
        <w:rPr>
          <w:rFonts w:cs="Times New Roman"/>
          <w:szCs w:val="24"/>
        </w:rPr>
        <w:t>W analizowanym roku przeciętna liczba osób w gospodarstwie domowym ukształtowała się na poziomie 2,59. Przeciętna powierzchnia użytkowa mieszkania zajmowana przez gospodarstwo domowe wyniosła 77,43 m</w:t>
      </w:r>
      <w:r w:rsidRPr="0026268D">
        <w:rPr>
          <w:rFonts w:cs="Times New Roman"/>
          <w:szCs w:val="24"/>
          <w:vertAlign w:val="superscript"/>
        </w:rPr>
        <w:t>2</w:t>
      </w:r>
      <w:r>
        <w:rPr>
          <w:rFonts w:cs="Times New Roman"/>
          <w:szCs w:val="24"/>
        </w:rPr>
        <w:t>.</w:t>
      </w:r>
    </w:p>
    <w:p w14:paraId="4396B20D" w14:textId="77777777" w:rsidR="00723037" w:rsidRDefault="00723037" w:rsidP="00723037">
      <w:pPr>
        <w:rPr>
          <w:rFonts w:cs="Times New Roman"/>
          <w:b/>
          <w:color w:val="FF0000"/>
          <w:szCs w:val="24"/>
          <w:lang w:eastAsia="ar-SA"/>
        </w:rPr>
      </w:pPr>
    </w:p>
    <w:p w14:paraId="07396F5F" w14:textId="56165E3C" w:rsidR="00723037" w:rsidRPr="00723037" w:rsidRDefault="00723037" w:rsidP="00723037">
      <w:pPr>
        <w:pStyle w:val="Legenda"/>
        <w:keepNext/>
        <w:rPr>
          <w:rFonts w:cs="Times New Roman"/>
          <w:b/>
          <w:i w:val="0"/>
          <w:color w:val="auto"/>
          <w:sz w:val="24"/>
        </w:rPr>
      </w:pPr>
      <w:r w:rsidRPr="00432294">
        <w:rPr>
          <w:rFonts w:cs="Times New Roman"/>
          <w:b/>
          <w:i w:val="0"/>
          <w:color w:val="auto"/>
          <w:sz w:val="24"/>
        </w:rPr>
        <w:t xml:space="preserve">Tabela </w:t>
      </w:r>
      <w:r w:rsidR="005B094D">
        <w:rPr>
          <w:rFonts w:cs="Times New Roman"/>
          <w:b/>
          <w:i w:val="0"/>
          <w:color w:val="auto"/>
          <w:sz w:val="24"/>
        </w:rPr>
        <w:t>57</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Aktywność ekonomiczna osób starszych w województwie łódzkim</w:t>
      </w:r>
    </w:p>
    <w:tbl>
      <w:tblPr>
        <w:tblStyle w:val="Tabelasiatki6kolorowaakcent2"/>
        <w:tblpPr w:leftFromText="141" w:rightFromText="141" w:vertAnchor="text" w:tblpXSpec="center" w:tblpY="1"/>
        <w:tblW w:w="9067" w:type="dxa"/>
        <w:tblLayout w:type="fixed"/>
        <w:tblLook w:val="04A0" w:firstRow="1" w:lastRow="0" w:firstColumn="1" w:lastColumn="0" w:noHBand="0" w:noVBand="1"/>
      </w:tblPr>
      <w:tblGrid>
        <w:gridCol w:w="1842"/>
        <w:gridCol w:w="3969"/>
        <w:gridCol w:w="3256"/>
      </w:tblGrid>
      <w:tr w:rsidR="00723037" w:rsidRPr="00723037" w14:paraId="59833E6E" w14:textId="77777777" w:rsidTr="00EB7DC7">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067" w:type="dxa"/>
            <w:gridSpan w:val="3"/>
          </w:tcPr>
          <w:p w14:paraId="41725066" w14:textId="77777777" w:rsidR="00723037" w:rsidRPr="00723037" w:rsidRDefault="00723037" w:rsidP="00EB7DC7">
            <w:pPr>
              <w:jc w:val="center"/>
              <w:rPr>
                <w:rFonts w:cs="Times New Roman"/>
                <w:color w:val="auto"/>
                <w:sz w:val="20"/>
                <w:szCs w:val="20"/>
              </w:rPr>
            </w:pPr>
            <w:r w:rsidRPr="00723037">
              <w:rPr>
                <w:rFonts w:cs="Times New Roman"/>
                <w:color w:val="auto"/>
                <w:sz w:val="20"/>
                <w:szCs w:val="20"/>
                <w:lang w:eastAsia="pl-PL"/>
              </w:rPr>
              <w:t>AKTYWNOŚĆ EKONOMICZNA OSÓB STARSZYCH – DANE ZA 2020 R.</w:t>
            </w:r>
          </w:p>
        </w:tc>
      </w:tr>
      <w:tr w:rsidR="00723037" w:rsidRPr="00723037" w14:paraId="4027614D" w14:textId="77777777" w:rsidTr="00EB7DC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811" w:type="dxa"/>
            <w:gridSpan w:val="2"/>
          </w:tcPr>
          <w:p w14:paraId="1AFEF8F3" w14:textId="77777777" w:rsidR="00723037" w:rsidRPr="00723037" w:rsidRDefault="00723037" w:rsidP="00EB7DC7">
            <w:pPr>
              <w:rPr>
                <w:rFonts w:cs="Times New Roman"/>
                <w:color w:val="auto"/>
                <w:sz w:val="20"/>
                <w:szCs w:val="20"/>
              </w:rPr>
            </w:pPr>
            <w:r w:rsidRPr="00723037">
              <w:rPr>
                <w:rFonts w:cs="Times New Roman"/>
                <w:color w:val="auto"/>
                <w:sz w:val="20"/>
                <w:szCs w:val="20"/>
              </w:rPr>
              <w:t>Podział</w:t>
            </w:r>
          </w:p>
        </w:tc>
        <w:tc>
          <w:tcPr>
            <w:tcW w:w="3256" w:type="dxa"/>
          </w:tcPr>
          <w:p w14:paraId="42A146D6" w14:textId="77777777" w:rsidR="00723037" w:rsidRPr="00723037" w:rsidRDefault="00723037"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723037">
              <w:rPr>
                <w:rFonts w:cs="Times New Roman"/>
                <w:b/>
                <w:color w:val="auto"/>
                <w:sz w:val="20"/>
                <w:szCs w:val="20"/>
              </w:rPr>
              <w:t>Liczba</w:t>
            </w:r>
          </w:p>
        </w:tc>
      </w:tr>
      <w:tr w:rsidR="00723037" w:rsidRPr="00723037" w14:paraId="75560B59"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1842" w:type="dxa"/>
            <w:vMerge w:val="restart"/>
          </w:tcPr>
          <w:p w14:paraId="41CC8D7B" w14:textId="77777777" w:rsidR="00723037" w:rsidRPr="00723037" w:rsidRDefault="00723037" w:rsidP="00EB7DC7">
            <w:pPr>
              <w:rPr>
                <w:rFonts w:cs="Times New Roman"/>
                <w:b w:val="0"/>
                <w:color w:val="auto"/>
                <w:sz w:val="20"/>
                <w:szCs w:val="20"/>
                <w:lang w:eastAsia="pl-PL"/>
              </w:rPr>
            </w:pPr>
            <w:r w:rsidRPr="00723037">
              <w:rPr>
                <w:rFonts w:cs="Times New Roman"/>
                <w:color w:val="auto"/>
                <w:sz w:val="20"/>
                <w:szCs w:val="20"/>
                <w:lang w:eastAsia="pl-PL"/>
              </w:rPr>
              <w:t>Osoby aktywne zawodowo razem (w tys.)</w:t>
            </w:r>
          </w:p>
        </w:tc>
        <w:tc>
          <w:tcPr>
            <w:tcW w:w="3969" w:type="dxa"/>
          </w:tcPr>
          <w:p w14:paraId="5F5C7E99"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ogółem</w:t>
            </w:r>
          </w:p>
        </w:tc>
        <w:tc>
          <w:tcPr>
            <w:tcW w:w="3256" w:type="dxa"/>
          </w:tcPr>
          <w:p w14:paraId="7A71A864"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1138</w:t>
            </w:r>
          </w:p>
        </w:tc>
      </w:tr>
      <w:tr w:rsidR="00723037" w:rsidRPr="00723037" w14:paraId="6C6C5E1A" w14:textId="77777777" w:rsidTr="00B42083">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842" w:type="dxa"/>
            <w:vMerge/>
          </w:tcPr>
          <w:p w14:paraId="00FE3B77" w14:textId="77777777" w:rsidR="00723037" w:rsidRPr="00723037" w:rsidRDefault="00723037" w:rsidP="00EB7DC7">
            <w:pPr>
              <w:rPr>
                <w:rFonts w:cs="Times New Roman"/>
                <w:b w:val="0"/>
                <w:color w:val="auto"/>
                <w:sz w:val="20"/>
                <w:szCs w:val="20"/>
                <w:lang w:eastAsia="pl-PL"/>
              </w:rPr>
            </w:pPr>
          </w:p>
        </w:tc>
        <w:tc>
          <w:tcPr>
            <w:tcW w:w="3969" w:type="dxa"/>
          </w:tcPr>
          <w:p w14:paraId="343BE786"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w tym w wieku 60+</w:t>
            </w:r>
          </w:p>
        </w:tc>
        <w:tc>
          <w:tcPr>
            <w:tcW w:w="3256" w:type="dxa"/>
          </w:tcPr>
          <w:p w14:paraId="792DC85C"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96</w:t>
            </w:r>
          </w:p>
        </w:tc>
      </w:tr>
      <w:tr w:rsidR="00723037" w:rsidRPr="00723037" w14:paraId="3F222CE5"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1842" w:type="dxa"/>
            <w:vMerge w:val="restart"/>
          </w:tcPr>
          <w:p w14:paraId="14630A9A" w14:textId="77777777" w:rsidR="00723037" w:rsidRPr="00723037" w:rsidRDefault="00723037" w:rsidP="00EB7DC7">
            <w:pPr>
              <w:rPr>
                <w:rFonts w:cs="Times New Roman"/>
                <w:b w:val="0"/>
                <w:color w:val="auto"/>
                <w:sz w:val="20"/>
                <w:szCs w:val="20"/>
                <w:lang w:eastAsia="pl-PL"/>
              </w:rPr>
            </w:pPr>
            <w:r w:rsidRPr="00723037">
              <w:rPr>
                <w:rFonts w:cs="Times New Roman"/>
                <w:color w:val="auto"/>
                <w:sz w:val="20"/>
                <w:szCs w:val="20"/>
                <w:lang w:eastAsia="pl-PL"/>
              </w:rPr>
              <w:t xml:space="preserve">Osoby aktywne zawodowo </w:t>
            </w:r>
            <w:r w:rsidRPr="00723037">
              <w:rPr>
                <w:rFonts w:cs="Times New Roman"/>
                <w:color w:val="auto"/>
                <w:sz w:val="20"/>
                <w:szCs w:val="20"/>
                <w:lang w:eastAsia="pl-PL"/>
              </w:rPr>
              <w:br/>
              <w:t>– pracujący (w tys.)</w:t>
            </w:r>
          </w:p>
        </w:tc>
        <w:tc>
          <w:tcPr>
            <w:tcW w:w="3969" w:type="dxa"/>
          </w:tcPr>
          <w:p w14:paraId="369A72DD"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Ogółem</w:t>
            </w:r>
          </w:p>
        </w:tc>
        <w:tc>
          <w:tcPr>
            <w:tcW w:w="3256" w:type="dxa"/>
          </w:tcPr>
          <w:p w14:paraId="5E35559C"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1103</w:t>
            </w:r>
          </w:p>
        </w:tc>
      </w:tr>
      <w:tr w:rsidR="00723037" w:rsidRPr="00723037" w14:paraId="5FE1A741" w14:textId="77777777" w:rsidTr="00B42083">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1842" w:type="dxa"/>
            <w:vMerge/>
          </w:tcPr>
          <w:p w14:paraId="1D212443" w14:textId="77777777" w:rsidR="00723037" w:rsidRPr="00723037" w:rsidRDefault="00723037" w:rsidP="00EB7DC7">
            <w:pPr>
              <w:rPr>
                <w:rFonts w:cs="Times New Roman"/>
                <w:b w:val="0"/>
                <w:color w:val="auto"/>
                <w:sz w:val="20"/>
                <w:szCs w:val="20"/>
                <w:lang w:eastAsia="pl-PL"/>
              </w:rPr>
            </w:pPr>
          </w:p>
        </w:tc>
        <w:tc>
          <w:tcPr>
            <w:tcW w:w="3969" w:type="dxa"/>
          </w:tcPr>
          <w:p w14:paraId="1B78D45E"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w tym w wieku 60+</w:t>
            </w:r>
          </w:p>
        </w:tc>
        <w:tc>
          <w:tcPr>
            <w:tcW w:w="3256" w:type="dxa"/>
          </w:tcPr>
          <w:p w14:paraId="0577CC34"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94</w:t>
            </w:r>
          </w:p>
        </w:tc>
      </w:tr>
      <w:tr w:rsidR="00723037" w:rsidRPr="00723037" w14:paraId="6B72BAC7"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1842" w:type="dxa"/>
            <w:vMerge w:val="restart"/>
          </w:tcPr>
          <w:p w14:paraId="6EDA4393" w14:textId="77777777" w:rsidR="00723037" w:rsidRPr="00723037" w:rsidRDefault="00723037" w:rsidP="00EB7DC7">
            <w:pPr>
              <w:rPr>
                <w:rFonts w:cs="Times New Roman"/>
                <w:b w:val="0"/>
                <w:color w:val="auto"/>
                <w:sz w:val="20"/>
                <w:szCs w:val="20"/>
                <w:lang w:eastAsia="pl-PL"/>
              </w:rPr>
            </w:pPr>
            <w:r w:rsidRPr="00723037">
              <w:rPr>
                <w:rFonts w:cs="Times New Roman"/>
                <w:color w:val="auto"/>
                <w:sz w:val="20"/>
                <w:szCs w:val="20"/>
                <w:lang w:eastAsia="pl-PL"/>
              </w:rPr>
              <w:t>Osoby bierne zawodowo (w tys.)</w:t>
            </w:r>
          </w:p>
        </w:tc>
        <w:tc>
          <w:tcPr>
            <w:tcW w:w="3969" w:type="dxa"/>
          </w:tcPr>
          <w:p w14:paraId="465F4BDF"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ogółem</w:t>
            </w:r>
          </w:p>
        </w:tc>
        <w:tc>
          <w:tcPr>
            <w:tcW w:w="3256" w:type="dxa"/>
          </w:tcPr>
          <w:p w14:paraId="50EE9263"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872</w:t>
            </w:r>
          </w:p>
        </w:tc>
      </w:tr>
      <w:tr w:rsidR="00723037" w:rsidRPr="00723037" w14:paraId="36F13B91" w14:textId="77777777" w:rsidTr="00B42083">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842" w:type="dxa"/>
            <w:vMerge/>
          </w:tcPr>
          <w:p w14:paraId="2B7443D4" w14:textId="77777777" w:rsidR="00723037" w:rsidRPr="00723037" w:rsidRDefault="00723037" w:rsidP="00EB7DC7">
            <w:pPr>
              <w:rPr>
                <w:rFonts w:cs="Times New Roman"/>
                <w:b w:val="0"/>
                <w:color w:val="auto"/>
                <w:sz w:val="20"/>
                <w:szCs w:val="20"/>
                <w:lang w:eastAsia="pl-PL"/>
              </w:rPr>
            </w:pPr>
          </w:p>
        </w:tc>
        <w:tc>
          <w:tcPr>
            <w:tcW w:w="3969" w:type="dxa"/>
          </w:tcPr>
          <w:p w14:paraId="265AE645"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w tym w wieku 60+</w:t>
            </w:r>
          </w:p>
        </w:tc>
        <w:tc>
          <w:tcPr>
            <w:tcW w:w="3256" w:type="dxa"/>
          </w:tcPr>
          <w:p w14:paraId="0840BF22"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579</w:t>
            </w:r>
          </w:p>
        </w:tc>
      </w:tr>
      <w:tr w:rsidR="00723037" w:rsidRPr="00723037" w14:paraId="1061DA82"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1842" w:type="dxa"/>
            <w:vMerge w:val="restart"/>
          </w:tcPr>
          <w:p w14:paraId="5F86F6B3" w14:textId="77777777" w:rsidR="00723037" w:rsidRPr="00723037" w:rsidRDefault="00723037" w:rsidP="00EB7DC7">
            <w:pPr>
              <w:rPr>
                <w:rFonts w:cs="Times New Roman"/>
                <w:b w:val="0"/>
                <w:color w:val="auto"/>
                <w:sz w:val="20"/>
                <w:szCs w:val="20"/>
                <w:lang w:eastAsia="pl-PL"/>
              </w:rPr>
            </w:pPr>
            <w:r w:rsidRPr="00723037">
              <w:rPr>
                <w:rFonts w:cs="Times New Roman"/>
                <w:color w:val="auto"/>
                <w:sz w:val="20"/>
                <w:szCs w:val="20"/>
                <w:lang w:eastAsia="pl-PL"/>
              </w:rPr>
              <w:t>Współczynnik aktywności zawodowej %</w:t>
            </w:r>
          </w:p>
        </w:tc>
        <w:tc>
          <w:tcPr>
            <w:tcW w:w="3969" w:type="dxa"/>
          </w:tcPr>
          <w:p w14:paraId="57B326BD"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Ogółem</w:t>
            </w:r>
          </w:p>
        </w:tc>
        <w:tc>
          <w:tcPr>
            <w:tcW w:w="3256" w:type="dxa"/>
          </w:tcPr>
          <w:p w14:paraId="0EE20837"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56,6</w:t>
            </w:r>
          </w:p>
        </w:tc>
      </w:tr>
      <w:tr w:rsidR="00723037" w:rsidRPr="00723037" w14:paraId="1CA0B189" w14:textId="77777777" w:rsidTr="00B4208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842" w:type="dxa"/>
            <w:vMerge/>
          </w:tcPr>
          <w:p w14:paraId="15086D5E" w14:textId="77777777" w:rsidR="00723037" w:rsidRPr="00723037" w:rsidRDefault="00723037" w:rsidP="00EB7DC7">
            <w:pPr>
              <w:rPr>
                <w:rFonts w:cs="Times New Roman"/>
                <w:b w:val="0"/>
                <w:color w:val="auto"/>
                <w:sz w:val="20"/>
                <w:szCs w:val="20"/>
                <w:lang w:eastAsia="pl-PL"/>
              </w:rPr>
            </w:pPr>
          </w:p>
        </w:tc>
        <w:tc>
          <w:tcPr>
            <w:tcW w:w="3969" w:type="dxa"/>
          </w:tcPr>
          <w:p w14:paraId="7F587534"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w tym w wieku 60+</w:t>
            </w:r>
          </w:p>
        </w:tc>
        <w:tc>
          <w:tcPr>
            <w:tcW w:w="3256" w:type="dxa"/>
          </w:tcPr>
          <w:p w14:paraId="7F9545B8"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14,2</w:t>
            </w:r>
          </w:p>
        </w:tc>
      </w:tr>
      <w:tr w:rsidR="00723037" w:rsidRPr="00723037" w14:paraId="755ECF1D" w14:textId="77777777" w:rsidTr="00EB7DC7">
        <w:trPr>
          <w:trHeight w:val="143"/>
        </w:trPr>
        <w:tc>
          <w:tcPr>
            <w:cnfStyle w:val="001000000000" w:firstRow="0" w:lastRow="0" w:firstColumn="1" w:lastColumn="0" w:oddVBand="0" w:evenVBand="0" w:oddHBand="0" w:evenHBand="0" w:firstRowFirstColumn="0" w:firstRowLastColumn="0" w:lastRowFirstColumn="0" w:lastRowLastColumn="0"/>
            <w:tcW w:w="1842" w:type="dxa"/>
            <w:vMerge w:val="restart"/>
          </w:tcPr>
          <w:p w14:paraId="5BC79AD3" w14:textId="77777777" w:rsidR="00723037" w:rsidRPr="00723037" w:rsidRDefault="00723037" w:rsidP="00EB7DC7">
            <w:pPr>
              <w:rPr>
                <w:rFonts w:cs="Times New Roman"/>
                <w:b w:val="0"/>
                <w:color w:val="auto"/>
                <w:sz w:val="20"/>
                <w:szCs w:val="20"/>
                <w:lang w:eastAsia="pl-PL"/>
              </w:rPr>
            </w:pPr>
            <w:r w:rsidRPr="00723037">
              <w:rPr>
                <w:rFonts w:cs="Times New Roman"/>
                <w:color w:val="auto"/>
                <w:sz w:val="20"/>
                <w:szCs w:val="20"/>
                <w:lang w:eastAsia="pl-PL"/>
              </w:rPr>
              <w:t>Wskaźnik zatrudnienia %</w:t>
            </w:r>
          </w:p>
        </w:tc>
        <w:tc>
          <w:tcPr>
            <w:tcW w:w="3969" w:type="dxa"/>
          </w:tcPr>
          <w:p w14:paraId="138B8A7D"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ogółem</w:t>
            </w:r>
          </w:p>
        </w:tc>
        <w:tc>
          <w:tcPr>
            <w:tcW w:w="3256" w:type="dxa"/>
          </w:tcPr>
          <w:p w14:paraId="6B4C9E39"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54,8</w:t>
            </w:r>
          </w:p>
        </w:tc>
      </w:tr>
      <w:tr w:rsidR="00723037" w:rsidRPr="00723037" w14:paraId="504FBA65" w14:textId="77777777" w:rsidTr="00B4208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42" w:type="dxa"/>
            <w:vMerge/>
          </w:tcPr>
          <w:p w14:paraId="513C86A4" w14:textId="77777777" w:rsidR="00723037" w:rsidRPr="00723037" w:rsidRDefault="00723037" w:rsidP="00EB7DC7">
            <w:pPr>
              <w:rPr>
                <w:rFonts w:cs="Times New Roman"/>
                <w:b w:val="0"/>
                <w:color w:val="auto"/>
                <w:sz w:val="20"/>
                <w:szCs w:val="20"/>
                <w:lang w:eastAsia="pl-PL"/>
              </w:rPr>
            </w:pPr>
          </w:p>
        </w:tc>
        <w:tc>
          <w:tcPr>
            <w:tcW w:w="3969" w:type="dxa"/>
          </w:tcPr>
          <w:p w14:paraId="1A062C34"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w tym w wieku 60+</w:t>
            </w:r>
          </w:p>
        </w:tc>
        <w:tc>
          <w:tcPr>
            <w:tcW w:w="3256" w:type="dxa"/>
          </w:tcPr>
          <w:p w14:paraId="79DA8C92"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13,9</w:t>
            </w:r>
          </w:p>
        </w:tc>
      </w:tr>
      <w:tr w:rsidR="00723037" w:rsidRPr="00723037" w14:paraId="64BE187E" w14:textId="77777777" w:rsidTr="00EB7DC7">
        <w:trPr>
          <w:trHeight w:val="282"/>
        </w:trPr>
        <w:tc>
          <w:tcPr>
            <w:cnfStyle w:val="001000000000" w:firstRow="0" w:lastRow="0" w:firstColumn="1" w:lastColumn="0" w:oddVBand="0" w:evenVBand="0" w:oddHBand="0" w:evenHBand="0" w:firstRowFirstColumn="0" w:firstRowLastColumn="0" w:lastRowFirstColumn="0" w:lastRowLastColumn="0"/>
            <w:tcW w:w="1842" w:type="dxa"/>
            <w:vMerge w:val="restart"/>
          </w:tcPr>
          <w:p w14:paraId="1DAE8A30" w14:textId="77777777" w:rsidR="00723037" w:rsidRPr="00723037" w:rsidRDefault="00723037" w:rsidP="00EB7DC7">
            <w:pPr>
              <w:rPr>
                <w:rFonts w:cs="Times New Roman"/>
                <w:b w:val="0"/>
                <w:color w:val="auto"/>
                <w:sz w:val="20"/>
                <w:szCs w:val="20"/>
                <w:lang w:eastAsia="pl-PL"/>
              </w:rPr>
            </w:pPr>
            <w:r w:rsidRPr="00723037">
              <w:rPr>
                <w:rFonts w:eastAsia="Times New Roman" w:cs="Times New Roman"/>
                <w:color w:val="auto"/>
                <w:sz w:val="20"/>
                <w:szCs w:val="20"/>
                <w:lang w:eastAsia="pl-PL"/>
              </w:rPr>
              <w:t xml:space="preserve">Osoby bierne zawodowo  w wieku 60 lat i więcej według wybranych przyczyn bierności </w:t>
            </w:r>
            <w:r w:rsidRPr="00723037">
              <w:rPr>
                <w:rFonts w:eastAsia="Times New Roman" w:cs="Times New Roman"/>
                <w:color w:val="auto"/>
                <w:sz w:val="20"/>
                <w:szCs w:val="20"/>
                <w:lang w:eastAsia="pl-PL"/>
              </w:rPr>
              <w:br/>
              <w:t>(w tys.)</w:t>
            </w:r>
          </w:p>
        </w:tc>
        <w:tc>
          <w:tcPr>
            <w:tcW w:w="3969" w:type="dxa"/>
          </w:tcPr>
          <w:p w14:paraId="4BF81094"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ogółem</w:t>
            </w:r>
          </w:p>
        </w:tc>
        <w:tc>
          <w:tcPr>
            <w:tcW w:w="3256" w:type="dxa"/>
          </w:tcPr>
          <w:p w14:paraId="06A0E000"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579</w:t>
            </w:r>
          </w:p>
        </w:tc>
      </w:tr>
      <w:tr w:rsidR="00723037" w:rsidRPr="00723037" w14:paraId="6FA1EA91"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42" w:type="dxa"/>
            <w:vMerge/>
          </w:tcPr>
          <w:p w14:paraId="6BBE9853" w14:textId="77777777" w:rsidR="00723037" w:rsidRPr="00723037" w:rsidRDefault="00723037" w:rsidP="00EB7DC7">
            <w:pPr>
              <w:rPr>
                <w:rFonts w:eastAsia="Times New Roman" w:cs="Times New Roman"/>
                <w:b w:val="0"/>
                <w:bCs w:val="0"/>
                <w:color w:val="auto"/>
                <w:sz w:val="20"/>
                <w:szCs w:val="20"/>
                <w:lang w:eastAsia="pl-PL"/>
              </w:rPr>
            </w:pPr>
          </w:p>
        </w:tc>
        <w:tc>
          <w:tcPr>
            <w:tcW w:w="7225" w:type="dxa"/>
            <w:gridSpan w:val="2"/>
          </w:tcPr>
          <w:p w14:paraId="09E6A057"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w tym:</w:t>
            </w:r>
          </w:p>
        </w:tc>
      </w:tr>
      <w:tr w:rsidR="00723037" w:rsidRPr="00723037" w14:paraId="0E31820C" w14:textId="77777777" w:rsidTr="00EB7DC7">
        <w:trPr>
          <w:trHeight w:val="280"/>
        </w:trPr>
        <w:tc>
          <w:tcPr>
            <w:cnfStyle w:val="001000000000" w:firstRow="0" w:lastRow="0" w:firstColumn="1" w:lastColumn="0" w:oddVBand="0" w:evenVBand="0" w:oddHBand="0" w:evenHBand="0" w:firstRowFirstColumn="0" w:firstRowLastColumn="0" w:lastRowFirstColumn="0" w:lastRowLastColumn="0"/>
            <w:tcW w:w="1842" w:type="dxa"/>
            <w:vMerge/>
          </w:tcPr>
          <w:p w14:paraId="31B0A906" w14:textId="77777777" w:rsidR="00723037" w:rsidRPr="00723037" w:rsidRDefault="00723037" w:rsidP="00EB7DC7">
            <w:pPr>
              <w:rPr>
                <w:rFonts w:eastAsia="Times New Roman" w:cs="Times New Roman"/>
                <w:b w:val="0"/>
                <w:bCs w:val="0"/>
                <w:color w:val="auto"/>
                <w:sz w:val="20"/>
                <w:szCs w:val="20"/>
                <w:lang w:eastAsia="pl-PL"/>
              </w:rPr>
            </w:pPr>
          </w:p>
        </w:tc>
        <w:tc>
          <w:tcPr>
            <w:tcW w:w="3969" w:type="dxa"/>
          </w:tcPr>
          <w:p w14:paraId="615117D4"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723037">
              <w:rPr>
                <w:rFonts w:eastAsia="Times New Roman" w:cs="Times New Roman"/>
                <w:color w:val="auto"/>
                <w:sz w:val="20"/>
                <w:szCs w:val="20"/>
                <w:lang w:eastAsia="pl-PL"/>
              </w:rPr>
              <w:t>osoby nieposzukujące pracy - razem</w:t>
            </w:r>
          </w:p>
        </w:tc>
        <w:tc>
          <w:tcPr>
            <w:tcW w:w="3256" w:type="dxa"/>
          </w:tcPr>
          <w:p w14:paraId="7F0C193F"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578</w:t>
            </w:r>
          </w:p>
        </w:tc>
      </w:tr>
      <w:tr w:rsidR="00723037" w:rsidRPr="00723037" w14:paraId="3774EAC1"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42" w:type="dxa"/>
            <w:vMerge/>
          </w:tcPr>
          <w:p w14:paraId="1C56B917" w14:textId="77777777" w:rsidR="00723037" w:rsidRPr="00723037" w:rsidRDefault="00723037" w:rsidP="00EB7DC7">
            <w:pPr>
              <w:rPr>
                <w:rFonts w:eastAsia="Times New Roman" w:cs="Times New Roman"/>
                <w:b w:val="0"/>
                <w:bCs w:val="0"/>
                <w:color w:val="auto"/>
                <w:sz w:val="20"/>
                <w:szCs w:val="20"/>
                <w:lang w:eastAsia="pl-PL"/>
              </w:rPr>
            </w:pPr>
          </w:p>
        </w:tc>
        <w:tc>
          <w:tcPr>
            <w:tcW w:w="3969" w:type="dxa"/>
          </w:tcPr>
          <w:p w14:paraId="460759B5"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eastAsia="Times New Roman" w:cs="Times New Roman"/>
                <w:color w:val="auto"/>
                <w:sz w:val="20"/>
                <w:szCs w:val="20"/>
                <w:lang w:eastAsia="pl-PL"/>
              </w:rPr>
              <w:t>osoby nieposzukujące pracy - emerytura</w:t>
            </w:r>
          </w:p>
        </w:tc>
        <w:tc>
          <w:tcPr>
            <w:tcW w:w="3256" w:type="dxa"/>
          </w:tcPr>
          <w:p w14:paraId="230950FE"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547</w:t>
            </w:r>
          </w:p>
        </w:tc>
      </w:tr>
      <w:tr w:rsidR="00723037" w:rsidRPr="00723037" w14:paraId="32C9B4BB" w14:textId="77777777" w:rsidTr="00B42083">
        <w:trPr>
          <w:trHeight w:val="729"/>
        </w:trPr>
        <w:tc>
          <w:tcPr>
            <w:cnfStyle w:val="001000000000" w:firstRow="0" w:lastRow="0" w:firstColumn="1" w:lastColumn="0" w:oddVBand="0" w:evenVBand="0" w:oddHBand="0" w:evenHBand="0" w:firstRowFirstColumn="0" w:firstRowLastColumn="0" w:lastRowFirstColumn="0" w:lastRowLastColumn="0"/>
            <w:tcW w:w="1842" w:type="dxa"/>
            <w:vMerge/>
          </w:tcPr>
          <w:p w14:paraId="1B5EB6B9" w14:textId="77777777" w:rsidR="00723037" w:rsidRPr="00723037" w:rsidRDefault="00723037" w:rsidP="00EB7DC7">
            <w:pPr>
              <w:rPr>
                <w:rFonts w:eastAsia="Times New Roman" w:cs="Times New Roman"/>
                <w:b w:val="0"/>
                <w:bCs w:val="0"/>
                <w:color w:val="auto"/>
                <w:sz w:val="20"/>
                <w:szCs w:val="20"/>
                <w:lang w:eastAsia="pl-PL"/>
              </w:rPr>
            </w:pPr>
          </w:p>
        </w:tc>
        <w:tc>
          <w:tcPr>
            <w:tcW w:w="3969" w:type="dxa"/>
          </w:tcPr>
          <w:p w14:paraId="1B948B0F"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eastAsia="Times New Roman" w:cs="Times New Roman"/>
                <w:color w:val="auto"/>
                <w:sz w:val="20"/>
                <w:szCs w:val="20"/>
                <w:lang w:eastAsia="pl-PL"/>
              </w:rPr>
              <w:t>osoby nieposzukujące pracy - choroba, niepełnosprawność</w:t>
            </w:r>
          </w:p>
        </w:tc>
        <w:tc>
          <w:tcPr>
            <w:tcW w:w="3256" w:type="dxa"/>
          </w:tcPr>
          <w:p w14:paraId="2CA78C9A"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24</w:t>
            </w:r>
          </w:p>
        </w:tc>
      </w:tr>
      <w:tr w:rsidR="00723037" w:rsidRPr="00723037" w14:paraId="7655841B" w14:textId="77777777" w:rsidTr="00EB7D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42" w:type="dxa"/>
            <w:vMerge w:val="restart"/>
          </w:tcPr>
          <w:p w14:paraId="7F273A07" w14:textId="77777777" w:rsidR="00723037" w:rsidRPr="00723037" w:rsidRDefault="00723037" w:rsidP="00EB7DC7">
            <w:pPr>
              <w:rPr>
                <w:rFonts w:eastAsia="Times New Roman" w:cs="Times New Roman"/>
                <w:b w:val="0"/>
                <w:bCs w:val="0"/>
                <w:color w:val="auto"/>
                <w:sz w:val="20"/>
                <w:szCs w:val="20"/>
                <w:lang w:eastAsia="pl-PL"/>
              </w:rPr>
            </w:pPr>
            <w:r w:rsidRPr="00723037">
              <w:rPr>
                <w:rFonts w:eastAsia="Times New Roman" w:cs="Times New Roman"/>
                <w:color w:val="auto"/>
                <w:sz w:val="20"/>
                <w:szCs w:val="20"/>
                <w:lang w:eastAsia="pl-PL"/>
              </w:rPr>
              <w:lastRenderedPageBreak/>
              <w:t>Osoby bezrobotne zarejestrowane w urzędach pracy (w tys.)</w:t>
            </w:r>
          </w:p>
        </w:tc>
        <w:tc>
          <w:tcPr>
            <w:tcW w:w="3969" w:type="dxa"/>
          </w:tcPr>
          <w:p w14:paraId="1EEA256B"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ogółem</w:t>
            </w:r>
          </w:p>
        </w:tc>
        <w:tc>
          <w:tcPr>
            <w:tcW w:w="3256" w:type="dxa"/>
          </w:tcPr>
          <w:p w14:paraId="17AA2B8D"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67,8</w:t>
            </w:r>
          </w:p>
        </w:tc>
      </w:tr>
      <w:tr w:rsidR="00723037" w:rsidRPr="00723037" w14:paraId="4F637089" w14:textId="77777777" w:rsidTr="00EB7DC7">
        <w:trPr>
          <w:trHeight w:val="284"/>
        </w:trPr>
        <w:tc>
          <w:tcPr>
            <w:cnfStyle w:val="001000000000" w:firstRow="0" w:lastRow="0" w:firstColumn="1" w:lastColumn="0" w:oddVBand="0" w:evenVBand="0" w:oddHBand="0" w:evenHBand="0" w:firstRowFirstColumn="0" w:firstRowLastColumn="0" w:lastRowFirstColumn="0" w:lastRowLastColumn="0"/>
            <w:tcW w:w="1842" w:type="dxa"/>
            <w:vMerge/>
          </w:tcPr>
          <w:p w14:paraId="49B9EF60" w14:textId="77777777" w:rsidR="00723037" w:rsidRPr="00723037" w:rsidRDefault="00723037" w:rsidP="00EB7DC7">
            <w:pPr>
              <w:rPr>
                <w:rFonts w:eastAsia="Times New Roman" w:cs="Times New Roman"/>
                <w:b w:val="0"/>
                <w:bCs w:val="0"/>
                <w:color w:val="auto"/>
                <w:sz w:val="20"/>
                <w:szCs w:val="20"/>
                <w:lang w:eastAsia="pl-PL"/>
              </w:rPr>
            </w:pPr>
          </w:p>
        </w:tc>
        <w:tc>
          <w:tcPr>
            <w:tcW w:w="3969" w:type="dxa"/>
          </w:tcPr>
          <w:p w14:paraId="7D21218B"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w tym w wieku 60+</w:t>
            </w:r>
          </w:p>
        </w:tc>
        <w:tc>
          <w:tcPr>
            <w:tcW w:w="3256" w:type="dxa"/>
          </w:tcPr>
          <w:p w14:paraId="7B10D25F"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5,2</w:t>
            </w:r>
          </w:p>
        </w:tc>
      </w:tr>
      <w:tr w:rsidR="00723037" w:rsidRPr="00723037" w14:paraId="5F3C830B" w14:textId="77777777" w:rsidTr="00EB7DC7">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842" w:type="dxa"/>
            <w:vMerge w:val="restart"/>
          </w:tcPr>
          <w:p w14:paraId="34E11282" w14:textId="77777777" w:rsidR="00723037" w:rsidRPr="00723037" w:rsidRDefault="00723037" w:rsidP="00EB7DC7">
            <w:pPr>
              <w:rPr>
                <w:rFonts w:eastAsia="Times New Roman" w:cs="Times New Roman"/>
                <w:b w:val="0"/>
                <w:bCs w:val="0"/>
                <w:color w:val="auto"/>
                <w:sz w:val="20"/>
                <w:szCs w:val="20"/>
                <w:lang w:eastAsia="pl-PL"/>
              </w:rPr>
            </w:pPr>
            <w:r w:rsidRPr="00723037">
              <w:rPr>
                <w:rFonts w:eastAsia="Times New Roman" w:cs="Times New Roman"/>
                <w:color w:val="auto"/>
                <w:sz w:val="20"/>
                <w:szCs w:val="20"/>
                <w:lang w:eastAsia="pl-PL"/>
              </w:rPr>
              <w:t xml:space="preserve">Osoby pobierające renty </w:t>
            </w:r>
            <w:r w:rsidRPr="00723037">
              <w:rPr>
                <w:rFonts w:eastAsia="Times New Roman" w:cs="Times New Roman"/>
                <w:color w:val="auto"/>
                <w:sz w:val="20"/>
                <w:szCs w:val="20"/>
                <w:lang w:eastAsia="pl-PL"/>
              </w:rPr>
              <w:br/>
              <w:t xml:space="preserve">i emerytury </w:t>
            </w:r>
          </w:p>
        </w:tc>
        <w:tc>
          <w:tcPr>
            <w:tcW w:w="7225" w:type="dxa"/>
            <w:gridSpan w:val="2"/>
          </w:tcPr>
          <w:p w14:paraId="398FDDCB" w14:textId="77777777" w:rsidR="00723037" w:rsidRPr="00723037" w:rsidRDefault="00723037" w:rsidP="00EB7DC7">
            <w:pPr>
              <w:tabs>
                <w:tab w:val="left" w:pos="1725"/>
                <w:tab w:val="center" w:pos="2363"/>
              </w:tabs>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723037">
              <w:rPr>
                <w:rFonts w:cs="Times New Roman"/>
                <w:b/>
                <w:color w:val="auto"/>
                <w:sz w:val="20"/>
                <w:szCs w:val="20"/>
              </w:rPr>
              <w:t>ZUS</w:t>
            </w:r>
          </w:p>
        </w:tc>
      </w:tr>
      <w:tr w:rsidR="00723037" w:rsidRPr="00723037" w14:paraId="6F218255" w14:textId="77777777" w:rsidTr="00EB7DC7">
        <w:trPr>
          <w:trHeight w:val="189"/>
        </w:trPr>
        <w:tc>
          <w:tcPr>
            <w:cnfStyle w:val="001000000000" w:firstRow="0" w:lastRow="0" w:firstColumn="1" w:lastColumn="0" w:oddVBand="0" w:evenVBand="0" w:oddHBand="0" w:evenHBand="0" w:firstRowFirstColumn="0" w:firstRowLastColumn="0" w:lastRowFirstColumn="0" w:lastRowLastColumn="0"/>
            <w:tcW w:w="1842" w:type="dxa"/>
            <w:vMerge/>
          </w:tcPr>
          <w:p w14:paraId="2F7C3615" w14:textId="77777777" w:rsidR="00723037" w:rsidRPr="00723037" w:rsidRDefault="00723037" w:rsidP="00EB7DC7">
            <w:pPr>
              <w:rPr>
                <w:rFonts w:eastAsia="Times New Roman" w:cs="Times New Roman"/>
                <w:b w:val="0"/>
                <w:bCs w:val="0"/>
                <w:color w:val="auto"/>
                <w:sz w:val="20"/>
                <w:szCs w:val="20"/>
                <w:lang w:eastAsia="pl-PL"/>
              </w:rPr>
            </w:pPr>
          </w:p>
        </w:tc>
        <w:tc>
          <w:tcPr>
            <w:tcW w:w="3969" w:type="dxa"/>
          </w:tcPr>
          <w:p w14:paraId="4B338B7C" w14:textId="77777777" w:rsidR="00723037" w:rsidRPr="00723037" w:rsidRDefault="00723037" w:rsidP="00EB7DC7">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723037">
              <w:rPr>
                <w:rFonts w:cs="Times New Roman"/>
                <w:b/>
                <w:color w:val="auto"/>
                <w:sz w:val="20"/>
                <w:szCs w:val="20"/>
              </w:rPr>
              <w:t>Rodzaj świadczenia</w:t>
            </w:r>
          </w:p>
        </w:tc>
        <w:tc>
          <w:tcPr>
            <w:tcW w:w="3256" w:type="dxa"/>
          </w:tcPr>
          <w:p w14:paraId="137AF54F" w14:textId="77777777" w:rsidR="00723037" w:rsidRPr="00723037" w:rsidRDefault="00723037" w:rsidP="00EB7DC7">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723037">
              <w:rPr>
                <w:rFonts w:cs="Times New Roman"/>
                <w:b/>
                <w:color w:val="auto"/>
                <w:sz w:val="20"/>
                <w:szCs w:val="20"/>
              </w:rPr>
              <w:t>Przeciętna miesięczna liczba emerytów i rencistów (w tys.)</w:t>
            </w:r>
          </w:p>
        </w:tc>
      </w:tr>
      <w:tr w:rsidR="00723037" w:rsidRPr="00723037" w14:paraId="7FB5A3C3" w14:textId="77777777" w:rsidTr="00EB7DC7">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842" w:type="dxa"/>
            <w:vMerge/>
          </w:tcPr>
          <w:p w14:paraId="7391DE47" w14:textId="77777777" w:rsidR="00723037" w:rsidRPr="00723037" w:rsidRDefault="00723037" w:rsidP="00EB7DC7">
            <w:pPr>
              <w:rPr>
                <w:rFonts w:eastAsia="Times New Roman" w:cs="Times New Roman"/>
                <w:b w:val="0"/>
                <w:bCs w:val="0"/>
                <w:color w:val="auto"/>
                <w:sz w:val="20"/>
                <w:szCs w:val="20"/>
                <w:lang w:eastAsia="pl-PL"/>
              </w:rPr>
            </w:pPr>
          </w:p>
        </w:tc>
        <w:tc>
          <w:tcPr>
            <w:tcW w:w="3969" w:type="dxa"/>
          </w:tcPr>
          <w:p w14:paraId="3E093D1C"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Emerytury</w:t>
            </w:r>
          </w:p>
        </w:tc>
        <w:tc>
          <w:tcPr>
            <w:tcW w:w="3256" w:type="dxa"/>
          </w:tcPr>
          <w:p w14:paraId="037A23A2"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428,7</w:t>
            </w:r>
          </w:p>
        </w:tc>
      </w:tr>
      <w:tr w:rsidR="00723037" w:rsidRPr="00723037" w14:paraId="7113E43F" w14:textId="77777777" w:rsidTr="00EB7DC7">
        <w:trPr>
          <w:trHeight w:val="142"/>
        </w:trPr>
        <w:tc>
          <w:tcPr>
            <w:cnfStyle w:val="001000000000" w:firstRow="0" w:lastRow="0" w:firstColumn="1" w:lastColumn="0" w:oddVBand="0" w:evenVBand="0" w:oddHBand="0" w:evenHBand="0" w:firstRowFirstColumn="0" w:firstRowLastColumn="0" w:lastRowFirstColumn="0" w:lastRowLastColumn="0"/>
            <w:tcW w:w="1842" w:type="dxa"/>
            <w:vMerge/>
          </w:tcPr>
          <w:p w14:paraId="76586C98" w14:textId="77777777" w:rsidR="00723037" w:rsidRPr="00723037" w:rsidRDefault="00723037" w:rsidP="00EB7DC7">
            <w:pPr>
              <w:rPr>
                <w:rFonts w:eastAsia="Times New Roman" w:cs="Times New Roman"/>
                <w:b w:val="0"/>
                <w:bCs w:val="0"/>
                <w:color w:val="auto"/>
                <w:sz w:val="20"/>
                <w:szCs w:val="20"/>
                <w:lang w:eastAsia="pl-PL"/>
              </w:rPr>
            </w:pPr>
          </w:p>
        </w:tc>
        <w:tc>
          <w:tcPr>
            <w:tcW w:w="3969" w:type="dxa"/>
          </w:tcPr>
          <w:p w14:paraId="394AEDB1"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Renty z tytułu niezdolności do pracy</w:t>
            </w:r>
          </w:p>
        </w:tc>
        <w:tc>
          <w:tcPr>
            <w:tcW w:w="3256" w:type="dxa"/>
          </w:tcPr>
          <w:p w14:paraId="0A8D7D7D"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39,4</w:t>
            </w:r>
          </w:p>
        </w:tc>
      </w:tr>
      <w:tr w:rsidR="00723037" w:rsidRPr="00723037" w14:paraId="57351DCC" w14:textId="77777777" w:rsidTr="00EB7DC7">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42" w:type="dxa"/>
            <w:vMerge/>
          </w:tcPr>
          <w:p w14:paraId="23283BCD" w14:textId="77777777" w:rsidR="00723037" w:rsidRPr="00723037" w:rsidRDefault="00723037" w:rsidP="00EB7DC7">
            <w:pPr>
              <w:rPr>
                <w:rFonts w:eastAsia="Times New Roman" w:cs="Times New Roman"/>
                <w:b w:val="0"/>
                <w:bCs w:val="0"/>
                <w:color w:val="auto"/>
                <w:sz w:val="20"/>
                <w:szCs w:val="20"/>
                <w:lang w:eastAsia="pl-PL"/>
              </w:rPr>
            </w:pPr>
          </w:p>
        </w:tc>
        <w:tc>
          <w:tcPr>
            <w:tcW w:w="3969" w:type="dxa"/>
          </w:tcPr>
          <w:p w14:paraId="598AE523"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Renty rodzinne</w:t>
            </w:r>
          </w:p>
        </w:tc>
        <w:tc>
          <w:tcPr>
            <w:tcW w:w="3256" w:type="dxa"/>
          </w:tcPr>
          <w:p w14:paraId="40855C5C"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76,1</w:t>
            </w:r>
          </w:p>
        </w:tc>
      </w:tr>
      <w:tr w:rsidR="00723037" w:rsidRPr="00723037" w14:paraId="3630A73F" w14:textId="77777777" w:rsidTr="00EB7DC7">
        <w:trPr>
          <w:trHeight w:val="284"/>
        </w:trPr>
        <w:tc>
          <w:tcPr>
            <w:cnfStyle w:val="001000000000" w:firstRow="0" w:lastRow="0" w:firstColumn="1" w:lastColumn="0" w:oddVBand="0" w:evenVBand="0" w:oddHBand="0" w:evenHBand="0" w:firstRowFirstColumn="0" w:firstRowLastColumn="0" w:lastRowFirstColumn="0" w:lastRowLastColumn="0"/>
            <w:tcW w:w="1842" w:type="dxa"/>
            <w:vMerge/>
          </w:tcPr>
          <w:p w14:paraId="2BC4F5ED" w14:textId="77777777" w:rsidR="00723037" w:rsidRPr="00723037" w:rsidRDefault="00723037" w:rsidP="00EB7DC7">
            <w:pPr>
              <w:rPr>
                <w:rFonts w:eastAsia="Times New Roman" w:cs="Times New Roman"/>
                <w:b w:val="0"/>
                <w:bCs w:val="0"/>
                <w:color w:val="auto"/>
                <w:sz w:val="20"/>
                <w:szCs w:val="20"/>
                <w:lang w:eastAsia="pl-PL"/>
              </w:rPr>
            </w:pPr>
          </w:p>
        </w:tc>
        <w:tc>
          <w:tcPr>
            <w:tcW w:w="7225" w:type="dxa"/>
            <w:gridSpan w:val="2"/>
          </w:tcPr>
          <w:p w14:paraId="3E1B3E45" w14:textId="77777777" w:rsidR="00723037" w:rsidRPr="00723037" w:rsidRDefault="00723037" w:rsidP="00EB7DC7">
            <w:pPr>
              <w:tabs>
                <w:tab w:val="left" w:pos="1507"/>
                <w:tab w:val="center" w:pos="2363"/>
              </w:tabs>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723037">
              <w:rPr>
                <w:rFonts w:cs="Times New Roman"/>
                <w:b/>
                <w:color w:val="auto"/>
                <w:sz w:val="20"/>
                <w:szCs w:val="20"/>
              </w:rPr>
              <w:t>KRUS</w:t>
            </w:r>
          </w:p>
        </w:tc>
      </w:tr>
      <w:tr w:rsidR="00723037" w:rsidRPr="00723037" w14:paraId="1F6125FC" w14:textId="77777777" w:rsidTr="00EB7DC7">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842" w:type="dxa"/>
            <w:vMerge/>
          </w:tcPr>
          <w:p w14:paraId="038CEEFC" w14:textId="77777777" w:rsidR="00723037" w:rsidRPr="00723037" w:rsidRDefault="00723037" w:rsidP="00EB7DC7">
            <w:pPr>
              <w:rPr>
                <w:rFonts w:eastAsia="Times New Roman" w:cs="Times New Roman"/>
                <w:b w:val="0"/>
                <w:bCs w:val="0"/>
                <w:color w:val="auto"/>
                <w:sz w:val="20"/>
                <w:szCs w:val="20"/>
                <w:lang w:eastAsia="pl-PL"/>
              </w:rPr>
            </w:pPr>
          </w:p>
        </w:tc>
        <w:tc>
          <w:tcPr>
            <w:tcW w:w="3969" w:type="dxa"/>
          </w:tcPr>
          <w:p w14:paraId="50B8FDE1" w14:textId="77777777" w:rsidR="00723037" w:rsidRPr="00723037" w:rsidRDefault="00723037"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723037">
              <w:rPr>
                <w:rFonts w:cs="Times New Roman"/>
                <w:b/>
                <w:color w:val="auto"/>
                <w:sz w:val="20"/>
                <w:szCs w:val="20"/>
              </w:rPr>
              <w:t>Rodzaj świadczenia</w:t>
            </w:r>
          </w:p>
        </w:tc>
        <w:tc>
          <w:tcPr>
            <w:tcW w:w="3256" w:type="dxa"/>
          </w:tcPr>
          <w:p w14:paraId="63F093C0" w14:textId="77777777" w:rsidR="00723037" w:rsidRPr="00723037" w:rsidRDefault="00723037"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723037">
              <w:rPr>
                <w:rFonts w:cs="Times New Roman"/>
                <w:b/>
                <w:color w:val="auto"/>
                <w:sz w:val="20"/>
                <w:szCs w:val="20"/>
              </w:rPr>
              <w:t>Przeciętna miesięczna liczba emerytów i rencistów (w tys.)</w:t>
            </w:r>
          </w:p>
        </w:tc>
      </w:tr>
      <w:tr w:rsidR="00723037" w:rsidRPr="00723037" w14:paraId="67D1F0A8"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1842" w:type="dxa"/>
            <w:vMerge/>
          </w:tcPr>
          <w:p w14:paraId="6CFB0A56" w14:textId="77777777" w:rsidR="00723037" w:rsidRPr="00723037" w:rsidRDefault="00723037" w:rsidP="00EB7DC7">
            <w:pPr>
              <w:rPr>
                <w:rFonts w:eastAsia="Times New Roman" w:cs="Times New Roman"/>
                <w:b w:val="0"/>
                <w:bCs w:val="0"/>
                <w:color w:val="auto"/>
                <w:sz w:val="20"/>
                <w:szCs w:val="20"/>
                <w:lang w:eastAsia="pl-PL"/>
              </w:rPr>
            </w:pPr>
          </w:p>
        </w:tc>
        <w:tc>
          <w:tcPr>
            <w:tcW w:w="3969" w:type="dxa"/>
          </w:tcPr>
          <w:p w14:paraId="75C8849E"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Emerytury</w:t>
            </w:r>
          </w:p>
        </w:tc>
        <w:tc>
          <w:tcPr>
            <w:tcW w:w="3256" w:type="dxa"/>
          </w:tcPr>
          <w:p w14:paraId="28949983"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78,0</w:t>
            </w:r>
          </w:p>
        </w:tc>
      </w:tr>
      <w:tr w:rsidR="00723037" w:rsidRPr="00723037" w14:paraId="01CE25EC" w14:textId="77777777" w:rsidTr="00EB7DC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842" w:type="dxa"/>
            <w:vMerge/>
          </w:tcPr>
          <w:p w14:paraId="7C0A5477" w14:textId="77777777" w:rsidR="00723037" w:rsidRPr="00723037" w:rsidRDefault="00723037" w:rsidP="00EB7DC7">
            <w:pPr>
              <w:rPr>
                <w:rFonts w:eastAsia="Times New Roman" w:cs="Times New Roman"/>
                <w:b w:val="0"/>
                <w:bCs w:val="0"/>
                <w:color w:val="auto"/>
                <w:sz w:val="20"/>
                <w:szCs w:val="20"/>
                <w:lang w:eastAsia="pl-PL"/>
              </w:rPr>
            </w:pPr>
          </w:p>
        </w:tc>
        <w:tc>
          <w:tcPr>
            <w:tcW w:w="3969" w:type="dxa"/>
          </w:tcPr>
          <w:p w14:paraId="3357479A"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Renty z tytułu niezdolności do pracy</w:t>
            </w:r>
          </w:p>
        </w:tc>
        <w:tc>
          <w:tcPr>
            <w:tcW w:w="3256" w:type="dxa"/>
          </w:tcPr>
          <w:p w14:paraId="3662A7DA" w14:textId="77777777" w:rsidR="00723037" w:rsidRPr="00723037" w:rsidRDefault="00723037"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23037">
              <w:rPr>
                <w:rFonts w:cs="Times New Roman"/>
                <w:color w:val="auto"/>
                <w:sz w:val="20"/>
                <w:szCs w:val="20"/>
              </w:rPr>
              <w:t>11,3</w:t>
            </w:r>
          </w:p>
        </w:tc>
      </w:tr>
      <w:tr w:rsidR="00723037" w:rsidRPr="00723037" w14:paraId="713E0A86"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1842" w:type="dxa"/>
            <w:vMerge/>
          </w:tcPr>
          <w:p w14:paraId="5C918C66" w14:textId="77777777" w:rsidR="00723037" w:rsidRPr="00723037" w:rsidRDefault="00723037" w:rsidP="00EB7DC7">
            <w:pPr>
              <w:rPr>
                <w:rFonts w:eastAsia="Times New Roman" w:cs="Times New Roman"/>
                <w:b w:val="0"/>
                <w:bCs w:val="0"/>
                <w:color w:val="auto"/>
                <w:sz w:val="20"/>
                <w:szCs w:val="20"/>
                <w:lang w:eastAsia="pl-PL"/>
              </w:rPr>
            </w:pPr>
          </w:p>
        </w:tc>
        <w:tc>
          <w:tcPr>
            <w:tcW w:w="3969" w:type="dxa"/>
          </w:tcPr>
          <w:p w14:paraId="56C411B4"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Renty rodzinne</w:t>
            </w:r>
          </w:p>
        </w:tc>
        <w:tc>
          <w:tcPr>
            <w:tcW w:w="3256" w:type="dxa"/>
          </w:tcPr>
          <w:p w14:paraId="3AE7FF68" w14:textId="77777777" w:rsidR="00723037" w:rsidRPr="00723037" w:rsidRDefault="00723037"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23037">
              <w:rPr>
                <w:rFonts w:cs="Times New Roman"/>
                <w:color w:val="auto"/>
                <w:sz w:val="20"/>
                <w:szCs w:val="20"/>
              </w:rPr>
              <w:t>3,4</w:t>
            </w:r>
          </w:p>
        </w:tc>
      </w:tr>
    </w:tbl>
    <w:p w14:paraId="7426BD66" w14:textId="77777777" w:rsidR="00723037" w:rsidRDefault="00723037" w:rsidP="00723037">
      <w:pPr>
        <w:tabs>
          <w:tab w:val="left" w:pos="5400"/>
        </w:tabs>
        <w:rPr>
          <w:rFonts w:eastAsia="Times New Roman" w:cs="Times New Roman"/>
          <w:b/>
          <w:szCs w:val="24"/>
          <w:lang w:eastAsia="pl-PL"/>
        </w:rPr>
      </w:pPr>
      <w:r w:rsidRPr="00432294">
        <w:rPr>
          <w:rFonts w:eastAsia="Times New Roman" w:cs="Times New Roman"/>
          <w:b/>
          <w:szCs w:val="24"/>
          <w:lang w:eastAsia="pl-PL"/>
        </w:rPr>
        <w:t xml:space="preserve">Źródło: </w:t>
      </w:r>
      <w:r w:rsidRPr="00377FB8">
        <w:rPr>
          <w:rFonts w:eastAsia="Times New Roman" w:cs="Times New Roman"/>
          <w:b/>
          <w:szCs w:val="24"/>
          <w:lang w:eastAsia="pl-PL"/>
        </w:rPr>
        <w:t>GUS</w:t>
      </w:r>
      <w:r w:rsidRPr="00432294">
        <w:rPr>
          <w:rFonts w:eastAsia="Times New Roman" w:cs="Times New Roman"/>
          <w:b/>
          <w:szCs w:val="24"/>
          <w:lang w:eastAsia="pl-PL"/>
        </w:rPr>
        <w:t xml:space="preserve">. </w:t>
      </w:r>
    </w:p>
    <w:p w14:paraId="0D3CE2AD" w14:textId="77777777" w:rsidR="00723037" w:rsidRDefault="00723037" w:rsidP="001024A6">
      <w:pPr>
        <w:rPr>
          <w:rFonts w:cs="Times New Roman"/>
          <w:b/>
          <w:color w:val="FF0000"/>
          <w:szCs w:val="24"/>
          <w:lang w:eastAsia="ar-SA"/>
        </w:rPr>
      </w:pPr>
    </w:p>
    <w:p w14:paraId="73D0BA9F" w14:textId="7779D1AB" w:rsidR="00BA4636" w:rsidRDefault="00BA4636" w:rsidP="00BA4636">
      <w:pPr>
        <w:pStyle w:val="Nagwek3"/>
        <w:rPr>
          <w:lang w:eastAsia="ar-SA"/>
        </w:rPr>
      </w:pPr>
      <w:bookmarkStart w:id="176" w:name="_Toc77513973"/>
      <w:bookmarkStart w:id="177" w:name="_Toc80523127"/>
      <w:r>
        <w:rPr>
          <w:lang w:eastAsia="ar-SA"/>
        </w:rPr>
        <w:t>Sytuacja osób niepełnosprawnych i ich opiekunów</w:t>
      </w:r>
      <w:bookmarkEnd w:id="176"/>
      <w:bookmarkEnd w:id="177"/>
    </w:p>
    <w:p w14:paraId="176D97F7" w14:textId="77777777" w:rsidR="000B1B06" w:rsidRPr="000B1B06" w:rsidRDefault="000B1B06" w:rsidP="000B1B06">
      <w:pPr>
        <w:rPr>
          <w:lang w:eastAsia="ar-SA"/>
        </w:rPr>
      </w:pPr>
    </w:p>
    <w:p w14:paraId="2994534F" w14:textId="25E228AA" w:rsidR="00BA4636" w:rsidRDefault="00994F37" w:rsidP="00BA4636">
      <w:pPr>
        <w:rPr>
          <w:rFonts w:cs="Times New Roman"/>
          <w:szCs w:val="24"/>
        </w:rPr>
      </w:pPr>
      <w:r w:rsidRPr="00994F37">
        <w:rPr>
          <w:rFonts w:cs="Times New Roman"/>
          <w:szCs w:val="24"/>
        </w:rPr>
        <w:t>Na terenie województwa łódzkiego dzieci i osoby niepełnosprawne oraz ich rodziny i</w:t>
      </w:r>
      <w:r w:rsidR="00B42083">
        <w:rPr>
          <w:rFonts w:cs="Times New Roman"/>
          <w:szCs w:val="24"/>
        </w:rPr>
        <w:t> </w:t>
      </w:r>
      <w:r w:rsidRPr="00994F37">
        <w:rPr>
          <w:rFonts w:cs="Times New Roman"/>
          <w:szCs w:val="24"/>
        </w:rPr>
        <w:t>opiekunowie, otrzymywały m.in. dodatek do świadczenia rodzinnego z tytułu kształcenia i rehabilitacji dziecka, zasiłek pielęgnacyjny, specjalny zasiłek opiekuńczy, świadczenie pielęgnacyjne, rentę socjalną. W 2020</w:t>
      </w:r>
      <w:r w:rsidR="004D289B">
        <w:rPr>
          <w:rFonts w:cs="Times New Roman"/>
          <w:szCs w:val="24"/>
        </w:rPr>
        <w:t xml:space="preserve"> r</w:t>
      </w:r>
      <w:r w:rsidR="00942717">
        <w:rPr>
          <w:rFonts w:cs="Times New Roman"/>
          <w:szCs w:val="24"/>
        </w:rPr>
        <w:t>. 1</w:t>
      </w:r>
      <w:r w:rsidRPr="00994F37">
        <w:rPr>
          <w:rFonts w:cs="Times New Roman"/>
          <w:szCs w:val="24"/>
        </w:rPr>
        <w:t xml:space="preserve">3 gmin przystąpiło do programu </w:t>
      </w:r>
      <w:r w:rsidR="00EE280C">
        <w:rPr>
          <w:rFonts w:cs="Times New Roman"/>
          <w:szCs w:val="24"/>
        </w:rPr>
        <w:t>„</w:t>
      </w:r>
      <w:r w:rsidRPr="00994F37">
        <w:rPr>
          <w:rFonts w:cs="Times New Roman"/>
          <w:szCs w:val="24"/>
        </w:rPr>
        <w:t xml:space="preserve">Asystent osobisty osoby niepełnosprawnej - edycja 2019 - 2020”. </w:t>
      </w:r>
      <w:r w:rsidR="00EE280C">
        <w:rPr>
          <w:rFonts w:cs="Times New Roman"/>
          <w:szCs w:val="24"/>
        </w:rPr>
        <w:t>W</w:t>
      </w:r>
      <w:r w:rsidRPr="00994F37">
        <w:rPr>
          <w:rFonts w:cs="Times New Roman"/>
          <w:szCs w:val="24"/>
        </w:rPr>
        <w:t xml:space="preserve"> ramach programu 124 osobom z orzeczeniem o znacznym i umiarkowanym stopniu niepełnosprawności przyznano usługi asystenckie. Ponadto osoby niepełnosprawne mogą korzystać z Programów realizowanych przez Państwowy Fundusz Rehabilitacji Osób Niepełnosprawnych.</w:t>
      </w:r>
    </w:p>
    <w:p w14:paraId="2040D6D2" w14:textId="727DF740" w:rsidR="00994F37" w:rsidRDefault="00994F37" w:rsidP="00BA4636">
      <w:pPr>
        <w:rPr>
          <w:rFonts w:cs="Times New Roman"/>
          <w:szCs w:val="24"/>
        </w:rPr>
      </w:pPr>
    </w:p>
    <w:p w14:paraId="69D05208" w14:textId="626BA888" w:rsidR="00994F37" w:rsidRDefault="00994F37" w:rsidP="00994F37">
      <w:pPr>
        <w:pStyle w:val="Nagwek3"/>
        <w:rPr>
          <w:lang w:eastAsia="ar-SA"/>
        </w:rPr>
      </w:pPr>
      <w:bookmarkStart w:id="178" w:name="_Toc77513974"/>
      <w:bookmarkStart w:id="179" w:name="_Toc80523128"/>
      <w:r w:rsidRPr="00994F37">
        <w:rPr>
          <w:lang w:eastAsia="ar-SA"/>
        </w:rPr>
        <w:t xml:space="preserve">Działania i inicjatywy realizowane na rzecz osób starszych w województwie </w:t>
      </w:r>
      <w:r>
        <w:rPr>
          <w:lang w:eastAsia="ar-SA"/>
        </w:rPr>
        <w:t>łódzkim</w:t>
      </w:r>
      <w:bookmarkEnd w:id="178"/>
      <w:bookmarkEnd w:id="179"/>
    </w:p>
    <w:p w14:paraId="572D6663" w14:textId="77777777" w:rsidR="000B1B06" w:rsidRPr="000B1B06" w:rsidRDefault="000B1B06" w:rsidP="000B1B06">
      <w:pPr>
        <w:rPr>
          <w:lang w:eastAsia="ar-SA"/>
        </w:rPr>
      </w:pPr>
    </w:p>
    <w:p w14:paraId="5EABE193" w14:textId="71DE2E75" w:rsidR="00994F37" w:rsidRPr="00994F37" w:rsidRDefault="00994F37" w:rsidP="00994F37">
      <w:pPr>
        <w:rPr>
          <w:rFonts w:cs="Times New Roman"/>
          <w:szCs w:val="24"/>
        </w:rPr>
      </w:pPr>
      <w:r w:rsidRPr="00994F37">
        <w:rPr>
          <w:rFonts w:cs="Times New Roman"/>
          <w:szCs w:val="24"/>
        </w:rPr>
        <w:t>W 2020</w:t>
      </w:r>
      <w:r w:rsidR="00EE280C">
        <w:rPr>
          <w:rFonts w:cs="Times New Roman"/>
          <w:szCs w:val="24"/>
        </w:rPr>
        <w:t xml:space="preserve"> r.</w:t>
      </w:r>
      <w:r w:rsidRPr="00994F37">
        <w:rPr>
          <w:rFonts w:cs="Times New Roman"/>
          <w:szCs w:val="24"/>
        </w:rPr>
        <w:t>, na mocy art. 21 pkt. 1 ustawy z dnia 12 marca 2004 r</w:t>
      </w:r>
      <w:r w:rsidR="00EE280C">
        <w:rPr>
          <w:rFonts w:cs="Times New Roman"/>
          <w:szCs w:val="24"/>
        </w:rPr>
        <w:t>.</w:t>
      </w:r>
      <w:r w:rsidRPr="00994F37">
        <w:rPr>
          <w:rFonts w:cs="Times New Roman"/>
          <w:szCs w:val="24"/>
        </w:rPr>
        <w:t xml:space="preserve"> o pomocy społecznej, podjęto działania związane z opracowaniem strategii wojewódzkiej w zakresie polityki społecznej. W trakcie prac nad tworzeniem dokumentu jego zapisy były konsultowane z szerokim gronem interesariuszy reprezentujących różne środowiska:</w:t>
      </w:r>
    </w:p>
    <w:p w14:paraId="58FA84EF" w14:textId="77777777" w:rsidR="004E635D" w:rsidRDefault="00994F37" w:rsidP="00FE70E3">
      <w:pPr>
        <w:pStyle w:val="Akapitzlist"/>
        <w:numPr>
          <w:ilvl w:val="0"/>
          <w:numId w:val="141"/>
        </w:numPr>
        <w:rPr>
          <w:rFonts w:cs="Times New Roman"/>
          <w:szCs w:val="24"/>
        </w:rPr>
      </w:pPr>
      <w:r w:rsidRPr="004E635D">
        <w:rPr>
          <w:rFonts w:cs="Times New Roman"/>
          <w:szCs w:val="24"/>
        </w:rPr>
        <w:t>zespołem ekspertów - praktyków i przedstawicieli świata akademickiego, jako konsultantów merytorycznych w obszarach z zakresu polityki społecznej, które odpowiadały obszarom wyodrębnionym w projekcie „Strategii Rozwoju Województwa Łódzkiego 2030”,</w:t>
      </w:r>
    </w:p>
    <w:p w14:paraId="0A5E64D5" w14:textId="77777777" w:rsidR="004E635D" w:rsidRDefault="00994F37" w:rsidP="00FE70E3">
      <w:pPr>
        <w:pStyle w:val="Akapitzlist"/>
        <w:numPr>
          <w:ilvl w:val="0"/>
          <w:numId w:val="141"/>
        </w:numPr>
        <w:rPr>
          <w:rFonts w:cs="Times New Roman"/>
          <w:szCs w:val="24"/>
        </w:rPr>
      </w:pPr>
      <w:r w:rsidRPr="004E635D">
        <w:rPr>
          <w:rFonts w:cs="Times New Roman"/>
          <w:szCs w:val="24"/>
        </w:rPr>
        <w:t>przedstawicielami instytucji z poziomu regionalnego, kluczowych dla realizacji działań w obszarze polityki społecznej (zespół roboczy ds. opracowania Strategii),</w:t>
      </w:r>
    </w:p>
    <w:p w14:paraId="1FF0D87D" w14:textId="1D0600EE" w:rsidR="00994F37" w:rsidRPr="004E635D" w:rsidRDefault="00994F37" w:rsidP="00FE70E3">
      <w:pPr>
        <w:pStyle w:val="Akapitzlist"/>
        <w:numPr>
          <w:ilvl w:val="0"/>
          <w:numId w:val="141"/>
        </w:numPr>
        <w:rPr>
          <w:rFonts w:cs="Times New Roman"/>
          <w:szCs w:val="24"/>
        </w:rPr>
      </w:pPr>
      <w:r w:rsidRPr="004E635D">
        <w:rPr>
          <w:rFonts w:cs="Times New Roman"/>
          <w:szCs w:val="24"/>
        </w:rPr>
        <w:t>przedstawicielami powiatów województwa łódzkiego.</w:t>
      </w:r>
    </w:p>
    <w:p w14:paraId="75ADF498" w14:textId="73A930D7" w:rsidR="00994F37" w:rsidRPr="00994F37" w:rsidRDefault="00994F37" w:rsidP="00994F37">
      <w:pPr>
        <w:rPr>
          <w:rFonts w:cs="Times New Roman"/>
          <w:szCs w:val="24"/>
        </w:rPr>
      </w:pPr>
      <w:r w:rsidRPr="00994F37">
        <w:rPr>
          <w:rFonts w:cs="Times New Roman"/>
          <w:szCs w:val="24"/>
        </w:rPr>
        <w:t xml:space="preserve">Jednym z kluczowych obszarów jakie z założenia przyjęto do uwzględnienia ww. Strategii były działania z zakresu polityki senioralnej. Stąd w ramach współpracy, przy formułowaniu priorytetów i celów powołano eksperta specjalizującego się w problematyce starzejącego się społeczeństwa (prof. dr hab. Bogusławę Urbaniak - prof. dr hab. nauk ekonomicznych. Uniwersytet Łódzki, Katedra Pracy i Polityki Społecznej). W konsultacjach zapisów Strategii </w:t>
      </w:r>
      <w:r w:rsidRPr="00994F37">
        <w:rPr>
          <w:rFonts w:cs="Times New Roman"/>
          <w:szCs w:val="24"/>
        </w:rPr>
        <w:lastRenderedPageBreak/>
        <w:t>uczestniczył także przedstawiciel Społecznej Rady Seniorów Województwa Łódzkiego - przewodnicząca Rady 1 kadencji Pani Janina Tropisz, jako jeden z członków Zespołu roboczego do spraw opracowania dokumentu pn. "Wojewódzka Strategia w zakresie Polityki Społecznej 2030", powołanego Zarządzeniem Nr 32/2020 Dyrektora Regionalnego Centrum Polityki Społecznej z dnia 27 marca 2020 r.</w:t>
      </w:r>
    </w:p>
    <w:p w14:paraId="0CA48C41" w14:textId="26F7F596" w:rsidR="004E635D" w:rsidRDefault="004E635D" w:rsidP="00994F37">
      <w:pPr>
        <w:rPr>
          <w:rFonts w:cs="Times New Roman"/>
          <w:szCs w:val="24"/>
        </w:rPr>
      </w:pPr>
    </w:p>
    <w:p w14:paraId="2D8D6C79" w14:textId="624F05F6" w:rsidR="00994F37" w:rsidRPr="00994F37" w:rsidRDefault="00994F37" w:rsidP="00994F37">
      <w:pPr>
        <w:rPr>
          <w:rFonts w:cs="Times New Roman"/>
          <w:szCs w:val="24"/>
        </w:rPr>
      </w:pPr>
      <w:proofErr w:type="spellStart"/>
      <w:r w:rsidRPr="00994F37">
        <w:rPr>
          <w:rFonts w:cs="Times New Roman"/>
          <w:szCs w:val="24"/>
        </w:rPr>
        <w:t>Neurofitness</w:t>
      </w:r>
      <w:proofErr w:type="spellEnd"/>
      <w:r w:rsidRPr="00994F37">
        <w:rPr>
          <w:rFonts w:cs="Times New Roman"/>
          <w:szCs w:val="24"/>
        </w:rPr>
        <w:t xml:space="preserve"> dla seniorów- zadanie realizowane w ramach Budżetu Obywatelskiego Województwa Łódzkiego „ŁÓDZKIE NA PLUS” przez Stowarzyszenie Na Rzecz Rozwoju Dzieci i Młodzieży „Jest dobrze!” z Kutna. Kwota dofinansowania to 40 000,00 zł. W ramach zadania odbywały się zajęcia indywidualne dla seniorów z zakresu EEG </w:t>
      </w:r>
      <w:proofErr w:type="spellStart"/>
      <w:r w:rsidRPr="00994F37">
        <w:rPr>
          <w:rFonts w:cs="Times New Roman"/>
          <w:szCs w:val="24"/>
        </w:rPr>
        <w:t>Biofecdback</w:t>
      </w:r>
      <w:proofErr w:type="spellEnd"/>
      <w:r w:rsidRPr="00994F37">
        <w:rPr>
          <w:rFonts w:cs="Times New Roman"/>
          <w:szCs w:val="24"/>
        </w:rPr>
        <w:t xml:space="preserve"> i rozwoju funkcji poznawczych oraz warsztaty grupowe dotyczące radzenia sobie ze stresem. Uczestnikami zadania było 40 seniorów w wieku 60 + z terenu powiatu kutnowskiego.</w:t>
      </w:r>
    </w:p>
    <w:p w14:paraId="0C78EDC4" w14:textId="77777777" w:rsidR="004E635D" w:rsidRDefault="004E635D" w:rsidP="00994F37">
      <w:pPr>
        <w:rPr>
          <w:rFonts w:cs="Times New Roman"/>
          <w:szCs w:val="24"/>
        </w:rPr>
      </w:pPr>
    </w:p>
    <w:p w14:paraId="25871E2C" w14:textId="16462E9B" w:rsidR="00994F37" w:rsidRDefault="00994F37" w:rsidP="00994F37">
      <w:pPr>
        <w:rPr>
          <w:rFonts w:cs="Times New Roman"/>
          <w:szCs w:val="24"/>
        </w:rPr>
      </w:pPr>
      <w:r w:rsidRPr="00994F37">
        <w:rPr>
          <w:rFonts w:cs="Times New Roman"/>
          <w:szCs w:val="24"/>
        </w:rPr>
        <w:t xml:space="preserve">Społeczna Rada Seniorów Województwa Łódzkiego powołana Uchwałą nr 58/17 z dnia 23 stycznia 2017 r. przez Zarząd Województwa Łódzkiego. W 2020 r. zakończyła się I kadencja Społecznej Rady Seniorów Województwa Łódzkiego. Uchwałą nr 155/20 Zarządu Województwa Łódzkiego z dnia 21 lutego 2020 r. został przyjęty nowy Regulamin Rady. Na podstawie Uchwały nr 156/20 Zarządu Województwa </w:t>
      </w:r>
      <w:proofErr w:type="spellStart"/>
      <w:r w:rsidRPr="00994F37">
        <w:rPr>
          <w:rFonts w:cs="Times New Roman"/>
          <w:szCs w:val="24"/>
        </w:rPr>
        <w:t>ł.ódzkiego</w:t>
      </w:r>
      <w:proofErr w:type="spellEnd"/>
      <w:r w:rsidRPr="00994F37">
        <w:rPr>
          <w:rFonts w:cs="Times New Roman"/>
          <w:szCs w:val="24"/>
        </w:rPr>
        <w:t xml:space="preserve"> z dnia 21 lutego 2020 r. </w:t>
      </w:r>
      <w:proofErr w:type="spellStart"/>
      <w:r w:rsidRPr="00994F37">
        <w:rPr>
          <w:rFonts w:cs="Times New Roman"/>
          <w:szCs w:val="24"/>
        </w:rPr>
        <w:t>wr</w:t>
      </w:r>
      <w:proofErr w:type="spellEnd"/>
      <w:r w:rsidRPr="00994F37">
        <w:rPr>
          <w:rFonts w:cs="Times New Roman"/>
          <w:szCs w:val="24"/>
        </w:rPr>
        <w:t xml:space="preserve"> sprawie ogłoszenia naboru kandydatów do Społecznej Rady Seniorów Województwa Łódzkiego oraz powołania Komisji Eksperckiej ds. wyboru członków SRSWŁ, został ogłoszony nabór kandydatów na członków Społecznej Rady Seniorów Województwa Łódzkiego II kadencji.</w:t>
      </w:r>
    </w:p>
    <w:p w14:paraId="2818C99B" w14:textId="77777777" w:rsidR="000B0247" w:rsidRDefault="000B0247" w:rsidP="00994F37">
      <w:pPr>
        <w:rPr>
          <w:rFonts w:cs="Times New Roman"/>
          <w:szCs w:val="24"/>
        </w:rPr>
      </w:pPr>
    </w:p>
    <w:p w14:paraId="0D5782A4" w14:textId="416D6254" w:rsidR="000B0247" w:rsidRPr="000B0247" w:rsidRDefault="000B0247" w:rsidP="00994F37">
      <w:pPr>
        <w:rPr>
          <w:rFonts w:cs="Times New Roman"/>
          <w:b/>
          <w:bCs/>
          <w:szCs w:val="24"/>
        </w:rPr>
      </w:pPr>
      <w:r w:rsidRPr="000B0247">
        <w:rPr>
          <w:rFonts w:cs="Times New Roman"/>
          <w:b/>
          <w:bCs/>
          <w:szCs w:val="24"/>
        </w:rPr>
        <w:t>Przykłady dobrych praktyk na poziomie powiatu, gminy.</w:t>
      </w:r>
    </w:p>
    <w:p w14:paraId="7DA1163A" w14:textId="77777777" w:rsidR="00994F37" w:rsidRPr="00994F37" w:rsidRDefault="00994F37" w:rsidP="00994F37">
      <w:pPr>
        <w:rPr>
          <w:rFonts w:cs="Times New Roman"/>
          <w:szCs w:val="24"/>
        </w:rPr>
      </w:pPr>
      <w:r w:rsidRPr="00994F37">
        <w:rPr>
          <w:rFonts w:cs="Times New Roman"/>
          <w:szCs w:val="24"/>
        </w:rPr>
        <w:t>Miasto Skierniewice</w:t>
      </w:r>
    </w:p>
    <w:p w14:paraId="27DEAC6D" w14:textId="77777777" w:rsidR="00994F37" w:rsidRPr="00994F37" w:rsidRDefault="00994F37" w:rsidP="00994F37">
      <w:pPr>
        <w:rPr>
          <w:rFonts w:cs="Times New Roman"/>
          <w:szCs w:val="24"/>
        </w:rPr>
      </w:pPr>
      <w:r w:rsidRPr="00994F37">
        <w:rPr>
          <w:rFonts w:cs="Times New Roman"/>
          <w:szCs w:val="24"/>
        </w:rPr>
        <w:t xml:space="preserve">Projekt „Pomoc - Centrum Usług Społecznych w Skierniewicach” - głównym celem projektu było zwiększenie dostępu do wysokiej jakości usług społecznych poprzez utworzenie i prowadzenie na terenie Miasta Skierniewice świadczenia usług społecznych przeznaczonych dla 130 niesamodzielnych mieszkańców Skierniewic oraz 100 mieszkańców Skierniewic osób z otoczenia osób </w:t>
      </w:r>
      <w:proofErr w:type="spellStart"/>
      <w:r w:rsidRPr="00994F37">
        <w:rPr>
          <w:rFonts w:cs="Times New Roman"/>
          <w:szCs w:val="24"/>
        </w:rPr>
        <w:t>niesamodziclnych</w:t>
      </w:r>
      <w:proofErr w:type="spellEnd"/>
      <w:r w:rsidRPr="00994F37">
        <w:rPr>
          <w:rFonts w:cs="Times New Roman"/>
          <w:szCs w:val="24"/>
        </w:rPr>
        <w:t>/opiekunów- faktycznych.</w:t>
      </w:r>
    </w:p>
    <w:p w14:paraId="2489A718" w14:textId="77777777" w:rsidR="00994F37" w:rsidRPr="00994F37" w:rsidRDefault="00994F37" w:rsidP="00994F37">
      <w:pPr>
        <w:rPr>
          <w:rFonts w:cs="Times New Roman"/>
          <w:szCs w:val="24"/>
        </w:rPr>
      </w:pPr>
      <w:r w:rsidRPr="00994F37">
        <w:rPr>
          <w:rFonts w:cs="Times New Roman"/>
          <w:szCs w:val="24"/>
        </w:rPr>
        <w:t>W ramach projektu utworzono:</w:t>
      </w:r>
    </w:p>
    <w:p w14:paraId="668FEBDA" w14:textId="77777777" w:rsidR="000B0247" w:rsidRDefault="00994F37" w:rsidP="00FE70E3">
      <w:pPr>
        <w:pStyle w:val="Akapitzlist"/>
        <w:numPr>
          <w:ilvl w:val="0"/>
          <w:numId w:val="142"/>
        </w:numPr>
        <w:rPr>
          <w:rFonts w:cs="Times New Roman"/>
          <w:szCs w:val="24"/>
        </w:rPr>
      </w:pPr>
      <w:r w:rsidRPr="000B0247">
        <w:rPr>
          <w:rFonts w:cs="Times New Roman"/>
          <w:szCs w:val="24"/>
        </w:rPr>
        <w:t>10 miejsc świadczenia usług społecznych dla 130 niesamodzielnych mieszkańców Skierniewic w formie stworzenia indywidualnych ścieżek wsparcia i prowadzenia pracy socjalnej.</w:t>
      </w:r>
    </w:p>
    <w:p w14:paraId="0A5CCA53" w14:textId="77777777" w:rsidR="000B0247" w:rsidRDefault="00994F37" w:rsidP="00FE70E3">
      <w:pPr>
        <w:pStyle w:val="Akapitzlist"/>
        <w:numPr>
          <w:ilvl w:val="0"/>
          <w:numId w:val="142"/>
        </w:numPr>
        <w:rPr>
          <w:rFonts w:cs="Times New Roman"/>
          <w:szCs w:val="24"/>
        </w:rPr>
      </w:pPr>
      <w:r w:rsidRPr="000B0247">
        <w:rPr>
          <w:rFonts w:cs="Times New Roman"/>
          <w:szCs w:val="24"/>
        </w:rPr>
        <w:t>12 miejsc świadczenia usług społecznych dla 130 niesamodzielnych mieszkańców- Skierniewic w formie Dziennego Domu Pomocy.</w:t>
      </w:r>
    </w:p>
    <w:p w14:paraId="3A473E8D" w14:textId="77777777" w:rsidR="000B0247" w:rsidRDefault="00994F37" w:rsidP="00FE70E3">
      <w:pPr>
        <w:pStyle w:val="Akapitzlist"/>
        <w:numPr>
          <w:ilvl w:val="0"/>
          <w:numId w:val="142"/>
        </w:numPr>
        <w:rPr>
          <w:rFonts w:cs="Times New Roman"/>
          <w:szCs w:val="24"/>
        </w:rPr>
      </w:pPr>
      <w:r w:rsidRPr="000B0247">
        <w:rPr>
          <w:rFonts w:cs="Times New Roman"/>
          <w:szCs w:val="24"/>
        </w:rPr>
        <w:t>15 miejsc świadczenia usług społecznych dla 60 niesamodzielnych mieszkańców Skierniewic w formie usług opiekuńczych w miejscu zamieszkania.</w:t>
      </w:r>
    </w:p>
    <w:p w14:paraId="7F0DC602" w14:textId="77777777" w:rsidR="000B0247" w:rsidRDefault="00994F37" w:rsidP="00FE70E3">
      <w:pPr>
        <w:pStyle w:val="Akapitzlist"/>
        <w:numPr>
          <w:ilvl w:val="0"/>
          <w:numId w:val="142"/>
        </w:numPr>
        <w:rPr>
          <w:rFonts w:cs="Times New Roman"/>
          <w:szCs w:val="24"/>
        </w:rPr>
      </w:pPr>
      <w:r w:rsidRPr="000B0247">
        <w:rPr>
          <w:rFonts w:cs="Times New Roman"/>
          <w:szCs w:val="24"/>
        </w:rPr>
        <w:t>15 miejsc świadczenia usług społecznych dla 45 niesamodzielnych mieszkańców' Skierniewic w formie usług wytchnień i owych,</w:t>
      </w:r>
    </w:p>
    <w:p w14:paraId="0A07C6C9" w14:textId="77777777" w:rsidR="000B0247" w:rsidRDefault="00994F37" w:rsidP="00FE70E3">
      <w:pPr>
        <w:pStyle w:val="Akapitzlist"/>
        <w:numPr>
          <w:ilvl w:val="0"/>
          <w:numId w:val="142"/>
        </w:numPr>
        <w:rPr>
          <w:rFonts w:cs="Times New Roman"/>
          <w:szCs w:val="24"/>
        </w:rPr>
      </w:pPr>
      <w:r w:rsidRPr="000B0247">
        <w:rPr>
          <w:rFonts w:cs="Times New Roman"/>
          <w:szCs w:val="24"/>
        </w:rPr>
        <w:t>16 miejsc świadczenia usług społecznych dla 24 niesamodzielnych mieszkańców Skierniewic w- formie usług asystenta osobistego osoby niepełnosprawnej</w:t>
      </w:r>
    </w:p>
    <w:p w14:paraId="6278F076" w14:textId="77777777" w:rsidR="000B0247" w:rsidRDefault="00994F37" w:rsidP="00FE70E3">
      <w:pPr>
        <w:pStyle w:val="Akapitzlist"/>
        <w:numPr>
          <w:ilvl w:val="0"/>
          <w:numId w:val="142"/>
        </w:numPr>
        <w:rPr>
          <w:rFonts w:cs="Times New Roman"/>
          <w:szCs w:val="24"/>
        </w:rPr>
      </w:pPr>
      <w:r w:rsidRPr="000B0247">
        <w:rPr>
          <w:rFonts w:cs="Times New Roman"/>
          <w:szCs w:val="24"/>
        </w:rPr>
        <w:lastRenderedPageBreak/>
        <w:t xml:space="preserve">5 miejsc świadczenia usług społecznych dla 130 niesamodzielnych mieszkańców Skierniewic oraz 100 osób z otoczenia osób </w:t>
      </w:r>
      <w:proofErr w:type="spellStart"/>
      <w:r w:rsidRPr="000B0247">
        <w:rPr>
          <w:rFonts w:cs="Times New Roman"/>
          <w:szCs w:val="24"/>
        </w:rPr>
        <w:t>niesamodziclnych</w:t>
      </w:r>
      <w:proofErr w:type="spellEnd"/>
      <w:r w:rsidRPr="000B0247">
        <w:rPr>
          <w:rFonts w:cs="Times New Roman"/>
          <w:szCs w:val="24"/>
        </w:rPr>
        <w:t>/opiekunów faktycznych w formie poradnictwa specjalistycznego</w:t>
      </w:r>
    </w:p>
    <w:p w14:paraId="7B95A00D" w14:textId="4F21E5C7" w:rsidR="00994F37" w:rsidRPr="000B0247" w:rsidRDefault="00994F37" w:rsidP="00FE70E3">
      <w:pPr>
        <w:pStyle w:val="Akapitzlist"/>
        <w:numPr>
          <w:ilvl w:val="0"/>
          <w:numId w:val="142"/>
        </w:numPr>
        <w:rPr>
          <w:rFonts w:cs="Times New Roman"/>
          <w:szCs w:val="24"/>
        </w:rPr>
      </w:pPr>
      <w:r w:rsidRPr="000B0247">
        <w:rPr>
          <w:rFonts w:cs="Times New Roman"/>
          <w:szCs w:val="24"/>
        </w:rPr>
        <w:t>1 miejsce świadczenia usług społecznych dla 100 mieszkańców Skierniewic w formie wypożyczalni sprzętu wspomagającego i pielęgnacyjnego.</w:t>
      </w:r>
    </w:p>
    <w:p w14:paraId="362A0597" w14:textId="54ADD1A8" w:rsidR="00994F37" w:rsidRDefault="00994F37" w:rsidP="00994F37">
      <w:pPr>
        <w:rPr>
          <w:rFonts w:cs="Times New Roman"/>
          <w:szCs w:val="24"/>
        </w:rPr>
      </w:pPr>
      <w:r w:rsidRPr="00994F37">
        <w:rPr>
          <w:rFonts w:cs="Times New Roman"/>
          <w:szCs w:val="24"/>
        </w:rPr>
        <w:t>Dodatkowo w- ramach projektu prowadzony był rozwój usług specjalistycznych w postaci dostarczenia posiłków- dla 60 niesamodzielnych mieszkańców Skierniewic korzystających z usług opiekuńczych. Projekt był realizowany przez Stowarzyszenie Wsparcie Społeczne „Ja-Ty-My” z. siedzibą w Lodzi oraz Stowarzyszenie Osób Niepełnosprawnych „Sprawni Inaczej w Skierniewicach w ramach Priorytetu IX Włączenie społeczne. Działania IX.2 Usługi na rzecz osób zagrożonych ubóstwem lub wykluczeniem społecznym. Poddziałania IX IX.2.1 Usługi społeczne i zdrowotne Regionalnego Programu Operacyjnego Województwa Łódzkiego 2014-2020. Partnerem programu było Miasto Skierniewice.</w:t>
      </w:r>
    </w:p>
    <w:p w14:paraId="2B50FE5D" w14:textId="77777777" w:rsidR="000B0247" w:rsidRPr="00994F37" w:rsidRDefault="000B0247" w:rsidP="00994F37">
      <w:pPr>
        <w:rPr>
          <w:rFonts w:cs="Times New Roman"/>
          <w:szCs w:val="24"/>
        </w:rPr>
      </w:pPr>
    </w:p>
    <w:p w14:paraId="052536DE" w14:textId="77777777" w:rsidR="00994F37" w:rsidRPr="00994F37" w:rsidRDefault="00994F37" w:rsidP="00994F37">
      <w:pPr>
        <w:rPr>
          <w:rFonts w:cs="Times New Roman"/>
          <w:szCs w:val="24"/>
        </w:rPr>
      </w:pPr>
      <w:r w:rsidRPr="00994F37">
        <w:rPr>
          <w:rFonts w:cs="Times New Roman"/>
          <w:szCs w:val="24"/>
        </w:rPr>
        <w:t>Gmina Poświętne</w:t>
      </w:r>
    </w:p>
    <w:p w14:paraId="7FB6A149" w14:textId="5D3AF194" w:rsidR="00994F37" w:rsidRDefault="00994F37" w:rsidP="00994F37">
      <w:pPr>
        <w:rPr>
          <w:rFonts w:cs="Times New Roman"/>
          <w:szCs w:val="24"/>
        </w:rPr>
      </w:pPr>
      <w:r w:rsidRPr="00994F37">
        <w:rPr>
          <w:rFonts w:cs="Times New Roman"/>
          <w:szCs w:val="24"/>
        </w:rPr>
        <w:t xml:space="preserve">Gmina zorganizowała spotkanie międzypokoleniowe. Inicjatywa miała na celu wykorzystanie możliwych form aktywności osób starszych przy wykorzystaniu istniejącej infrastruktury społecznej (Gminna Biblioteka Publiczna. Gminny Ośrodek Kultury, Koła Gospodyń Wiejskich) oraz włączenie do wspólnych działań młodszego pokolenia, co pozwoliło na budowanie wzajemnego zrozumienia oraz rozwój umiejętności społecznych. W ramach inicjatywy zorganizowano między innymi wyjazd do Atlas Areny w </w:t>
      </w:r>
      <w:proofErr w:type="spellStart"/>
      <w:r w:rsidRPr="00994F37">
        <w:rPr>
          <w:rFonts w:cs="Times New Roman"/>
          <w:szCs w:val="24"/>
        </w:rPr>
        <w:t>ł.odzi</w:t>
      </w:r>
      <w:proofErr w:type="spellEnd"/>
      <w:r w:rsidRPr="00994F37">
        <w:rPr>
          <w:rFonts w:cs="Times New Roman"/>
          <w:szCs w:val="24"/>
        </w:rPr>
        <w:t xml:space="preserve"> na występ zespołu Śląsk, a także w miejscowej Bazylice odbyły się występy zespołów śpiewaczych „Opoczyńskie nuty”. Ponadto odbyło się uroczyste spotkanie z okazji Dnia Kobiet w którym uczestniczyły przedstawicielki kilku pokoleń. Mieszkańcy z terenu gminy Poświętne uczestniczyli również w zajęciach nauki języka angielskiego. Grupę liczącą 12 osób stanowiły osoby w wieku 50 plus, odpowiadające kryteriom realizowanego projektu. Kurs zakończył się egzaminem do którego przystąpili wszyscy uczestnicy projektu.</w:t>
      </w:r>
    </w:p>
    <w:p w14:paraId="395292A8" w14:textId="77777777" w:rsidR="000B0247" w:rsidRPr="00994F37" w:rsidRDefault="000B0247" w:rsidP="00994F37">
      <w:pPr>
        <w:rPr>
          <w:rFonts w:cs="Times New Roman"/>
          <w:szCs w:val="24"/>
        </w:rPr>
      </w:pPr>
    </w:p>
    <w:p w14:paraId="39E1ADC9" w14:textId="77777777" w:rsidR="00994F37" w:rsidRPr="00994F37" w:rsidRDefault="00994F37" w:rsidP="00994F37">
      <w:pPr>
        <w:rPr>
          <w:rFonts w:cs="Times New Roman"/>
          <w:szCs w:val="24"/>
        </w:rPr>
      </w:pPr>
      <w:r w:rsidRPr="00994F37">
        <w:rPr>
          <w:rFonts w:cs="Times New Roman"/>
          <w:szCs w:val="24"/>
        </w:rPr>
        <w:t>Gmina Konopnica</w:t>
      </w:r>
    </w:p>
    <w:p w14:paraId="21D4B84F" w14:textId="2FD11358" w:rsidR="00994F37" w:rsidRDefault="00994F37" w:rsidP="00994F37">
      <w:pPr>
        <w:rPr>
          <w:rFonts w:cs="Times New Roman"/>
          <w:szCs w:val="24"/>
        </w:rPr>
      </w:pPr>
      <w:r w:rsidRPr="00994F37">
        <w:rPr>
          <w:rFonts w:cs="Times New Roman"/>
          <w:szCs w:val="24"/>
        </w:rPr>
        <w:t xml:space="preserve">Na terenie Gminy Konopnica realizowany był program „Łódzkie dla Seniorów Plus”, w którym wzięło udział 56 osób. Realizatorem projektu była Łódzka Federacja Sportu na zlecenie Województwa Łódzkiego. Projekt był finansowany przez Urząd Marszałkowski w Łodzi. Program skierowany był do grupy osób powyżej sześćdziesiątego roku życia z uwzględnieniem osób, które w przeszłości czynnie uprawiały sport bądź uczestniczyły w organizowanych formach zajęć sportowych bez względu na rodzaj sportu. Program zakładał realizację zajęć rekreacyjno-sportowych oraz dydaktycznych oraz miał stworzyć możliwość aktywizacji ruchowej, która wpłynie na polepszenie samopoczucia oraz stanu </w:t>
      </w:r>
      <w:proofErr w:type="spellStart"/>
      <w:r w:rsidRPr="00994F37">
        <w:rPr>
          <w:rFonts w:cs="Times New Roman"/>
          <w:szCs w:val="24"/>
        </w:rPr>
        <w:t>zdrow</w:t>
      </w:r>
      <w:proofErr w:type="spellEnd"/>
      <w:r w:rsidRPr="00994F37">
        <w:rPr>
          <w:rFonts w:cs="Times New Roman"/>
          <w:szCs w:val="24"/>
        </w:rPr>
        <w:t xml:space="preserve"> </w:t>
      </w:r>
      <w:proofErr w:type="spellStart"/>
      <w:r w:rsidRPr="00994F37">
        <w:rPr>
          <w:rFonts w:cs="Times New Roman"/>
          <w:szCs w:val="24"/>
        </w:rPr>
        <w:t>ia</w:t>
      </w:r>
      <w:proofErr w:type="spellEnd"/>
      <w:r w:rsidRPr="00994F37">
        <w:rPr>
          <w:rFonts w:cs="Times New Roman"/>
          <w:szCs w:val="24"/>
        </w:rPr>
        <w:t xml:space="preserve"> osób korzystających ze zorganizowanej formy zajęć </w:t>
      </w:r>
      <w:proofErr w:type="spellStart"/>
      <w:r w:rsidRPr="00994F37">
        <w:rPr>
          <w:rFonts w:cs="Times New Roman"/>
          <w:szCs w:val="24"/>
        </w:rPr>
        <w:t>rekreacyjno</w:t>
      </w:r>
      <w:proofErr w:type="spellEnd"/>
      <w:r w:rsidRPr="00994F37">
        <w:rPr>
          <w:rFonts w:cs="Times New Roman"/>
          <w:szCs w:val="24"/>
        </w:rPr>
        <w:t xml:space="preserve"> - sportowych.</w:t>
      </w:r>
    </w:p>
    <w:p w14:paraId="02DFE86B" w14:textId="77777777" w:rsidR="000B0247" w:rsidRPr="00994F37" w:rsidRDefault="000B0247" w:rsidP="00994F37">
      <w:pPr>
        <w:rPr>
          <w:rFonts w:cs="Times New Roman"/>
          <w:szCs w:val="24"/>
        </w:rPr>
      </w:pPr>
    </w:p>
    <w:p w14:paraId="78AF82B1" w14:textId="77777777" w:rsidR="00994F37" w:rsidRPr="00994F37" w:rsidRDefault="00994F37" w:rsidP="00994F37">
      <w:pPr>
        <w:rPr>
          <w:rFonts w:cs="Times New Roman"/>
          <w:szCs w:val="24"/>
        </w:rPr>
      </w:pPr>
      <w:r w:rsidRPr="00994F37">
        <w:rPr>
          <w:rFonts w:cs="Times New Roman"/>
          <w:szCs w:val="24"/>
        </w:rPr>
        <w:t>Miasto Bełchatów</w:t>
      </w:r>
    </w:p>
    <w:p w14:paraId="0035B1E5" w14:textId="6FC79879" w:rsidR="00994F37" w:rsidRPr="00994F37" w:rsidRDefault="00994F37" w:rsidP="00994F37">
      <w:pPr>
        <w:rPr>
          <w:rFonts w:cs="Times New Roman"/>
          <w:szCs w:val="24"/>
        </w:rPr>
      </w:pPr>
      <w:r w:rsidRPr="00994F37">
        <w:rPr>
          <w:rFonts w:cs="Times New Roman"/>
          <w:szCs w:val="24"/>
        </w:rPr>
        <w:t>Na terenie Bełchatowa od 2018 r</w:t>
      </w:r>
      <w:r w:rsidR="00EE280C">
        <w:rPr>
          <w:rFonts w:cs="Times New Roman"/>
          <w:szCs w:val="24"/>
        </w:rPr>
        <w:t>.</w:t>
      </w:r>
      <w:r w:rsidRPr="00994F37">
        <w:rPr>
          <w:rFonts w:cs="Times New Roman"/>
          <w:szCs w:val="24"/>
        </w:rPr>
        <w:t xml:space="preserve"> działa </w:t>
      </w:r>
      <w:proofErr w:type="spellStart"/>
      <w:r w:rsidRPr="00994F37">
        <w:rPr>
          <w:rFonts w:cs="Times New Roman"/>
          <w:szCs w:val="24"/>
        </w:rPr>
        <w:t>Cafe</w:t>
      </w:r>
      <w:proofErr w:type="spellEnd"/>
      <w:r w:rsidRPr="00994F37">
        <w:rPr>
          <w:rFonts w:cs="Times New Roman"/>
          <w:szCs w:val="24"/>
        </w:rPr>
        <w:t xml:space="preserve"> Senior Raj - Centrum Aktywności Seniora (CAS) przy ul. Energetyków 6. prowadzone przez Regionalne Towarzystwo </w:t>
      </w:r>
      <w:proofErr w:type="spellStart"/>
      <w:r w:rsidRPr="00994F37">
        <w:rPr>
          <w:rFonts w:cs="Times New Roman"/>
          <w:szCs w:val="24"/>
        </w:rPr>
        <w:t>Społeczno</w:t>
      </w:r>
      <w:proofErr w:type="spellEnd"/>
      <w:r w:rsidRPr="00994F37">
        <w:rPr>
          <w:rFonts w:cs="Times New Roman"/>
          <w:szCs w:val="24"/>
        </w:rPr>
        <w:t xml:space="preserve"> - Kulturalne „ERSKA". W 2020 r</w:t>
      </w:r>
      <w:r w:rsidR="00EE280C">
        <w:rPr>
          <w:rFonts w:cs="Times New Roman"/>
          <w:szCs w:val="24"/>
        </w:rPr>
        <w:t>.</w:t>
      </w:r>
      <w:r w:rsidRPr="00994F37">
        <w:rPr>
          <w:rFonts w:cs="Times New Roman"/>
          <w:szCs w:val="24"/>
        </w:rPr>
        <w:t xml:space="preserve"> w swojej ofercie placówka miała zajęcia artystyczne, </w:t>
      </w:r>
      <w:proofErr w:type="spellStart"/>
      <w:r w:rsidRPr="00994F37">
        <w:rPr>
          <w:rFonts w:cs="Times New Roman"/>
          <w:szCs w:val="24"/>
        </w:rPr>
        <w:t>teatralno</w:t>
      </w:r>
      <w:proofErr w:type="spellEnd"/>
      <w:r w:rsidRPr="00994F37">
        <w:rPr>
          <w:rFonts w:cs="Times New Roman"/>
          <w:szCs w:val="24"/>
        </w:rPr>
        <w:t xml:space="preserve"> - literackie, sportowe, taneczne, kulinarne, spotkania z fizjoterapeutą i terapeutą uzależnień. Celem oferty programowej była aktywizacja i integracja uczestników CAS. Zajęcia cieszyły się dużym </w:t>
      </w:r>
      <w:r w:rsidRPr="00994F37">
        <w:rPr>
          <w:rFonts w:cs="Times New Roman"/>
          <w:szCs w:val="24"/>
        </w:rPr>
        <w:lastRenderedPageBreak/>
        <w:t>zainteresowaniem. W 2020 r</w:t>
      </w:r>
      <w:r w:rsidR="00EE280C">
        <w:rPr>
          <w:rFonts w:cs="Times New Roman"/>
          <w:szCs w:val="24"/>
        </w:rPr>
        <w:t>.</w:t>
      </w:r>
      <w:r w:rsidRPr="00994F37">
        <w:rPr>
          <w:rFonts w:cs="Times New Roman"/>
          <w:szCs w:val="24"/>
        </w:rPr>
        <w:t xml:space="preserve"> z oferty skorzystało ok. 300 seniorów. Jednakże z uwagi na panującą pandemię C()VID 19 oraz wprowadzone w ciągu roku obostrzenia, tylko część zajęć udało przeprowadzić się stacjonarnie. Informacje na temat placówki znajdują się na stronie https://www.belchatow.pl/dla-mieszkanca/dla-scniorow/cafe-senior-raj.</w:t>
      </w:r>
    </w:p>
    <w:p w14:paraId="01FDBE24" w14:textId="77777777" w:rsidR="000B0247" w:rsidRDefault="000B0247" w:rsidP="00994F37">
      <w:pPr>
        <w:rPr>
          <w:rFonts w:cs="Times New Roman"/>
          <w:szCs w:val="24"/>
        </w:rPr>
      </w:pPr>
    </w:p>
    <w:p w14:paraId="26F65FC1" w14:textId="21F81028" w:rsidR="00994F37" w:rsidRPr="000B0247" w:rsidRDefault="00994F37" w:rsidP="000B0247">
      <w:pPr>
        <w:rPr>
          <w:b/>
          <w:bCs/>
        </w:rPr>
      </w:pPr>
      <w:r w:rsidRPr="000B0247">
        <w:rPr>
          <w:b/>
          <w:bCs/>
        </w:rPr>
        <w:t>Przykłady innowacyjnych rozwiązań, np. zastosowanie nowych technologii w opiece nad osobami starszymi</w:t>
      </w:r>
    </w:p>
    <w:p w14:paraId="54C4467B" w14:textId="77777777" w:rsidR="00994F37" w:rsidRPr="00994F37" w:rsidRDefault="00994F37" w:rsidP="000B0247">
      <w:r w:rsidRPr="00994F37">
        <w:t>Miasto Łódź (miasto na prawach powiatu)</w:t>
      </w:r>
    </w:p>
    <w:p w14:paraId="16E38F82" w14:textId="363DF2F3" w:rsidR="00994F37" w:rsidRPr="005C6286" w:rsidRDefault="00994F37" w:rsidP="000B0247">
      <w:r w:rsidRPr="00994F37">
        <w:t xml:space="preserve">Projekt „Przepis na Zdrowie” </w:t>
      </w:r>
      <w:proofErr w:type="spellStart"/>
      <w:r w:rsidRPr="00994F37">
        <w:t>onlinc</w:t>
      </w:r>
      <w:proofErr w:type="spellEnd"/>
      <w:r w:rsidRPr="00994F37">
        <w:t xml:space="preserve"> - projekt partnerski ( Lider: HRP </w:t>
      </w:r>
      <w:proofErr w:type="spellStart"/>
      <w:r w:rsidRPr="00994F37">
        <w:t>Care</w:t>
      </w:r>
      <w:proofErr w:type="spellEnd"/>
      <w:r w:rsidRPr="00994F37">
        <w:t>, Partner: Miasto Łódź). Program dedykowany osobom, które szukają sposobu na radzenie sobie ze stresem związanym z życiem codziennym, sytuacją rodzinną bądź wypaleniem zawodowym. Uczestnicy projektu brali udział w: treningach z zakresu: rozwijania umiejętności społecznych, poczucia własnej wartości, radzenia sobie ze stresem, zarządzania sobą w czasie (zajęcia praktyczne, warsztatowe), treningach relaksacyjnych, zajęciach sportowych lub rekreacyjnych wybieranych i realizowanych we wskazanym przez siebie miejscu, konsultacjach z psychologiem. Treningi odbywały się w' wybranych lokalizacjach na terenie całego miasta. Zajęcia były dostosowywane do możliwości uczestników zarówno pod kątem terminów' jak i intensywności. Ponadto uczestnicy opiekujący się osobami zależnymi (osobami starszymi, obłożnie chorymi, niepełnosprawnymi) mogli uzyskać refundację kosztów' wynajęcia opiekunów na czas udziału w zajęciach. Udział w projekcie miał na celu podniesienie kompetencji osobistych, niezbędnych do świadomego i efektywnego funkcjonowania w codziennym życiu, wzrost odporności na stres oraz zwiększenie motywacji do podejmowania różnych wyzwań, w tym zawodowych. W 2020 r. do programu zakwalifikowały się 172 osoby.</w:t>
      </w:r>
    </w:p>
    <w:p w14:paraId="65833E98" w14:textId="42524610" w:rsidR="00994F37" w:rsidRDefault="00994F37" w:rsidP="00BA4636">
      <w:pPr>
        <w:rPr>
          <w:rFonts w:cs="Times New Roman"/>
          <w:szCs w:val="24"/>
        </w:rPr>
      </w:pPr>
    </w:p>
    <w:p w14:paraId="3F47BAB5" w14:textId="70C32E7C" w:rsidR="00994F37" w:rsidRPr="00D96C8C" w:rsidRDefault="00994F37" w:rsidP="00994F37">
      <w:pPr>
        <w:pStyle w:val="Nagwek3"/>
        <w:rPr>
          <w:lang w:eastAsia="ar-SA"/>
        </w:rPr>
      </w:pPr>
      <w:bookmarkStart w:id="180" w:name="_Toc77513975"/>
      <w:bookmarkStart w:id="181" w:name="_Toc80523129"/>
      <w:r w:rsidRPr="00994F37">
        <w:rPr>
          <w:lang w:eastAsia="ar-SA"/>
        </w:rPr>
        <w:t xml:space="preserve">Działania związane z ochroną seniorów przed negatywnymi skutkami pandemii COVID-19, które zostały podjęte w 2020 r w województwie </w:t>
      </w:r>
      <w:r>
        <w:rPr>
          <w:lang w:eastAsia="ar-SA"/>
        </w:rPr>
        <w:t>łódzkim</w:t>
      </w:r>
      <w:bookmarkEnd w:id="180"/>
      <w:bookmarkEnd w:id="181"/>
    </w:p>
    <w:p w14:paraId="6956BAC3" w14:textId="0178356B" w:rsidR="00994F37" w:rsidRDefault="00994F37" w:rsidP="00BA4636">
      <w:pPr>
        <w:rPr>
          <w:rFonts w:cs="Times New Roman"/>
          <w:szCs w:val="24"/>
        </w:rPr>
      </w:pPr>
    </w:p>
    <w:p w14:paraId="1CF477DA" w14:textId="1A3FED47" w:rsidR="00994F37" w:rsidRDefault="00994F37" w:rsidP="00994F37">
      <w:pPr>
        <w:rPr>
          <w:rFonts w:cs="Times New Roman"/>
          <w:szCs w:val="24"/>
        </w:rPr>
      </w:pPr>
      <w:r w:rsidRPr="00994F37">
        <w:rPr>
          <w:rFonts w:cs="Times New Roman"/>
          <w:szCs w:val="24"/>
        </w:rPr>
        <w:t xml:space="preserve">Rok 2020 był szczególnie trudny dla osób starszych. Pandemia </w:t>
      </w:r>
      <w:r w:rsidR="004E635D" w:rsidRPr="00994F37">
        <w:rPr>
          <w:rFonts w:cs="Times New Roman"/>
          <w:szCs w:val="24"/>
        </w:rPr>
        <w:t>COVID</w:t>
      </w:r>
      <w:r w:rsidR="004E635D">
        <w:rPr>
          <w:rFonts w:cs="Times New Roman"/>
          <w:szCs w:val="24"/>
        </w:rPr>
        <w:t>-</w:t>
      </w:r>
      <w:r w:rsidRPr="00994F37">
        <w:rPr>
          <w:rFonts w:cs="Times New Roman"/>
          <w:szCs w:val="24"/>
        </w:rPr>
        <w:t>19 i wprowadzone w związku z nią liczne obostrzenia, sprawiły że osoby starsze były szczególne narażone na trudności w- zaspakajaniu podstawowych potrzeb oraz samotność. Na terenie województwa łódzkiego jednostki samorządu terytorialnego wraz z jednostkami organizacyjnymi pomocy społecznej podejmowały kompleksowe działania zmierzające do przeciwdziałania występowaniu negatywnych zjawisk społecznych wynikających z sytuacji epidemicznej, w szczególności spowodowanych izolacją społeczną. W tym trudnym czasie, pomimo wprowadzonych obostrzeń pracownicy instytucji publicznych monitorowali środowiska i potrzeby osób starszych udzielając pomocy w' rozwiązywaniu bieżących problemów, kontaktowali się z rodziną osób starszych wymagającej wsparcia, pomagali w umówieni wizyty do lekarza, w realizacji recepty jak również organizowali dojazd do lekarzy. Pracownicy ośrodków pomocy społecznej oraz wolontariusze świadczyli także pomoc w' realizacji zakupów. Wychodząc naprzeciw potrzebom osób starszych, w wielu gminach udzielano również wsparcia telefonicznego poprzez rozmowę, wysłuchanie drugiej osoby oraz udzielenie informacji jak uzyskać pomoc psychologiczną czy prawną.</w:t>
      </w:r>
    </w:p>
    <w:p w14:paraId="217E7032" w14:textId="0AA2F8DF" w:rsidR="000B0247" w:rsidRDefault="000B0247" w:rsidP="00994F37">
      <w:pPr>
        <w:rPr>
          <w:rFonts w:cs="Times New Roman"/>
          <w:szCs w:val="24"/>
        </w:rPr>
      </w:pPr>
    </w:p>
    <w:p w14:paraId="455C4DFA" w14:textId="5417584F" w:rsidR="000B0247" w:rsidRPr="00994F37" w:rsidRDefault="000B0247" w:rsidP="000B0247">
      <w:pPr>
        <w:rPr>
          <w:rFonts w:cs="Times New Roman"/>
          <w:szCs w:val="24"/>
        </w:rPr>
      </w:pPr>
      <w:r w:rsidRPr="00994F37">
        <w:rPr>
          <w:rFonts w:cs="Times New Roman"/>
          <w:szCs w:val="24"/>
        </w:rPr>
        <w:t xml:space="preserve">Regionalne Centrum Polityki Społecznej w Lodzi w dniu 25 czerwca 2020 r. zawarło umowę z Ministerstwem Rodziny. Pracy i Polityki Społecznej o dofinansowanie projektu grantowego </w:t>
      </w:r>
      <w:r w:rsidRPr="00994F37">
        <w:rPr>
          <w:rFonts w:cs="Times New Roman"/>
          <w:szCs w:val="24"/>
        </w:rPr>
        <w:lastRenderedPageBreak/>
        <w:t>„Łódzkie pomaga” współfinansowanego ze środków Europejskiego Funduszu Społecznego, w ramach Programu Operacyjnego Wiedza Edukacja Rozwój 2014-2020, Działanie 2.8 Rozwój usług społecznych świadczonych w środowisku lokalnym. Wartość projektu: 24 507 650 zł, w tym 20 655 047.42 zł (Europejski Fundusz Społeczny) 3 852 602.58 zł (Budżet Państwa).</w:t>
      </w:r>
      <w:r>
        <w:rPr>
          <w:rFonts w:cs="Times New Roman"/>
          <w:szCs w:val="24"/>
        </w:rPr>
        <w:t xml:space="preserve"> </w:t>
      </w:r>
      <w:r w:rsidRPr="00994F37">
        <w:rPr>
          <w:rFonts w:cs="Times New Roman"/>
          <w:szCs w:val="24"/>
        </w:rPr>
        <w:t>Celem projektu było łagodzenie skutków- pandemii oraz przeciwdziałanie jej negatywnym konsekwencjom dla osób znajdujących się w grupie ryzyka, w szczególności zapewnienie zdrowia i bezpieczeństwa epidemicznego pensjonariuszy i kadry Domów Pomocy Społecznej, zlokalizowanych na terenie województwa łódzkiego oraz zapobieganie rozprzestrzenianiu się COVID-19 w instytucjach opiekuńczych, poprzez udzielenie grantów podmiotom prowadzącym zarejestrowane na terenie województwa łódzkiego DPS.</w:t>
      </w:r>
      <w:r>
        <w:rPr>
          <w:rFonts w:cs="Times New Roman"/>
          <w:szCs w:val="24"/>
        </w:rPr>
        <w:t xml:space="preserve"> G</w:t>
      </w:r>
      <w:r w:rsidRPr="00994F37">
        <w:rPr>
          <w:rFonts w:cs="Times New Roman"/>
          <w:szCs w:val="24"/>
        </w:rPr>
        <w:t>ranty przeznaczone są na: wypłatę dodatków do wynagrodzeń personelowi DPS, zapewnienie możliwości noclegu dla personelu, poza miejscem zamieszkania, utworzenie tymczasowych miejsc do przeprowadzenia kwarantanny, zarówno dla mieszkańców DPS, jak i personelu, zakup sprzętu i wyposażenia, środków ochrony indywidualnej i testów na COVID-19, niezbędnych do walki z pandemią (działanie dotyczące 2021</w:t>
      </w:r>
      <w:r w:rsidR="00EE280C">
        <w:rPr>
          <w:rFonts w:cs="Times New Roman"/>
          <w:szCs w:val="24"/>
        </w:rPr>
        <w:t xml:space="preserve"> r.</w:t>
      </w:r>
      <w:r w:rsidRPr="00994F37">
        <w:rPr>
          <w:rFonts w:cs="Times New Roman"/>
          <w:szCs w:val="24"/>
        </w:rPr>
        <w:t>). Termin realizacji projektu: 15</w:t>
      </w:r>
      <w:r w:rsidR="004F3404">
        <w:rPr>
          <w:rFonts w:cs="Times New Roman"/>
          <w:szCs w:val="24"/>
        </w:rPr>
        <w:t xml:space="preserve"> czerwca </w:t>
      </w:r>
      <w:r w:rsidRPr="00994F37">
        <w:rPr>
          <w:rFonts w:cs="Times New Roman"/>
          <w:szCs w:val="24"/>
        </w:rPr>
        <w:t xml:space="preserve">2020 r. </w:t>
      </w:r>
      <w:r w:rsidR="004F3404">
        <w:rPr>
          <w:rFonts w:cs="Times New Roman"/>
          <w:szCs w:val="24"/>
        </w:rPr>
        <w:t>–</w:t>
      </w:r>
      <w:r w:rsidRPr="00994F37">
        <w:rPr>
          <w:rFonts w:cs="Times New Roman"/>
          <w:szCs w:val="24"/>
        </w:rPr>
        <w:t xml:space="preserve"> 16</w:t>
      </w:r>
      <w:r w:rsidR="004F3404">
        <w:rPr>
          <w:rFonts w:cs="Times New Roman"/>
          <w:szCs w:val="24"/>
        </w:rPr>
        <w:t xml:space="preserve"> września </w:t>
      </w:r>
      <w:r w:rsidRPr="00994F37">
        <w:rPr>
          <w:rFonts w:cs="Times New Roman"/>
          <w:szCs w:val="24"/>
        </w:rPr>
        <w:t>2021 r.</w:t>
      </w:r>
    </w:p>
    <w:p w14:paraId="54720AF7" w14:textId="77777777" w:rsidR="004E635D" w:rsidRPr="00994F37" w:rsidRDefault="004E635D" w:rsidP="00994F37">
      <w:pPr>
        <w:rPr>
          <w:rFonts w:cs="Times New Roman"/>
          <w:szCs w:val="24"/>
        </w:rPr>
      </w:pPr>
    </w:p>
    <w:p w14:paraId="0CFE1247" w14:textId="09C18E13" w:rsidR="00BA4636" w:rsidRDefault="00994F37" w:rsidP="00851299">
      <w:pPr>
        <w:rPr>
          <w:rFonts w:cs="Times New Roman"/>
          <w:szCs w:val="24"/>
        </w:rPr>
      </w:pPr>
      <w:r w:rsidRPr="00994F37">
        <w:rPr>
          <w:rFonts w:cs="Times New Roman"/>
          <w:szCs w:val="24"/>
        </w:rPr>
        <w:t xml:space="preserve">Ponadto, wielkim wsparciem dla seniorów i gmin, był program Wspieraj Seniora w ramach Solidarnościowego Korpusy Wsparcia Seniorów. Celem programu było </w:t>
      </w:r>
      <w:proofErr w:type="spellStart"/>
      <w:r w:rsidRPr="00994F37">
        <w:rPr>
          <w:rFonts w:cs="Times New Roman"/>
          <w:szCs w:val="24"/>
        </w:rPr>
        <w:t>zapew</w:t>
      </w:r>
      <w:proofErr w:type="spellEnd"/>
      <w:r w:rsidRPr="00994F37">
        <w:rPr>
          <w:rFonts w:cs="Times New Roman"/>
          <w:szCs w:val="24"/>
        </w:rPr>
        <w:t xml:space="preserve"> </w:t>
      </w:r>
      <w:proofErr w:type="spellStart"/>
      <w:r w:rsidRPr="00994F37">
        <w:rPr>
          <w:rFonts w:cs="Times New Roman"/>
          <w:szCs w:val="24"/>
        </w:rPr>
        <w:t>nienie</w:t>
      </w:r>
      <w:proofErr w:type="spellEnd"/>
      <w:r w:rsidRPr="00994F37">
        <w:rPr>
          <w:rFonts w:cs="Times New Roman"/>
          <w:szCs w:val="24"/>
        </w:rPr>
        <w:t xml:space="preserve"> usługi wsparcia seniorów w wieku 70 lat i więcej, którzy w obowiązującym stanie epidemii zdecydowali się na pozostanie w domu i nie byli w' stanie, np. poprzez wsparcie rodziny, zabezpieczyć sobie artykułów podstawowej potrzeby. Usługa wsparcia polegała w szczególności na dostarczeniu zakupów obejmujących artykuły podstawowej potrzeby, w tym artykuły spożywcze, środki higieny osobistej. W 2020 r. do programu „Wspieraj Seniora” przystąpiło 88 gmin z terenu województwa łódzkiego. Realizując program „Wspieraj Seniora”, gminy przyjęły 1 005 zgłoszeń od osób zainteresowanych udzieleniem wsparcia, w tym 455 zgłoszeń poprzez infolinię i 550 zgłoszeń bezpośrednich. Faktycznego wsparcia udzielono 737 osobom, spośród których 312 osób zgłosiło się poprzez infolinię, a 425 osób zgłosiło się bezpośrednio do właściwych ośrodków pomocy społecznej. Na realizację programu w 2020 r</w:t>
      </w:r>
      <w:r w:rsidR="00EE280C">
        <w:rPr>
          <w:rFonts w:cs="Times New Roman"/>
          <w:szCs w:val="24"/>
        </w:rPr>
        <w:t>.</w:t>
      </w:r>
      <w:r w:rsidRPr="00994F37">
        <w:rPr>
          <w:rFonts w:cs="Times New Roman"/>
          <w:szCs w:val="24"/>
        </w:rPr>
        <w:t xml:space="preserve"> gminy wydatkowały dotację z budżetu państwa w wysokości 213 652.20 zł. Należy jednak podkreślić, że pomimo iż program był realizowany w 88 gminach, seniorzy z pozostałych gmin mieli również zapewnione wsparcie, które było realizowane z budżetów własnych jednostek samorządu terytorialnego.</w:t>
      </w:r>
    </w:p>
    <w:p w14:paraId="0A0FE2C5" w14:textId="77777777" w:rsidR="007A1EA2" w:rsidRDefault="007A1EA2" w:rsidP="00E7359C">
      <w:pPr>
        <w:shd w:val="clear" w:color="auto" w:fill="FFFFFF"/>
        <w:rPr>
          <w:rFonts w:cs="Times New Roman"/>
          <w:color w:val="FF0000"/>
          <w:szCs w:val="24"/>
        </w:rPr>
      </w:pPr>
    </w:p>
    <w:p w14:paraId="1E7B6327" w14:textId="03BDBCE9" w:rsidR="00AC180B" w:rsidRDefault="00AC180B" w:rsidP="00AC180B">
      <w:pPr>
        <w:pStyle w:val="Nagwek3"/>
      </w:pPr>
      <w:bookmarkStart w:id="182" w:name="_Toc77513976"/>
      <w:bookmarkStart w:id="183" w:name="_Toc80523130"/>
      <w:r>
        <w:t>Infrastruktura społeczna oraz usługi świadczone osobom starszym w 2020 r.</w:t>
      </w:r>
      <w:bookmarkEnd w:id="182"/>
      <w:bookmarkEnd w:id="183"/>
    </w:p>
    <w:p w14:paraId="2104DB10" w14:textId="77777777" w:rsidR="000B1B06" w:rsidRPr="000B1B06" w:rsidRDefault="000B1B06" w:rsidP="000B1B06"/>
    <w:p w14:paraId="7E97A2DC" w14:textId="4EA2D209" w:rsidR="00AC180B" w:rsidRDefault="00AC180B" w:rsidP="00AC180B">
      <w:pPr>
        <w:rPr>
          <w:rFonts w:cs="Times New Roman"/>
          <w:szCs w:val="24"/>
        </w:rPr>
      </w:pPr>
      <w:r w:rsidRPr="00D96C8C">
        <w:rPr>
          <w:rFonts w:cs="Times New Roman"/>
          <w:szCs w:val="24"/>
        </w:rPr>
        <w:t xml:space="preserve">Szczegółowe informacje dotyczące usług oraz infrastruktury społecznej dostępnej dla osób starszych w województwie </w:t>
      </w:r>
      <w:r w:rsidR="00994F37">
        <w:rPr>
          <w:rFonts w:cs="Times New Roman"/>
          <w:szCs w:val="24"/>
        </w:rPr>
        <w:t>łódzkim</w:t>
      </w:r>
      <w:r>
        <w:rPr>
          <w:rFonts w:cs="Times New Roman"/>
          <w:szCs w:val="24"/>
        </w:rPr>
        <w:t xml:space="preserve"> w 2020 r. przedstawia poniższa tabela</w:t>
      </w:r>
    </w:p>
    <w:p w14:paraId="1A4FCE01" w14:textId="77777777" w:rsidR="00AC180B" w:rsidRDefault="00AC180B" w:rsidP="00E7359C">
      <w:pPr>
        <w:shd w:val="clear" w:color="auto" w:fill="FFFFFF"/>
        <w:rPr>
          <w:rFonts w:cs="Times New Roman"/>
          <w:color w:val="FF0000"/>
          <w:szCs w:val="24"/>
        </w:rPr>
      </w:pPr>
    </w:p>
    <w:p w14:paraId="029ECE6A" w14:textId="77777777" w:rsidR="00AC180B" w:rsidRPr="0092226B" w:rsidRDefault="00AC180B" w:rsidP="00E7359C">
      <w:pPr>
        <w:shd w:val="clear" w:color="auto" w:fill="FFFFFF"/>
        <w:rPr>
          <w:rFonts w:cs="Times New Roman"/>
          <w:color w:val="FF0000"/>
          <w:szCs w:val="24"/>
        </w:rPr>
        <w:sectPr w:rsidR="00AC180B" w:rsidRPr="0092226B" w:rsidSect="00080A38">
          <w:pgSz w:w="11900" w:h="16838"/>
          <w:pgMar w:top="1384" w:right="1386" w:bottom="1038" w:left="1380" w:header="0" w:footer="567" w:gutter="0"/>
          <w:cols w:space="0" w:equalWidth="0">
            <w:col w:w="9140"/>
          </w:cols>
          <w:docGrid w:linePitch="360"/>
        </w:sectPr>
      </w:pPr>
    </w:p>
    <w:p w14:paraId="21616804" w14:textId="56259BB4" w:rsidR="005F20F3" w:rsidRPr="001D4922" w:rsidRDefault="005F20F3" w:rsidP="005F20F3">
      <w:pPr>
        <w:pStyle w:val="Legenda"/>
        <w:keepNext/>
        <w:rPr>
          <w:rFonts w:cs="Times New Roman"/>
          <w:b/>
          <w:i w:val="0"/>
          <w:color w:val="auto"/>
          <w:sz w:val="24"/>
        </w:rPr>
      </w:pPr>
      <w:bookmarkStart w:id="184" w:name="_Toc49171434"/>
      <w:r w:rsidRPr="001D4922">
        <w:rPr>
          <w:rFonts w:cs="Times New Roman"/>
          <w:b/>
          <w:i w:val="0"/>
          <w:color w:val="auto"/>
          <w:sz w:val="24"/>
        </w:rPr>
        <w:lastRenderedPageBreak/>
        <w:t xml:space="preserve">Tabela </w:t>
      </w:r>
      <w:r w:rsidR="005B094D">
        <w:rPr>
          <w:rFonts w:cs="Times New Roman"/>
          <w:b/>
          <w:i w:val="0"/>
          <w:color w:val="auto"/>
          <w:sz w:val="24"/>
        </w:rPr>
        <w:t>58</w:t>
      </w:r>
      <w:r w:rsidR="00054E88">
        <w:rPr>
          <w:rFonts w:cs="Times New Roman"/>
          <w:b/>
          <w:i w:val="0"/>
          <w:color w:val="auto"/>
          <w:sz w:val="24"/>
        </w:rPr>
        <w:t>.</w:t>
      </w:r>
      <w:r w:rsidR="005B094D">
        <w:rPr>
          <w:rFonts w:cs="Times New Roman"/>
          <w:b/>
          <w:i w:val="0"/>
          <w:color w:val="auto"/>
          <w:sz w:val="24"/>
        </w:rPr>
        <w:t xml:space="preserve"> </w:t>
      </w:r>
      <w:r w:rsidRPr="001D4922">
        <w:rPr>
          <w:rFonts w:cs="Times New Roman"/>
          <w:b/>
          <w:i w:val="0"/>
          <w:color w:val="auto"/>
          <w:sz w:val="24"/>
        </w:rPr>
        <w:t>Karta województwa łódzkiego</w:t>
      </w:r>
      <w:bookmarkEnd w:id="184"/>
    </w:p>
    <w:tbl>
      <w:tblPr>
        <w:tblStyle w:val="Tabelasiatki5ciemnaakcent2"/>
        <w:tblpPr w:leftFromText="142" w:rightFromText="142" w:vertAnchor="text" w:horzAnchor="margin" w:tblpXSpec="center" w:tblpY="1"/>
        <w:tblW w:w="14737" w:type="dxa"/>
        <w:tblLayout w:type="fixed"/>
        <w:tblLook w:val="04A0" w:firstRow="1" w:lastRow="0" w:firstColumn="1" w:lastColumn="0" w:noHBand="0" w:noVBand="1"/>
      </w:tblPr>
      <w:tblGrid>
        <w:gridCol w:w="2828"/>
        <w:gridCol w:w="3065"/>
        <w:gridCol w:w="53"/>
        <w:gridCol w:w="2894"/>
        <w:gridCol w:w="790"/>
        <w:gridCol w:w="2158"/>
        <w:gridCol w:w="2949"/>
      </w:tblGrid>
      <w:tr w:rsidR="00994F37" w:rsidRPr="0092226B" w14:paraId="732F1ABF" w14:textId="77777777" w:rsidTr="00994F37">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37" w:type="dxa"/>
            <w:gridSpan w:val="7"/>
          </w:tcPr>
          <w:p w14:paraId="4FFB350D" w14:textId="47080F1F" w:rsidR="00994F37" w:rsidRPr="00087470" w:rsidRDefault="00994F37" w:rsidP="00994F37">
            <w:pPr>
              <w:spacing w:line="240" w:lineRule="auto"/>
              <w:jc w:val="center"/>
              <w:rPr>
                <w:color w:val="auto"/>
                <w:sz w:val="20"/>
                <w:szCs w:val="20"/>
              </w:rPr>
            </w:pPr>
            <w:r w:rsidRPr="00087470">
              <w:rPr>
                <w:color w:val="auto"/>
                <w:sz w:val="20"/>
                <w:szCs w:val="20"/>
              </w:rPr>
              <w:t>WOJEWÓDZTWO ŁÓDZKIE</w:t>
            </w:r>
          </w:p>
        </w:tc>
      </w:tr>
      <w:tr w:rsidR="002C0597" w:rsidRPr="0092226B" w14:paraId="207B8C89" w14:textId="77777777" w:rsidTr="00994F3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37" w:type="dxa"/>
            <w:gridSpan w:val="7"/>
          </w:tcPr>
          <w:p w14:paraId="30E01B14" w14:textId="2009FBF5" w:rsidR="002C0597" w:rsidRPr="00087470" w:rsidRDefault="002C0597" w:rsidP="00332ECC">
            <w:pPr>
              <w:spacing w:line="240" w:lineRule="auto"/>
              <w:rPr>
                <w:color w:val="auto"/>
                <w:sz w:val="20"/>
                <w:szCs w:val="20"/>
              </w:rPr>
            </w:pPr>
            <w:r w:rsidRPr="00087470">
              <w:rPr>
                <w:color w:val="auto"/>
                <w:sz w:val="20"/>
                <w:szCs w:val="20"/>
              </w:rPr>
              <w:t>USŁUGI SPOŁECZNE DLA OSÓB STARSZYCH / INFRASTRUKTURA POMOCY SPOLECZNEJ – DANE ZA 20</w:t>
            </w:r>
            <w:r w:rsidR="005B094D" w:rsidRPr="00087470">
              <w:rPr>
                <w:color w:val="auto"/>
                <w:sz w:val="20"/>
                <w:szCs w:val="20"/>
              </w:rPr>
              <w:t>20</w:t>
            </w:r>
            <w:r w:rsidRPr="00087470">
              <w:rPr>
                <w:color w:val="auto"/>
                <w:sz w:val="20"/>
                <w:szCs w:val="20"/>
              </w:rPr>
              <w:t xml:space="preserve"> R.</w:t>
            </w:r>
          </w:p>
        </w:tc>
      </w:tr>
      <w:tr w:rsidR="002C0597" w:rsidRPr="0092226B" w14:paraId="3CAF2A31" w14:textId="77777777" w:rsidTr="00994F37">
        <w:trPr>
          <w:trHeight w:val="79"/>
        </w:trPr>
        <w:tc>
          <w:tcPr>
            <w:cnfStyle w:val="001000000000" w:firstRow="0" w:lastRow="0" w:firstColumn="1" w:lastColumn="0" w:oddVBand="0" w:evenVBand="0" w:oddHBand="0" w:evenHBand="0" w:firstRowFirstColumn="0" w:firstRowLastColumn="0" w:lastRowFirstColumn="0" w:lastRowLastColumn="0"/>
            <w:tcW w:w="2828" w:type="dxa"/>
            <w:vMerge w:val="restart"/>
          </w:tcPr>
          <w:p w14:paraId="3ECB1513" w14:textId="77777777" w:rsidR="002C0597" w:rsidRPr="00087470" w:rsidRDefault="002C0597" w:rsidP="00332ECC">
            <w:pPr>
              <w:spacing w:line="240" w:lineRule="auto"/>
              <w:rPr>
                <w:rFonts w:eastAsia="Times New Roman"/>
                <w:b w:val="0"/>
                <w:bCs w:val="0"/>
                <w:color w:val="auto"/>
                <w:sz w:val="20"/>
                <w:szCs w:val="20"/>
                <w:lang w:eastAsia="pl-PL"/>
              </w:rPr>
            </w:pPr>
            <w:r w:rsidRPr="00087470">
              <w:rPr>
                <w:rFonts w:eastAsia="Times New Roman"/>
                <w:color w:val="auto"/>
                <w:sz w:val="20"/>
                <w:szCs w:val="20"/>
                <w:lang w:eastAsia="pl-PL"/>
              </w:rPr>
              <w:t>Instytucje pomocy społecznej, w tym:</w:t>
            </w:r>
          </w:p>
        </w:tc>
        <w:tc>
          <w:tcPr>
            <w:tcW w:w="3065" w:type="dxa"/>
          </w:tcPr>
          <w:p w14:paraId="0FF44150" w14:textId="77777777" w:rsidR="002C0597" w:rsidRPr="00087470" w:rsidRDefault="002C0597" w:rsidP="00332ECC">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87470">
              <w:rPr>
                <w:b/>
                <w:sz w:val="20"/>
                <w:szCs w:val="20"/>
              </w:rPr>
              <w:t>Rodzaj placówki</w:t>
            </w:r>
          </w:p>
        </w:tc>
        <w:tc>
          <w:tcPr>
            <w:tcW w:w="2947" w:type="dxa"/>
            <w:gridSpan w:val="2"/>
          </w:tcPr>
          <w:p w14:paraId="287A5183" w14:textId="77777777" w:rsidR="002C0597" w:rsidRPr="00087470" w:rsidRDefault="002C0597" w:rsidP="00332ECC">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87470">
              <w:rPr>
                <w:b/>
                <w:sz w:val="20"/>
                <w:szCs w:val="20"/>
              </w:rPr>
              <w:t>Liczba placówek</w:t>
            </w:r>
          </w:p>
        </w:tc>
        <w:tc>
          <w:tcPr>
            <w:tcW w:w="2948" w:type="dxa"/>
            <w:gridSpan w:val="2"/>
          </w:tcPr>
          <w:p w14:paraId="7795D1F3" w14:textId="77777777" w:rsidR="002C0597" w:rsidRPr="00087470" w:rsidRDefault="002C0597" w:rsidP="00332ECC">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087470">
              <w:rPr>
                <w:b/>
                <w:sz w:val="20"/>
                <w:szCs w:val="20"/>
              </w:rPr>
              <w:t>Liczba miejsc dla osób starszych</w:t>
            </w:r>
          </w:p>
        </w:tc>
        <w:tc>
          <w:tcPr>
            <w:tcW w:w="2949" w:type="dxa"/>
          </w:tcPr>
          <w:p w14:paraId="49A43C6E" w14:textId="77777777" w:rsidR="002C0597" w:rsidRPr="00087470" w:rsidRDefault="002C0597" w:rsidP="00332ECC">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087470">
              <w:rPr>
                <w:b/>
                <w:sz w:val="20"/>
                <w:szCs w:val="20"/>
              </w:rPr>
              <w:t>Liczba korzystających osób starszych</w:t>
            </w:r>
            <w:r w:rsidRPr="00087470">
              <w:rPr>
                <w:rStyle w:val="Odwoanieprzypisudolnego"/>
                <w:b/>
                <w:sz w:val="20"/>
                <w:szCs w:val="20"/>
              </w:rPr>
              <w:footnoteReference w:id="45"/>
            </w:r>
          </w:p>
        </w:tc>
      </w:tr>
      <w:tr w:rsidR="00863995" w:rsidRPr="0092226B" w14:paraId="2AB5A6BD" w14:textId="77777777" w:rsidTr="00994F3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40BF8F7A" w14:textId="77777777" w:rsidR="00863995" w:rsidRPr="00087470" w:rsidRDefault="00863995" w:rsidP="00863995">
            <w:pPr>
              <w:spacing w:line="240" w:lineRule="auto"/>
              <w:rPr>
                <w:rFonts w:eastAsia="Times New Roman"/>
                <w:color w:val="auto"/>
                <w:sz w:val="20"/>
                <w:szCs w:val="20"/>
                <w:lang w:eastAsia="pl-PL"/>
              </w:rPr>
            </w:pPr>
          </w:p>
        </w:tc>
        <w:tc>
          <w:tcPr>
            <w:tcW w:w="3065" w:type="dxa"/>
          </w:tcPr>
          <w:p w14:paraId="0FF01A8F" w14:textId="77777777" w:rsidR="00863995" w:rsidRPr="00087470" w:rsidRDefault="00863995" w:rsidP="00863995">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Środowiskowe Domy Samopomocy</w:t>
            </w:r>
          </w:p>
        </w:tc>
        <w:tc>
          <w:tcPr>
            <w:tcW w:w="2947" w:type="dxa"/>
            <w:gridSpan w:val="2"/>
          </w:tcPr>
          <w:p w14:paraId="09378E42" w14:textId="4A3F67E9"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47</w:t>
            </w:r>
          </w:p>
        </w:tc>
        <w:tc>
          <w:tcPr>
            <w:tcW w:w="2948" w:type="dxa"/>
            <w:gridSpan w:val="2"/>
          </w:tcPr>
          <w:p w14:paraId="33593732" w14:textId="34308C38"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2</w:t>
            </w:r>
            <w:r w:rsidR="00087470" w:rsidRPr="00087470">
              <w:rPr>
                <w:sz w:val="20"/>
                <w:szCs w:val="20"/>
              </w:rPr>
              <w:t xml:space="preserve"> </w:t>
            </w:r>
            <w:r w:rsidRPr="00087470">
              <w:rPr>
                <w:sz w:val="20"/>
                <w:szCs w:val="20"/>
              </w:rPr>
              <w:t>023</w:t>
            </w:r>
          </w:p>
        </w:tc>
        <w:tc>
          <w:tcPr>
            <w:tcW w:w="2949" w:type="dxa"/>
          </w:tcPr>
          <w:p w14:paraId="00A73C01" w14:textId="27985CB6"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852</w:t>
            </w:r>
          </w:p>
        </w:tc>
      </w:tr>
      <w:tr w:rsidR="00863995" w:rsidRPr="0092226B" w14:paraId="296C2634" w14:textId="77777777" w:rsidTr="00994F37">
        <w:trPr>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15CA793B" w14:textId="77777777" w:rsidR="00863995" w:rsidRPr="00087470" w:rsidRDefault="00863995" w:rsidP="00863995">
            <w:pPr>
              <w:spacing w:line="240" w:lineRule="auto"/>
              <w:rPr>
                <w:rFonts w:eastAsia="Times New Roman"/>
                <w:color w:val="auto"/>
                <w:sz w:val="20"/>
                <w:szCs w:val="20"/>
                <w:lang w:eastAsia="pl-PL"/>
              </w:rPr>
            </w:pPr>
          </w:p>
        </w:tc>
        <w:tc>
          <w:tcPr>
            <w:tcW w:w="3065" w:type="dxa"/>
          </w:tcPr>
          <w:p w14:paraId="13997FE0" w14:textId="77777777" w:rsidR="00863995" w:rsidRPr="00087470" w:rsidRDefault="00863995" w:rsidP="00863995">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Dzienne Domy Pomocy</w:t>
            </w:r>
          </w:p>
        </w:tc>
        <w:tc>
          <w:tcPr>
            <w:tcW w:w="2947" w:type="dxa"/>
            <w:gridSpan w:val="2"/>
          </w:tcPr>
          <w:p w14:paraId="02CB6F63" w14:textId="1FD4B6C1"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43</w:t>
            </w:r>
          </w:p>
        </w:tc>
        <w:tc>
          <w:tcPr>
            <w:tcW w:w="2948" w:type="dxa"/>
            <w:gridSpan w:val="2"/>
          </w:tcPr>
          <w:p w14:paraId="517CCADF" w14:textId="45801131"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w:t>
            </w:r>
            <w:r w:rsidR="00087470" w:rsidRPr="00087470">
              <w:rPr>
                <w:sz w:val="20"/>
                <w:szCs w:val="20"/>
              </w:rPr>
              <w:t xml:space="preserve"> </w:t>
            </w:r>
            <w:r w:rsidRPr="00087470">
              <w:rPr>
                <w:sz w:val="20"/>
                <w:szCs w:val="20"/>
              </w:rPr>
              <w:t>827</w:t>
            </w:r>
          </w:p>
        </w:tc>
        <w:tc>
          <w:tcPr>
            <w:tcW w:w="2949" w:type="dxa"/>
          </w:tcPr>
          <w:p w14:paraId="3B7F9B0D" w14:textId="0319DE31"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w:t>
            </w:r>
            <w:r w:rsidR="00087470" w:rsidRPr="00087470">
              <w:rPr>
                <w:sz w:val="20"/>
                <w:szCs w:val="20"/>
              </w:rPr>
              <w:t xml:space="preserve"> </w:t>
            </w:r>
            <w:r w:rsidRPr="00087470">
              <w:rPr>
                <w:sz w:val="20"/>
                <w:szCs w:val="20"/>
              </w:rPr>
              <w:t>181</w:t>
            </w:r>
          </w:p>
        </w:tc>
      </w:tr>
      <w:tr w:rsidR="00863995" w:rsidRPr="0092226B" w14:paraId="65194F3D" w14:textId="77777777" w:rsidTr="00994F3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3502629F" w14:textId="77777777" w:rsidR="00863995" w:rsidRPr="00087470" w:rsidRDefault="00863995" w:rsidP="00863995">
            <w:pPr>
              <w:spacing w:line="240" w:lineRule="auto"/>
              <w:rPr>
                <w:rFonts w:eastAsia="Times New Roman"/>
                <w:color w:val="auto"/>
                <w:sz w:val="20"/>
                <w:szCs w:val="20"/>
                <w:lang w:eastAsia="pl-PL"/>
              </w:rPr>
            </w:pPr>
          </w:p>
        </w:tc>
        <w:tc>
          <w:tcPr>
            <w:tcW w:w="3065" w:type="dxa"/>
          </w:tcPr>
          <w:p w14:paraId="378E3D69" w14:textId="77777777" w:rsidR="00863995" w:rsidRPr="00087470" w:rsidRDefault="00863995" w:rsidP="00863995">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Noclegownie, schroniska i domy dla osób bezdomnych</w:t>
            </w:r>
          </w:p>
        </w:tc>
        <w:tc>
          <w:tcPr>
            <w:tcW w:w="2947" w:type="dxa"/>
            <w:gridSpan w:val="2"/>
          </w:tcPr>
          <w:p w14:paraId="66D6C234" w14:textId="5205CD62"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14</w:t>
            </w:r>
          </w:p>
        </w:tc>
        <w:tc>
          <w:tcPr>
            <w:tcW w:w="2948" w:type="dxa"/>
            <w:gridSpan w:val="2"/>
          </w:tcPr>
          <w:p w14:paraId="57E535A8" w14:textId="2EE23DA0"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660</w:t>
            </w:r>
          </w:p>
        </w:tc>
        <w:tc>
          <w:tcPr>
            <w:tcW w:w="2949" w:type="dxa"/>
          </w:tcPr>
          <w:p w14:paraId="0F485609" w14:textId="47840D6E"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433</w:t>
            </w:r>
          </w:p>
        </w:tc>
      </w:tr>
      <w:tr w:rsidR="00863995" w:rsidRPr="0092226B" w14:paraId="7A1E8E2A" w14:textId="77777777" w:rsidTr="00994F37">
        <w:trPr>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1701CB4D" w14:textId="77777777" w:rsidR="00863995" w:rsidRPr="00087470" w:rsidRDefault="00863995" w:rsidP="00863995">
            <w:pPr>
              <w:spacing w:line="240" w:lineRule="auto"/>
              <w:rPr>
                <w:rFonts w:eastAsia="Times New Roman"/>
                <w:color w:val="auto"/>
                <w:sz w:val="20"/>
                <w:szCs w:val="20"/>
                <w:lang w:eastAsia="pl-PL"/>
              </w:rPr>
            </w:pPr>
          </w:p>
        </w:tc>
        <w:tc>
          <w:tcPr>
            <w:tcW w:w="3065" w:type="dxa"/>
          </w:tcPr>
          <w:p w14:paraId="3AE11147" w14:textId="77777777" w:rsidR="00863995" w:rsidRPr="00087470" w:rsidRDefault="00863995" w:rsidP="00863995">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Ogrzewalnie</w:t>
            </w:r>
          </w:p>
        </w:tc>
        <w:tc>
          <w:tcPr>
            <w:tcW w:w="2947" w:type="dxa"/>
            <w:gridSpan w:val="2"/>
          </w:tcPr>
          <w:p w14:paraId="6760B57F" w14:textId="26990192"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3</w:t>
            </w:r>
          </w:p>
        </w:tc>
        <w:tc>
          <w:tcPr>
            <w:tcW w:w="2948" w:type="dxa"/>
            <w:gridSpan w:val="2"/>
          </w:tcPr>
          <w:p w14:paraId="041FA7C6" w14:textId="1C813B60"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33</w:t>
            </w:r>
          </w:p>
        </w:tc>
        <w:tc>
          <w:tcPr>
            <w:tcW w:w="2949" w:type="dxa"/>
          </w:tcPr>
          <w:p w14:paraId="4D741A37" w14:textId="4BED54D2"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30</w:t>
            </w:r>
          </w:p>
        </w:tc>
      </w:tr>
      <w:tr w:rsidR="00863995" w:rsidRPr="0092226B" w14:paraId="5CD094DD" w14:textId="77777777" w:rsidTr="00994F3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0140C777" w14:textId="77777777" w:rsidR="00863995" w:rsidRPr="00087470" w:rsidRDefault="00863995" w:rsidP="00863995">
            <w:pPr>
              <w:spacing w:line="240" w:lineRule="auto"/>
              <w:rPr>
                <w:rFonts w:eastAsia="Times New Roman"/>
                <w:color w:val="auto"/>
                <w:sz w:val="20"/>
                <w:szCs w:val="20"/>
                <w:lang w:eastAsia="pl-PL"/>
              </w:rPr>
            </w:pPr>
          </w:p>
        </w:tc>
        <w:tc>
          <w:tcPr>
            <w:tcW w:w="3065" w:type="dxa"/>
          </w:tcPr>
          <w:p w14:paraId="2D30CA6B" w14:textId="77777777" w:rsidR="00863995" w:rsidRPr="00087470" w:rsidRDefault="00863995" w:rsidP="00863995">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Kluby Samopomocy</w:t>
            </w:r>
          </w:p>
        </w:tc>
        <w:tc>
          <w:tcPr>
            <w:tcW w:w="2947" w:type="dxa"/>
            <w:gridSpan w:val="2"/>
          </w:tcPr>
          <w:p w14:paraId="43D22877" w14:textId="0CAA3912"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4</w:t>
            </w:r>
          </w:p>
        </w:tc>
        <w:tc>
          <w:tcPr>
            <w:tcW w:w="2948" w:type="dxa"/>
            <w:gridSpan w:val="2"/>
          </w:tcPr>
          <w:p w14:paraId="7067280B" w14:textId="60035D6A"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80</w:t>
            </w:r>
          </w:p>
        </w:tc>
        <w:tc>
          <w:tcPr>
            <w:tcW w:w="2949" w:type="dxa"/>
          </w:tcPr>
          <w:p w14:paraId="4078292E" w14:textId="7A8E6FB0"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89</w:t>
            </w:r>
          </w:p>
        </w:tc>
      </w:tr>
      <w:tr w:rsidR="00863995" w:rsidRPr="0092226B" w14:paraId="597372BE" w14:textId="77777777" w:rsidTr="00994F37">
        <w:trPr>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48EBC33E" w14:textId="77777777" w:rsidR="00863995" w:rsidRPr="00087470" w:rsidRDefault="00863995" w:rsidP="00863995">
            <w:pPr>
              <w:spacing w:line="240" w:lineRule="auto"/>
              <w:rPr>
                <w:rFonts w:eastAsia="Times New Roman"/>
                <w:color w:val="auto"/>
                <w:sz w:val="20"/>
                <w:szCs w:val="20"/>
                <w:lang w:eastAsia="pl-PL"/>
              </w:rPr>
            </w:pPr>
          </w:p>
        </w:tc>
        <w:tc>
          <w:tcPr>
            <w:tcW w:w="3065" w:type="dxa"/>
          </w:tcPr>
          <w:p w14:paraId="17ADFD03" w14:textId="77777777" w:rsidR="00863995" w:rsidRPr="00087470" w:rsidRDefault="00863995" w:rsidP="00863995">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Placówki zapewniające całodobową opiekę osobom niepełnosprawnym, przewlekle chorym lub osobom w podeszłym wieku</w:t>
            </w:r>
          </w:p>
        </w:tc>
        <w:tc>
          <w:tcPr>
            <w:tcW w:w="2947" w:type="dxa"/>
            <w:gridSpan w:val="2"/>
          </w:tcPr>
          <w:p w14:paraId="08D02D9E" w14:textId="04E3ACC2"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32</w:t>
            </w:r>
          </w:p>
        </w:tc>
        <w:tc>
          <w:tcPr>
            <w:tcW w:w="2948" w:type="dxa"/>
            <w:gridSpan w:val="2"/>
          </w:tcPr>
          <w:p w14:paraId="3572AB7D" w14:textId="5D205E44"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w:t>
            </w:r>
            <w:r w:rsidR="00087470" w:rsidRPr="00087470">
              <w:rPr>
                <w:sz w:val="20"/>
                <w:szCs w:val="20"/>
              </w:rPr>
              <w:t xml:space="preserve"> </w:t>
            </w:r>
            <w:r w:rsidRPr="00087470">
              <w:rPr>
                <w:sz w:val="20"/>
                <w:szCs w:val="20"/>
              </w:rPr>
              <w:t>072</w:t>
            </w:r>
          </w:p>
        </w:tc>
        <w:tc>
          <w:tcPr>
            <w:tcW w:w="2949" w:type="dxa"/>
          </w:tcPr>
          <w:p w14:paraId="0B29B0E2" w14:textId="2056945B"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800</w:t>
            </w:r>
          </w:p>
        </w:tc>
      </w:tr>
      <w:tr w:rsidR="00863995" w:rsidRPr="0092226B" w14:paraId="513A681E" w14:textId="77777777" w:rsidTr="00994F3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3D05B60B" w14:textId="77777777" w:rsidR="00863995" w:rsidRPr="00087470" w:rsidRDefault="00863995" w:rsidP="00863995">
            <w:pPr>
              <w:spacing w:line="240" w:lineRule="auto"/>
              <w:rPr>
                <w:rFonts w:eastAsia="Times New Roman"/>
                <w:color w:val="auto"/>
                <w:sz w:val="20"/>
                <w:szCs w:val="20"/>
                <w:lang w:eastAsia="pl-PL"/>
              </w:rPr>
            </w:pPr>
          </w:p>
        </w:tc>
        <w:tc>
          <w:tcPr>
            <w:tcW w:w="3065" w:type="dxa"/>
          </w:tcPr>
          <w:p w14:paraId="1F25A7BA" w14:textId="77777777" w:rsidR="00863995" w:rsidRPr="00087470" w:rsidRDefault="00863995" w:rsidP="00863995">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Domy Pomocy Społecznej</w:t>
            </w:r>
          </w:p>
        </w:tc>
        <w:tc>
          <w:tcPr>
            <w:tcW w:w="2947" w:type="dxa"/>
            <w:gridSpan w:val="2"/>
          </w:tcPr>
          <w:p w14:paraId="02A05B59" w14:textId="41D77AAE"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67</w:t>
            </w:r>
          </w:p>
        </w:tc>
        <w:tc>
          <w:tcPr>
            <w:tcW w:w="2948" w:type="dxa"/>
            <w:gridSpan w:val="2"/>
          </w:tcPr>
          <w:p w14:paraId="5CDD1177" w14:textId="3DCD2BE6"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4</w:t>
            </w:r>
            <w:r w:rsidR="00087470" w:rsidRPr="00087470">
              <w:rPr>
                <w:sz w:val="20"/>
                <w:szCs w:val="20"/>
              </w:rPr>
              <w:t xml:space="preserve"> </w:t>
            </w:r>
            <w:r w:rsidRPr="00087470">
              <w:rPr>
                <w:sz w:val="20"/>
                <w:szCs w:val="20"/>
              </w:rPr>
              <w:t>500</w:t>
            </w:r>
          </w:p>
        </w:tc>
        <w:tc>
          <w:tcPr>
            <w:tcW w:w="2949" w:type="dxa"/>
          </w:tcPr>
          <w:p w14:paraId="27F3DB8D" w14:textId="126DA3CB"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4</w:t>
            </w:r>
            <w:r w:rsidR="00087470" w:rsidRPr="00087470">
              <w:rPr>
                <w:sz w:val="20"/>
                <w:szCs w:val="20"/>
              </w:rPr>
              <w:t xml:space="preserve"> </w:t>
            </w:r>
            <w:r w:rsidRPr="00087470">
              <w:rPr>
                <w:sz w:val="20"/>
                <w:szCs w:val="20"/>
              </w:rPr>
              <w:t>172</w:t>
            </w:r>
          </w:p>
        </w:tc>
      </w:tr>
      <w:tr w:rsidR="00863995" w:rsidRPr="0092226B" w14:paraId="594F7DD6" w14:textId="77777777" w:rsidTr="00994F37">
        <w:trPr>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48B93412" w14:textId="77777777" w:rsidR="00863995" w:rsidRPr="00087470" w:rsidRDefault="00863995" w:rsidP="00863995">
            <w:pPr>
              <w:spacing w:line="240" w:lineRule="auto"/>
              <w:rPr>
                <w:rFonts w:eastAsia="Times New Roman"/>
                <w:color w:val="auto"/>
                <w:sz w:val="20"/>
                <w:szCs w:val="20"/>
                <w:lang w:eastAsia="pl-PL"/>
              </w:rPr>
            </w:pPr>
          </w:p>
        </w:tc>
        <w:tc>
          <w:tcPr>
            <w:tcW w:w="3065" w:type="dxa"/>
          </w:tcPr>
          <w:p w14:paraId="040F62F8" w14:textId="77777777" w:rsidR="00863995" w:rsidRPr="00087470" w:rsidRDefault="00863995" w:rsidP="00863995">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Mieszkania chronione ogółem</w:t>
            </w:r>
          </w:p>
        </w:tc>
        <w:tc>
          <w:tcPr>
            <w:tcW w:w="2947" w:type="dxa"/>
            <w:gridSpan w:val="2"/>
          </w:tcPr>
          <w:p w14:paraId="5D54820F" w14:textId="657AD09D"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56</w:t>
            </w:r>
          </w:p>
        </w:tc>
        <w:tc>
          <w:tcPr>
            <w:tcW w:w="2948" w:type="dxa"/>
            <w:gridSpan w:val="2"/>
          </w:tcPr>
          <w:p w14:paraId="0E0E5B9C" w14:textId="6843604B"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186</w:t>
            </w:r>
          </w:p>
        </w:tc>
        <w:tc>
          <w:tcPr>
            <w:tcW w:w="2949" w:type="dxa"/>
          </w:tcPr>
          <w:p w14:paraId="57DD2133" w14:textId="435F5D60"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49</w:t>
            </w:r>
          </w:p>
        </w:tc>
      </w:tr>
      <w:tr w:rsidR="00863995" w:rsidRPr="0092226B" w14:paraId="56553985" w14:textId="77777777" w:rsidTr="00994F3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599B728D" w14:textId="77777777" w:rsidR="00863995" w:rsidRPr="00087470" w:rsidRDefault="00863995" w:rsidP="00863995">
            <w:pPr>
              <w:spacing w:line="240" w:lineRule="auto"/>
              <w:rPr>
                <w:rFonts w:eastAsia="Times New Roman"/>
                <w:color w:val="auto"/>
                <w:sz w:val="20"/>
                <w:szCs w:val="20"/>
                <w:lang w:eastAsia="pl-PL"/>
              </w:rPr>
            </w:pPr>
          </w:p>
        </w:tc>
        <w:tc>
          <w:tcPr>
            <w:tcW w:w="3065" w:type="dxa"/>
          </w:tcPr>
          <w:p w14:paraId="3B867612" w14:textId="77777777" w:rsidR="00863995" w:rsidRPr="00087470" w:rsidRDefault="00863995" w:rsidP="00863995">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Ośrodki Interwencji Kryzysowej ogółem</w:t>
            </w:r>
          </w:p>
        </w:tc>
        <w:tc>
          <w:tcPr>
            <w:tcW w:w="2947" w:type="dxa"/>
            <w:gridSpan w:val="2"/>
          </w:tcPr>
          <w:p w14:paraId="306C6B21" w14:textId="315B39AF"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7</w:t>
            </w:r>
          </w:p>
        </w:tc>
        <w:tc>
          <w:tcPr>
            <w:tcW w:w="2948" w:type="dxa"/>
            <w:gridSpan w:val="2"/>
          </w:tcPr>
          <w:p w14:paraId="4A569B9E" w14:textId="66BB51D5"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7</w:t>
            </w:r>
          </w:p>
        </w:tc>
        <w:tc>
          <w:tcPr>
            <w:tcW w:w="2949" w:type="dxa"/>
          </w:tcPr>
          <w:p w14:paraId="779CD2F0" w14:textId="04BB05E5"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46</w:t>
            </w:r>
          </w:p>
        </w:tc>
      </w:tr>
      <w:tr w:rsidR="00863995" w:rsidRPr="0092226B" w14:paraId="1D8560AF" w14:textId="77777777" w:rsidTr="00994F37">
        <w:trPr>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1E8C98BB" w14:textId="77777777" w:rsidR="00863995" w:rsidRPr="00087470" w:rsidRDefault="00863995" w:rsidP="00863995">
            <w:pPr>
              <w:spacing w:line="240" w:lineRule="auto"/>
              <w:rPr>
                <w:rFonts w:eastAsia="Times New Roman"/>
                <w:color w:val="auto"/>
                <w:sz w:val="20"/>
                <w:szCs w:val="20"/>
                <w:lang w:eastAsia="pl-PL"/>
              </w:rPr>
            </w:pPr>
          </w:p>
        </w:tc>
        <w:tc>
          <w:tcPr>
            <w:tcW w:w="3065" w:type="dxa"/>
          </w:tcPr>
          <w:p w14:paraId="12CC099D" w14:textId="77777777" w:rsidR="00863995" w:rsidRPr="00087470" w:rsidRDefault="00863995" w:rsidP="00863995">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Jednostki specjalistycznego poradnictwa</w:t>
            </w:r>
          </w:p>
        </w:tc>
        <w:tc>
          <w:tcPr>
            <w:tcW w:w="2947" w:type="dxa"/>
            <w:gridSpan w:val="2"/>
          </w:tcPr>
          <w:p w14:paraId="3899910B" w14:textId="7C043FA6"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11</w:t>
            </w:r>
          </w:p>
        </w:tc>
        <w:tc>
          <w:tcPr>
            <w:tcW w:w="2948" w:type="dxa"/>
            <w:gridSpan w:val="2"/>
          </w:tcPr>
          <w:p w14:paraId="765E37FF" w14:textId="1A7F5E07"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94</w:t>
            </w:r>
          </w:p>
        </w:tc>
        <w:tc>
          <w:tcPr>
            <w:tcW w:w="2949" w:type="dxa"/>
          </w:tcPr>
          <w:p w14:paraId="17972C26" w14:textId="7343705B"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133</w:t>
            </w:r>
          </w:p>
        </w:tc>
      </w:tr>
      <w:tr w:rsidR="00863995" w:rsidRPr="0092226B" w14:paraId="41204AF0" w14:textId="77777777" w:rsidTr="00994F3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29F740A9" w14:textId="77777777" w:rsidR="00863995" w:rsidRPr="00087470" w:rsidRDefault="00863995" w:rsidP="00863995">
            <w:pPr>
              <w:spacing w:line="240" w:lineRule="auto"/>
              <w:rPr>
                <w:rFonts w:eastAsia="Times New Roman"/>
                <w:sz w:val="20"/>
                <w:szCs w:val="20"/>
                <w:lang w:eastAsia="pl-PL"/>
              </w:rPr>
            </w:pPr>
          </w:p>
        </w:tc>
        <w:tc>
          <w:tcPr>
            <w:tcW w:w="3065" w:type="dxa"/>
          </w:tcPr>
          <w:p w14:paraId="0D78655F" w14:textId="4465DFEF" w:rsidR="00863995" w:rsidRPr="00087470" w:rsidRDefault="00863995" w:rsidP="00863995">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Placówki wsparcia dziennego</w:t>
            </w:r>
          </w:p>
        </w:tc>
        <w:tc>
          <w:tcPr>
            <w:tcW w:w="2947" w:type="dxa"/>
            <w:gridSpan w:val="2"/>
          </w:tcPr>
          <w:p w14:paraId="5ED5960C" w14:textId="7D3A3D01"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15</w:t>
            </w:r>
          </w:p>
        </w:tc>
        <w:tc>
          <w:tcPr>
            <w:tcW w:w="2948" w:type="dxa"/>
            <w:gridSpan w:val="2"/>
          </w:tcPr>
          <w:p w14:paraId="42EA2E77" w14:textId="3E434992"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40</w:t>
            </w:r>
          </w:p>
        </w:tc>
        <w:tc>
          <w:tcPr>
            <w:tcW w:w="2949" w:type="dxa"/>
          </w:tcPr>
          <w:p w14:paraId="2D05587C" w14:textId="366A49C5"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35</w:t>
            </w:r>
          </w:p>
        </w:tc>
      </w:tr>
      <w:tr w:rsidR="002C0597" w:rsidRPr="0092226B" w14:paraId="3C55F787" w14:textId="77777777" w:rsidTr="00994F37">
        <w:trPr>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20DAD9DD" w14:textId="77777777" w:rsidR="002C0597" w:rsidRPr="00087470" w:rsidRDefault="002C0597" w:rsidP="00332ECC">
            <w:pPr>
              <w:spacing w:line="240" w:lineRule="auto"/>
              <w:rPr>
                <w:rFonts w:eastAsia="Times New Roman"/>
                <w:color w:val="auto"/>
                <w:sz w:val="20"/>
                <w:szCs w:val="20"/>
                <w:lang w:eastAsia="pl-PL"/>
              </w:rPr>
            </w:pPr>
          </w:p>
        </w:tc>
        <w:tc>
          <w:tcPr>
            <w:tcW w:w="3065" w:type="dxa"/>
          </w:tcPr>
          <w:p w14:paraId="06E4C749" w14:textId="77777777" w:rsidR="002C0597" w:rsidRPr="00087470" w:rsidRDefault="002C0597" w:rsidP="00332EC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Placówki Senior+, w tym:</w:t>
            </w:r>
          </w:p>
        </w:tc>
        <w:tc>
          <w:tcPr>
            <w:tcW w:w="8844" w:type="dxa"/>
            <w:gridSpan w:val="5"/>
          </w:tcPr>
          <w:p w14:paraId="11BDE063" w14:textId="77777777" w:rsidR="002C0597" w:rsidRPr="00087470" w:rsidRDefault="002C0597" w:rsidP="00332ECC">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324E8" w:rsidRPr="0092226B" w14:paraId="14D4C152" w14:textId="77777777" w:rsidTr="003324E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4905CD69" w14:textId="77777777" w:rsidR="003324E8" w:rsidRPr="00087470" w:rsidRDefault="003324E8" w:rsidP="00863995">
            <w:pPr>
              <w:spacing w:line="240" w:lineRule="auto"/>
              <w:rPr>
                <w:rFonts w:eastAsia="Times New Roman"/>
                <w:color w:val="auto"/>
                <w:sz w:val="20"/>
                <w:szCs w:val="20"/>
                <w:lang w:eastAsia="pl-PL"/>
              </w:rPr>
            </w:pPr>
          </w:p>
        </w:tc>
        <w:tc>
          <w:tcPr>
            <w:tcW w:w="3065" w:type="dxa"/>
          </w:tcPr>
          <w:p w14:paraId="7EA6070A" w14:textId="77777777" w:rsidR="003324E8" w:rsidRPr="00087470" w:rsidRDefault="003324E8" w:rsidP="00863995">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Domy Dziennego Pobytu</w:t>
            </w:r>
          </w:p>
        </w:tc>
        <w:tc>
          <w:tcPr>
            <w:tcW w:w="2947" w:type="dxa"/>
            <w:gridSpan w:val="2"/>
          </w:tcPr>
          <w:p w14:paraId="4268F8ED" w14:textId="0D89E0F3" w:rsidR="003324E8" w:rsidRPr="00087470" w:rsidRDefault="003324E8"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w:t>
            </w:r>
          </w:p>
        </w:tc>
        <w:tc>
          <w:tcPr>
            <w:tcW w:w="2948" w:type="dxa"/>
            <w:gridSpan w:val="2"/>
          </w:tcPr>
          <w:p w14:paraId="50228452" w14:textId="1AAECC24" w:rsidR="003324E8" w:rsidRPr="00087470" w:rsidRDefault="003324E8"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297</w:t>
            </w:r>
          </w:p>
        </w:tc>
        <w:tc>
          <w:tcPr>
            <w:tcW w:w="2949" w:type="dxa"/>
            <w:vMerge w:val="restart"/>
            <w:vAlign w:val="center"/>
          </w:tcPr>
          <w:p w14:paraId="573B3107" w14:textId="70624C39" w:rsidR="003324E8" w:rsidRPr="00087470" w:rsidRDefault="003324E8" w:rsidP="003324E8">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658</w:t>
            </w:r>
          </w:p>
        </w:tc>
      </w:tr>
      <w:tr w:rsidR="003324E8" w:rsidRPr="0092226B" w14:paraId="3D55C98C" w14:textId="77777777" w:rsidTr="00994F37">
        <w:trPr>
          <w:trHeight w:val="85"/>
        </w:trPr>
        <w:tc>
          <w:tcPr>
            <w:cnfStyle w:val="001000000000" w:firstRow="0" w:lastRow="0" w:firstColumn="1" w:lastColumn="0" w:oddVBand="0" w:evenVBand="0" w:oddHBand="0" w:evenHBand="0" w:firstRowFirstColumn="0" w:firstRowLastColumn="0" w:lastRowFirstColumn="0" w:lastRowLastColumn="0"/>
            <w:tcW w:w="2828" w:type="dxa"/>
            <w:vMerge/>
          </w:tcPr>
          <w:p w14:paraId="41093038" w14:textId="77777777" w:rsidR="003324E8" w:rsidRPr="00087470" w:rsidRDefault="003324E8" w:rsidP="00863995">
            <w:pPr>
              <w:spacing w:line="240" w:lineRule="auto"/>
              <w:rPr>
                <w:rFonts w:eastAsia="Times New Roman"/>
                <w:color w:val="auto"/>
                <w:sz w:val="20"/>
                <w:szCs w:val="20"/>
                <w:lang w:eastAsia="pl-PL"/>
              </w:rPr>
            </w:pPr>
          </w:p>
        </w:tc>
        <w:tc>
          <w:tcPr>
            <w:tcW w:w="3065" w:type="dxa"/>
          </w:tcPr>
          <w:p w14:paraId="188BAE7C" w14:textId="77777777" w:rsidR="003324E8" w:rsidRPr="00087470" w:rsidRDefault="003324E8" w:rsidP="00863995">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Kluby Senior+</w:t>
            </w:r>
          </w:p>
        </w:tc>
        <w:tc>
          <w:tcPr>
            <w:tcW w:w="2947" w:type="dxa"/>
            <w:gridSpan w:val="2"/>
          </w:tcPr>
          <w:p w14:paraId="41B1923B" w14:textId="57702CB6" w:rsidR="003324E8" w:rsidRPr="00087470" w:rsidRDefault="003324E8"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tc>
        <w:tc>
          <w:tcPr>
            <w:tcW w:w="2948" w:type="dxa"/>
            <w:gridSpan w:val="2"/>
          </w:tcPr>
          <w:p w14:paraId="5443AA57" w14:textId="2EB696F7" w:rsidR="003324E8" w:rsidRPr="00087470" w:rsidRDefault="003324E8"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357</w:t>
            </w:r>
          </w:p>
        </w:tc>
        <w:tc>
          <w:tcPr>
            <w:tcW w:w="2949" w:type="dxa"/>
            <w:vMerge/>
          </w:tcPr>
          <w:p w14:paraId="42EA9B54" w14:textId="2D8D9DEC" w:rsidR="003324E8" w:rsidRPr="00087470" w:rsidRDefault="003324E8"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C0597" w:rsidRPr="0092226B" w14:paraId="715F298A" w14:textId="77777777" w:rsidTr="00994F37">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828" w:type="dxa"/>
            <w:vMerge w:val="restart"/>
          </w:tcPr>
          <w:p w14:paraId="78D9D269" w14:textId="77777777" w:rsidR="002C0597" w:rsidRPr="00087470" w:rsidRDefault="002C0597" w:rsidP="00332ECC">
            <w:pPr>
              <w:spacing w:line="240" w:lineRule="auto"/>
              <w:rPr>
                <w:rFonts w:eastAsia="Times New Roman"/>
                <w:b w:val="0"/>
                <w:bCs w:val="0"/>
                <w:color w:val="auto"/>
                <w:sz w:val="20"/>
                <w:szCs w:val="20"/>
                <w:lang w:eastAsia="pl-PL"/>
              </w:rPr>
            </w:pPr>
            <w:r w:rsidRPr="00087470">
              <w:rPr>
                <w:rFonts w:eastAsia="Times New Roman"/>
                <w:color w:val="auto"/>
                <w:sz w:val="20"/>
                <w:szCs w:val="20"/>
                <w:lang w:eastAsia="pl-PL"/>
              </w:rPr>
              <w:t>Usługi świadczone osobom starszym</w:t>
            </w:r>
            <w:r w:rsidRPr="00087470">
              <w:rPr>
                <w:rStyle w:val="Odwoanieprzypisudolnego"/>
                <w:color w:val="auto"/>
                <w:sz w:val="20"/>
                <w:szCs w:val="20"/>
              </w:rPr>
              <w:footnoteReference w:id="46"/>
            </w:r>
          </w:p>
        </w:tc>
        <w:tc>
          <w:tcPr>
            <w:tcW w:w="3118" w:type="dxa"/>
            <w:gridSpan w:val="2"/>
          </w:tcPr>
          <w:p w14:paraId="5769F929" w14:textId="77777777" w:rsidR="002C0597" w:rsidRPr="00087470" w:rsidRDefault="002C0597" w:rsidP="00332ECC">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087470">
              <w:rPr>
                <w:b/>
                <w:sz w:val="20"/>
                <w:szCs w:val="20"/>
              </w:rPr>
              <w:t>Rodzaj usług</w:t>
            </w:r>
          </w:p>
        </w:tc>
        <w:tc>
          <w:tcPr>
            <w:tcW w:w="3684" w:type="dxa"/>
            <w:gridSpan w:val="2"/>
          </w:tcPr>
          <w:p w14:paraId="17886CD8" w14:textId="77777777" w:rsidR="002C0597" w:rsidRPr="00087470" w:rsidRDefault="002C0597" w:rsidP="00332ECC">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087470">
              <w:rPr>
                <w:b/>
                <w:sz w:val="20"/>
                <w:szCs w:val="20"/>
              </w:rPr>
              <w:t>Liczba osób starszych objętych pomocą</w:t>
            </w:r>
          </w:p>
        </w:tc>
        <w:tc>
          <w:tcPr>
            <w:tcW w:w="5107" w:type="dxa"/>
            <w:gridSpan w:val="2"/>
          </w:tcPr>
          <w:p w14:paraId="67C450DD" w14:textId="77777777" w:rsidR="002C0597" w:rsidRPr="00087470" w:rsidRDefault="002C0597" w:rsidP="00332ECC">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087470">
              <w:rPr>
                <w:b/>
                <w:sz w:val="20"/>
                <w:szCs w:val="20"/>
              </w:rPr>
              <w:t>Wysokość środków przeznaczonych na usługi</w:t>
            </w:r>
          </w:p>
        </w:tc>
      </w:tr>
      <w:tr w:rsidR="00863995" w:rsidRPr="0092226B" w14:paraId="527CF4CB" w14:textId="77777777" w:rsidTr="00994F37">
        <w:trPr>
          <w:trHeight w:val="118"/>
        </w:trPr>
        <w:tc>
          <w:tcPr>
            <w:cnfStyle w:val="001000000000" w:firstRow="0" w:lastRow="0" w:firstColumn="1" w:lastColumn="0" w:oddVBand="0" w:evenVBand="0" w:oddHBand="0" w:evenHBand="0" w:firstRowFirstColumn="0" w:firstRowLastColumn="0" w:lastRowFirstColumn="0" w:lastRowLastColumn="0"/>
            <w:tcW w:w="2828" w:type="dxa"/>
            <w:vMerge/>
          </w:tcPr>
          <w:p w14:paraId="6AC98B9D" w14:textId="77777777" w:rsidR="00863995" w:rsidRPr="00087470" w:rsidRDefault="00863995" w:rsidP="00863995">
            <w:pPr>
              <w:spacing w:line="240" w:lineRule="auto"/>
              <w:rPr>
                <w:rFonts w:eastAsia="Times New Roman"/>
                <w:b w:val="0"/>
                <w:bCs w:val="0"/>
                <w:color w:val="auto"/>
                <w:sz w:val="20"/>
                <w:szCs w:val="20"/>
                <w:lang w:eastAsia="pl-PL"/>
              </w:rPr>
            </w:pPr>
          </w:p>
        </w:tc>
        <w:tc>
          <w:tcPr>
            <w:tcW w:w="3118" w:type="dxa"/>
            <w:gridSpan w:val="2"/>
          </w:tcPr>
          <w:p w14:paraId="50FE093C" w14:textId="77777777" w:rsidR="00863995" w:rsidRPr="00087470" w:rsidRDefault="00863995" w:rsidP="00863995">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Usługi opiekuńcze ogółem</w:t>
            </w:r>
          </w:p>
        </w:tc>
        <w:tc>
          <w:tcPr>
            <w:tcW w:w="3684" w:type="dxa"/>
            <w:gridSpan w:val="2"/>
          </w:tcPr>
          <w:p w14:paraId="3CB51EBC" w14:textId="5294509E"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6 245</w:t>
            </w:r>
          </w:p>
        </w:tc>
        <w:tc>
          <w:tcPr>
            <w:tcW w:w="5107" w:type="dxa"/>
            <w:gridSpan w:val="2"/>
          </w:tcPr>
          <w:p w14:paraId="0B68E745" w14:textId="34935075"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36 310</w:t>
            </w:r>
            <w:r w:rsidR="00087470" w:rsidRPr="00087470">
              <w:rPr>
                <w:sz w:val="20"/>
                <w:szCs w:val="20"/>
              </w:rPr>
              <w:t> </w:t>
            </w:r>
            <w:r w:rsidRPr="00087470">
              <w:rPr>
                <w:sz w:val="20"/>
                <w:szCs w:val="20"/>
              </w:rPr>
              <w:t>056</w:t>
            </w:r>
            <w:r w:rsidR="00087470" w:rsidRPr="00087470">
              <w:rPr>
                <w:sz w:val="20"/>
                <w:szCs w:val="20"/>
              </w:rPr>
              <w:t>,</w:t>
            </w:r>
            <w:r w:rsidRPr="00087470">
              <w:rPr>
                <w:sz w:val="20"/>
                <w:szCs w:val="20"/>
              </w:rPr>
              <w:t>09</w:t>
            </w:r>
            <w:r w:rsidR="00087470" w:rsidRPr="00087470">
              <w:rPr>
                <w:sz w:val="20"/>
                <w:szCs w:val="20"/>
              </w:rPr>
              <w:t xml:space="preserve"> zł</w:t>
            </w:r>
          </w:p>
        </w:tc>
      </w:tr>
      <w:tr w:rsidR="002C0597" w:rsidRPr="0092226B" w14:paraId="57087D49" w14:textId="77777777" w:rsidTr="00994F37">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28" w:type="dxa"/>
            <w:vMerge/>
          </w:tcPr>
          <w:p w14:paraId="1EC7E877" w14:textId="77777777" w:rsidR="002C0597" w:rsidRPr="00087470" w:rsidRDefault="002C0597" w:rsidP="00332ECC">
            <w:pPr>
              <w:spacing w:line="240" w:lineRule="auto"/>
              <w:rPr>
                <w:rFonts w:eastAsia="Times New Roman"/>
                <w:b w:val="0"/>
                <w:bCs w:val="0"/>
                <w:color w:val="auto"/>
                <w:sz w:val="20"/>
                <w:szCs w:val="20"/>
                <w:lang w:eastAsia="pl-PL"/>
              </w:rPr>
            </w:pPr>
          </w:p>
        </w:tc>
        <w:tc>
          <w:tcPr>
            <w:tcW w:w="11909" w:type="dxa"/>
            <w:gridSpan w:val="6"/>
          </w:tcPr>
          <w:p w14:paraId="762DD31A" w14:textId="77777777" w:rsidR="002C0597" w:rsidRPr="00087470" w:rsidRDefault="002C0597" w:rsidP="00332ECC">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w tym:</w:t>
            </w:r>
          </w:p>
        </w:tc>
      </w:tr>
      <w:tr w:rsidR="00863995" w:rsidRPr="0092226B" w14:paraId="664F0162" w14:textId="77777777" w:rsidTr="00994F37">
        <w:trPr>
          <w:trHeight w:val="118"/>
        </w:trPr>
        <w:tc>
          <w:tcPr>
            <w:cnfStyle w:val="001000000000" w:firstRow="0" w:lastRow="0" w:firstColumn="1" w:lastColumn="0" w:oddVBand="0" w:evenVBand="0" w:oddHBand="0" w:evenHBand="0" w:firstRowFirstColumn="0" w:firstRowLastColumn="0" w:lastRowFirstColumn="0" w:lastRowLastColumn="0"/>
            <w:tcW w:w="2828" w:type="dxa"/>
            <w:vMerge/>
          </w:tcPr>
          <w:p w14:paraId="7BBB48A3" w14:textId="77777777" w:rsidR="00863995" w:rsidRPr="00087470" w:rsidRDefault="00863995" w:rsidP="00863995">
            <w:pPr>
              <w:spacing w:line="240" w:lineRule="auto"/>
              <w:rPr>
                <w:rFonts w:eastAsia="Times New Roman"/>
                <w:b w:val="0"/>
                <w:bCs w:val="0"/>
                <w:color w:val="auto"/>
                <w:sz w:val="20"/>
                <w:szCs w:val="20"/>
                <w:lang w:eastAsia="pl-PL"/>
              </w:rPr>
            </w:pPr>
          </w:p>
        </w:tc>
        <w:tc>
          <w:tcPr>
            <w:tcW w:w="3118" w:type="dxa"/>
            <w:gridSpan w:val="2"/>
          </w:tcPr>
          <w:p w14:paraId="5ADE7D5D" w14:textId="77777777" w:rsidR="00863995" w:rsidRPr="00087470" w:rsidRDefault="00863995" w:rsidP="00863995">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specjalistyczne usługi opiekuńcze</w:t>
            </w:r>
          </w:p>
        </w:tc>
        <w:tc>
          <w:tcPr>
            <w:tcW w:w="3684" w:type="dxa"/>
            <w:gridSpan w:val="2"/>
          </w:tcPr>
          <w:p w14:paraId="247C4535" w14:textId="5D7DC552"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76</w:t>
            </w:r>
          </w:p>
        </w:tc>
        <w:tc>
          <w:tcPr>
            <w:tcW w:w="5107" w:type="dxa"/>
            <w:gridSpan w:val="2"/>
          </w:tcPr>
          <w:p w14:paraId="4E77D5B9" w14:textId="552BD2DE"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166</w:t>
            </w:r>
            <w:r w:rsidR="00087470" w:rsidRPr="00087470">
              <w:rPr>
                <w:sz w:val="20"/>
                <w:szCs w:val="20"/>
              </w:rPr>
              <w:t xml:space="preserve"> </w:t>
            </w:r>
            <w:r w:rsidRPr="00087470">
              <w:rPr>
                <w:sz w:val="20"/>
                <w:szCs w:val="20"/>
              </w:rPr>
              <w:t>611</w:t>
            </w:r>
            <w:r w:rsidR="00087470" w:rsidRPr="00087470">
              <w:rPr>
                <w:sz w:val="20"/>
                <w:szCs w:val="20"/>
              </w:rPr>
              <w:t>,</w:t>
            </w:r>
            <w:r w:rsidRPr="00087470">
              <w:rPr>
                <w:sz w:val="20"/>
                <w:szCs w:val="20"/>
              </w:rPr>
              <w:t>71</w:t>
            </w:r>
            <w:r w:rsidR="00087470" w:rsidRPr="00087470">
              <w:rPr>
                <w:sz w:val="20"/>
                <w:szCs w:val="20"/>
              </w:rPr>
              <w:t xml:space="preserve"> zł</w:t>
            </w:r>
          </w:p>
        </w:tc>
      </w:tr>
      <w:tr w:rsidR="00863995" w:rsidRPr="0092226B" w14:paraId="41388339" w14:textId="77777777" w:rsidTr="00994F3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28" w:type="dxa"/>
            <w:vMerge/>
          </w:tcPr>
          <w:p w14:paraId="7FF4EB02" w14:textId="77777777" w:rsidR="00863995" w:rsidRPr="00087470" w:rsidRDefault="00863995" w:rsidP="00863995">
            <w:pPr>
              <w:spacing w:line="240" w:lineRule="auto"/>
              <w:rPr>
                <w:rFonts w:eastAsia="Times New Roman"/>
                <w:b w:val="0"/>
                <w:bCs w:val="0"/>
                <w:color w:val="auto"/>
                <w:sz w:val="20"/>
                <w:szCs w:val="20"/>
                <w:lang w:eastAsia="pl-PL"/>
              </w:rPr>
            </w:pPr>
          </w:p>
        </w:tc>
        <w:tc>
          <w:tcPr>
            <w:tcW w:w="3118" w:type="dxa"/>
            <w:gridSpan w:val="2"/>
          </w:tcPr>
          <w:p w14:paraId="71E8A6D5" w14:textId="77777777" w:rsidR="00863995" w:rsidRPr="00087470" w:rsidRDefault="00863995" w:rsidP="00863995">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specjalistyczne usługi opiekuńcze w miejscu zamieszkania dla osób z zaburzeniami psychicznymi</w:t>
            </w:r>
          </w:p>
        </w:tc>
        <w:tc>
          <w:tcPr>
            <w:tcW w:w="3684" w:type="dxa"/>
            <w:gridSpan w:val="2"/>
          </w:tcPr>
          <w:p w14:paraId="05552401" w14:textId="03A9B357"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53</w:t>
            </w:r>
          </w:p>
        </w:tc>
        <w:tc>
          <w:tcPr>
            <w:tcW w:w="5107" w:type="dxa"/>
            <w:gridSpan w:val="2"/>
          </w:tcPr>
          <w:p w14:paraId="2E53001F" w14:textId="144B0D9A"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567</w:t>
            </w:r>
            <w:r w:rsidR="00087470" w:rsidRPr="00087470">
              <w:rPr>
                <w:sz w:val="20"/>
                <w:szCs w:val="20"/>
              </w:rPr>
              <w:t> </w:t>
            </w:r>
            <w:r w:rsidRPr="00087470">
              <w:rPr>
                <w:sz w:val="20"/>
                <w:szCs w:val="20"/>
              </w:rPr>
              <w:t>170</w:t>
            </w:r>
            <w:r w:rsidR="00087470" w:rsidRPr="00087470">
              <w:rPr>
                <w:sz w:val="20"/>
                <w:szCs w:val="20"/>
              </w:rPr>
              <w:t>,</w:t>
            </w:r>
            <w:r w:rsidRPr="00087470">
              <w:rPr>
                <w:sz w:val="20"/>
                <w:szCs w:val="20"/>
              </w:rPr>
              <w:t>73</w:t>
            </w:r>
            <w:r w:rsidR="00087470" w:rsidRPr="00087470">
              <w:rPr>
                <w:sz w:val="20"/>
                <w:szCs w:val="20"/>
              </w:rPr>
              <w:t xml:space="preserve"> zł</w:t>
            </w:r>
          </w:p>
        </w:tc>
      </w:tr>
      <w:tr w:rsidR="002C0597" w:rsidRPr="0092226B" w14:paraId="47A51814" w14:textId="77777777" w:rsidTr="00994F37">
        <w:trPr>
          <w:trHeight w:val="194"/>
        </w:trPr>
        <w:tc>
          <w:tcPr>
            <w:cnfStyle w:val="001000000000" w:firstRow="0" w:lastRow="0" w:firstColumn="1" w:lastColumn="0" w:oddVBand="0" w:evenVBand="0" w:oddHBand="0" w:evenHBand="0" w:firstRowFirstColumn="0" w:firstRowLastColumn="0" w:lastRowFirstColumn="0" w:lastRowLastColumn="0"/>
            <w:tcW w:w="2828" w:type="dxa"/>
            <w:vMerge w:val="restart"/>
          </w:tcPr>
          <w:p w14:paraId="300EF301" w14:textId="77777777" w:rsidR="002C0597" w:rsidRPr="00087470" w:rsidRDefault="002C0597" w:rsidP="00332ECC">
            <w:pPr>
              <w:spacing w:line="240" w:lineRule="auto"/>
              <w:rPr>
                <w:rFonts w:eastAsia="Times New Roman"/>
                <w:b w:val="0"/>
                <w:bCs w:val="0"/>
                <w:color w:val="auto"/>
                <w:sz w:val="20"/>
                <w:szCs w:val="20"/>
                <w:lang w:eastAsia="pl-PL"/>
              </w:rPr>
            </w:pPr>
            <w:r w:rsidRPr="00087470">
              <w:rPr>
                <w:rFonts w:eastAsia="Times New Roman"/>
                <w:color w:val="auto"/>
                <w:sz w:val="20"/>
                <w:szCs w:val="20"/>
                <w:lang w:eastAsia="pl-PL"/>
              </w:rPr>
              <w:t>Świadczenia pieniężne przyznane osobom starszym</w:t>
            </w:r>
            <w:r w:rsidRPr="00087470">
              <w:rPr>
                <w:rStyle w:val="Odwoanieprzypisudolnego"/>
                <w:color w:val="auto"/>
                <w:sz w:val="20"/>
                <w:szCs w:val="20"/>
              </w:rPr>
              <w:footnoteReference w:id="47"/>
            </w:r>
          </w:p>
        </w:tc>
        <w:tc>
          <w:tcPr>
            <w:tcW w:w="3118" w:type="dxa"/>
            <w:gridSpan w:val="2"/>
          </w:tcPr>
          <w:p w14:paraId="488D4A46" w14:textId="77777777" w:rsidR="002C0597" w:rsidRPr="00087470" w:rsidRDefault="002C0597" w:rsidP="00332ECC">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087470">
              <w:rPr>
                <w:b/>
                <w:sz w:val="20"/>
                <w:szCs w:val="20"/>
              </w:rPr>
              <w:t>Nazwa świadczenia</w:t>
            </w:r>
          </w:p>
        </w:tc>
        <w:tc>
          <w:tcPr>
            <w:tcW w:w="3684" w:type="dxa"/>
            <w:gridSpan w:val="2"/>
          </w:tcPr>
          <w:p w14:paraId="6F674242" w14:textId="77777777" w:rsidR="002C0597" w:rsidRPr="00087470" w:rsidRDefault="002C0597" w:rsidP="00332ECC">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087470">
              <w:rPr>
                <w:b/>
                <w:sz w:val="20"/>
                <w:szCs w:val="20"/>
              </w:rPr>
              <w:t>Liczba osób starszych</w:t>
            </w:r>
          </w:p>
        </w:tc>
        <w:tc>
          <w:tcPr>
            <w:tcW w:w="5107" w:type="dxa"/>
            <w:gridSpan w:val="2"/>
          </w:tcPr>
          <w:p w14:paraId="6765CE38" w14:textId="77777777" w:rsidR="002C0597" w:rsidRPr="00087470" w:rsidRDefault="002C0597" w:rsidP="00332ECC">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087470">
              <w:rPr>
                <w:b/>
                <w:sz w:val="20"/>
                <w:szCs w:val="20"/>
              </w:rPr>
              <w:t>Kwota świadczenia</w:t>
            </w:r>
          </w:p>
        </w:tc>
      </w:tr>
      <w:tr w:rsidR="00863995" w:rsidRPr="0092226B" w14:paraId="47B9BFA7" w14:textId="77777777" w:rsidTr="00994F37">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28" w:type="dxa"/>
            <w:vMerge/>
          </w:tcPr>
          <w:p w14:paraId="23999A06" w14:textId="77777777" w:rsidR="00863995" w:rsidRPr="00087470" w:rsidRDefault="00863995" w:rsidP="00863995">
            <w:pPr>
              <w:spacing w:line="240" w:lineRule="auto"/>
              <w:rPr>
                <w:rFonts w:eastAsia="Times New Roman"/>
                <w:b w:val="0"/>
                <w:bCs w:val="0"/>
                <w:color w:val="auto"/>
                <w:sz w:val="20"/>
                <w:szCs w:val="20"/>
                <w:lang w:eastAsia="pl-PL"/>
              </w:rPr>
            </w:pPr>
          </w:p>
        </w:tc>
        <w:tc>
          <w:tcPr>
            <w:tcW w:w="3118" w:type="dxa"/>
            <w:gridSpan w:val="2"/>
          </w:tcPr>
          <w:p w14:paraId="56B69B17" w14:textId="77777777" w:rsidR="00863995" w:rsidRPr="00087470" w:rsidRDefault="00863995" w:rsidP="00863995">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Zasiłek stały</w:t>
            </w:r>
          </w:p>
        </w:tc>
        <w:tc>
          <w:tcPr>
            <w:tcW w:w="3684" w:type="dxa"/>
            <w:gridSpan w:val="2"/>
          </w:tcPr>
          <w:p w14:paraId="3668A310" w14:textId="71F33751"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4 685</w:t>
            </w:r>
          </w:p>
        </w:tc>
        <w:tc>
          <w:tcPr>
            <w:tcW w:w="5107" w:type="dxa"/>
            <w:gridSpan w:val="2"/>
          </w:tcPr>
          <w:p w14:paraId="67447141" w14:textId="1C22B33F"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24 415</w:t>
            </w:r>
            <w:r w:rsidR="00087470" w:rsidRPr="00087470">
              <w:rPr>
                <w:sz w:val="20"/>
                <w:szCs w:val="20"/>
              </w:rPr>
              <w:t> </w:t>
            </w:r>
            <w:r w:rsidRPr="00087470">
              <w:rPr>
                <w:sz w:val="20"/>
                <w:szCs w:val="20"/>
              </w:rPr>
              <w:t>107</w:t>
            </w:r>
            <w:r w:rsidR="00087470" w:rsidRPr="00087470">
              <w:rPr>
                <w:sz w:val="20"/>
                <w:szCs w:val="20"/>
              </w:rPr>
              <w:t>,</w:t>
            </w:r>
            <w:r w:rsidRPr="00087470">
              <w:rPr>
                <w:sz w:val="20"/>
                <w:szCs w:val="20"/>
              </w:rPr>
              <w:t>41</w:t>
            </w:r>
            <w:r w:rsidR="00087470" w:rsidRPr="00087470">
              <w:rPr>
                <w:sz w:val="20"/>
                <w:szCs w:val="20"/>
              </w:rPr>
              <w:t xml:space="preserve"> zł</w:t>
            </w:r>
          </w:p>
        </w:tc>
      </w:tr>
      <w:tr w:rsidR="00863995" w:rsidRPr="0092226B" w14:paraId="7CD74394" w14:textId="77777777" w:rsidTr="00994F37">
        <w:trPr>
          <w:trHeight w:val="190"/>
        </w:trPr>
        <w:tc>
          <w:tcPr>
            <w:cnfStyle w:val="001000000000" w:firstRow="0" w:lastRow="0" w:firstColumn="1" w:lastColumn="0" w:oddVBand="0" w:evenVBand="0" w:oddHBand="0" w:evenHBand="0" w:firstRowFirstColumn="0" w:firstRowLastColumn="0" w:lastRowFirstColumn="0" w:lastRowLastColumn="0"/>
            <w:tcW w:w="2828" w:type="dxa"/>
            <w:vMerge/>
          </w:tcPr>
          <w:p w14:paraId="3BFA38DE" w14:textId="77777777" w:rsidR="00863995" w:rsidRPr="00087470" w:rsidRDefault="00863995" w:rsidP="00863995">
            <w:pPr>
              <w:spacing w:line="240" w:lineRule="auto"/>
              <w:rPr>
                <w:rFonts w:eastAsia="Times New Roman"/>
                <w:b w:val="0"/>
                <w:bCs w:val="0"/>
                <w:color w:val="auto"/>
                <w:sz w:val="20"/>
                <w:szCs w:val="20"/>
                <w:lang w:eastAsia="pl-PL"/>
              </w:rPr>
            </w:pPr>
          </w:p>
        </w:tc>
        <w:tc>
          <w:tcPr>
            <w:tcW w:w="3118" w:type="dxa"/>
            <w:gridSpan w:val="2"/>
          </w:tcPr>
          <w:p w14:paraId="09647644" w14:textId="77777777" w:rsidR="00863995" w:rsidRPr="00087470" w:rsidRDefault="00863995" w:rsidP="00863995">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Zasiłek okresowy</w:t>
            </w:r>
          </w:p>
        </w:tc>
        <w:tc>
          <w:tcPr>
            <w:tcW w:w="3684" w:type="dxa"/>
            <w:gridSpan w:val="2"/>
          </w:tcPr>
          <w:p w14:paraId="6E19CB78" w14:textId="40152C22"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2 685</w:t>
            </w:r>
          </w:p>
        </w:tc>
        <w:tc>
          <w:tcPr>
            <w:tcW w:w="5107" w:type="dxa"/>
            <w:gridSpan w:val="2"/>
          </w:tcPr>
          <w:p w14:paraId="6E9FA058" w14:textId="08CE39C7"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4 241</w:t>
            </w:r>
            <w:r w:rsidR="00087470" w:rsidRPr="00087470">
              <w:rPr>
                <w:sz w:val="20"/>
                <w:szCs w:val="20"/>
              </w:rPr>
              <w:t> </w:t>
            </w:r>
            <w:r w:rsidRPr="00087470">
              <w:rPr>
                <w:sz w:val="20"/>
                <w:szCs w:val="20"/>
              </w:rPr>
              <w:t>289</w:t>
            </w:r>
            <w:r w:rsidR="00087470" w:rsidRPr="00087470">
              <w:rPr>
                <w:sz w:val="20"/>
                <w:szCs w:val="20"/>
              </w:rPr>
              <w:t>,</w:t>
            </w:r>
            <w:r w:rsidRPr="00087470">
              <w:rPr>
                <w:sz w:val="20"/>
                <w:szCs w:val="20"/>
              </w:rPr>
              <w:t>27</w:t>
            </w:r>
            <w:r w:rsidR="00087470" w:rsidRPr="00087470">
              <w:rPr>
                <w:sz w:val="20"/>
                <w:szCs w:val="20"/>
              </w:rPr>
              <w:t xml:space="preserve"> zł</w:t>
            </w:r>
          </w:p>
        </w:tc>
      </w:tr>
      <w:tr w:rsidR="00863995" w:rsidRPr="0092226B" w14:paraId="404ABD07" w14:textId="77777777" w:rsidTr="00994F37">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28" w:type="dxa"/>
            <w:vMerge/>
          </w:tcPr>
          <w:p w14:paraId="69488F75" w14:textId="77777777" w:rsidR="00863995" w:rsidRPr="00087470" w:rsidRDefault="00863995" w:rsidP="00863995">
            <w:pPr>
              <w:spacing w:line="240" w:lineRule="auto"/>
              <w:rPr>
                <w:rFonts w:eastAsia="Times New Roman"/>
                <w:b w:val="0"/>
                <w:bCs w:val="0"/>
                <w:color w:val="auto"/>
                <w:sz w:val="20"/>
                <w:szCs w:val="20"/>
                <w:lang w:eastAsia="pl-PL"/>
              </w:rPr>
            </w:pPr>
          </w:p>
        </w:tc>
        <w:tc>
          <w:tcPr>
            <w:tcW w:w="3118" w:type="dxa"/>
            <w:gridSpan w:val="2"/>
          </w:tcPr>
          <w:p w14:paraId="1FB45DBD" w14:textId="77777777" w:rsidR="00863995" w:rsidRPr="00087470" w:rsidRDefault="00863995" w:rsidP="00863995">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Zasiłek celowy</w:t>
            </w:r>
          </w:p>
        </w:tc>
        <w:tc>
          <w:tcPr>
            <w:tcW w:w="3684" w:type="dxa"/>
            <w:gridSpan w:val="2"/>
          </w:tcPr>
          <w:p w14:paraId="657CD427" w14:textId="609DBF9A"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5 181</w:t>
            </w:r>
          </w:p>
        </w:tc>
        <w:tc>
          <w:tcPr>
            <w:tcW w:w="5107" w:type="dxa"/>
            <w:gridSpan w:val="2"/>
          </w:tcPr>
          <w:p w14:paraId="00E3DABA" w14:textId="66244F78" w:rsidR="00863995" w:rsidRPr="00087470" w:rsidRDefault="00863995" w:rsidP="00863995">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5 558 1 10</w:t>
            </w:r>
            <w:r w:rsidR="00087470" w:rsidRPr="00087470">
              <w:rPr>
                <w:sz w:val="20"/>
                <w:szCs w:val="20"/>
              </w:rPr>
              <w:t>,</w:t>
            </w:r>
            <w:r w:rsidRPr="00087470">
              <w:rPr>
                <w:sz w:val="20"/>
                <w:szCs w:val="20"/>
              </w:rPr>
              <w:t>91</w:t>
            </w:r>
            <w:r w:rsidR="00087470" w:rsidRPr="00087470">
              <w:rPr>
                <w:sz w:val="20"/>
                <w:szCs w:val="20"/>
              </w:rPr>
              <w:t xml:space="preserve"> zł</w:t>
            </w:r>
          </w:p>
        </w:tc>
      </w:tr>
      <w:tr w:rsidR="00863995" w:rsidRPr="0092226B" w14:paraId="7B4F2925" w14:textId="77777777" w:rsidTr="00994F37">
        <w:trPr>
          <w:trHeight w:val="190"/>
        </w:trPr>
        <w:tc>
          <w:tcPr>
            <w:cnfStyle w:val="001000000000" w:firstRow="0" w:lastRow="0" w:firstColumn="1" w:lastColumn="0" w:oddVBand="0" w:evenVBand="0" w:oddHBand="0" w:evenHBand="0" w:firstRowFirstColumn="0" w:firstRowLastColumn="0" w:lastRowFirstColumn="0" w:lastRowLastColumn="0"/>
            <w:tcW w:w="2828" w:type="dxa"/>
            <w:vMerge/>
          </w:tcPr>
          <w:p w14:paraId="0E429CE0" w14:textId="77777777" w:rsidR="00863995" w:rsidRPr="00087470" w:rsidRDefault="00863995" w:rsidP="00863995">
            <w:pPr>
              <w:spacing w:line="240" w:lineRule="auto"/>
              <w:rPr>
                <w:rFonts w:eastAsia="Times New Roman"/>
                <w:b w:val="0"/>
                <w:bCs w:val="0"/>
                <w:color w:val="auto"/>
                <w:sz w:val="20"/>
                <w:szCs w:val="20"/>
                <w:lang w:eastAsia="pl-PL"/>
              </w:rPr>
            </w:pPr>
          </w:p>
        </w:tc>
        <w:tc>
          <w:tcPr>
            <w:tcW w:w="3118" w:type="dxa"/>
            <w:gridSpan w:val="2"/>
          </w:tcPr>
          <w:p w14:paraId="2C88E876" w14:textId="77777777" w:rsidR="00863995" w:rsidRPr="00087470" w:rsidRDefault="00863995" w:rsidP="00863995">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Specjalny zasiłek celowy</w:t>
            </w:r>
          </w:p>
        </w:tc>
        <w:tc>
          <w:tcPr>
            <w:tcW w:w="3684" w:type="dxa"/>
            <w:gridSpan w:val="2"/>
          </w:tcPr>
          <w:p w14:paraId="1B4ABB5B" w14:textId="1FD0DA5B"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3 440</w:t>
            </w:r>
          </w:p>
        </w:tc>
        <w:tc>
          <w:tcPr>
            <w:tcW w:w="5107" w:type="dxa"/>
            <w:gridSpan w:val="2"/>
          </w:tcPr>
          <w:p w14:paraId="1D024649" w14:textId="25111CA9" w:rsidR="00863995" w:rsidRPr="00087470" w:rsidRDefault="00863995" w:rsidP="00863995">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1 988</w:t>
            </w:r>
            <w:r w:rsidR="00087470" w:rsidRPr="00087470">
              <w:rPr>
                <w:sz w:val="20"/>
                <w:szCs w:val="20"/>
              </w:rPr>
              <w:t> </w:t>
            </w:r>
            <w:r w:rsidRPr="00087470">
              <w:rPr>
                <w:sz w:val="20"/>
                <w:szCs w:val="20"/>
              </w:rPr>
              <w:t>526</w:t>
            </w:r>
            <w:r w:rsidR="00087470" w:rsidRPr="00087470">
              <w:rPr>
                <w:sz w:val="20"/>
                <w:szCs w:val="20"/>
              </w:rPr>
              <w:t>,</w:t>
            </w:r>
            <w:r w:rsidRPr="00087470">
              <w:rPr>
                <w:sz w:val="20"/>
                <w:szCs w:val="20"/>
              </w:rPr>
              <w:t>75</w:t>
            </w:r>
            <w:r w:rsidR="00087470" w:rsidRPr="00087470">
              <w:rPr>
                <w:sz w:val="20"/>
                <w:szCs w:val="20"/>
              </w:rPr>
              <w:t xml:space="preserve"> zł</w:t>
            </w:r>
          </w:p>
        </w:tc>
      </w:tr>
      <w:tr w:rsidR="002C0597" w:rsidRPr="0092226B" w14:paraId="49147C1B" w14:textId="77777777" w:rsidTr="00994F37">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28" w:type="dxa"/>
            <w:vMerge w:val="restart"/>
          </w:tcPr>
          <w:p w14:paraId="26EA6D59" w14:textId="77777777" w:rsidR="002C0597" w:rsidRPr="00087470" w:rsidRDefault="002C0597" w:rsidP="00332ECC">
            <w:pPr>
              <w:spacing w:line="240" w:lineRule="auto"/>
              <w:rPr>
                <w:b w:val="0"/>
                <w:color w:val="auto"/>
                <w:sz w:val="20"/>
                <w:szCs w:val="20"/>
                <w:lang w:eastAsia="pl-PL"/>
              </w:rPr>
            </w:pPr>
            <w:r w:rsidRPr="00087470">
              <w:rPr>
                <w:color w:val="auto"/>
                <w:sz w:val="20"/>
                <w:szCs w:val="20"/>
                <w:lang w:eastAsia="pl-PL"/>
              </w:rPr>
              <w:t>Największe problemy/niedogodności w świadczeniu opieki nad osobami starszymi (np. zasoby kadrowe, rzeczowe, finansowe itp.)</w:t>
            </w:r>
          </w:p>
        </w:tc>
        <w:tc>
          <w:tcPr>
            <w:tcW w:w="11909" w:type="dxa"/>
            <w:gridSpan w:val="6"/>
          </w:tcPr>
          <w:p w14:paraId="0A71C162" w14:textId="046CD1C5" w:rsidR="002C0597" w:rsidRPr="00087470" w:rsidRDefault="00994F37" w:rsidP="00FE70E3">
            <w:pPr>
              <w:pStyle w:val="Akapitzlist"/>
              <w:numPr>
                <w:ilvl w:val="3"/>
                <w:numId w:val="24"/>
              </w:numPr>
              <w:spacing w:line="240" w:lineRule="auto"/>
              <w:ind w:left="360"/>
              <w:cnfStyle w:val="000000100000" w:firstRow="0" w:lastRow="0" w:firstColumn="0" w:lastColumn="0" w:oddVBand="0" w:evenVBand="0" w:oddHBand="1" w:evenHBand="0" w:firstRowFirstColumn="0" w:firstRowLastColumn="0" w:lastRowFirstColumn="0" w:lastRowLastColumn="0"/>
              <w:rPr>
                <w:bCs/>
                <w:sz w:val="20"/>
                <w:szCs w:val="20"/>
              </w:rPr>
            </w:pPr>
            <w:r w:rsidRPr="00087470">
              <w:rPr>
                <w:bCs/>
                <w:sz w:val="20"/>
                <w:szCs w:val="20"/>
              </w:rPr>
              <w:t>Niewystarczająca liczba osób, posiadających odpowiednie kwalifikacje zawodowe.</w:t>
            </w:r>
          </w:p>
        </w:tc>
      </w:tr>
      <w:tr w:rsidR="002C0597" w:rsidRPr="0092226B" w14:paraId="1952C13F" w14:textId="77777777" w:rsidTr="00994F37">
        <w:trPr>
          <w:trHeight w:val="442"/>
        </w:trPr>
        <w:tc>
          <w:tcPr>
            <w:cnfStyle w:val="001000000000" w:firstRow="0" w:lastRow="0" w:firstColumn="1" w:lastColumn="0" w:oddVBand="0" w:evenVBand="0" w:oddHBand="0" w:evenHBand="0" w:firstRowFirstColumn="0" w:firstRowLastColumn="0" w:lastRowFirstColumn="0" w:lastRowLastColumn="0"/>
            <w:tcW w:w="2828" w:type="dxa"/>
            <w:vMerge/>
          </w:tcPr>
          <w:p w14:paraId="31E9F7CB" w14:textId="77777777" w:rsidR="002C0597" w:rsidRPr="00087470" w:rsidRDefault="002C0597" w:rsidP="00332ECC">
            <w:pPr>
              <w:spacing w:line="240" w:lineRule="auto"/>
              <w:rPr>
                <w:color w:val="auto"/>
                <w:sz w:val="20"/>
                <w:szCs w:val="20"/>
                <w:lang w:eastAsia="pl-PL"/>
              </w:rPr>
            </w:pPr>
          </w:p>
        </w:tc>
        <w:tc>
          <w:tcPr>
            <w:tcW w:w="11909" w:type="dxa"/>
            <w:gridSpan w:val="6"/>
          </w:tcPr>
          <w:p w14:paraId="77D3F45E" w14:textId="71D06DB1" w:rsidR="002C0597" w:rsidRPr="00087470" w:rsidRDefault="00994F37" w:rsidP="00FE70E3">
            <w:pPr>
              <w:pStyle w:val="Akapitzlist"/>
              <w:numPr>
                <w:ilvl w:val="3"/>
                <w:numId w:val="24"/>
              </w:numPr>
              <w:spacing w:line="240" w:lineRule="auto"/>
              <w:ind w:left="360"/>
              <w:cnfStyle w:val="000000000000" w:firstRow="0" w:lastRow="0" w:firstColumn="0" w:lastColumn="0" w:oddVBand="0" w:evenVBand="0" w:oddHBand="0" w:evenHBand="0" w:firstRowFirstColumn="0" w:firstRowLastColumn="0" w:lastRowFirstColumn="0" w:lastRowLastColumn="0"/>
              <w:rPr>
                <w:i/>
                <w:sz w:val="20"/>
                <w:szCs w:val="20"/>
              </w:rPr>
            </w:pPr>
            <w:r w:rsidRPr="00087470">
              <w:rPr>
                <w:sz w:val="20"/>
                <w:szCs w:val="20"/>
              </w:rPr>
              <w:t>Utrudnienia w związku z pandemią COVID-19</w:t>
            </w:r>
          </w:p>
        </w:tc>
      </w:tr>
      <w:tr w:rsidR="002C0597" w:rsidRPr="0092226B" w14:paraId="64426BE7" w14:textId="77777777" w:rsidTr="00994F3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28" w:type="dxa"/>
            <w:vMerge/>
          </w:tcPr>
          <w:p w14:paraId="16CC548C" w14:textId="77777777" w:rsidR="002C0597" w:rsidRPr="00087470" w:rsidRDefault="002C0597" w:rsidP="00332ECC">
            <w:pPr>
              <w:spacing w:line="240" w:lineRule="auto"/>
              <w:rPr>
                <w:color w:val="auto"/>
                <w:sz w:val="20"/>
                <w:szCs w:val="20"/>
                <w:lang w:eastAsia="pl-PL"/>
              </w:rPr>
            </w:pPr>
          </w:p>
        </w:tc>
        <w:tc>
          <w:tcPr>
            <w:tcW w:w="11909" w:type="dxa"/>
            <w:gridSpan w:val="6"/>
          </w:tcPr>
          <w:p w14:paraId="37D43D5A" w14:textId="79E8FE9F" w:rsidR="002C0597" w:rsidRPr="00087470" w:rsidRDefault="00863995" w:rsidP="00FE70E3">
            <w:pPr>
              <w:pStyle w:val="Akapitzlist"/>
              <w:numPr>
                <w:ilvl w:val="3"/>
                <w:numId w:val="24"/>
              </w:numPr>
              <w:spacing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sidRPr="00087470">
              <w:rPr>
                <w:sz w:val="20"/>
                <w:szCs w:val="20"/>
              </w:rPr>
              <w:t>Problemy z dojazdem do odległych miejsc zamieszkania osób objętych usługami (dodatkowe koszty, czas na dojazd).</w:t>
            </w:r>
          </w:p>
        </w:tc>
      </w:tr>
      <w:tr w:rsidR="002C0597" w:rsidRPr="0092226B" w14:paraId="17BE2ED8" w14:textId="77777777" w:rsidTr="00994F37">
        <w:trPr>
          <w:trHeight w:val="442"/>
        </w:trPr>
        <w:tc>
          <w:tcPr>
            <w:cnfStyle w:val="001000000000" w:firstRow="0" w:lastRow="0" w:firstColumn="1" w:lastColumn="0" w:oddVBand="0" w:evenVBand="0" w:oddHBand="0" w:evenHBand="0" w:firstRowFirstColumn="0" w:firstRowLastColumn="0" w:lastRowFirstColumn="0" w:lastRowLastColumn="0"/>
            <w:tcW w:w="2828" w:type="dxa"/>
          </w:tcPr>
          <w:p w14:paraId="63325E53" w14:textId="4CE64440" w:rsidR="002C0597" w:rsidRPr="00087470" w:rsidRDefault="002C0597" w:rsidP="00332ECC">
            <w:pPr>
              <w:spacing w:line="240" w:lineRule="auto"/>
              <w:rPr>
                <w:color w:val="auto"/>
                <w:sz w:val="20"/>
                <w:szCs w:val="20"/>
                <w:lang w:eastAsia="pl-PL"/>
              </w:rPr>
            </w:pPr>
            <w:r w:rsidRPr="00087470">
              <w:rPr>
                <w:color w:val="auto"/>
                <w:sz w:val="20"/>
                <w:szCs w:val="20"/>
                <w:lang w:eastAsia="pl-PL"/>
              </w:rPr>
              <w:t xml:space="preserve">Stopień </w:t>
            </w:r>
            <w:r w:rsidR="00087470" w:rsidRPr="00087470">
              <w:rPr>
                <w:sz w:val="20"/>
                <w:szCs w:val="20"/>
              </w:rPr>
              <w:t xml:space="preserve"> </w:t>
            </w:r>
            <w:r w:rsidR="00087470" w:rsidRPr="00087470">
              <w:rPr>
                <w:color w:val="auto"/>
                <w:sz w:val="20"/>
                <w:szCs w:val="20"/>
                <w:lang w:eastAsia="pl-PL"/>
              </w:rPr>
              <w:t>zaspokojenia potrzeb w zakresie usług opiekuńczych</w:t>
            </w:r>
          </w:p>
        </w:tc>
        <w:tc>
          <w:tcPr>
            <w:tcW w:w="11909" w:type="dxa"/>
            <w:gridSpan w:val="6"/>
          </w:tcPr>
          <w:p w14:paraId="7C34FC40" w14:textId="0F3B8B50" w:rsidR="002C0597" w:rsidRPr="00087470" w:rsidRDefault="00994F37" w:rsidP="00994F37">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87470">
              <w:rPr>
                <w:sz w:val="20"/>
                <w:szCs w:val="20"/>
              </w:rPr>
              <w:t>Większości gmin wszystkie osoby zgłaszające potrzebę i wymagające wsparcia były objęte pomocą w formie usług opiekuńczych w stopniu adekwatnym do potrzeb.</w:t>
            </w:r>
          </w:p>
        </w:tc>
      </w:tr>
    </w:tbl>
    <w:p w14:paraId="7617D73A" w14:textId="77777777" w:rsidR="005C6286" w:rsidRDefault="005C6286" w:rsidP="005C6286">
      <w:pPr>
        <w:tabs>
          <w:tab w:val="left" w:pos="5400"/>
        </w:tabs>
        <w:rPr>
          <w:rFonts w:eastAsia="Times New Roman" w:cs="Times New Roman"/>
          <w:b/>
          <w:szCs w:val="24"/>
          <w:lang w:eastAsia="pl-PL"/>
        </w:rPr>
      </w:pPr>
      <w:r w:rsidRPr="00432294">
        <w:rPr>
          <w:rFonts w:eastAsia="Times New Roman" w:cs="Times New Roman"/>
          <w:b/>
          <w:szCs w:val="24"/>
          <w:lang w:eastAsia="pl-PL"/>
        </w:rPr>
        <w:t xml:space="preserve">Źródło: </w:t>
      </w:r>
      <w:r>
        <w:rPr>
          <w:rFonts w:eastAsia="Times New Roman" w:cs="Times New Roman"/>
          <w:b/>
          <w:szCs w:val="24"/>
          <w:lang w:eastAsia="pl-PL"/>
        </w:rPr>
        <w:t>Dane Wojewody Łódzkiego</w:t>
      </w:r>
      <w:r w:rsidRPr="00432294">
        <w:rPr>
          <w:rFonts w:eastAsia="Times New Roman" w:cs="Times New Roman"/>
          <w:b/>
          <w:szCs w:val="24"/>
          <w:lang w:eastAsia="pl-PL"/>
        </w:rPr>
        <w:t xml:space="preserve">. </w:t>
      </w:r>
    </w:p>
    <w:p w14:paraId="0BA8C635" w14:textId="77777777" w:rsidR="007A1EA2" w:rsidRPr="0092226B" w:rsidRDefault="007A1EA2" w:rsidP="00CB509F">
      <w:pPr>
        <w:pStyle w:val="Nagwek2"/>
        <w:spacing w:before="0"/>
        <w:jc w:val="center"/>
        <w:rPr>
          <w:rFonts w:eastAsia="Times New Roman" w:cs="Times New Roman"/>
          <w:color w:val="FF0000"/>
          <w:sz w:val="24"/>
          <w:szCs w:val="24"/>
          <w:lang w:eastAsia="ar-SA"/>
        </w:rPr>
        <w:sectPr w:rsidR="007A1EA2" w:rsidRPr="0092226B" w:rsidSect="00080A38">
          <w:pgSz w:w="16838" w:h="11900" w:orient="landscape"/>
          <w:pgMar w:top="1380" w:right="1384" w:bottom="1386" w:left="1038" w:header="0" w:footer="567" w:gutter="0"/>
          <w:cols w:space="0" w:equalWidth="0">
            <w:col w:w="9140"/>
          </w:cols>
          <w:docGrid w:linePitch="360"/>
        </w:sectPr>
      </w:pPr>
    </w:p>
    <w:p w14:paraId="64C895BA" w14:textId="77777777" w:rsidR="00F31DCC" w:rsidRPr="00D15498" w:rsidRDefault="00B25D75" w:rsidP="00FE70E3">
      <w:pPr>
        <w:pStyle w:val="Nagwek2"/>
        <w:numPr>
          <w:ilvl w:val="1"/>
          <w:numId w:val="27"/>
        </w:numPr>
        <w:spacing w:before="240" w:after="240"/>
        <w:ind w:left="360"/>
        <w:rPr>
          <w:rFonts w:eastAsia="Times New Roman"/>
          <w:sz w:val="40"/>
          <w:szCs w:val="32"/>
          <w:lang w:eastAsia="ar-SA"/>
        </w:rPr>
      </w:pPr>
      <w:bookmarkStart w:id="185" w:name="_Toc80523131"/>
      <w:r w:rsidRPr="00D15498">
        <w:rPr>
          <w:rFonts w:eastAsia="Times New Roman"/>
          <w:sz w:val="40"/>
          <w:szCs w:val="32"/>
          <w:lang w:eastAsia="ar-SA"/>
        </w:rPr>
        <w:lastRenderedPageBreak/>
        <w:t xml:space="preserve">Województwo </w:t>
      </w:r>
      <w:r w:rsidR="005F0A32" w:rsidRPr="00D15498">
        <w:rPr>
          <w:rFonts w:eastAsia="Times New Roman"/>
          <w:sz w:val="40"/>
          <w:szCs w:val="32"/>
          <w:lang w:eastAsia="ar-SA"/>
        </w:rPr>
        <w:t>m</w:t>
      </w:r>
      <w:r w:rsidR="00475EFA" w:rsidRPr="00D15498">
        <w:rPr>
          <w:rFonts w:eastAsia="Times New Roman"/>
          <w:sz w:val="40"/>
          <w:szCs w:val="32"/>
          <w:lang w:eastAsia="ar-SA"/>
        </w:rPr>
        <w:t>ałopolskie</w:t>
      </w:r>
      <w:bookmarkEnd w:id="185"/>
    </w:p>
    <w:p w14:paraId="7C1E0CB4" w14:textId="77777777" w:rsidR="00EF43BE" w:rsidRPr="00EF43BE" w:rsidRDefault="00EF43BE" w:rsidP="00EF43BE">
      <w:pPr>
        <w:pStyle w:val="Akapitzlist"/>
        <w:keepNext/>
        <w:keepLines/>
        <w:numPr>
          <w:ilvl w:val="1"/>
          <w:numId w:val="1"/>
        </w:numPr>
        <w:spacing w:before="120" w:after="120"/>
        <w:contextualSpacing w:val="0"/>
        <w:outlineLvl w:val="1"/>
        <w:rPr>
          <w:rFonts w:eastAsiaTheme="majorEastAsia" w:cstheme="majorBidi"/>
          <w:b/>
          <w:vanish/>
          <w:color w:val="ED7D31" w:themeColor="accent2"/>
          <w:sz w:val="34"/>
          <w:szCs w:val="26"/>
          <w:lang w:eastAsia="ar-SA"/>
        </w:rPr>
      </w:pPr>
      <w:bookmarkStart w:id="186" w:name="_Toc77504089"/>
      <w:bookmarkStart w:id="187" w:name="_Toc77513978"/>
      <w:bookmarkStart w:id="188" w:name="_Toc80523132"/>
      <w:bookmarkEnd w:id="186"/>
      <w:bookmarkEnd w:id="187"/>
      <w:bookmarkEnd w:id="188"/>
    </w:p>
    <w:p w14:paraId="7E24DC6E" w14:textId="5254B2ED" w:rsidR="004F4887" w:rsidRDefault="004F4887" w:rsidP="00EF43BE">
      <w:pPr>
        <w:pStyle w:val="Nagwek3"/>
        <w:rPr>
          <w:lang w:eastAsia="ar-SA"/>
        </w:rPr>
      </w:pPr>
      <w:bookmarkStart w:id="189" w:name="_Toc77513979"/>
      <w:bookmarkStart w:id="190" w:name="_Toc80523133"/>
      <w:r w:rsidRPr="004F4887">
        <w:rPr>
          <w:lang w:eastAsia="ar-SA"/>
        </w:rPr>
        <w:t>Aktywność ekonomiczna i warunki bytowe</w:t>
      </w:r>
      <w:bookmarkEnd w:id="189"/>
      <w:bookmarkEnd w:id="190"/>
    </w:p>
    <w:p w14:paraId="16611E31" w14:textId="77777777" w:rsidR="000B1B06" w:rsidRPr="000B1B06" w:rsidRDefault="000B1B06" w:rsidP="000B1B06">
      <w:pPr>
        <w:rPr>
          <w:lang w:eastAsia="ar-SA"/>
        </w:rPr>
      </w:pPr>
    </w:p>
    <w:p w14:paraId="67295C53" w14:textId="77777777" w:rsidR="004F4887" w:rsidRPr="004F4887" w:rsidRDefault="004F4887" w:rsidP="004F4887">
      <w:pPr>
        <w:rPr>
          <w:rFonts w:cs="Times New Roman"/>
          <w:szCs w:val="24"/>
        </w:rPr>
      </w:pPr>
      <w:r w:rsidRPr="004F4887">
        <w:rPr>
          <w:rFonts w:cs="Times New Roman"/>
          <w:szCs w:val="24"/>
        </w:rPr>
        <w:t>W 2020 r. w województwie małopolskim przeciętny miesięczny dochód rozporządzalny przypadający na 1 osobę w gospodarstwach domowych wyniósł  1915 zł. Na dochód rozporządzalny gospodarstwa domowego składają się przede wszystkim dochody z pracy najemnej oraz dochody ze świadczeń społecznych. W 2020 r. ich udział w dochodzie rozporządzalnym wyniósł odpowiednio 59,0% i 29,6%. W 2020 r. przeciętne miesięczne wydatki na 1 osobę w gospodarstwach domowych wyniosły 1042 zł.  Na żywność i napoje bezalkoholowe gospodarstwa domowe przeznaczały przeciętnie 30,1% ogólnej kwoty wydatków, na opłaty z tytułu użytkowania mieszkania lub domu i za korzystanie z nośników energii  - 20,0%, a na zdrowie –5,1%.</w:t>
      </w:r>
    </w:p>
    <w:p w14:paraId="38C7B970" w14:textId="77777777" w:rsidR="004F4887" w:rsidRPr="004F4887" w:rsidRDefault="004F4887" w:rsidP="004F4887">
      <w:pPr>
        <w:rPr>
          <w:rFonts w:cs="Times New Roman"/>
          <w:szCs w:val="24"/>
        </w:rPr>
      </w:pPr>
    </w:p>
    <w:p w14:paraId="6121DCFF" w14:textId="77777777" w:rsidR="004F4887" w:rsidRPr="004F4887" w:rsidRDefault="004F4887" w:rsidP="004F4887">
      <w:pPr>
        <w:rPr>
          <w:rFonts w:cs="Times New Roman"/>
          <w:szCs w:val="24"/>
        </w:rPr>
      </w:pPr>
      <w:r w:rsidRPr="004F4887">
        <w:rPr>
          <w:rFonts w:cs="Times New Roman"/>
          <w:szCs w:val="24"/>
        </w:rPr>
        <w:t>W 2020 r. swoją sytuację materialną jako bardzo dobrą i raczej dobrą oceniło 39,7% gospodarstw domowych. Udział gospodarstw określających swoją sytuację materialną jako przeciętną wyniósł 52,2%, a raczej złą i złą ukształtował się na poziomie 8,1%.</w:t>
      </w:r>
    </w:p>
    <w:p w14:paraId="6B27FE46" w14:textId="77777777" w:rsidR="004F4887" w:rsidRPr="004F4887" w:rsidRDefault="004F4887" w:rsidP="004F4887">
      <w:pPr>
        <w:rPr>
          <w:rFonts w:cs="Times New Roman"/>
          <w:szCs w:val="24"/>
        </w:rPr>
      </w:pPr>
    </w:p>
    <w:p w14:paraId="7852A2E3" w14:textId="77777777" w:rsidR="004F4887" w:rsidRPr="004F4887" w:rsidRDefault="004F4887" w:rsidP="004F4887">
      <w:pPr>
        <w:rPr>
          <w:rFonts w:cs="Times New Roman"/>
          <w:szCs w:val="24"/>
        </w:rPr>
      </w:pPr>
      <w:r w:rsidRPr="004F4887">
        <w:rPr>
          <w:rFonts w:cs="Times New Roman"/>
          <w:szCs w:val="24"/>
        </w:rPr>
        <w:t>W analizowanym roku przeciętna liczba osób w gospodarstwie domowym ukształtowała się na poziomie 2,83. Przeciętna powierzchnia użytkowa mieszkania zajmowana przez gospodarstwo domowe wyniosła 90,96 m</w:t>
      </w:r>
      <w:r w:rsidRPr="00702856">
        <w:rPr>
          <w:rFonts w:cs="Times New Roman"/>
          <w:szCs w:val="24"/>
          <w:vertAlign w:val="superscript"/>
        </w:rPr>
        <w:t>2</w:t>
      </w:r>
      <w:r w:rsidRPr="004F4887">
        <w:rPr>
          <w:rFonts w:cs="Times New Roman"/>
          <w:szCs w:val="24"/>
        </w:rPr>
        <w:t>.</w:t>
      </w:r>
    </w:p>
    <w:p w14:paraId="153FC831" w14:textId="77777777" w:rsidR="004F4887" w:rsidRPr="004F4887" w:rsidRDefault="004F4887" w:rsidP="004F4887">
      <w:pPr>
        <w:rPr>
          <w:rFonts w:cs="Times New Roman"/>
          <w:b/>
          <w:color w:val="FF0000"/>
          <w:szCs w:val="24"/>
          <w:lang w:eastAsia="ar-SA"/>
        </w:rPr>
      </w:pPr>
    </w:p>
    <w:p w14:paraId="4AEFBEAA" w14:textId="7D7979B7" w:rsidR="004F4887" w:rsidRPr="00D910B9" w:rsidRDefault="004F4887" w:rsidP="004F4887">
      <w:pPr>
        <w:pStyle w:val="Legenda"/>
        <w:keepNext/>
        <w:rPr>
          <w:rFonts w:cs="Times New Roman"/>
          <w:b/>
          <w:i w:val="0"/>
          <w:color w:val="auto"/>
          <w:sz w:val="24"/>
        </w:rPr>
      </w:pPr>
      <w:r w:rsidRPr="00432294">
        <w:rPr>
          <w:rFonts w:cs="Times New Roman"/>
          <w:b/>
          <w:i w:val="0"/>
          <w:color w:val="auto"/>
          <w:sz w:val="24"/>
        </w:rPr>
        <w:t xml:space="preserve">Tabela </w:t>
      </w:r>
      <w:r w:rsidR="005B094D">
        <w:rPr>
          <w:rFonts w:cs="Times New Roman"/>
          <w:b/>
          <w:i w:val="0"/>
          <w:color w:val="auto"/>
          <w:sz w:val="24"/>
        </w:rPr>
        <w:t>59</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Aktywność ekonomiczna osób starszych w województwie małopolskim</w:t>
      </w:r>
    </w:p>
    <w:tbl>
      <w:tblPr>
        <w:tblStyle w:val="Tabelasiatki6kolorowaakcent27"/>
        <w:tblpPr w:leftFromText="141" w:rightFromText="141" w:vertAnchor="text" w:tblpXSpec="center" w:tblpY="1"/>
        <w:tblW w:w="9073" w:type="dxa"/>
        <w:tblLayout w:type="fixed"/>
        <w:tblLook w:val="04A0" w:firstRow="1" w:lastRow="0" w:firstColumn="1" w:lastColumn="0" w:noHBand="0" w:noVBand="1"/>
      </w:tblPr>
      <w:tblGrid>
        <w:gridCol w:w="1848"/>
        <w:gridCol w:w="3969"/>
        <w:gridCol w:w="3256"/>
      </w:tblGrid>
      <w:tr w:rsidR="004F4887" w:rsidRPr="004F4887" w14:paraId="422B9A00" w14:textId="77777777" w:rsidTr="00EB7DC7">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073" w:type="dxa"/>
            <w:gridSpan w:val="3"/>
          </w:tcPr>
          <w:p w14:paraId="6A7268CE" w14:textId="77777777" w:rsidR="004F4887" w:rsidRPr="004F4887" w:rsidRDefault="004F4887" w:rsidP="00EB7DC7">
            <w:pPr>
              <w:spacing w:line="240" w:lineRule="auto"/>
              <w:jc w:val="center"/>
              <w:rPr>
                <w:rFonts w:cs="Times New Roman"/>
                <w:b w:val="0"/>
                <w:bCs w:val="0"/>
                <w:color w:val="auto"/>
                <w:sz w:val="20"/>
                <w:szCs w:val="20"/>
              </w:rPr>
            </w:pPr>
            <w:r w:rsidRPr="004F4887">
              <w:rPr>
                <w:rFonts w:cs="Times New Roman"/>
                <w:b w:val="0"/>
                <w:bCs w:val="0"/>
                <w:color w:val="auto"/>
                <w:sz w:val="20"/>
                <w:szCs w:val="20"/>
                <w:lang w:eastAsia="pl-PL"/>
              </w:rPr>
              <w:t>AKTYWNOŚĆ EKONOMICZNA OSÓB STARSZYCH – DANE ZA 2020 R.</w:t>
            </w:r>
          </w:p>
        </w:tc>
      </w:tr>
      <w:tr w:rsidR="004F4887" w:rsidRPr="004F4887" w14:paraId="22E6CB84" w14:textId="77777777" w:rsidTr="00EB7DC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817" w:type="dxa"/>
            <w:gridSpan w:val="2"/>
          </w:tcPr>
          <w:p w14:paraId="1DBFD2CF" w14:textId="77777777" w:rsidR="004F4887" w:rsidRPr="004F4887" w:rsidRDefault="004F4887" w:rsidP="00EB7DC7">
            <w:pPr>
              <w:spacing w:line="240" w:lineRule="auto"/>
              <w:rPr>
                <w:rFonts w:cs="Times New Roman"/>
                <w:b w:val="0"/>
                <w:bCs w:val="0"/>
                <w:color w:val="auto"/>
                <w:sz w:val="20"/>
                <w:szCs w:val="20"/>
              </w:rPr>
            </w:pPr>
            <w:r w:rsidRPr="004F4887">
              <w:rPr>
                <w:rFonts w:cs="Times New Roman"/>
                <w:b w:val="0"/>
                <w:bCs w:val="0"/>
                <w:color w:val="auto"/>
                <w:sz w:val="20"/>
                <w:szCs w:val="20"/>
              </w:rPr>
              <w:t>Podział</w:t>
            </w:r>
          </w:p>
        </w:tc>
        <w:tc>
          <w:tcPr>
            <w:tcW w:w="3256" w:type="dxa"/>
          </w:tcPr>
          <w:p w14:paraId="63071CC0" w14:textId="77777777" w:rsidR="004F4887" w:rsidRPr="004F4887" w:rsidRDefault="004F4887" w:rsidP="00EB7DC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4F4887">
              <w:rPr>
                <w:rFonts w:cs="Times New Roman"/>
                <w:b/>
                <w:color w:val="auto"/>
                <w:sz w:val="20"/>
                <w:szCs w:val="20"/>
              </w:rPr>
              <w:t>Liczba</w:t>
            </w:r>
          </w:p>
        </w:tc>
      </w:tr>
      <w:tr w:rsidR="004F4887" w:rsidRPr="004F4887" w14:paraId="5A696E9B"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1848" w:type="dxa"/>
            <w:vMerge w:val="restart"/>
          </w:tcPr>
          <w:p w14:paraId="0B1A51A9" w14:textId="77777777" w:rsidR="004F4887" w:rsidRPr="004F4887" w:rsidRDefault="004F4887" w:rsidP="00EB7DC7">
            <w:pPr>
              <w:spacing w:line="240" w:lineRule="auto"/>
              <w:rPr>
                <w:rFonts w:cs="Times New Roman"/>
                <w:bCs w:val="0"/>
                <w:color w:val="auto"/>
                <w:sz w:val="20"/>
                <w:szCs w:val="20"/>
                <w:lang w:eastAsia="pl-PL"/>
              </w:rPr>
            </w:pPr>
            <w:r w:rsidRPr="004F4887">
              <w:rPr>
                <w:rFonts w:cs="Times New Roman"/>
                <w:b w:val="0"/>
                <w:bCs w:val="0"/>
                <w:color w:val="auto"/>
                <w:sz w:val="20"/>
                <w:szCs w:val="20"/>
                <w:lang w:eastAsia="pl-PL"/>
              </w:rPr>
              <w:t>Osoby aktywne zawodowo razem (w tys.)</w:t>
            </w:r>
          </w:p>
        </w:tc>
        <w:tc>
          <w:tcPr>
            <w:tcW w:w="3969" w:type="dxa"/>
          </w:tcPr>
          <w:p w14:paraId="0BBB778C"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ogółem</w:t>
            </w:r>
          </w:p>
        </w:tc>
        <w:tc>
          <w:tcPr>
            <w:tcW w:w="3256" w:type="dxa"/>
          </w:tcPr>
          <w:p w14:paraId="31E5DD59"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1500</w:t>
            </w:r>
          </w:p>
        </w:tc>
      </w:tr>
      <w:tr w:rsidR="004F4887" w:rsidRPr="004F4887" w14:paraId="151A5098" w14:textId="77777777" w:rsidTr="0091493E">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848" w:type="dxa"/>
            <w:vMerge/>
          </w:tcPr>
          <w:p w14:paraId="19C510E5" w14:textId="77777777" w:rsidR="004F4887" w:rsidRPr="004F4887" w:rsidRDefault="004F4887" w:rsidP="00EB7DC7">
            <w:pPr>
              <w:spacing w:line="240" w:lineRule="auto"/>
              <w:rPr>
                <w:rFonts w:cs="Times New Roman"/>
                <w:bCs w:val="0"/>
                <w:color w:val="auto"/>
                <w:sz w:val="20"/>
                <w:szCs w:val="20"/>
                <w:lang w:eastAsia="pl-PL"/>
              </w:rPr>
            </w:pPr>
          </w:p>
        </w:tc>
        <w:tc>
          <w:tcPr>
            <w:tcW w:w="3969" w:type="dxa"/>
          </w:tcPr>
          <w:p w14:paraId="3825D9D7"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w tym w wieku 60+</w:t>
            </w:r>
          </w:p>
        </w:tc>
        <w:tc>
          <w:tcPr>
            <w:tcW w:w="3256" w:type="dxa"/>
          </w:tcPr>
          <w:p w14:paraId="1F22CCDF"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114</w:t>
            </w:r>
          </w:p>
        </w:tc>
      </w:tr>
      <w:tr w:rsidR="004F4887" w:rsidRPr="004F4887" w14:paraId="51BE87AD"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1848" w:type="dxa"/>
            <w:vMerge w:val="restart"/>
          </w:tcPr>
          <w:p w14:paraId="2D9298EF" w14:textId="77777777" w:rsidR="004F4887" w:rsidRPr="004F4887" w:rsidRDefault="004F4887" w:rsidP="00EB7DC7">
            <w:pPr>
              <w:spacing w:line="240" w:lineRule="auto"/>
              <w:rPr>
                <w:rFonts w:cs="Times New Roman"/>
                <w:bCs w:val="0"/>
                <w:color w:val="auto"/>
                <w:sz w:val="20"/>
                <w:szCs w:val="20"/>
                <w:lang w:eastAsia="pl-PL"/>
              </w:rPr>
            </w:pPr>
            <w:r w:rsidRPr="004F4887">
              <w:rPr>
                <w:rFonts w:cs="Times New Roman"/>
                <w:b w:val="0"/>
                <w:bCs w:val="0"/>
                <w:color w:val="auto"/>
                <w:sz w:val="20"/>
                <w:szCs w:val="20"/>
                <w:lang w:eastAsia="pl-PL"/>
              </w:rPr>
              <w:t xml:space="preserve">Osoby aktywne zawodowo </w:t>
            </w:r>
            <w:r w:rsidRPr="004F4887">
              <w:rPr>
                <w:rFonts w:cs="Times New Roman"/>
                <w:b w:val="0"/>
                <w:bCs w:val="0"/>
                <w:color w:val="auto"/>
                <w:sz w:val="20"/>
                <w:szCs w:val="20"/>
                <w:lang w:eastAsia="pl-PL"/>
              </w:rPr>
              <w:br/>
              <w:t>– pracujący (w tys.)</w:t>
            </w:r>
          </w:p>
        </w:tc>
        <w:tc>
          <w:tcPr>
            <w:tcW w:w="3969" w:type="dxa"/>
          </w:tcPr>
          <w:p w14:paraId="6C01C7C3"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Ogółem</w:t>
            </w:r>
          </w:p>
        </w:tc>
        <w:tc>
          <w:tcPr>
            <w:tcW w:w="3256" w:type="dxa"/>
          </w:tcPr>
          <w:p w14:paraId="1B5973DC"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1460</w:t>
            </w:r>
          </w:p>
        </w:tc>
      </w:tr>
      <w:tr w:rsidR="004F4887" w:rsidRPr="004F4887" w14:paraId="6705AAC4" w14:textId="77777777" w:rsidTr="0091493E">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848" w:type="dxa"/>
            <w:vMerge/>
          </w:tcPr>
          <w:p w14:paraId="1567E000" w14:textId="77777777" w:rsidR="004F4887" w:rsidRPr="004F4887" w:rsidRDefault="004F4887" w:rsidP="00EB7DC7">
            <w:pPr>
              <w:spacing w:line="240" w:lineRule="auto"/>
              <w:rPr>
                <w:rFonts w:cs="Times New Roman"/>
                <w:bCs w:val="0"/>
                <w:color w:val="auto"/>
                <w:sz w:val="20"/>
                <w:szCs w:val="20"/>
                <w:lang w:eastAsia="pl-PL"/>
              </w:rPr>
            </w:pPr>
          </w:p>
        </w:tc>
        <w:tc>
          <w:tcPr>
            <w:tcW w:w="3969" w:type="dxa"/>
          </w:tcPr>
          <w:p w14:paraId="4D0925E8"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w tym w wieku 60+</w:t>
            </w:r>
          </w:p>
        </w:tc>
        <w:tc>
          <w:tcPr>
            <w:tcW w:w="3256" w:type="dxa"/>
          </w:tcPr>
          <w:p w14:paraId="7300212D"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112</w:t>
            </w:r>
          </w:p>
        </w:tc>
      </w:tr>
      <w:tr w:rsidR="004F4887" w:rsidRPr="004F4887" w14:paraId="3128055C"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1848" w:type="dxa"/>
            <w:vMerge w:val="restart"/>
          </w:tcPr>
          <w:p w14:paraId="5F74FEF0" w14:textId="77777777" w:rsidR="004F4887" w:rsidRPr="004F4887" w:rsidRDefault="004F4887" w:rsidP="00EB7DC7">
            <w:pPr>
              <w:spacing w:line="240" w:lineRule="auto"/>
              <w:rPr>
                <w:rFonts w:cs="Times New Roman"/>
                <w:bCs w:val="0"/>
                <w:color w:val="auto"/>
                <w:sz w:val="20"/>
                <w:szCs w:val="20"/>
                <w:lang w:eastAsia="pl-PL"/>
              </w:rPr>
            </w:pPr>
            <w:r w:rsidRPr="004F4887">
              <w:rPr>
                <w:rFonts w:cs="Times New Roman"/>
                <w:b w:val="0"/>
                <w:bCs w:val="0"/>
                <w:color w:val="auto"/>
                <w:sz w:val="20"/>
                <w:szCs w:val="20"/>
                <w:lang w:eastAsia="pl-PL"/>
              </w:rPr>
              <w:t>Osoby bierne zawodowo (w tys.)</w:t>
            </w:r>
          </w:p>
        </w:tc>
        <w:tc>
          <w:tcPr>
            <w:tcW w:w="3969" w:type="dxa"/>
          </w:tcPr>
          <w:p w14:paraId="26651FF2"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ogółem</w:t>
            </w:r>
          </w:p>
        </w:tc>
        <w:tc>
          <w:tcPr>
            <w:tcW w:w="3256" w:type="dxa"/>
          </w:tcPr>
          <w:p w14:paraId="108749D4"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1150</w:t>
            </w:r>
          </w:p>
        </w:tc>
      </w:tr>
      <w:tr w:rsidR="004F4887" w:rsidRPr="004F4887" w14:paraId="4FB04A4F" w14:textId="77777777" w:rsidTr="0091493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848" w:type="dxa"/>
            <w:vMerge/>
          </w:tcPr>
          <w:p w14:paraId="67626EDD" w14:textId="77777777" w:rsidR="004F4887" w:rsidRPr="004F4887" w:rsidRDefault="004F4887" w:rsidP="00EB7DC7">
            <w:pPr>
              <w:spacing w:line="240" w:lineRule="auto"/>
              <w:rPr>
                <w:rFonts w:cs="Times New Roman"/>
                <w:bCs w:val="0"/>
                <w:color w:val="auto"/>
                <w:sz w:val="20"/>
                <w:szCs w:val="20"/>
                <w:lang w:eastAsia="pl-PL"/>
              </w:rPr>
            </w:pPr>
          </w:p>
        </w:tc>
        <w:tc>
          <w:tcPr>
            <w:tcW w:w="3969" w:type="dxa"/>
          </w:tcPr>
          <w:p w14:paraId="46440953"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w tym w wieku 60+</w:t>
            </w:r>
          </w:p>
        </w:tc>
        <w:tc>
          <w:tcPr>
            <w:tcW w:w="3256" w:type="dxa"/>
          </w:tcPr>
          <w:p w14:paraId="3B26845A"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664</w:t>
            </w:r>
          </w:p>
        </w:tc>
      </w:tr>
      <w:tr w:rsidR="004F4887" w:rsidRPr="004F4887" w14:paraId="76FBC16F"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1848" w:type="dxa"/>
            <w:vMerge w:val="restart"/>
          </w:tcPr>
          <w:p w14:paraId="391F9BD5" w14:textId="77777777" w:rsidR="004F4887" w:rsidRPr="004F4887" w:rsidRDefault="004F4887" w:rsidP="00EB7DC7">
            <w:pPr>
              <w:spacing w:line="240" w:lineRule="auto"/>
              <w:rPr>
                <w:rFonts w:cs="Times New Roman"/>
                <w:bCs w:val="0"/>
                <w:color w:val="auto"/>
                <w:sz w:val="20"/>
                <w:szCs w:val="20"/>
                <w:lang w:eastAsia="pl-PL"/>
              </w:rPr>
            </w:pPr>
            <w:r w:rsidRPr="004F4887">
              <w:rPr>
                <w:rFonts w:cs="Times New Roman"/>
                <w:b w:val="0"/>
                <w:bCs w:val="0"/>
                <w:color w:val="auto"/>
                <w:sz w:val="20"/>
                <w:szCs w:val="20"/>
                <w:lang w:eastAsia="pl-PL"/>
              </w:rPr>
              <w:t>Współczynnik aktywności zawodowej %</w:t>
            </w:r>
          </w:p>
        </w:tc>
        <w:tc>
          <w:tcPr>
            <w:tcW w:w="3969" w:type="dxa"/>
          </w:tcPr>
          <w:p w14:paraId="0CA9F9C6"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Ogółem</w:t>
            </w:r>
          </w:p>
        </w:tc>
        <w:tc>
          <w:tcPr>
            <w:tcW w:w="3256" w:type="dxa"/>
          </w:tcPr>
          <w:p w14:paraId="6FDFC7AA"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56,6</w:t>
            </w:r>
          </w:p>
        </w:tc>
      </w:tr>
      <w:tr w:rsidR="004F4887" w:rsidRPr="004F4887" w14:paraId="709DF514" w14:textId="77777777" w:rsidTr="009149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48" w:type="dxa"/>
            <w:vMerge/>
          </w:tcPr>
          <w:p w14:paraId="3338C91E" w14:textId="77777777" w:rsidR="004F4887" w:rsidRPr="004F4887" w:rsidRDefault="004F4887" w:rsidP="00EB7DC7">
            <w:pPr>
              <w:spacing w:line="240" w:lineRule="auto"/>
              <w:rPr>
                <w:rFonts w:cs="Times New Roman"/>
                <w:bCs w:val="0"/>
                <w:color w:val="auto"/>
                <w:sz w:val="20"/>
                <w:szCs w:val="20"/>
                <w:lang w:eastAsia="pl-PL"/>
              </w:rPr>
            </w:pPr>
          </w:p>
        </w:tc>
        <w:tc>
          <w:tcPr>
            <w:tcW w:w="3969" w:type="dxa"/>
          </w:tcPr>
          <w:p w14:paraId="24885F3D"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w tym w wieku 60+</w:t>
            </w:r>
          </w:p>
        </w:tc>
        <w:tc>
          <w:tcPr>
            <w:tcW w:w="3256" w:type="dxa"/>
          </w:tcPr>
          <w:p w14:paraId="1EBA6ABF"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14,6</w:t>
            </w:r>
          </w:p>
        </w:tc>
      </w:tr>
      <w:tr w:rsidR="004F4887" w:rsidRPr="004F4887" w14:paraId="7620A2A9" w14:textId="77777777" w:rsidTr="00EB7DC7">
        <w:trPr>
          <w:trHeight w:val="143"/>
        </w:trPr>
        <w:tc>
          <w:tcPr>
            <w:cnfStyle w:val="001000000000" w:firstRow="0" w:lastRow="0" w:firstColumn="1" w:lastColumn="0" w:oddVBand="0" w:evenVBand="0" w:oddHBand="0" w:evenHBand="0" w:firstRowFirstColumn="0" w:firstRowLastColumn="0" w:lastRowFirstColumn="0" w:lastRowLastColumn="0"/>
            <w:tcW w:w="1848" w:type="dxa"/>
            <w:vMerge w:val="restart"/>
          </w:tcPr>
          <w:p w14:paraId="76CFFC58" w14:textId="77777777" w:rsidR="004F4887" w:rsidRPr="004F4887" w:rsidRDefault="004F4887" w:rsidP="00EB7DC7">
            <w:pPr>
              <w:spacing w:line="240" w:lineRule="auto"/>
              <w:rPr>
                <w:rFonts w:cs="Times New Roman"/>
                <w:bCs w:val="0"/>
                <w:color w:val="auto"/>
                <w:sz w:val="20"/>
                <w:szCs w:val="20"/>
                <w:lang w:eastAsia="pl-PL"/>
              </w:rPr>
            </w:pPr>
            <w:r w:rsidRPr="004F4887">
              <w:rPr>
                <w:rFonts w:cs="Times New Roman"/>
                <w:b w:val="0"/>
                <w:bCs w:val="0"/>
                <w:color w:val="auto"/>
                <w:sz w:val="20"/>
                <w:szCs w:val="20"/>
                <w:lang w:eastAsia="pl-PL"/>
              </w:rPr>
              <w:t>Wskaźnik zatrudnienia %</w:t>
            </w:r>
          </w:p>
        </w:tc>
        <w:tc>
          <w:tcPr>
            <w:tcW w:w="3969" w:type="dxa"/>
          </w:tcPr>
          <w:p w14:paraId="2410B461"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ogółem</w:t>
            </w:r>
          </w:p>
        </w:tc>
        <w:tc>
          <w:tcPr>
            <w:tcW w:w="3256" w:type="dxa"/>
          </w:tcPr>
          <w:p w14:paraId="2FE4C32F"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55,1</w:t>
            </w:r>
          </w:p>
        </w:tc>
      </w:tr>
      <w:tr w:rsidR="004F4887" w:rsidRPr="004F4887" w14:paraId="5373C546" w14:textId="77777777" w:rsidTr="0091493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848" w:type="dxa"/>
            <w:vMerge/>
          </w:tcPr>
          <w:p w14:paraId="5D0D1D43" w14:textId="77777777" w:rsidR="004F4887" w:rsidRPr="004F4887" w:rsidRDefault="004F4887" w:rsidP="00EB7DC7">
            <w:pPr>
              <w:spacing w:line="240" w:lineRule="auto"/>
              <w:rPr>
                <w:rFonts w:cs="Times New Roman"/>
                <w:bCs w:val="0"/>
                <w:color w:val="auto"/>
                <w:sz w:val="20"/>
                <w:szCs w:val="20"/>
                <w:lang w:eastAsia="pl-PL"/>
              </w:rPr>
            </w:pPr>
          </w:p>
        </w:tc>
        <w:tc>
          <w:tcPr>
            <w:tcW w:w="3969" w:type="dxa"/>
          </w:tcPr>
          <w:p w14:paraId="5B287485"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w tym w wieku 60+</w:t>
            </w:r>
          </w:p>
        </w:tc>
        <w:tc>
          <w:tcPr>
            <w:tcW w:w="3256" w:type="dxa"/>
          </w:tcPr>
          <w:p w14:paraId="3A0B02B6"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14,4</w:t>
            </w:r>
          </w:p>
        </w:tc>
      </w:tr>
      <w:tr w:rsidR="004F4887" w:rsidRPr="004F4887" w14:paraId="6A52A0DF" w14:textId="77777777" w:rsidTr="00EB7DC7">
        <w:trPr>
          <w:trHeight w:val="282"/>
        </w:trPr>
        <w:tc>
          <w:tcPr>
            <w:cnfStyle w:val="001000000000" w:firstRow="0" w:lastRow="0" w:firstColumn="1" w:lastColumn="0" w:oddVBand="0" w:evenVBand="0" w:oddHBand="0" w:evenHBand="0" w:firstRowFirstColumn="0" w:firstRowLastColumn="0" w:lastRowFirstColumn="0" w:lastRowLastColumn="0"/>
            <w:tcW w:w="1848" w:type="dxa"/>
            <w:vMerge w:val="restart"/>
          </w:tcPr>
          <w:p w14:paraId="1B64015F" w14:textId="77777777" w:rsidR="004F4887" w:rsidRPr="004F4887" w:rsidRDefault="004F4887" w:rsidP="00EB7DC7">
            <w:pPr>
              <w:spacing w:line="240" w:lineRule="auto"/>
              <w:rPr>
                <w:rFonts w:cs="Times New Roman"/>
                <w:bCs w:val="0"/>
                <w:color w:val="auto"/>
                <w:sz w:val="20"/>
                <w:szCs w:val="20"/>
                <w:lang w:eastAsia="pl-PL"/>
              </w:rPr>
            </w:pPr>
            <w:r w:rsidRPr="004F4887">
              <w:rPr>
                <w:rFonts w:eastAsia="Times New Roman" w:cs="Times New Roman"/>
                <w:b w:val="0"/>
                <w:bCs w:val="0"/>
                <w:color w:val="auto"/>
                <w:sz w:val="20"/>
                <w:szCs w:val="20"/>
                <w:lang w:eastAsia="pl-PL"/>
              </w:rPr>
              <w:t xml:space="preserve">Osoby bierne zawodowo  w wieku 60 lat i więcej według wybranych przyczyn bierności </w:t>
            </w:r>
            <w:r w:rsidRPr="004F4887">
              <w:rPr>
                <w:rFonts w:eastAsia="Times New Roman" w:cs="Times New Roman"/>
                <w:b w:val="0"/>
                <w:bCs w:val="0"/>
                <w:color w:val="auto"/>
                <w:sz w:val="20"/>
                <w:szCs w:val="20"/>
                <w:lang w:eastAsia="pl-PL"/>
              </w:rPr>
              <w:br/>
              <w:t>(w tys.)</w:t>
            </w:r>
          </w:p>
        </w:tc>
        <w:tc>
          <w:tcPr>
            <w:tcW w:w="3969" w:type="dxa"/>
          </w:tcPr>
          <w:p w14:paraId="66956569"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ogółem</w:t>
            </w:r>
          </w:p>
        </w:tc>
        <w:tc>
          <w:tcPr>
            <w:tcW w:w="3256" w:type="dxa"/>
          </w:tcPr>
          <w:p w14:paraId="0C606D6D"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664</w:t>
            </w:r>
          </w:p>
        </w:tc>
      </w:tr>
      <w:tr w:rsidR="004F4887" w:rsidRPr="004F4887" w14:paraId="3D4D3ACD"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48" w:type="dxa"/>
            <w:vMerge/>
          </w:tcPr>
          <w:p w14:paraId="7EF286A4" w14:textId="77777777" w:rsidR="004F4887" w:rsidRPr="004F4887" w:rsidRDefault="004F4887" w:rsidP="00EB7DC7">
            <w:pPr>
              <w:spacing w:line="240" w:lineRule="auto"/>
              <w:rPr>
                <w:rFonts w:eastAsia="Times New Roman" w:cs="Times New Roman"/>
                <w:color w:val="auto"/>
                <w:sz w:val="20"/>
                <w:szCs w:val="20"/>
                <w:lang w:eastAsia="pl-PL"/>
              </w:rPr>
            </w:pPr>
          </w:p>
        </w:tc>
        <w:tc>
          <w:tcPr>
            <w:tcW w:w="7225" w:type="dxa"/>
            <w:gridSpan w:val="2"/>
          </w:tcPr>
          <w:p w14:paraId="3924368B"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w tym:</w:t>
            </w:r>
          </w:p>
        </w:tc>
      </w:tr>
      <w:tr w:rsidR="004F4887" w:rsidRPr="004F4887" w14:paraId="7CE15E8F" w14:textId="77777777" w:rsidTr="00EB7DC7">
        <w:trPr>
          <w:trHeight w:val="280"/>
        </w:trPr>
        <w:tc>
          <w:tcPr>
            <w:cnfStyle w:val="001000000000" w:firstRow="0" w:lastRow="0" w:firstColumn="1" w:lastColumn="0" w:oddVBand="0" w:evenVBand="0" w:oddHBand="0" w:evenHBand="0" w:firstRowFirstColumn="0" w:firstRowLastColumn="0" w:lastRowFirstColumn="0" w:lastRowLastColumn="0"/>
            <w:tcW w:w="1848" w:type="dxa"/>
            <w:vMerge/>
          </w:tcPr>
          <w:p w14:paraId="56D5AF2D" w14:textId="77777777" w:rsidR="004F4887" w:rsidRPr="004F4887" w:rsidRDefault="004F4887" w:rsidP="00EB7DC7">
            <w:pPr>
              <w:spacing w:line="240" w:lineRule="auto"/>
              <w:rPr>
                <w:rFonts w:eastAsia="Times New Roman" w:cs="Times New Roman"/>
                <w:color w:val="auto"/>
                <w:sz w:val="20"/>
                <w:szCs w:val="20"/>
                <w:lang w:eastAsia="pl-PL"/>
              </w:rPr>
            </w:pPr>
          </w:p>
        </w:tc>
        <w:tc>
          <w:tcPr>
            <w:tcW w:w="3969" w:type="dxa"/>
          </w:tcPr>
          <w:p w14:paraId="5EAE2FFB"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4F4887">
              <w:rPr>
                <w:rFonts w:eastAsia="Times New Roman" w:cs="Times New Roman"/>
                <w:color w:val="auto"/>
                <w:sz w:val="20"/>
                <w:szCs w:val="20"/>
                <w:lang w:eastAsia="pl-PL"/>
              </w:rPr>
              <w:t>osoby nieposzukujące pracy - razem</w:t>
            </w:r>
          </w:p>
        </w:tc>
        <w:tc>
          <w:tcPr>
            <w:tcW w:w="3256" w:type="dxa"/>
          </w:tcPr>
          <w:p w14:paraId="5B7399D5"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664</w:t>
            </w:r>
          </w:p>
        </w:tc>
      </w:tr>
      <w:tr w:rsidR="004F4887" w:rsidRPr="004F4887" w14:paraId="630F29B0"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48" w:type="dxa"/>
            <w:vMerge/>
          </w:tcPr>
          <w:p w14:paraId="6CF5A083" w14:textId="77777777" w:rsidR="004F4887" w:rsidRPr="004F4887" w:rsidRDefault="004F4887" w:rsidP="00EB7DC7">
            <w:pPr>
              <w:spacing w:line="240" w:lineRule="auto"/>
              <w:rPr>
                <w:rFonts w:eastAsia="Times New Roman" w:cs="Times New Roman"/>
                <w:color w:val="auto"/>
                <w:sz w:val="20"/>
                <w:szCs w:val="20"/>
                <w:lang w:eastAsia="pl-PL"/>
              </w:rPr>
            </w:pPr>
          </w:p>
        </w:tc>
        <w:tc>
          <w:tcPr>
            <w:tcW w:w="3969" w:type="dxa"/>
          </w:tcPr>
          <w:p w14:paraId="261BB881"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eastAsia="Times New Roman" w:cs="Times New Roman"/>
                <w:color w:val="auto"/>
                <w:sz w:val="20"/>
                <w:szCs w:val="20"/>
                <w:lang w:eastAsia="pl-PL"/>
              </w:rPr>
              <w:t>osoby nieposzukujące pracy - emerytura</w:t>
            </w:r>
          </w:p>
        </w:tc>
        <w:tc>
          <w:tcPr>
            <w:tcW w:w="3256" w:type="dxa"/>
          </w:tcPr>
          <w:p w14:paraId="1081EA88"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605</w:t>
            </w:r>
          </w:p>
        </w:tc>
      </w:tr>
      <w:tr w:rsidR="004F4887" w:rsidRPr="004F4887" w14:paraId="0ECE14D4" w14:textId="77777777" w:rsidTr="00EB7DC7">
        <w:trPr>
          <w:trHeight w:val="280"/>
        </w:trPr>
        <w:tc>
          <w:tcPr>
            <w:cnfStyle w:val="001000000000" w:firstRow="0" w:lastRow="0" w:firstColumn="1" w:lastColumn="0" w:oddVBand="0" w:evenVBand="0" w:oddHBand="0" w:evenHBand="0" w:firstRowFirstColumn="0" w:firstRowLastColumn="0" w:lastRowFirstColumn="0" w:lastRowLastColumn="0"/>
            <w:tcW w:w="1848" w:type="dxa"/>
            <w:vMerge/>
          </w:tcPr>
          <w:p w14:paraId="57BF2D50" w14:textId="77777777" w:rsidR="004F4887" w:rsidRPr="004F4887" w:rsidRDefault="004F4887" w:rsidP="00EB7DC7">
            <w:pPr>
              <w:spacing w:line="240" w:lineRule="auto"/>
              <w:rPr>
                <w:rFonts w:eastAsia="Times New Roman" w:cs="Times New Roman"/>
                <w:color w:val="auto"/>
                <w:sz w:val="20"/>
                <w:szCs w:val="20"/>
                <w:lang w:eastAsia="pl-PL"/>
              </w:rPr>
            </w:pPr>
          </w:p>
        </w:tc>
        <w:tc>
          <w:tcPr>
            <w:tcW w:w="3969" w:type="dxa"/>
          </w:tcPr>
          <w:p w14:paraId="5C3A30E0"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eastAsia="Times New Roman" w:cs="Times New Roman"/>
                <w:color w:val="auto"/>
                <w:sz w:val="20"/>
                <w:szCs w:val="20"/>
                <w:lang w:eastAsia="pl-PL"/>
              </w:rPr>
              <w:t>osoby nieposzukujące pracy - choroba, niepełnosprawność</w:t>
            </w:r>
          </w:p>
        </w:tc>
        <w:tc>
          <w:tcPr>
            <w:tcW w:w="3256" w:type="dxa"/>
          </w:tcPr>
          <w:p w14:paraId="3F71E0E9"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44</w:t>
            </w:r>
          </w:p>
        </w:tc>
      </w:tr>
      <w:tr w:rsidR="004F4887" w:rsidRPr="004F4887" w14:paraId="2B7E27D0" w14:textId="77777777" w:rsidTr="00EB7D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48" w:type="dxa"/>
            <w:vMerge w:val="restart"/>
          </w:tcPr>
          <w:p w14:paraId="1301B5C0" w14:textId="77777777" w:rsidR="004F4887" w:rsidRPr="004F4887" w:rsidRDefault="004F4887" w:rsidP="00EB7DC7">
            <w:pPr>
              <w:spacing w:line="240" w:lineRule="auto"/>
              <w:rPr>
                <w:rFonts w:eastAsia="Times New Roman" w:cs="Times New Roman"/>
                <w:color w:val="auto"/>
                <w:sz w:val="20"/>
                <w:szCs w:val="20"/>
                <w:lang w:eastAsia="pl-PL"/>
              </w:rPr>
            </w:pPr>
            <w:r w:rsidRPr="004F4887">
              <w:rPr>
                <w:rFonts w:eastAsia="Times New Roman" w:cs="Times New Roman"/>
                <w:b w:val="0"/>
                <w:bCs w:val="0"/>
                <w:color w:val="auto"/>
                <w:sz w:val="20"/>
                <w:szCs w:val="20"/>
                <w:lang w:eastAsia="pl-PL"/>
              </w:rPr>
              <w:t>Osoby bezrobotne zarejestrowane w urzędach pracy (w tys.)</w:t>
            </w:r>
          </w:p>
        </w:tc>
        <w:tc>
          <w:tcPr>
            <w:tcW w:w="3969" w:type="dxa"/>
          </w:tcPr>
          <w:p w14:paraId="43A64B16"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ogółem</w:t>
            </w:r>
          </w:p>
        </w:tc>
        <w:tc>
          <w:tcPr>
            <w:tcW w:w="3256" w:type="dxa"/>
          </w:tcPr>
          <w:p w14:paraId="5D9B57A4"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83,1</w:t>
            </w:r>
          </w:p>
        </w:tc>
      </w:tr>
      <w:tr w:rsidR="004F4887" w:rsidRPr="004F4887" w14:paraId="7BBCBAA9" w14:textId="77777777" w:rsidTr="0091493E">
        <w:trPr>
          <w:trHeight w:val="742"/>
        </w:trPr>
        <w:tc>
          <w:tcPr>
            <w:cnfStyle w:val="001000000000" w:firstRow="0" w:lastRow="0" w:firstColumn="1" w:lastColumn="0" w:oddVBand="0" w:evenVBand="0" w:oddHBand="0" w:evenHBand="0" w:firstRowFirstColumn="0" w:firstRowLastColumn="0" w:lastRowFirstColumn="0" w:lastRowLastColumn="0"/>
            <w:tcW w:w="1848" w:type="dxa"/>
            <w:vMerge/>
          </w:tcPr>
          <w:p w14:paraId="21CA2C5C" w14:textId="77777777" w:rsidR="004F4887" w:rsidRPr="004F4887" w:rsidRDefault="004F4887" w:rsidP="00EB7DC7">
            <w:pPr>
              <w:spacing w:line="240" w:lineRule="auto"/>
              <w:rPr>
                <w:rFonts w:eastAsia="Times New Roman" w:cs="Times New Roman"/>
                <w:color w:val="auto"/>
                <w:sz w:val="20"/>
                <w:szCs w:val="20"/>
                <w:lang w:eastAsia="pl-PL"/>
              </w:rPr>
            </w:pPr>
          </w:p>
        </w:tc>
        <w:tc>
          <w:tcPr>
            <w:tcW w:w="3969" w:type="dxa"/>
          </w:tcPr>
          <w:p w14:paraId="64147812"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w tym w wieku 60+</w:t>
            </w:r>
          </w:p>
        </w:tc>
        <w:tc>
          <w:tcPr>
            <w:tcW w:w="3256" w:type="dxa"/>
          </w:tcPr>
          <w:p w14:paraId="004F42A7"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4,8</w:t>
            </w:r>
          </w:p>
        </w:tc>
      </w:tr>
      <w:tr w:rsidR="004F4887" w:rsidRPr="004F4887" w14:paraId="0532B102" w14:textId="77777777" w:rsidTr="00EB7DC7">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848" w:type="dxa"/>
            <w:vMerge w:val="restart"/>
          </w:tcPr>
          <w:p w14:paraId="1251D5DE" w14:textId="77777777" w:rsidR="004F4887" w:rsidRPr="004F4887" w:rsidRDefault="004F4887" w:rsidP="00EB7DC7">
            <w:pPr>
              <w:spacing w:line="240" w:lineRule="auto"/>
              <w:rPr>
                <w:rFonts w:eastAsia="Times New Roman" w:cs="Times New Roman"/>
                <w:color w:val="auto"/>
                <w:sz w:val="20"/>
                <w:szCs w:val="20"/>
                <w:lang w:eastAsia="pl-PL"/>
              </w:rPr>
            </w:pPr>
            <w:r w:rsidRPr="004F4887">
              <w:rPr>
                <w:rFonts w:eastAsia="Times New Roman" w:cs="Times New Roman"/>
                <w:b w:val="0"/>
                <w:bCs w:val="0"/>
                <w:color w:val="auto"/>
                <w:sz w:val="20"/>
                <w:szCs w:val="20"/>
                <w:lang w:eastAsia="pl-PL"/>
              </w:rPr>
              <w:lastRenderedPageBreak/>
              <w:t xml:space="preserve">Osoby pobierające renty </w:t>
            </w:r>
            <w:r w:rsidRPr="004F4887">
              <w:rPr>
                <w:rFonts w:eastAsia="Times New Roman" w:cs="Times New Roman"/>
                <w:b w:val="0"/>
                <w:bCs w:val="0"/>
                <w:color w:val="auto"/>
                <w:sz w:val="20"/>
                <w:szCs w:val="20"/>
                <w:lang w:eastAsia="pl-PL"/>
              </w:rPr>
              <w:br/>
              <w:t xml:space="preserve">i emerytury </w:t>
            </w:r>
          </w:p>
        </w:tc>
        <w:tc>
          <w:tcPr>
            <w:tcW w:w="7225" w:type="dxa"/>
            <w:gridSpan w:val="2"/>
          </w:tcPr>
          <w:p w14:paraId="688659DF" w14:textId="77777777" w:rsidR="004F4887" w:rsidRPr="004F4887" w:rsidRDefault="004F4887" w:rsidP="00EB7DC7">
            <w:pPr>
              <w:tabs>
                <w:tab w:val="left" w:pos="1725"/>
                <w:tab w:val="center" w:pos="2363"/>
              </w:tabs>
              <w:spacing w:line="240" w:lineRule="auto"/>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4F4887">
              <w:rPr>
                <w:rFonts w:cs="Times New Roman"/>
                <w:b/>
                <w:color w:val="auto"/>
                <w:sz w:val="20"/>
                <w:szCs w:val="20"/>
              </w:rPr>
              <w:t>ZUS</w:t>
            </w:r>
          </w:p>
        </w:tc>
      </w:tr>
      <w:tr w:rsidR="004F4887" w:rsidRPr="004F4887" w14:paraId="52EE94C5" w14:textId="77777777" w:rsidTr="00EB7DC7">
        <w:trPr>
          <w:trHeight w:val="189"/>
        </w:trPr>
        <w:tc>
          <w:tcPr>
            <w:cnfStyle w:val="001000000000" w:firstRow="0" w:lastRow="0" w:firstColumn="1" w:lastColumn="0" w:oddVBand="0" w:evenVBand="0" w:oddHBand="0" w:evenHBand="0" w:firstRowFirstColumn="0" w:firstRowLastColumn="0" w:lastRowFirstColumn="0" w:lastRowLastColumn="0"/>
            <w:tcW w:w="1848" w:type="dxa"/>
            <w:vMerge/>
          </w:tcPr>
          <w:p w14:paraId="04BD49E9" w14:textId="77777777" w:rsidR="004F4887" w:rsidRPr="004F4887" w:rsidRDefault="004F4887" w:rsidP="00EB7DC7">
            <w:pPr>
              <w:spacing w:line="240" w:lineRule="auto"/>
              <w:rPr>
                <w:rFonts w:eastAsia="Times New Roman" w:cs="Times New Roman"/>
                <w:color w:val="auto"/>
                <w:sz w:val="20"/>
                <w:szCs w:val="20"/>
                <w:lang w:eastAsia="pl-PL"/>
              </w:rPr>
            </w:pPr>
          </w:p>
        </w:tc>
        <w:tc>
          <w:tcPr>
            <w:tcW w:w="3969" w:type="dxa"/>
          </w:tcPr>
          <w:p w14:paraId="6CC91B40" w14:textId="77777777" w:rsidR="004F4887" w:rsidRPr="004F4887" w:rsidRDefault="004F4887" w:rsidP="00EB7DC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4F4887">
              <w:rPr>
                <w:rFonts w:cs="Times New Roman"/>
                <w:b/>
                <w:color w:val="auto"/>
                <w:sz w:val="20"/>
                <w:szCs w:val="20"/>
              </w:rPr>
              <w:t>Rodzaj świadczenia</w:t>
            </w:r>
          </w:p>
        </w:tc>
        <w:tc>
          <w:tcPr>
            <w:tcW w:w="3256" w:type="dxa"/>
          </w:tcPr>
          <w:p w14:paraId="7A275B82" w14:textId="77777777" w:rsidR="004F4887" w:rsidRPr="004F4887" w:rsidRDefault="004F4887" w:rsidP="00EB7DC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4F4887">
              <w:rPr>
                <w:rFonts w:cs="Times New Roman"/>
                <w:b/>
                <w:color w:val="auto"/>
                <w:sz w:val="20"/>
                <w:szCs w:val="20"/>
              </w:rPr>
              <w:t>Przeciętna miesięczna liczba emerytów i rencistów (w tys.)</w:t>
            </w:r>
          </w:p>
        </w:tc>
      </w:tr>
      <w:tr w:rsidR="004F4887" w:rsidRPr="004F4887" w14:paraId="3985FDB4" w14:textId="77777777" w:rsidTr="00EB7DC7">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848" w:type="dxa"/>
            <w:vMerge/>
          </w:tcPr>
          <w:p w14:paraId="25CE1DDD" w14:textId="77777777" w:rsidR="004F4887" w:rsidRPr="004F4887" w:rsidRDefault="004F4887" w:rsidP="00EB7DC7">
            <w:pPr>
              <w:spacing w:line="240" w:lineRule="auto"/>
              <w:rPr>
                <w:rFonts w:eastAsia="Times New Roman" w:cs="Times New Roman"/>
                <w:color w:val="auto"/>
                <w:sz w:val="20"/>
                <w:szCs w:val="20"/>
                <w:lang w:eastAsia="pl-PL"/>
              </w:rPr>
            </w:pPr>
          </w:p>
        </w:tc>
        <w:tc>
          <w:tcPr>
            <w:tcW w:w="3969" w:type="dxa"/>
          </w:tcPr>
          <w:p w14:paraId="6F5C6805"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Emerytury</w:t>
            </w:r>
          </w:p>
        </w:tc>
        <w:tc>
          <w:tcPr>
            <w:tcW w:w="3256" w:type="dxa"/>
          </w:tcPr>
          <w:p w14:paraId="470F859F"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493,9</w:t>
            </w:r>
          </w:p>
        </w:tc>
      </w:tr>
      <w:tr w:rsidR="004F4887" w:rsidRPr="004F4887" w14:paraId="40DF07FF" w14:textId="77777777" w:rsidTr="00EB7DC7">
        <w:trPr>
          <w:trHeight w:val="142"/>
        </w:trPr>
        <w:tc>
          <w:tcPr>
            <w:cnfStyle w:val="001000000000" w:firstRow="0" w:lastRow="0" w:firstColumn="1" w:lastColumn="0" w:oddVBand="0" w:evenVBand="0" w:oddHBand="0" w:evenHBand="0" w:firstRowFirstColumn="0" w:firstRowLastColumn="0" w:lastRowFirstColumn="0" w:lastRowLastColumn="0"/>
            <w:tcW w:w="1848" w:type="dxa"/>
            <w:vMerge/>
          </w:tcPr>
          <w:p w14:paraId="6462AD2B" w14:textId="77777777" w:rsidR="004F4887" w:rsidRPr="004F4887" w:rsidRDefault="004F4887" w:rsidP="00EB7DC7">
            <w:pPr>
              <w:spacing w:line="240" w:lineRule="auto"/>
              <w:rPr>
                <w:rFonts w:eastAsia="Times New Roman" w:cs="Times New Roman"/>
                <w:color w:val="auto"/>
                <w:sz w:val="20"/>
                <w:szCs w:val="20"/>
                <w:lang w:eastAsia="pl-PL"/>
              </w:rPr>
            </w:pPr>
          </w:p>
        </w:tc>
        <w:tc>
          <w:tcPr>
            <w:tcW w:w="3969" w:type="dxa"/>
          </w:tcPr>
          <w:p w14:paraId="389A2F1A"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Renty z tytułu niezdolności do pracy</w:t>
            </w:r>
          </w:p>
        </w:tc>
        <w:tc>
          <w:tcPr>
            <w:tcW w:w="3256" w:type="dxa"/>
          </w:tcPr>
          <w:p w14:paraId="0E0DC22E"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57,3</w:t>
            </w:r>
          </w:p>
        </w:tc>
      </w:tr>
      <w:tr w:rsidR="004F4887" w:rsidRPr="004F4887" w14:paraId="2F510DB4" w14:textId="77777777" w:rsidTr="00EB7DC7">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48" w:type="dxa"/>
            <w:vMerge/>
          </w:tcPr>
          <w:p w14:paraId="47429EB3" w14:textId="77777777" w:rsidR="004F4887" w:rsidRPr="004F4887" w:rsidRDefault="004F4887" w:rsidP="00EB7DC7">
            <w:pPr>
              <w:spacing w:line="240" w:lineRule="auto"/>
              <w:rPr>
                <w:rFonts w:eastAsia="Times New Roman" w:cs="Times New Roman"/>
                <w:color w:val="auto"/>
                <w:sz w:val="20"/>
                <w:szCs w:val="20"/>
                <w:lang w:eastAsia="pl-PL"/>
              </w:rPr>
            </w:pPr>
          </w:p>
        </w:tc>
        <w:tc>
          <w:tcPr>
            <w:tcW w:w="3969" w:type="dxa"/>
          </w:tcPr>
          <w:p w14:paraId="61CF036E"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Renty rodzinne</w:t>
            </w:r>
          </w:p>
        </w:tc>
        <w:tc>
          <w:tcPr>
            <w:tcW w:w="3256" w:type="dxa"/>
          </w:tcPr>
          <w:p w14:paraId="5DC37AF6"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104,2</w:t>
            </w:r>
          </w:p>
        </w:tc>
      </w:tr>
      <w:tr w:rsidR="004F4887" w:rsidRPr="004F4887" w14:paraId="6A859DCD" w14:textId="77777777" w:rsidTr="00EB7DC7">
        <w:trPr>
          <w:trHeight w:val="284"/>
        </w:trPr>
        <w:tc>
          <w:tcPr>
            <w:cnfStyle w:val="001000000000" w:firstRow="0" w:lastRow="0" w:firstColumn="1" w:lastColumn="0" w:oddVBand="0" w:evenVBand="0" w:oddHBand="0" w:evenHBand="0" w:firstRowFirstColumn="0" w:firstRowLastColumn="0" w:lastRowFirstColumn="0" w:lastRowLastColumn="0"/>
            <w:tcW w:w="1848" w:type="dxa"/>
            <w:vMerge/>
          </w:tcPr>
          <w:p w14:paraId="5387802A" w14:textId="77777777" w:rsidR="004F4887" w:rsidRPr="004F4887" w:rsidRDefault="004F4887" w:rsidP="00EB7DC7">
            <w:pPr>
              <w:spacing w:line="240" w:lineRule="auto"/>
              <w:rPr>
                <w:rFonts w:eastAsia="Times New Roman" w:cs="Times New Roman"/>
                <w:color w:val="auto"/>
                <w:sz w:val="20"/>
                <w:szCs w:val="20"/>
                <w:lang w:eastAsia="pl-PL"/>
              </w:rPr>
            </w:pPr>
          </w:p>
        </w:tc>
        <w:tc>
          <w:tcPr>
            <w:tcW w:w="7225" w:type="dxa"/>
            <w:gridSpan w:val="2"/>
          </w:tcPr>
          <w:p w14:paraId="104CB9EE" w14:textId="77777777" w:rsidR="004F4887" w:rsidRPr="004F4887" w:rsidRDefault="004F4887" w:rsidP="00EB7DC7">
            <w:pPr>
              <w:tabs>
                <w:tab w:val="left" w:pos="1507"/>
                <w:tab w:val="center" w:pos="2363"/>
              </w:tabs>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4F4887">
              <w:rPr>
                <w:rFonts w:cs="Times New Roman"/>
                <w:b/>
                <w:color w:val="auto"/>
                <w:sz w:val="20"/>
                <w:szCs w:val="20"/>
              </w:rPr>
              <w:t>KRUS</w:t>
            </w:r>
          </w:p>
        </w:tc>
      </w:tr>
      <w:tr w:rsidR="004F4887" w:rsidRPr="004F4887" w14:paraId="6C99D123" w14:textId="77777777" w:rsidTr="00EB7DC7">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848" w:type="dxa"/>
            <w:vMerge/>
          </w:tcPr>
          <w:p w14:paraId="2303A01C" w14:textId="77777777" w:rsidR="004F4887" w:rsidRPr="004F4887" w:rsidRDefault="004F4887" w:rsidP="00EB7DC7">
            <w:pPr>
              <w:spacing w:line="240" w:lineRule="auto"/>
              <w:rPr>
                <w:rFonts w:eastAsia="Times New Roman" w:cs="Times New Roman"/>
                <w:color w:val="auto"/>
                <w:sz w:val="20"/>
                <w:szCs w:val="20"/>
                <w:lang w:eastAsia="pl-PL"/>
              </w:rPr>
            </w:pPr>
          </w:p>
        </w:tc>
        <w:tc>
          <w:tcPr>
            <w:tcW w:w="3969" w:type="dxa"/>
          </w:tcPr>
          <w:p w14:paraId="5D221575" w14:textId="77777777" w:rsidR="004F4887" w:rsidRPr="004F4887" w:rsidRDefault="004F4887" w:rsidP="00EB7DC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4F4887">
              <w:rPr>
                <w:rFonts w:cs="Times New Roman"/>
                <w:b/>
                <w:color w:val="auto"/>
                <w:sz w:val="20"/>
                <w:szCs w:val="20"/>
              </w:rPr>
              <w:t>Rodzaj świadczenia</w:t>
            </w:r>
          </w:p>
        </w:tc>
        <w:tc>
          <w:tcPr>
            <w:tcW w:w="3256" w:type="dxa"/>
          </w:tcPr>
          <w:p w14:paraId="7F9E07AF" w14:textId="77777777" w:rsidR="004F4887" w:rsidRPr="004F4887" w:rsidRDefault="004F4887" w:rsidP="00EB7DC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4F4887">
              <w:rPr>
                <w:rFonts w:cs="Times New Roman"/>
                <w:b/>
                <w:color w:val="auto"/>
                <w:sz w:val="20"/>
                <w:szCs w:val="20"/>
              </w:rPr>
              <w:t>Przeciętna miesięczna liczba emerytów i rencistów (w tys.)</w:t>
            </w:r>
          </w:p>
        </w:tc>
      </w:tr>
      <w:tr w:rsidR="004F4887" w:rsidRPr="004F4887" w14:paraId="005B3FF1"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1848" w:type="dxa"/>
            <w:vMerge/>
          </w:tcPr>
          <w:p w14:paraId="63F922A0" w14:textId="77777777" w:rsidR="004F4887" w:rsidRPr="004F4887" w:rsidRDefault="004F4887" w:rsidP="00EB7DC7">
            <w:pPr>
              <w:spacing w:line="240" w:lineRule="auto"/>
              <w:rPr>
                <w:rFonts w:eastAsia="Times New Roman" w:cs="Times New Roman"/>
                <w:color w:val="auto"/>
                <w:sz w:val="20"/>
                <w:szCs w:val="20"/>
                <w:lang w:eastAsia="pl-PL"/>
              </w:rPr>
            </w:pPr>
          </w:p>
        </w:tc>
        <w:tc>
          <w:tcPr>
            <w:tcW w:w="3969" w:type="dxa"/>
          </w:tcPr>
          <w:p w14:paraId="67B23827"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Emerytury</w:t>
            </w:r>
          </w:p>
        </w:tc>
        <w:tc>
          <w:tcPr>
            <w:tcW w:w="3256" w:type="dxa"/>
          </w:tcPr>
          <w:p w14:paraId="3B211CD1"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63,0</w:t>
            </w:r>
          </w:p>
        </w:tc>
      </w:tr>
      <w:tr w:rsidR="004F4887" w:rsidRPr="004F4887" w14:paraId="2C13318B" w14:textId="77777777" w:rsidTr="00EB7DC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848" w:type="dxa"/>
            <w:vMerge/>
          </w:tcPr>
          <w:p w14:paraId="47B0B500" w14:textId="77777777" w:rsidR="004F4887" w:rsidRPr="004F4887" w:rsidRDefault="004F4887" w:rsidP="00EB7DC7">
            <w:pPr>
              <w:spacing w:line="240" w:lineRule="auto"/>
              <w:rPr>
                <w:rFonts w:eastAsia="Times New Roman" w:cs="Times New Roman"/>
                <w:color w:val="auto"/>
                <w:sz w:val="20"/>
                <w:szCs w:val="20"/>
                <w:lang w:eastAsia="pl-PL"/>
              </w:rPr>
            </w:pPr>
          </w:p>
        </w:tc>
        <w:tc>
          <w:tcPr>
            <w:tcW w:w="3969" w:type="dxa"/>
          </w:tcPr>
          <w:p w14:paraId="611CA089"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Renty z tytułu niezdolności do pracy</w:t>
            </w:r>
          </w:p>
        </w:tc>
        <w:tc>
          <w:tcPr>
            <w:tcW w:w="3256" w:type="dxa"/>
          </w:tcPr>
          <w:p w14:paraId="22478056" w14:textId="77777777" w:rsidR="004F4887" w:rsidRPr="004F4887" w:rsidRDefault="004F4887"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F4887">
              <w:rPr>
                <w:rFonts w:cs="Times New Roman"/>
                <w:color w:val="auto"/>
                <w:sz w:val="20"/>
                <w:szCs w:val="20"/>
              </w:rPr>
              <w:t>24,8</w:t>
            </w:r>
          </w:p>
        </w:tc>
      </w:tr>
      <w:tr w:rsidR="004F4887" w:rsidRPr="004F4887" w14:paraId="01FDF0E4"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1848" w:type="dxa"/>
            <w:vMerge/>
          </w:tcPr>
          <w:p w14:paraId="77607437" w14:textId="77777777" w:rsidR="004F4887" w:rsidRPr="004F4887" w:rsidRDefault="004F4887" w:rsidP="00EB7DC7">
            <w:pPr>
              <w:spacing w:line="240" w:lineRule="auto"/>
              <w:rPr>
                <w:rFonts w:eastAsia="Times New Roman" w:cs="Times New Roman"/>
                <w:color w:val="auto"/>
                <w:sz w:val="20"/>
                <w:szCs w:val="20"/>
                <w:lang w:eastAsia="pl-PL"/>
              </w:rPr>
            </w:pPr>
          </w:p>
        </w:tc>
        <w:tc>
          <w:tcPr>
            <w:tcW w:w="3969" w:type="dxa"/>
          </w:tcPr>
          <w:p w14:paraId="4A575033"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Renty rodzinne</w:t>
            </w:r>
          </w:p>
        </w:tc>
        <w:tc>
          <w:tcPr>
            <w:tcW w:w="3256" w:type="dxa"/>
          </w:tcPr>
          <w:p w14:paraId="12AC95DD" w14:textId="77777777" w:rsidR="004F4887" w:rsidRPr="004F4887" w:rsidRDefault="004F4887"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F4887">
              <w:rPr>
                <w:rFonts w:cs="Times New Roman"/>
                <w:color w:val="auto"/>
                <w:sz w:val="20"/>
                <w:szCs w:val="20"/>
              </w:rPr>
              <w:t>3,6</w:t>
            </w:r>
          </w:p>
        </w:tc>
      </w:tr>
    </w:tbl>
    <w:p w14:paraId="060F17C0" w14:textId="77777777" w:rsidR="00AC180B" w:rsidRDefault="004F4887" w:rsidP="00AC180B">
      <w:pPr>
        <w:tabs>
          <w:tab w:val="left" w:pos="5400"/>
        </w:tabs>
        <w:rPr>
          <w:rFonts w:eastAsia="Times New Roman" w:cs="Times New Roman"/>
          <w:b/>
          <w:szCs w:val="24"/>
          <w:lang w:eastAsia="pl-PL"/>
        </w:rPr>
      </w:pPr>
      <w:r w:rsidRPr="004F4887">
        <w:rPr>
          <w:rFonts w:eastAsia="Times New Roman" w:cs="Times New Roman"/>
          <w:b/>
          <w:szCs w:val="24"/>
          <w:lang w:eastAsia="pl-PL"/>
        </w:rPr>
        <w:t xml:space="preserve">Źródło: GUS. </w:t>
      </w:r>
    </w:p>
    <w:p w14:paraId="0C0EC7B8" w14:textId="77777777" w:rsidR="00AC180B" w:rsidRDefault="00AC180B" w:rsidP="00AC180B">
      <w:pPr>
        <w:tabs>
          <w:tab w:val="left" w:pos="5400"/>
        </w:tabs>
        <w:rPr>
          <w:rFonts w:eastAsia="Times New Roman" w:cs="Times New Roman"/>
          <w:b/>
          <w:szCs w:val="24"/>
          <w:lang w:eastAsia="pl-PL"/>
        </w:rPr>
      </w:pPr>
    </w:p>
    <w:p w14:paraId="64F51AB7" w14:textId="26D00D74" w:rsidR="001F4BBD" w:rsidRDefault="001F4BBD" w:rsidP="001F4BBD">
      <w:pPr>
        <w:pStyle w:val="Nagwek3"/>
      </w:pPr>
      <w:bookmarkStart w:id="191" w:name="_Toc77513980"/>
      <w:bookmarkStart w:id="192" w:name="_Toc80523134"/>
      <w:r w:rsidRPr="001F4BBD">
        <w:t>Sytuacja osób niepełnosprawnych i ich opiekunów</w:t>
      </w:r>
      <w:bookmarkEnd w:id="191"/>
      <w:bookmarkEnd w:id="192"/>
    </w:p>
    <w:p w14:paraId="16A0D1D7" w14:textId="77777777" w:rsidR="000B1B06" w:rsidRPr="000B1B06" w:rsidRDefault="000B1B06" w:rsidP="000B1B06"/>
    <w:p w14:paraId="32722C08" w14:textId="77777777" w:rsidR="001F4BBD" w:rsidRPr="001F4BBD" w:rsidRDefault="001F4BBD" w:rsidP="001F4BBD">
      <w:pPr>
        <w:tabs>
          <w:tab w:val="left" w:pos="5400"/>
        </w:tabs>
        <w:rPr>
          <w:rFonts w:cs="Times New Roman"/>
          <w:szCs w:val="24"/>
        </w:rPr>
      </w:pPr>
      <w:r w:rsidRPr="001F4BBD">
        <w:rPr>
          <w:rFonts w:cs="Times New Roman"/>
          <w:szCs w:val="24"/>
        </w:rPr>
        <w:t>Polska należy do krajów, w których obowiązek opieki nad osobą starszą należy przede wszystkim do rodziny i jest to powszechnie akceptowane, gdyż aż 59% Polaków uważa, że osoby starsze powinny mieszkać z jednym ze swoich dzieci, mogącym zapewnić im opiekę.  W związku z powyższym, ważnym aspektem jest wspieranie opiekunów nieformalnych osób starszych. Opieka nad osobami starszymi niepełnosprawnymi często sprowadza się do asystencji i udziału we wszystkich czynnościach życiowych co utrudnia opiekunom wywiązywanie się z własnych ról społecznych, np. pracy zawodowej. Nawet jeśli osoba niepełnosprawna nie wymaga całkowitej opieki osób drugich, to jednak współudział w zaspokajaniu jej podstawowych potrzeb jest obciążające i wyczerpujące dla opiekuna. W związku z powyższym, ważnym aspektem w sprawowaniu opieki nad osobami starszymi jest pomoc m.in. w formie:</w:t>
      </w:r>
    </w:p>
    <w:p w14:paraId="65F1F0A5" w14:textId="77777777" w:rsidR="0091493E" w:rsidRDefault="001F4BBD" w:rsidP="00FE70E3">
      <w:pPr>
        <w:pStyle w:val="Akapitzlist"/>
        <w:numPr>
          <w:ilvl w:val="0"/>
          <w:numId w:val="143"/>
        </w:numPr>
        <w:tabs>
          <w:tab w:val="left" w:pos="5400"/>
        </w:tabs>
        <w:rPr>
          <w:rFonts w:cs="Times New Roman"/>
          <w:szCs w:val="24"/>
        </w:rPr>
      </w:pPr>
      <w:r w:rsidRPr="0091493E">
        <w:rPr>
          <w:rFonts w:cs="Times New Roman"/>
          <w:szCs w:val="24"/>
        </w:rPr>
        <w:t xml:space="preserve">specjalnego zasiłku opiekuńczego.  Specjalny zasiłek opiekuńczy przysługuje osobom, na których zgodnie z przepisami ustawy z dnia 25 lutego 1964 r. - Kodeks rodzinny i opiekuńczy  ciąży obowiązek alimentacyjny, a także małżonkom, jeżeli: nie podejmują zatrudnienia lub innej pracy zarobkowej lub rezygnują z zatrudnienia lub innej pracy zarobkowej. Gminy  podkreślają, że dzięki ww. świadczeniu zwiększa się  stopień zapewnienia potrzebnej opieki dla osób starszych (źródło: sprawozdane własne). </w:t>
      </w:r>
    </w:p>
    <w:p w14:paraId="400C8EF9" w14:textId="74FE96F3" w:rsidR="001F4BBD" w:rsidRPr="0091493E" w:rsidRDefault="001F4BBD" w:rsidP="00FE70E3">
      <w:pPr>
        <w:pStyle w:val="Akapitzlist"/>
        <w:numPr>
          <w:ilvl w:val="0"/>
          <w:numId w:val="143"/>
        </w:numPr>
        <w:tabs>
          <w:tab w:val="left" w:pos="5400"/>
        </w:tabs>
        <w:rPr>
          <w:rFonts w:cs="Times New Roman"/>
          <w:szCs w:val="24"/>
        </w:rPr>
      </w:pPr>
      <w:r w:rsidRPr="0091493E">
        <w:rPr>
          <w:rFonts w:cs="Times New Roman"/>
          <w:szCs w:val="24"/>
        </w:rPr>
        <w:t xml:space="preserve">Programów  skierowanych do osób niepełnosprawnych oraz ich opiekunów w ramach Funduszu Solidarnościowego. </w:t>
      </w:r>
    </w:p>
    <w:p w14:paraId="4826FA88" w14:textId="77777777" w:rsidR="0091493E" w:rsidRDefault="0091493E" w:rsidP="001F4BBD">
      <w:pPr>
        <w:tabs>
          <w:tab w:val="left" w:pos="5400"/>
        </w:tabs>
        <w:rPr>
          <w:rFonts w:cs="Times New Roman"/>
          <w:szCs w:val="24"/>
        </w:rPr>
      </w:pPr>
    </w:p>
    <w:p w14:paraId="3CD5B150" w14:textId="3D1BAEA5" w:rsidR="001F4BBD" w:rsidRPr="001F4BBD" w:rsidRDefault="001F4BBD" w:rsidP="001F4BBD">
      <w:pPr>
        <w:tabs>
          <w:tab w:val="left" w:pos="5400"/>
        </w:tabs>
        <w:rPr>
          <w:rFonts w:cs="Times New Roman"/>
          <w:szCs w:val="24"/>
        </w:rPr>
      </w:pPr>
      <w:r w:rsidRPr="001F4BBD">
        <w:rPr>
          <w:rFonts w:cs="Times New Roman"/>
          <w:szCs w:val="24"/>
        </w:rPr>
        <w:t>W województwie małopolskim w 2020 r</w:t>
      </w:r>
      <w:r w:rsidR="00EE280C">
        <w:rPr>
          <w:rFonts w:cs="Times New Roman"/>
          <w:szCs w:val="24"/>
        </w:rPr>
        <w:t>.</w:t>
      </w:r>
      <w:r w:rsidRPr="001F4BBD">
        <w:rPr>
          <w:rFonts w:cs="Times New Roman"/>
          <w:szCs w:val="24"/>
        </w:rPr>
        <w:t xml:space="preserve"> były realizowane następujące programy w ramach Funduszu Solidarnościowego :</w:t>
      </w:r>
    </w:p>
    <w:p w14:paraId="045F15ED" w14:textId="77777777" w:rsidR="0091493E" w:rsidRDefault="001F4BBD" w:rsidP="00FE70E3">
      <w:pPr>
        <w:pStyle w:val="Akapitzlist"/>
        <w:numPr>
          <w:ilvl w:val="0"/>
          <w:numId w:val="144"/>
        </w:numPr>
        <w:tabs>
          <w:tab w:val="left" w:pos="5400"/>
        </w:tabs>
        <w:rPr>
          <w:rFonts w:cs="Times New Roman"/>
          <w:szCs w:val="24"/>
        </w:rPr>
      </w:pPr>
      <w:r w:rsidRPr="0091493E">
        <w:rPr>
          <w:rFonts w:cs="Times New Roman"/>
          <w:szCs w:val="24"/>
        </w:rPr>
        <w:t xml:space="preserve">Asystent Osobisty Osoby Niepełnosprawnej. Udział w programie wzięło 29 jednostek samorządu terytorialnego. Wydatkowano na ten cel kwotę w wysokości   1 404 280,44 zł. Z programu skorzystało 329 osób. Łączna liczba godzi w ramach programu to 46 140. </w:t>
      </w:r>
    </w:p>
    <w:p w14:paraId="7C3CA276" w14:textId="77777777" w:rsidR="0091493E" w:rsidRDefault="001F4BBD" w:rsidP="00FE70E3">
      <w:pPr>
        <w:pStyle w:val="Akapitzlist"/>
        <w:numPr>
          <w:ilvl w:val="0"/>
          <w:numId w:val="144"/>
        </w:numPr>
        <w:tabs>
          <w:tab w:val="left" w:pos="5400"/>
        </w:tabs>
        <w:rPr>
          <w:rFonts w:cs="Times New Roman"/>
          <w:szCs w:val="24"/>
        </w:rPr>
      </w:pPr>
      <w:r w:rsidRPr="0091493E">
        <w:rPr>
          <w:rFonts w:cs="Times New Roman"/>
          <w:szCs w:val="24"/>
        </w:rPr>
        <w:t xml:space="preserve">Opieka </w:t>
      </w:r>
      <w:proofErr w:type="spellStart"/>
      <w:r w:rsidRPr="0091493E">
        <w:rPr>
          <w:rFonts w:cs="Times New Roman"/>
          <w:szCs w:val="24"/>
        </w:rPr>
        <w:t>Wytchnieniowa</w:t>
      </w:r>
      <w:proofErr w:type="spellEnd"/>
      <w:r w:rsidRPr="0091493E">
        <w:rPr>
          <w:rFonts w:cs="Times New Roman"/>
          <w:szCs w:val="24"/>
        </w:rPr>
        <w:t xml:space="preserve"> pobyt dzienny. Udział w programie wzięło 22 jednostki samorządu terytorialnego. Wydatkowano na ten cel kwotę w wysokości   774 382,2 zł. Z programu skorzystało 175 osób. Łączna liczba godzi w ramach programu to 26</w:t>
      </w:r>
      <w:r w:rsidR="0091493E">
        <w:rPr>
          <w:rFonts w:cs="Times New Roman"/>
          <w:szCs w:val="24"/>
        </w:rPr>
        <w:t> </w:t>
      </w:r>
      <w:r w:rsidRPr="0091493E">
        <w:rPr>
          <w:rFonts w:cs="Times New Roman"/>
          <w:szCs w:val="24"/>
        </w:rPr>
        <w:t>624.</w:t>
      </w:r>
    </w:p>
    <w:p w14:paraId="2910D559" w14:textId="77777777" w:rsidR="0091493E" w:rsidRDefault="001F4BBD" w:rsidP="00FE70E3">
      <w:pPr>
        <w:pStyle w:val="Akapitzlist"/>
        <w:numPr>
          <w:ilvl w:val="0"/>
          <w:numId w:val="144"/>
        </w:numPr>
        <w:tabs>
          <w:tab w:val="left" w:pos="5400"/>
        </w:tabs>
        <w:rPr>
          <w:rFonts w:cs="Times New Roman"/>
          <w:szCs w:val="24"/>
        </w:rPr>
      </w:pPr>
      <w:r w:rsidRPr="0091493E">
        <w:rPr>
          <w:rFonts w:cs="Times New Roman"/>
          <w:szCs w:val="24"/>
        </w:rPr>
        <w:t xml:space="preserve">Opieka </w:t>
      </w:r>
      <w:proofErr w:type="spellStart"/>
      <w:r w:rsidRPr="0091493E">
        <w:rPr>
          <w:rFonts w:cs="Times New Roman"/>
          <w:szCs w:val="24"/>
        </w:rPr>
        <w:t>Wytchnieniowa</w:t>
      </w:r>
      <w:proofErr w:type="spellEnd"/>
      <w:r w:rsidRPr="0091493E">
        <w:rPr>
          <w:rFonts w:cs="Times New Roman"/>
          <w:szCs w:val="24"/>
        </w:rPr>
        <w:t xml:space="preserve"> pobyt całodobowy. Udział w programie wzięło 3 jednostki samorządu terytorialnego. Wydatkowano na ten cel kwotę w wysokości   52 582,4 zł. Z programu skorzystało 11 osób. Łączna liczba godzi w ramach programu to 154 dni.</w:t>
      </w:r>
    </w:p>
    <w:p w14:paraId="5BCD1CC6" w14:textId="77777777" w:rsidR="0091493E" w:rsidRDefault="001F4BBD" w:rsidP="00FE70E3">
      <w:pPr>
        <w:pStyle w:val="Akapitzlist"/>
        <w:numPr>
          <w:ilvl w:val="0"/>
          <w:numId w:val="144"/>
        </w:numPr>
        <w:tabs>
          <w:tab w:val="left" w:pos="5400"/>
        </w:tabs>
        <w:rPr>
          <w:rFonts w:cs="Times New Roman"/>
          <w:szCs w:val="24"/>
        </w:rPr>
      </w:pPr>
      <w:r w:rsidRPr="0091493E">
        <w:rPr>
          <w:rFonts w:cs="Times New Roman"/>
          <w:szCs w:val="24"/>
        </w:rPr>
        <w:lastRenderedPageBreak/>
        <w:t xml:space="preserve">Usługi opiekuńcze dla osób niepełnosprawnych.  Udział w programie wzięło 6 jednostek samorządu terytorialnego. Wydatkowano na ten cel kwotę w wysokości   491 514,13 zł. Z programu skorzystało 73 osoby. Łączna liczba godzin w ramach programu to 56 435. </w:t>
      </w:r>
    </w:p>
    <w:p w14:paraId="0680EFF8" w14:textId="506F84E8" w:rsidR="001F4BBD" w:rsidRDefault="001F4BBD" w:rsidP="00FE70E3">
      <w:pPr>
        <w:pStyle w:val="Akapitzlist"/>
        <w:numPr>
          <w:ilvl w:val="0"/>
          <w:numId w:val="144"/>
        </w:numPr>
        <w:tabs>
          <w:tab w:val="left" w:pos="5400"/>
        </w:tabs>
        <w:rPr>
          <w:rFonts w:cs="Times New Roman"/>
          <w:szCs w:val="24"/>
        </w:rPr>
      </w:pPr>
      <w:r w:rsidRPr="0091493E">
        <w:rPr>
          <w:rFonts w:cs="Times New Roman"/>
          <w:szCs w:val="24"/>
        </w:rPr>
        <w:t>Usługi opiekuńcze - specjalistyczne usługi opiekuńcze.  Udział w programie wzięły 3 jednostki samorządu terytorialnego. Wydatkowano na ten cel kwotę w wysokości   21</w:t>
      </w:r>
      <w:r w:rsidR="0091493E">
        <w:rPr>
          <w:rFonts w:cs="Times New Roman"/>
          <w:szCs w:val="24"/>
        </w:rPr>
        <w:t> </w:t>
      </w:r>
      <w:r w:rsidRPr="0091493E">
        <w:rPr>
          <w:rFonts w:cs="Times New Roman"/>
          <w:szCs w:val="24"/>
        </w:rPr>
        <w:t>370</w:t>
      </w:r>
      <w:r w:rsidR="0091493E">
        <w:rPr>
          <w:rFonts w:cs="Times New Roman"/>
          <w:szCs w:val="24"/>
        </w:rPr>
        <w:t> </w:t>
      </w:r>
      <w:r w:rsidRPr="0091493E">
        <w:rPr>
          <w:rFonts w:cs="Times New Roman"/>
          <w:szCs w:val="24"/>
        </w:rPr>
        <w:t>zł. Z programu skorzystało 15 osób. Łączna liczba godzi w ramach programu to 739.</w:t>
      </w:r>
    </w:p>
    <w:p w14:paraId="3355F318" w14:textId="77777777" w:rsidR="0091493E" w:rsidRPr="0091493E" w:rsidRDefault="0091493E" w:rsidP="0091493E">
      <w:pPr>
        <w:pStyle w:val="Akapitzlist"/>
        <w:tabs>
          <w:tab w:val="left" w:pos="5400"/>
        </w:tabs>
        <w:ind w:left="360"/>
        <w:rPr>
          <w:rFonts w:cs="Times New Roman"/>
          <w:szCs w:val="24"/>
        </w:rPr>
      </w:pPr>
    </w:p>
    <w:p w14:paraId="1B82C10E" w14:textId="614A8F1F" w:rsidR="001F4BBD" w:rsidRDefault="001F4BBD" w:rsidP="001F4BBD">
      <w:pPr>
        <w:tabs>
          <w:tab w:val="left" w:pos="5400"/>
        </w:tabs>
        <w:rPr>
          <w:rFonts w:cs="Times New Roman"/>
          <w:szCs w:val="24"/>
        </w:rPr>
      </w:pPr>
      <w:r w:rsidRPr="001F4BBD">
        <w:rPr>
          <w:rFonts w:cs="Times New Roman"/>
          <w:szCs w:val="24"/>
        </w:rPr>
        <w:t xml:space="preserve">Należy podkreślić, że wśród  świadczeń pieniężnych kierowanych do osób niepełnosprawnych jest m.in. zasiłek stały, zasiłek pielęgnacyjny, renta socjalna, dofinansowanie udziału w turnusie rehabilitacyjnym czy dofinansowanie zakupu sprzętu rehabilitacyjnego, ortopedycznego i środków pomocniczych.   </w:t>
      </w:r>
    </w:p>
    <w:p w14:paraId="0461861C" w14:textId="77777777" w:rsidR="0091493E" w:rsidRPr="001F4BBD" w:rsidRDefault="0091493E" w:rsidP="001F4BBD">
      <w:pPr>
        <w:tabs>
          <w:tab w:val="left" w:pos="5400"/>
        </w:tabs>
        <w:rPr>
          <w:rFonts w:cs="Times New Roman"/>
          <w:szCs w:val="24"/>
        </w:rPr>
      </w:pPr>
    </w:p>
    <w:p w14:paraId="02350643" w14:textId="168F026D" w:rsidR="001F4BBD" w:rsidRDefault="001F4BBD" w:rsidP="001F4BBD">
      <w:pPr>
        <w:tabs>
          <w:tab w:val="left" w:pos="5400"/>
        </w:tabs>
        <w:rPr>
          <w:rFonts w:cs="Times New Roman"/>
          <w:szCs w:val="24"/>
        </w:rPr>
      </w:pPr>
      <w:r w:rsidRPr="001F4BBD">
        <w:rPr>
          <w:rFonts w:cs="Times New Roman"/>
          <w:szCs w:val="24"/>
        </w:rPr>
        <w:t>W województwie małopolskim świadczenie z pomocy społecznej  w 2020 r</w:t>
      </w:r>
      <w:r w:rsidR="00EE280C">
        <w:rPr>
          <w:rFonts w:cs="Times New Roman"/>
          <w:szCs w:val="24"/>
        </w:rPr>
        <w:t>.</w:t>
      </w:r>
      <w:r w:rsidRPr="001F4BBD">
        <w:rPr>
          <w:rFonts w:cs="Times New Roman"/>
          <w:szCs w:val="24"/>
        </w:rPr>
        <w:t xml:space="preserve"> z tytułu niepełnosprawności otrzymało 25 517 osób. Natomiast, liczba osób którym przyznano decyzją wynagrodzenie należne opiekunowi z tytułu sprawowania opieki przez sąd  wynosi 956 osób a łączna kwota świadczeń to 4 353 092 zł. Zgodnie z danymi Państwowego Funduszu Rehabilitacji Osób Niepełnosprawnych w województwie małopolskim z końcem 2019 r</w:t>
      </w:r>
      <w:r w:rsidR="00EE280C">
        <w:rPr>
          <w:rFonts w:cs="Times New Roman"/>
          <w:szCs w:val="24"/>
        </w:rPr>
        <w:t>.</w:t>
      </w:r>
      <w:r w:rsidRPr="001F4BBD">
        <w:rPr>
          <w:rFonts w:cs="Times New Roman"/>
          <w:szCs w:val="24"/>
        </w:rPr>
        <w:t xml:space="preserve"> było 292 987 osób niepełnosprawnych (dane wskazują na niepełnosprawność prawną, czyli osoby z orzeczeniem o niepełnosprawności). W ogólnej liczbie osób niepełnosprawnych 12 152 to dzieci w wieku od 0-14 lat, a pozostała część osób niepełnosprawnych (wynosząca 280 835 osób) to niepełnosprawni w wieku powyżej 15 roku życia. Największa częstość występowania niepełnosprawności w Małopolsce to główne aglomeracje miejskie województwa: Kraków, Tarnów oraz Nowy Sącz. Obserwowana w ostatnich latach częstość występowania niepełnosprawności województwie małopolskim (wynosząca ok. 11,9%) jest niższa niż od średniej krajowej (wynoszącej 12,2%). </w:t>
      </w:r>
    </w:p>
    <w:p w14:paraId="5E6AC618" w14:textId="77777777" w:rsidR="0091493E" w:rsidRPr="001F4BBD" w:rsidRDefault="0091493E" w:rsidP="001F4BBD">
      <w:pPr>
        <w:tabs>
          <w:tab w:val="left" w:pos="5400"/>
        </w:tabs>
        <w:rPr>
          <w:rFonts w:cs="Times New Roman"/>
          <w:szCs w:val="24"/>
        </w:rPr>
      </w:pPr>
    </w:p>
    <w:p w14:paraId="2432B607" w14:textId="77777777" w:rsidR="0091493E" w:rsidRDefault="001F4BBD" w:rsidP="001F4BBD">
      <w:pPr>
        <w:tabs>
          <w:tab w:val="left" w:pos="5400"/>
        </w:tabs>
        <w:rPr>
          <w:rFonts w:cs="Times New Roman"/>
          <w:szCs w:val="24"/>
        </w:rPr>
      </w:pPr>
      <w:r w:rsidRPr="001F4BBD">
        <w:rPr>
          <w:rFonts w:cs="Times New Roman"/>
          <w:szCs w:val="24"/>
        </w:rPr>
        <w:t xml:space="preserve">Sytuację seniorów często determinują̨ niepełnosprawność́ i </w:t>
      </w:r>
      <w:proofErr w:type="spellStart"/>
      <w:r w:rsidRPr="001F4BBD">
        <w:rPr>
          <w:rFonts w:cs="Times New Roman"/>
          <w:szCs w:val="24"/>
        </w:rPr>
        <w:t>wielochorobowośc</w:t>
      </w:r>
      <w:proofErr w:type="spellEnd"/>
      <w:r w:rsidRPr="001F4BBD">
        <w:rPr>
          <w:rFonts w:cs="Times New Roman"/>
          <w:szCs w:val="24"/>
        </w:rPr>
        <w:t xml:space="preserve">́. Badania GUS wykazują̨, </w:t>
      </w:r>
      <w:proofErr w:type="spellStart"/>
      <w:r w:rsidRPr="001F4BBD">
        <w:rPr>
          <w:rFonts w:cs="Times New Roman"/>
          <w:szCs w:val="24"/>
        </w:rPr>
        <w:t>że</w:t>
      </w:r>
      <w:proofErr w:type="spellEnd"/>
      <w:r w:rsidRPr="001F4BBD">
        <w:rPr>
          <w:rFonts w:cs="Times New Roman"/>
          <w:szCs w:val="24"/>
        </w:rPr>
        <w:t xml:space="preserve"> trudności przy wykonywaniu prac domowych wynikające ze stanu zdrowia deklaruje co trzeci 60-latek, ponad 60% 70-latków i prawie 85% osób w wieku 80 lat i więcej. Zwiększa się̨</w:t>
      </w:r>
      <w:r w:rsidR="0091493E">
        <w:rPr>
          <w:rFonts w:cs="Times New Roman"/>
          <w:szCs w:val="24"/>
        </w:rPr>
        <w:t xml:space="preserve"> </w:t>
      </w:r>
      <w:r w:rsidRPr="001F4BBD">
        <w:rPr>
          <w:rFonts w:cs="Times New Roman"/>
          <w:szCs w:val="24"/>
        </w:rPr>
        <w:t xml:space="preserve">także liczba osób niepełnosprawnych. W skutek epidemii Covid-19 osoby starsze odczuwały strach o własne zdrowie. Często były problemy z dostępem do stacjonarnej opieki medycznej, szczególnie do lekarzy specjalistów. Co trzeci senior przez ostatnie pół roku nie wykonał nawet podstawowych badań diagnostycznych, chociaż odczuwał taką potrzebę. Osoby starsze jednoznacznie stwierdziły, że mają większe zaufanie do bezpośredniego kontaktu z lekarzem, a e-wizyty czy </w:t>
      </w:r>
      <w:proofErr w:type="spellStart"/>
      <w:r w:rsidRPr="001F4BBD">
        <w:rPr>
          <w:rFonts w:cs="Times New Roman"/>
          <w:szCs w:val="24"/>
        </w:rPr>
        <w:t>teleporady</w:t>
      </w:r>
      <w:proofErr w:type="spellEnd"/>
      <w:r w:rsidRPr="001F4BBD">
        <w:rPr>
          <w:rFonts w:cs="Times New Roman"/>
          <w:szCs w:val="24"/>
        </w:rPr>
        <w:t xml:space="preserve"> nie są w stanie ich zastąpić ze względu na możliwość przeoczenia istotnych dolegliwości. Ponadto pandemia ma coraz gorszy wpływ na zdrowie psychiczne seniorów. Nie bez znaczenia pozostaje fakt zamknięcia Uniwersytetów Trzeciego Wieku i klubów seniora, a co za tym idzie codziennych aktywności czy po prostu spotkań towarzyskich w gronie rówieśników. Dotychczas były one odskocznią od trosk oraz sposobem na zagospodarowanie sobie czasu na emeryturze. Ich brak potęguje poczucie osamotnienia, może być przyczyną apatii, a nawet stanów depresyjnych.  W związku z powyższym podjęto działania związane z ochroną osób niepełnosprawnych przed negatywnymi skutkami pandemii.  </w:t>
      </w:r>
    </w:p>
    <w:p w14:paraId="218722CC" w14:textId="77777777" w:rsidR="0091493E" w:rsidRDefault="0091493E" w:rsidP="001F4BBD">
      <w:pPr>
        <w:tabs>
          <w:tab w:val="left" w:pos="5400"/>
        </w:tabs>
        <w:rPr>
          <w:rFonts w:cs="Times New Roman"/>
          <w:szCs w:val="24"/>
        </w:rPr>
      </w:pPr>
    </w:p>
    <w:p w14:paraId="17175609" w14:textId="402DCBCA" w:rsidR="001F4BBD" w:rsidRDefault="001F4BBD" w:rsidP="001F4BBD">
      <w:pPr>
        <w:tabs>
          <w:tab w:val="left" w:pos="5400"/>
        </w:tabs>
        <w:rPr>
          <w:rFonts w:cs="Times New Roman"/>
          <w:szCs w:val="24"/>
        </w:rPr>
      </w:pPr>
      <w:r w:rsidRPr="001F4BBD">
        <w:rPr>
          <w:rFonts w:cs="Times New Roman"/>
          <w:szCs w:val="24"/>
        </w:rPr>
        <w:t>W 2020 r</w:t>
      </w:r>
      <w:r w:rsidR="00EE280C">
        <w:rPr>
          <w:rFonts w:cs="Times New Roman"/>
          <w:szCs w:val="24"/>
        </w:rPr>
        <w:t>.</w:t>
      </w:r>
      <w:r w:rsidRPr="001F4BBD">
        <w:rPr>
          <w:rFonts w:cs="Times New Roman"/>
          <w:szCs w:val="24"/>
        </w:rPr>
        <w:t xml:space="preserve"> PFRON uruchomił moduł III oraz IV programu „Pomoc osobom niepełnosprawnym poszkodowanym w wyniku żywiołu lub sytuacji kryzysowych wywołanych chorobami </w:t>
      </w:r>
      <w:r w:rsidRPr="001F4BBD">
        <w:rPr>
          <w:rFonts w:cs="Times New Roman"/>
          <w:szCs w:val="24"/>
        </w:rPr>
        <w:lastRenderedPageBreak/>
        <w:t>zakaźnymi”. Adresatami modułu III są osoby niepełnosprawne, w tym osoby 60+, które na skutek wystąpienia sytuacji kryzysowej spowodowanej chorobami zakaźnymi utraciły możliwość korzystania z opieki świadczonej w placówce rehabilitacyjnej. Pomoc udzielano w formie dofinansowania kosztów związanych z zapewnieniem opieki w warunkach domowych. W Małopolsce wsparciem zostały objęte  7 333 osoby. Na ten cel Oddział Małopolski PFRON przekazał w 2020 r</w:t>
      </w:r>
      <w:r w:rsidR="00EE280C">
        <w:rPr>
          <w:rFonts w:cs="Times New Roman"/>
          <w:szCs w:val="24"/>
        </w:rPr>
        <w:t>.</w:t>
      </w:r>
      <w:r w:rsidRPr="001F4BBD">
        <w:rPr>
          <w:rFonts w:cs="Times New Roman"/>
          <w:szCs w:val="24"/>
        </w:rPr>
        <w:t xml:space="preserve"> 22 powiatom łączną kwotę 16 357 500,00 zł. Adresatami modułu IV programu są samorządy powiatowe, które w związku z wystąpieniem sytuacji kryzysowych wywołanych chorobami zakaźnymi uruchomiły dodatkowe wsparcie dla osób niepełnosprawnych, w tym osób 60+. Pomoc samorządom udzielona została w formie refundacji części lub całości poniesionych wydatków. W województwie małopolskim, w ramach Modułu IV, zawarto 4 umowy a wsparciem objęto 553 osoby. Wydatkowano na ten cel 424 507,75 zł. Należy zauważyć, że osoby z niepełnosprawnościami, w tym osoby 60+, które na co dzień korzystały z psychoterapii, spotkań w ramach grup wsparcia lub grupowych zajęć terapeutycznych, różnego rodzaju treningów, w czasie pandemii nie mogą uczestniczyć w tych formach wsparcia. W konsekwencji część osób będących w stanie kryzysu psychologicznego pozbawiona została terapii, a dla części osób rodzice, opiekunowie i osoby z nimi mieszkające zaczynają odgrywać rolę „terapeutów”. Oddział Małopolski PFRON przekazał 455 966,40 zł organizacjom pozarządowym z Małopolski na realizację 8 projektów mających na celu prowadzenie pomocy psychologicznej dla osób niepełnosprawnych dotkniętych skutkami pandemii. Ponadto w 2020 r</w:t>
      </w:r>
      <w:r w:rsidR="00EE280C">
        <w:rPr>
          <w:rFonts w:cs="Times New Roman"/>
          <w:szCs w:val="24"/>
        </w:rPr>
        <w:t>.</w:t>
      </w:r>
      <w:r w:rsidRPr="001F4BBD">
        <w:rPr>
          <w:rFonts w:cs="Times New Roman"/>
          <w:szCs w:val="24"/>
        </w:rPr>
        <w:t xml:space="preserve"> Oddział Małopolski PFRON zawarł 112 umów o powierzenie grantu w ramach projektu „Bezpieczne WTZ i Rehabilitacja </w:t>
      </w:r>
      <w:proofErr w:type="spellStart"/>
      <w:r w:rsidRPr="001F4BBD">
        <w:rPr>
          <w:rFonts w:cs="Times New Roman"/>
          <w:szCs w:val="24"/>
        </w:rPr>
        <w:t>społeczno</w:t>
      </w:r>
      <w:proofErr w:type="spellEnd"/>
      <w:r w:rsidRPr="001F4BBD">
        <w:rPr>
          <w:rFonts w:cs="Times New Roman"/>
          <w:szCs w:val="24"/>
        </w:rPr>
        <w:t xml:space="preserve"> – zawodowa osób z niepełnosprawnościami”. Działanie 2.8. Rozwój usług społecznych świadczonych w środowisku lokalnych Programu Operacyjnego Wiedza Edukacja Rozwój 2014-2020. Środki w wysokości 966 684,00 zł przekazane zostały warsztatom terapii zajęciowej i organizacjom pozarządowym, mającym podpisane z PFRON umowy na realizację w 2020 r</w:t>
      </w:r>
      <w:r w:rsidR="00EE280C">
        <w:rPr>
          <w:rFonts w:cs="Times New Roman"/>
          <w:szCs w:val="24"/>
        </w:rPr>
        <w:t>.</w:t>
      </w:r>
      <w:r w:rsidRPr="001F4BBD">
        <w:rPr>
          <w:rFonts w:cs="Times New Roman"/>
          <w:szCs w:val="24"/>
        </w:rPr>
        <w:t xml:space="preserve"> zadań zleconych na podstawie art. 36 ustawy o rehabilitacji zawodowej i społecznej oraz zatrudnianiu osób niepełnosprawnych – kierunek pomocy 1 i 2. Granty przeznaczone zostały na pokrycie kosztów zakupu środków ochrony osobistej dla pracowników zaangażowanych w bezpośrednią pracę z osobami z niepełnosprawnościami, w tym osób 60+ oraz środków dezynfekcyjnych i wyposażenia potrzebnego do ich stosowania. Udzielone wsparcie miało na celu zapewnienie ochrony zdrowia i życia uczestników, podopiecznych i pracowników WTZ oraz NGO w związku z zagrożeniem COVID -19.</w:t>
      </w:r>
    </w:p>
    <w:p w14:paraId="7E7D2C6B" w14:textId="231E078C" w:rsidR="001F4BBD" w:rsidRDefault="001F4BBD" w:rsidP="001F4BBD">
      <w:pPr>
        <w:tabs>
          <w:tab w:val="left" w:pos="5400"/>
        </w:tabs>
        <w:rPr>
          <w:rFonts w:cs="Times New Roman"/>
          <w:szCs w:val="24"/>
        </w:rPr>
      </w:pPr>
    </w:p>
    <w:p w14:paraId="7166362E" w14:textId="329EEF83" w:rsidR="001F4BBD" w:rsidRDefault="001F4BBD" w:rsidP="001F4BBD">
      <w:pPr>
        <w:pStyle w:val="Nagwek3"/>
      </w:pPr>
      <w:bookmarkStart w:id="193" w:name="_Toc77513981"/>
      <w:bookmarkStart w:id="194" w:name="_Toc80523135"/>
      <w:r w:rsidRPr="001F4BBD">
        <w:t xml:space="preserve">Działania i inicjatywy realizowane na rzecz osób starszych w województwie </w:t>
      </w:r>
      <w:r>
        <w:t>małopolskim</w:t>
      </w:r>
      <w:bookmarkEnd w:id="193"/>
      <w:bookmarkEnd w:id="194"/>
    </w:p>
    <w:p w14:paraId="1657363B" w14:textId="77777777" w:rsidR="000B1B06" w:rsidRPr="000B1B06" w:rsidRDefault="000B1B06" w:rsidP="000B1B06"/>
    <w:p w14:paraId="118A1CB9" w14:textId="171B43DA" w:rsidR="001F4BBD" w:rsidRPr="0091493E" w:rsidRDefault="0091493E" w:rsidP="001F4BBD">
      <w:pPr>
        <w:tabs>
          <w:tab w:val="left" w:pos="5400"/>
        </w:tabs>
        <w:rPr>
          <w:rFonts w:cs="Times New Roman"/>
          <w:b/>
          <w:bCs/>
          <w:szCs w:val="24"/>
        </w:rPr>
      </w:pPr>
      <w:r w:rsidRPr="0091493E">
        <w:rPr>
          <w:rFonts w:cs="Times New Roman"/>
          <w:b/>
          <w:bCs/>
          <w:szCs w:val="24"/>
        </w:rPr>
        <w:t>D</w:t>
      </w:r>
      <w:r w:rsidR="001F4BBD" w:rsidRPr="0091493E">
        <w:rPr>
          <w:rFonts w:cs="Times New Roman"/>
          <w:b/>
          <w:bCs/>
          <w:szCs w:val="24"/>
        </w:rPr>
        <w:t xml:space="preserve">okumenty i strategie na poziomie wojewódzkim </w:t>
      </w:r>
    </w:p>
    <w:p w14:paraId="19FCF79C" w14:textId="07E8057D" w:rsidR="001F4BBD" w:rsidRPr="001F4BBD" w:rsidRDefault="001F4BBD" w:rsidP="001F4BBD">
      <w:pPr>
        <w:tabs>
          <w:tab w:val="left" w:pos="5400"/>
        </w:tabs>
        <w:rPr>
          <w:rFonts w:cs="Times New Roman"/>
          <w:szCs w:val="24"/>
        </w:rPr>
      </w:pPr>
      <w:r w:rsidRPr="001F4BBD">
        <w:rPr>
          <w:rFonts w:cs="Times New Roman"/>
          <w:szCs w:val="24"/>
        </w:rPr>
        <w:t>Aktualnie ramy dla regionalnej polityki senioralnej wyznacza Strategia Rozwoju Województwa „Małopolska 2030”, przyjęta uchwałą nr XXXI/422/20 Sejmiku Województwa Małopolskiego z dnia 17 grudnia 2020 r.  W strategii „Małopolska 2030” zaplanowano działania ukierunkowane na podtrzymanie sprawności i aktywności seniorów oraz wykorzystanie ich potencjału w życiu społecznym. Natomiast do 2020 r</w:t>
      </w:r>
      <w:r w:rsidR="00EE280C">
        <w:rPr>
          <w:rFonts w:cs="Times New Roman"/>
          <w:szCs w:val="24"/>
        </w:rPr>
        <w:t>.</w:t>
      </w:r>
      <w:r w:rsidRPr="001F4BBD">
        <w:rPr>
          <w:rFonts w:cs="Times New Roman"/>
          <w:szCs w:val="24"/>
        </w:rPr>
        <w:t xml:space="preserve"> podstawę dla regionalnej polityki senioralnej stanowiła Strategia Rozwoju Województwa Małopolskiego na lata 2011-2020  wraz z jej uszczegółowieniem w regionalnych programach strategicznych.  Mając na uwadze efektywność zarządzania, opartą na ograniczonej liczbie skonsolidowanych dokumentów, powstał katalog 10 </w:t>
      </w:r>
      <w:r w:rsidRPr="001F4BBD">
        <w:rPr>
          <w:rFonts w:cs="Times New Roman"/>
          <w:szCs w:val="24"/>
        </w:rPr>
        <w:lastRenderedPageBreak/>
        <w:t>programów strategicznych, które stanowią podstawowe instrumenty koordynacji poszczególnych dziedzin polityki rozwoju województwa. Zagadnienia senioralne ulokowane były m.in. w: PS Ochrona Zdrowia, PS Kapitał Intelektualny i Rynek Pracy, PS Dziedzictwo i Przemysły Czasu Wolnego, PS Włączenie Społeczne . W Programie Strategicznym Włączenie Społeczne cel 3., za strategią rozwoju województwa, dotyczy „Wdrożenia regionalnej strategii działań w kontekście starzenia się społeczeństwa”. Wśród dokumentów wykonawczych do tego Programu, znajdowały się dodatkowo:</w:t>
      </w:r>
    </w:p>
    <w:p w14:paraId="28CBC1C9" w14:textId="77777777" w:rsidR="0091493E" w:rsidRDefault="001F4BBD" w:rsidP="00FE70E3">
      <w:pPr>
        <w:pStyle w:val="Akapitzlist"/>
        <w:numPr>
          <w:ilvl w:val="0"/>
          <w:numId w:val="146"/>
        </w:numPr>
        <w:tabs>
          <w:tab w:val="left" w:pos="5400"/>
        </w:tabs>
        <w:rPr>
          <w:rFonts w:cs="Times New Roman"/>
          <w:szCs w:val="24"/>
        </w:rPr>
      </w:pPr>
      <w:r w:rsidRPr="0091493E">
        <w:rPr>
          <w:rFonts w:cs="Times New Roman"/>
          <w:szCs w:val="24"/>
        </w:rPr>
        <w:t>„Rekomendacje do prowadzenia placówek zapewniających dzienną opiekę i aktywizację osób starszych na terenie Małopolski”,</w:t>
      </w:r>
    </w:p>
    <w:p w14:paraId="6B6715C7" w14:textId="4EC64ED9" w:rsidR="001F4BBD" w:rsidRPr="0091493E" w:rsidRDefault="001F4BBD" w:rsidP="00FE70E3">
      <w:pPr>
        <w:pStyle w:val="Akapitzlist"/>
        <w:numPr>
          <w:ilvl w:val="0"/>
          <w:numId w:val="146"/>
        </w:numPr>
        <w:tabs>
          <w:tab w:val="left" w:pos="5400"/>
        </w:tabs>
        <w:rPr>
          <w:rFonts w:cs="Times New Roman"/>
          <w:szCs w:val="24"/>
        </w:rPr>
      </w:pPr>
      <w:r w:rsidRPr="0091493E">
        <w:rPr>
          <w:rFonts w:cs="Times New Roman"/>
          <w:szCs w:val="24"/>
        </w:rPr>
        <w:t>Rekomendacje dla prowadzenia centrów wsparcia opiekunów nieformalnych/ faktycznych osób niesamodzielnych w Małopolsce”.</w:t>
      </w:r>
    </w:p>
    <w:p w14:paraId="6CBB5898" w14:textId="77777777" w:rsidR="001F4BBD" w:rsidRPr="001F4BBD" w:rsidRDefault="001F4BBD" w:rsidP="001F4BBD">
      <w:pPr>
        <w:tabs>
          <w:tab w:val="left" w:pos="5400"/>
        </w:tabs>
        <w:rPr>
          <w:rFonts w:cs="Times New Roman"/>
          <w:szCs w:val="24"/>
        </w:rPr>
      </w:pPr>
      <w:r w:rsidRPr="001F4BBD">
        <w:rPr>
          <w:rFonts w:cs="Times New Roman"/>
          <w:szCs w:val="24"/>
        </w:rPr>
        <w:t>Źródłem finansowania wielu działań poświęconych osobom starszym w Małopolsce był Regionalny Program Operacyjny Województwa Małopolskiego na lata 2014-2020, w tym 9. Oś Priorytetowa „Region spójny społecznie”:</w:t>
      </w:r>
    </w:p>
    <w:p w14:paraId="078798C8" w14:textId="77777777" w:rsidR="0091493E" w:rsidRDefault="001F4BBD" w:rsidP="00FE70E3">
      <w:pPr>
        <w:pStyle w:val="Akapitzlist"/>
        <w:numPr>
          <w:ilvl w:val="0"/>
          <w:numId w:val="147"/>
        </w:numPr>
        <w:tabs>
          <w:tab w:val="left" w:pos="5400"/>
        </w:tabs>
        <w:rPr>
          <w:rFonts w:cs="Times New Roman"/>
          <w:szCs w:val="24"/>
        </w:rPr>
      </w:pPr>
      <w:r w:rsidRPr="0091493E">
        <w:rPr>
          <w:rFonts w:cs="Times New Roman"/>
          <w:szCs w:val="24"/>
        </w:rPr>
        <w:t xml:space="preserve">Poddziałanie 9.2.1. USŁUGI SPOŁECZNE I ZDROWOTNE W REGIONIE, zakres wsparcia D – „Wsparcie projektów z zakresu </w:t>
      </w:r>
      <w:proofErr w:type="spellStart"/>
      <w:r w:rsidRPr="0091493E">
        <w:rPr>
          <w:rFonts w:cs="Times New Roman"/>
          <w:szCs w:val="24"/>
        </w:rPr>
        <w:t>teleopieki</w:t>
      </w:r>
      <w:proofErr w:type="spellEnd"/>
      <w:r w:rsidRPr="0091493E">
        <w:rPr>
          <w:rFonts w:cs="Times New Roman"/>
          <w:szCs w:val="24"/>
        </w:rPr>
        <w:t xml:space="preserve">”; </w:t>
      </w:r>
    </w:p>
    <w:p w14:paraId="1B497FEB" w14:textId="16424617" w:rsidR="001F4BBD" w:rsidRPr="0091493E" w:rsidRDefault="001F4BBD" w:rsidP="00FE70E3">
      <w:pPr>
        <w:pStyle w:val="Akapitzlist"/>
        <w:numPr>
          <w:ilvl w:val="0"/>
          <w:numId w:val="147"/>
        </w:numPr>
        <w:tabs>
          <w:tab w:val="left" w:pos="5400"/>
        </w:tabs>
        <w:rPr>
          <w:rFonts w:cs="Times New Roman"/>
          <w:szCs w:val="24"/>
        </w:rPr>
      </w:pPr>
      <w:r w:rsidRPr="0091493E">
        <w:rPr>
          <w:rFonts w:cs="Times New Roman"/>
          <w:szCs w:val="24"/>
        </w:rPr>
        <w:t>Poddziałania 9.2.2/9.2.3 USŁUGI OPIEKUŃCZE ORAZ INTERWENCJA KRYZYSOWA ZIT/SPR, zakres wsparcia A – „Działania wspierające opiekunów nieformalnych osób wymagających wsparcia w codziennym funkcjonowaniu, poprzez uruchomienie centrów wsparcia opiekunów (…)”; zakres wsparcia B – „Wsparcie dla tworzenia i/lub działalności placówek zapewniających dzienną opiekę i aktywizację osób wymagających wsparcia w codziennym funkcjonowaniu (…)”</w:t>
      </w:r>
    </w:p>
    <w:p w14:paraId="6DBD1C28" w14:textId="77777777" w:rsidR="001F4BBD" w:rsidRPr="001F4BBD" w:rsidRDefault="001F4BBD" w:rsidP="001F4BBD">
      <w:pPr>
        <w:tabs>
          <w:tab w:val="left" w:pos="5400"/>
        </w:tabs>
        <w:rPr>
          <w:rFonts w:cs="Times New Roman"/>
          <w:szCs w:val="24"/>
        </w:rPr>
      </w:pPr>
      <w:r w:rsidRPr="001F4BBD">
        <w:rPr>
          <w:rFonts w:cs="Times New Roman"/>
          <w:szCs w:val="24"/>
        </w:rPr>
        <w:t>Dotychczasowe efekty wdrażania Regionalnego Programu Operacyjnego Województwa Małopolskiego w w/w obszarach kształtowały się następująco:</w:t>
      </w:r>
    </w:p>
    <w:p w14:paraId="7B69642C" w14:textId="77777777" w:rsidR="0091493E" w:rsidRDefault="001F4BBD" w:rsidP="00FE70E3">
      <w:pPr>
        <w:pStyle w:val="Akapitzlist"/>
        <w:numPr>
          <w:ilvl w:val="0"/>
          <w:numId w:val="148"/>
        </w:numPr>
        <w:tabs>
          <w:tab w:val="left" w:pos="5400"/>
        </w:tabs>
        <w:rPr>
          <w:rFonts w:cs="Times New Roman"/>
          <w:szCs w:val="24"/>
        </w:rPr>
      </w:pPr>
      <w:r w:rsidRPr="0091493E">
        <w:rPr>
          <w:rFonts w:cs="Times New Roman"/>
          <w:szCs w:val="24"/>
        </w:rPr>
        <w:t xml:space="preserve">typ projektu A - Działania wspierające opiekunów nieformalnych osób wymagających wsparcia w codziennym funkcjonowaniu, poprzez uruchomienie centrów wsparcia opiekunów (…). Do końca 2020 r. zawartych było 16 umów z beneficjentami. Wartość projektów objętych umowami – 36 309 759 zł, w tym wartość dofinansowania UE -  30 863 295 zł. W 2020 r. podpisano 9  umów w tym obszarze. W wyniku realizacji dofinasowanych projektów, dla których zawarto umowy do końca 2020 r. powstać miało 11 centrów wsparcia opiekunów rodzinnych osób niesamodzielnych, a w 4 wsparcie przyznano na rozszerzenie zakresu działalności. Wsparciem w dofinansowanych projektach planowano objąć 10 318 osób. </w:t>
      </w:r>
    </w:p>
    <w:p w14:paraId="6AEDA271" w14:textId="7B9E1A71" w:rsidR="001F4BBD" w:rsidRPr="0091493E" w:rsidRDefault="001F4BBD" w:rsidP="00FE70E3">
      <w:pPr>
        <w:pStyle w:val="Akapitzlist"/>
        <w:numPr>
          <w:ilvl w:val="0"/>
          <w:numId w:val="148"/>
        </w:numPr>
        <w:tabs>
          <w:tab w:val="left" w:pos="5400"/>
        </w:tabs>
        <w:rPr>
          <w:rFonts w:cs="Times New Roman"/>
          <w:szCs w:val="24"/>
        </w:rPr>
      </w:pPr>
      <w:r w:rsidRPr="0091493E">
        <w:rPr>
          <w:rFonts w:cs="Times New Roman"/>
          <w:szCs w:val="24"/>
        </w:rPr>
        <w:t xml:space="preserve">typ projektu B - Wsparcie dla tworzenia i/lub działalności placówek zapewniających dzienną opiekę i aktywizację osób wymagających wsparcia (…) W 2020 r. podpisano 17 umów w tym obszarze. Do końca 2020 r. zawartych było 47 umów z Beneficjentami na łączną kwotę wartości projektów 124 926 033 zł, w tym wartość dofinansowania UE wyniosła 106 187 128 zł. W ramach w/w projektów zaplanowano utworzenie 48 nowych placówek zapewniających dzienną opiekę i aktywizację osób niesamodzielnych w Małopolsce i rozszerzenie zakresu działalności 6 kolejnych placówek. Wsparciem w dofinansowanych projektach planowano objąć 3 856 starszych osób. </w:t>
      </w:r>
    </w:p>
    <w:p w14:paraId="2826053B" w14:textId="1534E765" w:rsidR="001F4BBD" w:rsidRPr="001F4BBD" w:rsidRDefault="001F4BBD" w:rsidP="001F4BBD">
      <w:pPr>
        <w:tabs>
          <w:tab w:val="left" w:pos="5400"/>
        </w:tabs>
        <w:rPr>
          <w:rFonts w:cs="Times New Roman"/>
          <w:szCs w:val="24"/>
        </w:rPr>
      </w:pPr>
      <w:r w:rsidRPr="001F4BBD">
        <w:rPr>
          <w:rFonts w:cs="Times New Roman"/>
          <w:szCs w:val="24"/>
        </w:rPr>
        <w:t xml:space="preserve">Jednocześnie dofinansowano 9 projektów łączących obie w/w usługi czyli prowadzenie placówki opieki dziennej dla seniorów (12 nowych placówek i rozszerzenie działalności 2 miejsc) i centrum wsparcia opiekunów rodzinnych osób niesamodzielnych (10 nowych, 1 </w:t>
      </w:r>
      <w:r w:rsidRPr="001F4BBD">
        <w:rPr>
          <w:rFonts w:cs="Times New Roman"/>
          <w:szCs w:val="24"/>
        </w:rPr>
        <w:lastRenderedPageBreak/>
        <w:t xml:space="preserve">wsparte w dotychczasowej działalności). Wsparciem w tego rodzaju projektach planowano objąć kolejne 2 885 osób. Łączna wartość tego rodzaju projektów           to 38 016 390 zł, z czego dofinansowanie UE wyniosło 32 313 932 zł. W oparciu o wszystkie w/w umowy efekty w regionie szacuje się na 60 nowych placówek zapewniających dzienną opiekę i aktywizację starszych osób starszych oraz 21 centrów wsparcia opiekunów rodzinnych. </w:t>
      </w:r>
    </w:p>
    <w:p w14:paraId="0C221F7B" w14:textId="77777777" w:rsidR="0091493E" w:rsidRDefault="0091493E" w:rsidP="001F4BBD">
      <w:pPr>
        <w:tabs>
          <w:tab w:val="left" w:pos="5400"/>
        </w:tabs>
        <w:rPr>
          <w:rFonts w:cs="Times New Roman"/>
          <w:szCs w:val="24"/>
        </w:rPr>
      </w:pPr>
    </w:p>
    <w:p w14:paraId="55A35E3B" w14:textId="6D8322E8" w:rsidR="001F4BBD" w:rsidRPr="0091493E" w:rsidRDefault="0091493E" w:rsidP="001F4BBD">
      <w:pPr>
        <w:tabs>
          <w:tab w:val="left" w:pos="5400"/>
        </w:tabs>
        <w:rPr>
          <w:rFonts w:cs="Times New Roman"/>
          <w:b/>
          <w:bCs/>
          <w:szCs w:val="24"/>
        </w:rPr>
      </w:pPr>
      <w:r w:rsidRPr="0091493E">
        <w:rPr>
          <w:rFonts w:cs="Times New Roman"/>
          <w:b/>
          <w:bCs/>
          <w:szCs w:val="24"/>
        </w:rPr>
        <w:t>P</w:t>
      </w:r>
      <w:r w:rsidR="001F4BBD" w:rsidRPr="0091493E">
        <w:rPr>
          <w:rFonts w:cs="Times New Roman"/>
          <w:b/>
          <w:bCs/>
          <w:szCs w:val="24"/>
        </w:rPr>
        <w:t xml:space="preserve">rzykłady programów wspierających aktywność społeczną, kulturalną, edukacyjną sportową i obywatelską osób starszych </w:t>
      </w:r>
    </w:p>
    <w:p w14:paraId="7762E74E" w14:textId="3D5384C7" w:rsidR="001F4BBD" w:rsidRPr="001F4BBD" w:rsidRDefault="001F4BBD" w:rsidP="001F4BBD">
      <w:pPr>
        <w:tabs>
          <w:tab w:val="left" w:pos="5400"/>
        </w:tabs>
        <w:rPr>
          <w:rFonts w:cs="Times New Roman"/>
          <w:szCs w:val="24"/>
        </w:rPr>
      </w:pPr>
      <w:r w:rsidRPr="001F4BBD">
        <w:rPr>
          <w:rFonts w:cs="Times New Roman"/>
          <w:szCs w:val="24"/>
        </w:rPr>
        <w:t xml:space="preserve">Otwarte konkursy ofert na realizację zdań publicznych Województwa Małopolskiego w zakresie wspierania funkcjonowania społecznego oraz przeciwdziałania wykluczeniu osób starszych.  </w:t>
      </w:r>
    </w:p>
    <w:p w14:paraId="28508E6D" w14:textId="77777777" w:rsidR="001F4BBD" w:rsidRPr="001F4BBD" w:rsidRDefault="001F4BBD" w:rsidP="001F4BBD">
      <w:pPr>
        <w:tabs>
          <w:tab w:val="left" w:pos="5400"/>
        </w:tabs>
        <w:rPr>
          <w:rFonts w:cs="Times New Roman"/>
          <w:szCs w:val="24"/>
        </w:rPr>
      </w:pPr>
      <w:r w:rsidRPr="001F4BBD">
        <w:rPr>
          <w:rFonts w:cs="Times New Roman"/>
          <w:szCs w:val="24"/>
        </w:rPr>
        <w:t>Zadanie od 2019 r. o charakterze dwuletnim, realizowane ze środków własnych Województwa Małopolskiego, adresowane do organizacji pozarządowych. W 2020 r. dofinansowano 39 ofert. Projekty najczęściej oferowały: zajęcia edukacyjne (np. zdrowy styl życia, nauka obsługi komputera i korzystania z Internetu, rękodzieło), przedsięwzięcia turystyczne, wydarzenia kulturalne, wolontariat seniorów, integrację międzypokoleniową. Każdego roku z dofinasowanych projektów korzysta ok. 3 000 seniorów z całej Małopolski. Całkowita wartość zadania 2 000 000 zł, środki przekazane w 2020 r.: 928 698 zł. Utrzymujący się stan epidemii Covid-19 miał wpływ na sposób realizacji zadań zleconych przez Województwo w ramach otwartych konkursów ofert. Organizacje pozarządowe podejmowały działania dostosowujące planowane przedsięwzięcia do sytuacji epidemicznej. Zawierano aneksy do umów, dotyczące między innymi:</w:t>
      </w:r>
    </w:p>
    <w:p w14:paraId="2BA12B4A" w14:textId="77777777" w:rsidR="0091493E" w:rsidRDefault="001F4BBD" w:rsidP="00FE70E3">
      <w:pPr>
        <w:pStyle w:val="Akapitzlist"/>
        <w:numPr>
          <w:ilvl w:val="0"/>
          <w:numId w:val="149"/>
        </w:numPr>
        <w:tabs>
          <w:tab w:val="left" w:pos="5400"/>
        </w:tabs>
        <w:rPr>
          <w:rFonts w:cs="Times New Roman"/>
          <w:szCs w:val="24"/>
        </w:rPr>
      </w:pPr>
      <w:r w:rsidRPr="0091493E">
        <w:rPr>
          <w:rFonts w:cs="Times New Roman"/>
          <w:szCs w:val="24"/>
        </w:rPr>
        <w:t>zmiany formy organizowanych zajęć, w tym warsztatów, wykładów, a nawet zajęć gimnastycznych z formuły stacjonarnej na zajęcia on-line,</w:t>
      </w:r>
    </w:p>
    <w:p w14:paraId="387B7782" w14:textId="77777777" w:rsidR="0091493E" w:rsidRDefault="001F4BBD" w:rsidP="00FE70E3">
      <w:pPr>
        <w:pStyle w:val="Akapitzlist"/>
        <w:numPr>
          <w:ilvl w:val="0"/>
          <w:numId w:val="149"/>
        </w:numPr>
        <w:tabs>
          <w:tab w:val="left" w:pos="5400"/>
        </w:tabs>
        <w:rPr>
          <w:rFonts w:cs="Times New Roman"/>
          <w:szCs w:val="24"/>
        </w:rPr>
      </w:pPr>
      <w:r w:rsidRPr="0091493E">
        <w:rPr>
          <w:rFonts w:cs="Times New Roman"/>
          <w:szCs w:val="24"/>
        </w:rPr>
        <w:t>zmiany częstotliwości organizowanych działań z powodu konieczności zmniejszania grup uczestników,</w:t>
      </w:r>
    </w:p>
    <w:p w14:paraId="02D741D1" w14:textId="1DFE1BC1" w:rsidR="001F4BBD" w:rsidRPr="0091493E" w:rsidRDefault="001F4BBD" w:rsidP="00FE70E3">
      <w:pPr>
        <w:pStyle w:val="Akapitzlist"/>
        <w:numPr>
          <w:ilvl w:val="0"/>
          <w:numId w:val="149"/>
        </w:numPr>
        <w:tabs>
          <w:tab w:val="left" w:pos="5400"/>
        </w:tabs>
        <w:rPr>
          <w:rFonts w:cs="Times New Roman"/>
          <w:szCs w:val="24"/>
        </w:rPr>
      </w:pPr>
      <w:r w:rsidRPr="0091493E">
        <w:rPr>
          <w:rFonts w:cs="Times New Roman"/>
          <w:szCs w:val="24"/>
        </w:rPr>
        <w:t>przesuwania terminów realizowanych działań.</w:t>
      </w:r>
    </w:p>
    <w:p w14:paraId="41BC75E3" w14:textId="77777777" w:rsidR="0091493E" w:rsidRDefault="0091493E" w:rsidP="001F4BBD">
      <w:pPr>
        <w:tabs>
          <w:tab w:val="left" w:pos="5400"/>
        </w:tabs>
        <w:rPr>
          <w:rFonts w:cs="Times New Roman"/>
          <w:szCs w:val="24"/>
        </w:rPr>
      </w:pPr>
    </w:p>
    <w:p w14:paraId="170496CA" w14:textId="07C64606" w:rsidR="001F4BBD" w:rsidRPr="001F4BBD" w:rsidRDefault="001F4BBD" w:rsidP="001F4BBD">
      <w:pPr>
        <w:tabs>
          <w:tab w:val="left" w:pos="5400"/>
        </w:tabs>
        <w:rPr>
          <w:rFonts w:cs="Times New Roman"/>
          <w:szCs w:val="24"/>
        </w:rPr>
      </w:pPr>
      <w:r w:rsidRPr="001F4BBD">
        <w:rPr>
          <w:rFonts w:cs="Times New Roman"/>
          <w:szCs w:val="24"/>
        </w:rPr>
        <w:t>Otwarte konkursy ofert na realizację zadań publicznych Województwa Małopolskiego w obszarze edukacji prozdrowotnej dla małopolskich seniorów. W 2020 r</w:t>
      </w:r>
      <w:r w:rsidR="00EE280C">
        <w:rPr>
          <w:rFonts w:cs="Times New Roman"/>
          <w:szCs w:val="24"/>
        </w:rPr>
        <w:t>.</w:t>
      </w:r>
      <w:r w:rsidRPr="001F4BBD">
        <w:rPr>
          <w:rFonts w:cs="Times New Roman"/>
          <w:szCs w:val="24"/>
        </w:rPr>
        <w:t xml:space="preserve"> przeprowadzono nabór w ramach kolejnej edycji konkursu dwuletniego na lata 2021-2022. Alokacja konkursowa łącznie w latach 2016-2022 wyniosła 1 430 000 zł. Liczba dofinansowanych projektów: 35, w tym 7 w ramach ogłoszonego w 2020 r</w:t>
      </w:r>
      <w:r w:rsidR="00EE280C">
        <w:rPr>
          <w:rFonts w:cs="Times New Roman"/>
          <w:szCs w:val="24"/>
        </w:rPr>
        <w:t>.</w:t>
      </w:r>
      <w:r w:rsidRPr="001F4BBD">
        <w:rPr>
          <w:rFonts w:cs="Times New Roman"/>
          <w:szCs w:val="24"/>
        </w:rPr>
        <w:t xml:space="preserve"> konkursu dwuletniego. Łączna kwota dotacji przyznanej w ramach konkursu: 500 000 zł, w tym 250 000 zł na 2021 r., oraz 250 000 zł na 2022 r. W ramach wszystkich dotychczasowych edycji konkursu zlecone zostały zadania polegające na przygotowaniu i przeprowadzeniu cyklu wykładów, kursów, warsztatów i spotkań, mających na celu edukację osób starszych w wieku 50 lat i więcej, w zakresie zdrowego stylu życia. Działania edukacyjne dotyczyły głównie zagadnień związanych z profilaktyką chorób wieku starszego, prawidłowym żywieniem, zdrowiem psychicznym i znaczeniem aktywności intelektualnej i fizycznej dla utrzymania jak najdłużej sprawności i samodzielności. Warunkiem otrzymania dotacji z budżetu Województwa Małopolskiego było zaangażowanie lekarzy pierwszego kontaktu/rodzinnych oraz lekarzy specjalistów do prowadzenia wykładów i konsultacji medycznych w trakcie spotkań z seniorami. Przy wyborze podmiotów uwzględniono też obszary peryferyjne regionu i tereny o trudniejszej sytuacji demograficznej. Zebrane doświadczenia i spostrzeżenia z realizacji poszczególnych zadań zostały opracowane w formie raportu zawierającego rekomendacje, które posłużą Województwu Małopolskiemu do przygotowania </w:t>
      </w:r>
      <w:r w:rsidRPr="001F4BBD">
        <w:rPr>
          <w:rFonts w:cs="Times New Roman"/>
          <w:szCs w:val="24"/>
        </w:rPr>
        <w:lastRenderedPageBreak/>
        <w:t xml:space="preserve">programu edukacyjnego promującego zdrowy styl życia osób starszych. W ramach dwuletniej edycji konkursu na lata 2021-2022 akcent został położony na zagadnienia związane ze zdrowiem psychicznym osób starszych, w tym: najczęściej występujące choroby psychiczne w wieku starszym, profilaktyka zaburzeń psychicznych, profilaktyka typowych chorób wieku starczego, działania stymulujące funkcje poznawcze oraz działania wspierające aktywność społeczną, edukację w zakresie komunikacji, rozwiązywania konfliktów, przełamywania stereotypów i uprzedzeń we współpracy w grupie. </w:t>
      </w:r>
    </w:p>
    <w:p w14:paraId="27A88B68" w14:textId="77777777" w:rsidR="0091493E" w:rsidRDefault="0091493E" w:rsidP="001F4BBD">
      <w:pPr>
        <w:tabs>
          <w:tab w:val="left" w:pos="5400"/>
        </w:tabs>
        <w:rPr>
          <w:rFonts w:cs="Times New Roman"/>
          <w:szCs w:val="24"/>
        </w:rPr>
      </w:pPr>
    </w:p>
    <w:p w14:paraId="26198F24" w14:textId="71FA3AA4" w:rsidR="001F4BBD" w:rsidRPr="001F4BBD" w:rsidRDefault="001F4BBD" w:rsidP="001F4BBD">
      <w:pPr>
        <w:tabs>
          <w:tab w:val="left" w:pos="5400"/>
        </w:tabs>
        <w:rPr>
          <w:rFonts w:cs="Times New Roman"/>
          <w:szCs w:val="24"/>
        </w:rPr>
      </w:pPr>
      <w:r w:rsidRPr="001F4BBD">
        <w:rPr>
          <w:rFonts w:cs="Times New Roman"/>
          <w:szCs w:val="24"/>
        </w:rPr>
        <w:t xml:space="preserve">Konkurs „Mecenat Małopolski” - w ramach konkursu wspierane są zadania m.in.: tworzące ambitne formy animacyjne na rzecz międzypokoleniowej aktywizacji społeczności, kreujące postawy tolerancji i wzmacniania wartości płynących z różnorodności życia, aktywizujące różne grupy wiekowe, a zwłaszcza wykorzystujące potencjał osób starszych oraz wspierające projekty artystyczne o wymiarze społecznym, wychowawczym, terapeutycznym. W 2020 r. dofinansowano 146 zadań, a środki wydatkowane z budżetu Województwa Małopolskiego na ten cel wyniosły: 2 174 013,60 zł. </w:t>
      </w:r>
    </w:p>
    <w:p w14:paraId="1EDB4D5F" w14:textId="77777777" w:rsidR="0091493E" w:rsidRDefault="0091493E" w:rsidP="001F4BBD">
      <w:pPr>
        <w:tabs>
          <w:tab w:val="left" w:pos="5400"/>
        </w:tabs>
        <w:rPr>
          <w:rFonts w:cs="Times New Roman"/>
          <w:szCs w:val="24"/>
        </w:rPr>
      </w:pPr>
    </w:p>
    <w:p w14:paraId="3D9514B2" w14:textId="472CDB06" w:rsidR="001F4BBD" w:rsidRPr="001F4BBD" w:rsidRDefault="001F4BBD" w:rsidP="001F4BBD">
      <w:pPr>
        <w:tabs>
          <w:tab w:val="left" w:pos="5400"/>
        </w:tabs>
        <w:rPr>
          <w:rFonts w:cs="Times New Roman"/>
          <w:szCs w:val="24"/>
        </w:rPr>
      </w:pPr>
      <w:r w:rsidRPr="001F4BBD">
        <w:rPr>
          <w:rFonts w:cs="Times New Roman"/>
          <w:szCs w:val="24"/>
        </w:rPr>
        <w:t xml:space="preserve">Samorząd Województwa Małopolskiego realizuje także zadania w zakresie wsparcia osób niepełnosprawnych, których liczba wzrasta wraz z wiekiem, obejmują one także zadania Województwa Małopolskiego finansowane ze środków Państwowego Funduszu Rehabilitacji Osób Niepełnosprawnych (PFRON), których beneficjentem mogą być organizacje pozarządowe: dofinansowanie robót budowlanych w obiektach służących rehabilitacji osób niepełnosprawnych - w 2020 r. zrealizowano 25 umów, przy łącznym wydatkowaniu środków PFRON na kwotę 6 180 927,54 zł, zadania „miękkie” z zakresu rehabilitacji zawodowej i społecznej osób niepełnosprawnych – w 2020 r. zrealizowano 22 umowy, przy łącznym wydatkowaniu środków PFRON na kwotę 808 735,00 zł. Okres realizacji: od 2003 r. w sposób ciągły.  </w:t>
      </w:r>
    </w:p>
    <w:p w14:paraId="0D0A2F35" w14:textId="3E0808B1" w:rsidR="0091493E" w:rsidRDefault="0091493E" w:rsidP="001F4BBD">
      <w:pPr>
        <w:tabs>
          <w:tab w:val="left" w:pos="5400"/>
        </w:tabs>
        <w:rPr>
          <w:rFonts w:cs="Times New Roman"/>
          <w:szCs w:val="24"/>
        </w:rPr>
      </w:pPr>
    </w:p>
    <w:p w14:paraId="1B47C87C" w14:textId="6B775781" w:rsidR="001F4BBD" w:rsidRPr="0091493E" w:rsidRDefault="0091493E" w:rsidP="001F4BBD">
      <w:pPr>
        <w:tabs>
          <w:tab w:val="left" w:pos="5400"/>
        </w:tabs>
        <w:rPr>
          <w:rFonts w:cs="Times New Roman"/>
          <w:b/>
          <w:bCs/>
          <w:szCs w:val="24"/>
        </w:rPr>
      </w:pPr>
      <w:r w:rsidRPr="0091493E">
        <w:rPr>
          <w:rFonts w:cs="Times New Roman"/>
          <w:b/>
          <w:bCs/>
          <w:szCs w:val="24"/>
        </w:rPr>
        <w:t>P</w:t>
      </w:r>
      <w:r w:rsidR="001F4BBD" w:rsidRPr="0091493E">
        <w:rPr>
          <w:rFonts w:cs="Times New Roman"/>
          <w:b/>
          <w:bCs/>
          <w:szCs w:val="24"/>
        </w:rPr>
        <w:t>rzykłady działań w zakresie przeciwdziałania dyskryminacji ze względu na wiek</w:t>
      </w:r>
    </w:p>
    <w:p w14:paraId="2BE2EC07" w14:textId="27324FBC" w:rsidR="001F4BBD" w:rsidRPr="001F4BBD" w:rsidRDefault="001F4BBD" w:rsidP="001F4BBD">
      <w:pPr>
        <w:tabs>
          <w:tab w:val="left" w:pos="5400"/>
        </w:tabs>
        <w:rPr>
          <w:rFonts w:cs="Times New Roman"/>
          <w:szCs w:val="24"/>
        </w:rPr>
      </w:pPr>
      <w:r w:rsidRPr="001F4BBD">
        <w:rPr>
          <w:rFonts w:cs="Times New Roman"/>
          <w:szCs w:val="24"/>
        </w:rPr>
        <w:t xml:space="preserve">XIV Plebiscyt Poza Stereotypem – Senior Roku. </w:t>
      </w:r>
    </w:p>
    <w:p w14:paraId="3B859E1D" w14:textId="77777777" w:rsidR="001F4BBD" w:rsidRPr="001F4BBD" w:rsidRDefault="001F4BBD" w:rsidP="001F4BBD">
      <w:pPr>
        <w:tabs>
          <w:tab w:val="left" w:pos="5400"/>
        </w:tabs>
        <w:rPr>
          <w:rFonts w:cs="Times New Roman"/>
          <w:szCs w:val="24"/>
        </w:rPr>
      </w:pPr>
      <w:r w:rsidRPr="001F4BBD">
        <w:rPr>
          <w:rFonts w:cs="Times New Roman"/>
          <w:szCs w:val="24"/>
        </w:rPr>
        <w:t xml:space="preserve">Inicjatywa Regionalnego Ośrodka Polityki Społecznej w Krakowie realizowana od 2007 r. ze środków własnych Województwa Małopolskiego. W 2020 r.: ogłoszono Plebiscyt, kapituła Plebiscytu rozpatrzyła 10 zgłoszeń, przyznano 3 wyróżnienia. Od początku konkursu Województwo Małopolskie nagrodziło 28 aktywnych Małopolan w sile wieku, a 51 wyróżniło.  </w:t>
      </w:r>
    </w:p>
    <w:p w14:paraId="14B1DF6D" w14:textId="77777777" w:rsidR="0091493E" w:rsidRDefault="0091493E" w:rsidP="001F4BBD">
      <w:pPr>
        <w:tabs>
          <w:tab w:val="left" w:pos="5400"/>
        </w:tabs>
        <w:rPr>
          <w:rFonts w:cs="Times New Roman"/>
          <w:szCs w:val="24"/>
        </w:rPr>
      </w:pPr>
    </w:p>
    <w:p w14:paraId="100F82A6" w14:textId="75C78318" w:rsidR="001F4BBD" w:rsidRDefault="001F4BBD" w:rsidP="001F4BBD">
      <w:pPr>
        <w:tabs>
          <w:tab w:val="left" w:pos="5400"/>
        </w:tabs>
        <w:rPr>
          <w:rFonts w:cs="Times New Roman"/>
          <w:szCs w:val="24"/>
        </w:rPr>
      </w:pPr>
      <w:r w:rsidRPr="001F4BBD">
        <w:rPr>
          <w:rFonts w:cs="Times New Roman"/>
          <w:szCs w:val="24"/>
        </w:rPr>
        <w:t>Szkoła @</w:t>
      </w:r>
      <w:proofErr w:type="spellStart"/>
      <w:r w:rsidRPr="001F4BBD">
        <w:rPr>
          <w:rFonts w:cs="Times New Roman"/>
          <w:szCs w:val="24"/>
        </w:rPr>
        <w:t>ktywnego</w:t>
      </w:r>
      <w:proofErr w:type="spellEnd"/>
      <w:r w:rsidRPr="001F4BBD">
        <w:rPr>
          <w:rFonts w:cs="Times New Roman"/>
          <w:szCs w:val="24"/>
        </w:rPr>
        <w:t xml:space="preserve"> Seniora – S@S - autorski program partnerski, realizowany przez Wojewódzką Bibliotekę Publiczną od 2007 r</w:t>
      </w:r>
      <w:r w:rsidR="00EE280C">
        <w:rPr>
          <w:rFonts w:cs="Times New Roman"/>
          <w:szCs w:val="24"/>
        </w:rPr>
        <w:t>.</w:t>
      </w:r>
      <w:r w:rsidRPr="001F4BBD">
        <w:rPr>
          <w:rFonts w:cs="Times New Roman"/>
          <w:szCs w:val="24"/>
        </w:rPr>
        <w:t xml:space="preserve"> wraz z Towarzystwem    Polsko-Niemieckim w Krakowie. Program promuje ideę „uczenia się przez całe życie”, wykorzystując do tego celu nowe technologie. Celem programu jest poszerzanie umiejętności cyfrowych i wiedzy na temat nowych technologii, pomaganie w integracji społecznej oraz rozwijanie aktywności obywatelskiej seniorów. W 2020 r</w:t>
      </w:r>
      <w:r w:rsidR="00EE280C">
        <w:rPr>
          <w:rFonts w:cs="Times New Roman"/>
          <w:szCs w:val="24"/>
        </w:rPr>
        <w:t>.</w:t>
      </w:r>
      <w:r w:rsidRPr="001F4BBD">
        <w:rPr>
          <w:rFonts w:cs="Times New Roman"/>
          <w:szCs w:val="24"/>
        </w:rPr>
        <w:t xml:space="preserve"> w ramach S@S odbyło się 16 cykli szkoleń komputerowych (84 spotkania) i 129 innych spotkań, razem 213 wydarzeń, w których uczestniczyło 247 seniorów. Spotkania odbywały się m.in. w ramach Sekcji Plastycznej, kursów komputerowych, warsztatów, wykładów oraz spacerów edukacyjnych. Duża część wydarzeń była organizowana w formule online. </w:t>
      </w:r>
    </w:p>
    <w:p w14:paraId="0610AC53" w14:textId="77777777" w:rsidR="0091493E" w:rsidRPr="001F4BBD" w:rsidRDefault="0091493E" w:rsidP="001F4BBD">
      <w:pPr>
        <w:tabs>
          <w:tab w:val="left" w:pos="5400"/>
        </w:tabs>
        <w:rPr>
          <w:rFonts w:cs="Times New Roman"/>
          <w:szCs w:val="24"/>
        </w:rPr>
      </w:pPr>
    </w:p>
    <w:p w14:paraId="3E13D20D" w14:textId="454A3C03" w:rsidR="001F4BBD" w:rsidRDefault="001F4BBD" w:rsidP="001F4BBD">
      <w:pPr>
        <w:tabs>
          <w:tab w:val="left" w:pos="5400"/>
        </w:tabs>
        <w:rPr>
          <w:rFonts w:cs="Times New Roman"/>
          <w:szCs w:val="24"/>
        </w:rPr>
      </w:pPr>
      <w:r w:rsidRPr="001F4BBD">
        <w:rPr>
          <w:rFonts w:cs="Times New Roman"/>
          <w:szCs w:val="24"/>
        </w:rPr>
        <w:lastRenderedPageBreak/>
        <w:t xml:space="preserve">Małopolska. Kultura Wrażliwa to projekt zainicjowany przez Województwo Małopolskie i wspólnie realizowany z Małopolskim Instytutem Kultury, instytucją kultury Województwa Małopolskiego. W ramach projektu realizowane są działania, które przyczyniają się do podniesienia poziomu otwartości i dostępności instytucji kultury dla osób z zaburzeniami sensorycznymi i ruchowymi, w tym m.in.: kształcenie kadr instytucji kultury w zakresie technik i metod udostępniania tekstów, opracowywania dostępnych zajęć edukacyjnych, dostosowywanie przestrzeni instytucji do potrzeb osób z dysfunkcjami oraz organizacja otwartego konkursu ofert dla organizacji pozarządowych na realizację zadań publicznych zwiększających dostęp do różnych tekstów kultury dla osób ze szczególnymi potrzebami. W ramach konkursu dofinansowano 11 zadań na łączną kwotę 94 999 zł. </w:t>
      </w:r>
    </w:p>
    <w:p w14:paraId="4BED2178" w14:textId="6329E563" w:rsidR="0091493E" w:rsidRDefault="0091493E" w:rsidP="001F4BBD">
      <w:pPr>
        <w:tabs>
          <w:tab w:val="left" w:pos="5400"/>
        </w:tabs>
        <w:rPr>
          <w:rFonts w:cs="Times New Roman"/>
          <w:szCs w:val="24"/>
        </w:rPr>
      </w:pPr>
    </w:p>
    <w:p w14:paraId="5951FD47" w14:textId="5A4D5311" w:rsidR="0091493E" w:rsidRPr="0091493E" w:rsidRDefault="0091493E" w:rsidP="001F4BBD">
      <w:pPr>
        <w:tabs>
          <w:tab w:val="left" w:pos="5400"/>
        </w:tabs>
        <w:rPr>
          <w:rFonts w:cs="Times New Roman"/>
          <w:b/>
          <w:bCs/>
          <w:szCs w:val="24"/>
        </w:rPr>
      </w:pPr>
      <w:r w:rsidRPr="0091493E">
        <w:rPr>
          <w:rFonts w:cs="Times New Roman"/>
          <w:b/>
          <w:bCs/>
          <w:szCs w:val="24"/>
        </w:rPr>
        <w:t>Przykłady dobrych praktyk na poziomie powiatu, gminy.</w:t>
      </w:r>
    </w:p>
    <w:p w14:paraId="1A0BECD9" w14:textId="251F6919" w:rsidR="001F4BBD" w:rsidRPr="001F4BBD" w:rsidRDefault="001F4BBD" w:rsidP="001F4BBD">
      <w:pPr>
        <w:tabs>
          <w:tab w:val="left" w:pos="5400"/>
        </w:tabs>
        <w:rPr>
          <w:rFonts w:cs="Times New Roman"/>
          <w:szCs w:val="24"/>
        </w:rPr>
      </w:pPr>
      <w:r w:rsidRPr="001F4BBD">
        <w:rPr>
          <w:rFonts w:cs="Times New Roman"/>
          <w:szCs w:val="24"/>
        </w:rPr>
        <w:t>Powiat wadowicki m.in.:</w:t>
      </w:r>
    </w:p>
    <w:p w14:paraId="5DE6F39B" w14:textId="77777777" w:rsidR="0091493E" w:rsidRDefault="001F4BBD" w:rsidP="00FE70E3">
      <w:pPr>
        <w:pStyle w:val="Akapitzlist"/>
        <w:numPr>
          <w:ilvl w:val="0"/>
          <w:numId w:val="150"/>
        </w:numPr>
        <w:tabs>
          <w:tab w:val="left" w:pos="5400"/>
        </w:tabs>
        <w:rPr>
          <w:rFonts w:cs="Times New Roman"/>
          <w:szCs w:val="24"/>
        </w:rPr>
      </w:pPr>
      <w:r w:rsidRPr="0091493E">
        <w:rPr>
          <w:rFonts w:cs="Times New Roman"/>
          <w:szCs w:val="24"/>
        </w:rPr>
        <w:t xml:space="preserve">zlecał organizacjom pozarządowym ze środków PFRON zadania z zakresu rehabilitacji społecznej obejmujące prowadzenie rehabilitacji osób dorosłych w tym osób starszych w pomieszczeniach Stowarzyszeń tj. Fundacja Promyczek w Andrychowie oraz TPD Koło Dzieci Niepełnosprawnych w Wadowicach lub w miejscu zamieszkania tych osób. </w:t>
      </w:r>
    </w:p>
    <w:p w14:paraId="07F50F47" w14:textId="4F71DAE2" w:rsidR="001F4BBD" w:rsidRPr="0091493E" w:rsidRDefault="001F4BBD" w:rsidP="00FE70E3">
      <w:pPr>
        <w:pStyle w:val="Akapitzlist"/>
        <w:numPr>
          <w:ilvl w:val="0"/>
          <w:numId w:val="150"/>
        </w:numPr>
        <w:tabs>
          <w:tab w:val="left" w:pos="5400"/>
        </w:tabs>
        <w:rPr>
          <w:rFonts w:cs="Times New Roman"/>
          <w:szCs w:val="24"/>
        </w:rPr>
      </w:pPr>
      <w:r w:rsidRPr="0091493E">
        <w:rPr>
          <w:rFonts w:cs="Times New Roman"/>
          <w:szCs w:val="24"/>
        </w:rPr>
        <w:t xml:space="preserve">w Domu Pomocy Społecznej w Zebrzydowicach prowadzonym przez Konwent Bonifratrów, realizowano projekt "Ciekawi życia" , który skierowany jest do  49 mieszkańców, w tym 23-ech powyżej 60-tego roku życia. Projekt prowadzony jest dzięki dofinansowaniu PFRON w ramach zlecenia zadań. Jego celem jest pobudzanie Beneficjentów do zainteresowania otaczającą ich rzeczywistością. Projekt odpowiada na podstawowe problemy mieszkańców instytucji takich jak domy pomocy społecznej. Obszary wsparcia obejmują: warsztaty gastronomiczne, warsztaty artystyczne, warsztaty multimedialne, warsztaty socjoterapeutyczne, zajęcia </w:t>
      </w:r>
      <w:proofErr w:type="spellStart"/>
      <w:r w:rsidRPr="0091493E">
        <w:rPr>
          <w:rFonts w:cs="Times New Roman"/>
          <w:szCs w:val="24"/>
        </w:rPr>
        <w:t>rekreacyjno</w:t>
      </w:r>
      <w:proofErr w:type="spellEnd"/>
      <w:r w:rsidRPr="0091493E">
        <w:rPr>
          <w:rFonts w:cs="Times New Roman"/>
          <w:szCs w:val="24"/>
        </w:rPr>
        <w:t xml:space="preserve"> – sportowe, indywidualne zajęcia usprawniające, psychoterapię wspierającą. Uczestnictwo w ww. formach wsparcia tworzy mieszkańcom szansę do wzmocnienia własnej samooceny, wiary we własne możliwości, motywacji dzięki czemu są w stanie lepiej wykorzystać swój potencjał, i tym samym stają się bardziej niezależni.</w:t>
      </w:r>
    </w:p>
    <w:p w14:paraId="4C2A06B0" w14:textId="77777777" w:rsidR="0091493E" w:rsidRDefault="0091493E" w:rsidP="001F4BBD">
      <w:pPr>
        <w:tabs>
          <w:tab w:val="left" w:pos="5400"/>
        </w:tabs>
        <w:rPr>
          <w:rFonts w:cs="Times New Roman"/>
          <w:szCs w:val="24"/>
        </w:rPr>
      </w:pPr>
    </w:p>
    <w:p w14:paraId="5F57C34C" w14:textId="17FC7BE7" w:rsidR="001F4BBD" w:rsidRPr="001F4BBD" w:rsidRDefault="001F4BBD" w:rsidP="001F4BBD">
      <w:pPr>
        <w:tabs>
          <w:tab w:val="left" w:pos="5400"/>
        </w:tabs>
        <w:rPr>
          <w:rFonts w:cs="Times New Roman"/>
          <w:szCs w:val="24"/>
        </w:rPr>
      </w:pPr>
      <w:r w:rsidRPr="001F4BBD">
        <w:rPr>
          <w:rFonts w:cs="Times New Roman"/>
          <w:szCs w:val="24"/>
        </w:rPr>
        <w:t xml:space="preserve">Powiat krakowski m.in.: </w:t>
      </w:r>
    </w:p>
    <w:p w14:paraId="1272C481" w14:textId="77777777" w:rsidR="0091493E" w:rsidRDefault="001F4BBD" w:rsidP="00FE70E3">
      <w:pPr>
        <w:pStyle w:val="Akapitzlist"/>
        <w:numPr>
          <w:ilvl w:val="0"/>
          <w:numId w:val="151"/>
        </w:numPr>
        <w:tabs>
          <w:tab w:val="left" w:pos="5400"/>
        </w:tabs>
        <w:rPr>
          <w:rFonts w:cs="Times New Roman"/>
          <w:szCs w:val="24"/>
        </w:rPr>
      </w:pPr>
      <w:r w:rsidRPr="0091493E">
        <w:rPr>
          <w:rFonts w:cs="Times New Roman"/>
          <w:szCs w:val="24"/>
        </w:rPr>
        <w:t xml:space="preserve">realizował działania w Domu Pomocy Społecznej w Karniowicach, polegające na  współpracy z klubami seniora i kołami gospodyń wiejskich. Podejmuje się integrację ze środowiskiem lokalnym oraz walkę z wykluczeniem przez nawiązywanie kontaktów ze światem kultury, sztuki itp. Również są podejmowane próby odnowienia i zacieśnienia kontaktów z rodzinami przez spotkania integracyjne, pikniki, </w:t>
      </w:r>
      <w:proofErr w:type="spellStart"/>
      <w:r w:rsidRPr="0091493E">
        <w:rPr>
          <w:rFonts w:cs="Times New Roman"/>
          <w:szCs w:val="24"/>
        </w:rPr>
        <w:t>skyp'a</w:t>
      </w:r>
      <w:proofErr w:type="spellEnd"/>
      <w:r w:rsidRPr="0091493E">
        <w:rPr>
          <w:rFonts w:cs="Times New Roman"/>
          <w:szCs w:val="24"/>
        </w:rPr>
        <w:t xml:space="preserve">  itp. Ponadto w DPS organizowane są nowe zajęcia terapeutyczne tj. terapia dźwiękiem przy użyciu mis tybetańskich, </w:t>
      </w:r>
      <w:proofErr w:type="spellStart"/>
      <w:r w:rsidRPr="0091493E">
        <w:rPr>
          <w:rFonts w:cs="Times New Roman"/>
          <w:szCs w:val="24"/>
        </w:rPr>
        <w:t>felinoterapia</w:t>
      </w:r>
      <w:proofErr w:type="spellEnd"/>
      <w:r w:rsidRPr="0091493E">
        <w:rPr>
          <w:rFonts w:cs="Times New Roman"/>
          <w:szCs w:val="24"/>
        </w:rPr>
        <w:t xml:space="preserve"> i </w:t>
      </w:r>
      <w:proofErr w:type="spellStart"/>
      <w:r w:rsidRPr="0091493E">
        <w:rPr>
          <w:rFonts w:cs="Times New Roman"/>
          <w:szCs w:val="24"/>
        </w:rPr>
        <w:t>silwoterapia</w:t>
      </w:r>
      <w:proofErr w:type="spellEnd"/>
      <w:r w:rsidRPr="0091493E">
        <w:rPr>
          <w:rFonts w:cs="Times New Roman"/>
          <w:szCs w:val="24"/>
        </w:rPr>
        <w:t xml:space="preserve"> .</w:t>
      </w:r>
    </w:p>
    <w:p w14:paraId="0B8A3458" w14:textId="77777777" w:rsidR="0091493E" w:rsidRDefault="001F4BBD" w:rsidP="00FE70E3">
      <w:pPr>
        <w:pStyle w:val="Akapitzlist"/>
        <w:numPr>
          <w:ilvl w:val="0"/>
          <w:numId w:val="151"/>
        </w:numPr>
        <w:tabs>
          <w:tab w:val="left" w:pos="5400"/>
        </w:tabs>
        <w:rPr>
          <w:rFonts w:cs="Times New Roman"/>
          <w:szCs w:val="24"/>
        </w:rPr>
      </w:pPr>
      <w:r w:rsidRPr="0091493E">
        <w:rPr>
          <w:rFonts w:cs="Times New Roman"/>
          <w:szCs w:val="24"/>
        </w:rPr>
        <w:t xml:space="preserve">Powiatowe Centrum Pomocy Rodzinie - dofinansowanie ze środków PFRON dla osób 60+ wykorzystano na: turnusy rehabilitacyjne - 170 osób na kwotę 224.911,00 zł, likwidację barier architektonicznych - 29 osób na kwotę 438.466,75 zł, likwidacja barier w komunikowaniu się i technicznych  - 21 osób na kwotę 43.466,80 zł, sprzęt rehabilitacyjny - 50 osób na kwotę 52.872,00 zł., sprzęt ortopedyczny i środki pomocnicze - 596 osób na kwotę 596.595,17 zł., aktywny samorząd - 5 osób na kwotę 24.844,00 zł. </w:t>
      </w:r>
    </w:p>
    <w:p w14:paraId="090FF418" w14:textId="6980C172" w:rsidR="001F4BBD" w:rsidRPr="0091493E" w:rsidRDefault="001F4BBD" w:rsidP="00FE70E3">
      <w:pPr>
        <w:pStyle w:val="Akapitzlist"/>
        <w:numPr>
          <w:ilvl w:val="0"/>
          <w:numId w:val="151"/>
        </w:numPr>
        <w:tabs>
          <w:tab w:val="left" w:pos="5400"/>
        </w:tabs>
        <w:rPr>
          <w:rFonts w:cs="Times New Roman"/>
          <w:szCs w:val="24"/>
        </w:rPr>
      </w:pPr>
      <w:r w:rsidRPr="0091493E">
        <w:rPr>
          <w:rFonts w:cs="Times New Roman"/>
          <w:szCs w:val="24"/>
        </w:rPr>
        <w:lastRenderedPageBreak/>
        <w:t xml:space="preserve">ponadto 4 osoby powyżej 60 r.ż. uzyskały wsparcie w ramach programu Asystent Osobisty Osoby Niepełnosprawnej finansowanego ze środków Funduszu Solidarnościowego.  </w:t>
      </w:r>
    </w:p>
    <w:p w14:paraId="4413F6B7" w14:textId="31B88D2E" w:rsidR="001F4BBD" w:rsidRPr="001F4BBD" w:rsidRDefault="001F4BBD" w:rsidP="001F4BBD">
      <w:pPr>
        <w:tabs>
          <w:tab w:val="left" w:pos="5400"/>
        </w:tabs>
        <w:rPr>
          <w:rFonts w:cs="Times New Roman"/>
          <w:szCs w:val="24"/>
        </w:rPr>
      </w:pPr>
      <w:r w:rsidRPr="001F4BBD">
        <w:rPr>
          <w:rFonts w:cs="Times New Roman"/>
          <w:szCs w:val="24"/>
        </w:rPr>
        <w:t xml:space="preserve"> </w:t>
      </w:r>
    </w:p>
    <w:p w14:paraId="4CEC9496" w14:textId="586B5CF8" w:rsidR="001F4BBD" w:rsidRPr="001F4BBD" w:rsidRDefault="001F4BBD" w:rsidP="001F4BBD">
      <w:pPr>
        <w:tabs>
          <w:tab w:val="left" w:pos="5400"/>
        </w:tabs>
        <w:rPr>
          <w:rFonts w:cs="Times New Roman"/>
          <w:szCs w:val="24"/>
        </w:rPr>
      </w:pPr>
      <w:r w:rsidRPr="001F4BBD">
        <w:rPr>
          <w:rFonts w:cs="Times New Roman"/>
          <w:szCs w:val="24"/>
        </w:rPr>
        <w:t>Gmina Miasto Kraków realizowała m.in.</w:t>
      </w:r>
    </w:p>
    <w:p w14:paraId="1545820C" w14:textId="77777777" w:rsidR="0091493E" w:rsidRDefault="001F4BBD" w:rsidP="00FE70E3">
      <w:pPr>
        <w:pStyle w:val="Akapitzlist"/>
        <w:numPr>
          <w:ilvl w:val="0"/>
          <w:numId w:val="152"/>
        </w:numPr>
        <w:tabs>
          <w:tab w:val="left" w:pos="5400"/>
        </w:tabs>
        <w:rPr>
          <w:rFonts w:cs="Times New Roman"/>
          <w:szCs w:val="24"/>
        </w:rPr>
      </w:pPr>
      <w:r w:rsidRPr="0091493E">
        <w:rPr>
          <w:rFonts w:cs="Times New Roman"/>
          <w:szCs w:val="24"/>
        </w:rPr>
        <w:t xml:space="preserve">Złota Rączka – projekt realizowany przy wsparciu Wydziału Polityki Społecznej i Zdrowia Urzędu Miasta Krakowa. Celem programu jest zapewnienie nieodpłatnej pomocy seniorom w drobnych domowych naprawach. W 2020 r. z programu skorzystały 243 osoby, wykonano łącznie 1008 usług.  </w:t>
      </w:r>
    </w:p>
    <w:p w14:paraId="2E5D3E38" w14:textId="01FD3312" w:rsidR="001F4BBD" w:rsidRDefault="001F4BBD" w:rsidP="00FE70E3">
      <w:pPr>
        <w:pStyle w:val="Akapitzlist"/>
        <w:numPr>
          <w:ilvl w:val="0"/>
          <w:numId w:val="152"/>
        </w:numPr>
        <w:tabs>
          <w:tab w:val="left" w:pos="5400"/>
        </w:tabs>
        <w:rPr>
          <w:rFonts w:cs="Times New Roman"/>
          <w:szCs w:val="24"/>
        </w:rPr>
      </w:pPr>
      <w:r w:rsidRPr="0091493E">
        <w:rPr>
          <w:rFonts w:cs="Times New Roman"/>
          <w:szCs w:val="24"/>
        </w:rPr>
        <w:t>W Sile wieku 2 -  w ramach projektu uruchomiono Klub Samopomocy- Specjalistyczny (18 miejsc) dla osób po 60 roku życia z chorobą Alzheimera lub innymi zespołami otępiennymi oraz po udarach. Celem projektu jest podtrzymanie samodzielności optymalnego stanu psychofizycznego uczestników. W 2020</w:t>
      </w:r>
      <w:r w:rsidR="00EE280C">
        <w:rPr>
          <w:rFonts w:cs="Times New Roman"/>
          <w:szCs w:val="24"/>
        </w:rPr>
        <w:t xml:space="preserve"> r.</w:t>
      </w:r>
      <w:r w:rsidRPr="0091493E">
        <w:rPr>
          <w:rFonts w:cs="Times New Roman"/>
          <w:szCs w:val="24"/>
        </w:rPr>
        <w:t xml:space="preserve"> z usług Klubu skorzystało 7 seniorów oraz 1 opiekun faktyczny.  </w:t>
      </w:r>
    </w:p>
    <w:p w14:paraId="428F7C2B" w14:textId="77777777" w:rsidR="0091493E" w:rsidRDefault="0091493E" w:rsidP="001F4BBD">
      <w:pPr>
        <w:tabs>
          <w:tab w:val="left" w:pos="5400"/>
        </w:tabs>
        <w:rPr>
          <w:rFonts w:cs="Times New Roman"/>
          <w:szCs w:val="24"/>
        </w:rPr>
      </w:pPr>
    </w:p>
    <w:p w14:paraId="7AF56A90" w14:textId="0252EE60" w:rsidR="001F4BBD" w:rsidRPr="001F4BBD" w:rsidRDefault="001F4BBD" w:rsidP="001F4BBD">
      <w:pPr>
        <w:tabs>
          <w:tab w:val="left" w:pos="5400"/>
        </w:tabs>
        <w:rPr>
          <w:rFonts w:cs="Times New Roman"/>
          <w:szCs w:val="24"/>
        </w:rPr>
      </w:pPr>
      <w:r w:rsidRPr="001F4BBD">
        <w:rPr>
          <w:rFonts w:cs="Times New Roman"/>
          <w:szCs w:val="24"/>
        </w:rPr>
        <w:t>Gmina Zielonki m.in. zorganizowała:</w:t>
      </w:r>
    </w:p>
    <w:p w14:paraId="46D0535B" w14:textId="77777777" w:rsidR="000D2483" w:rsidRDefault="001F4BBD" w:rsidP="00FE70E3">
      <w:pPr>
        <w:pStyle w:val="Akapitzlist"/>
        <w:numPr>
          <w:ilvl w:val="0"/>
          <w:numId w:val="153"/>
        </w:numPr>
        <w:tabs>
          <w:tab w:val="left" w:pos="5400"/>
        </w:tabs>
        <w:rPr>
          <w:rFonts w:cs="Times New Roman"/>
          <w:szCs w:val="24"/>
        </w:rPr>
      </w:pPr>
      <w:r w:rsidRPr="0091493E">
        <w:rPr>
          <w:rFonts w:cs="Times New Roman"/>
          <w:szCs w:val="24"/>
        </w:rPr>
        <w:t xml:space="preserve">Paczki Wielkanocne - pracownicy socjalni rozwieźli do miejsc zamieszkania poczęstunek świąteczny w formie gorącego posiłku do 29 osób w wieku 60+ z terenu gminy Zielonki. Gorący posiłek sponsorowany był przez lokalną firmę gastronomiczną. </w:t>
      </w:r>
    </w:p>
    <w:p w14:paraId="68331C5A" w14:textId="010C100C" w:rsidR="001F4BBD" w:rsidRPr="000D2483" w:rsidRDefault="001F4BBD" w:rsidP="00FE70E3">
      <w:pPr>
        <w:pStyle w:val="Akapitzlist"/>
        <w:numPr>
          <w:ilvl w:val="0"/>
          <w:numId w:val="153"/>
        </w:numPr>
        <w:tabs>
          <w:tab w:val="left" w:pos="5400"/>
        </w:tabs>
        <w:rPr>
          <w:rFonts w:cs="Times New Roman"/>
          <w:szCs w:val="24"/>
        </w:rPr>
      </w:pPr>
      <w:r w:rsidRPr="000D2483">
        <w:rPr>
          <w:rFonts w:cs="Times New Roman"/>
          <w:szCs w:val="24"/>
        </w:rPr>
        <w:t xml:space="preserve">Przeprowadzono mini wykłady profilaktyczne dla seniorów pn. „Przestępstwa w rodzinie, przemoc wobec osób starszych” oraz "Bezpieczeństwo na co dzień" (1 sp. x 3h). Do udziału w zajęciach zrekrutowano, zgodnie z założeniem 10 seniorów. Podjęto współpracę w tym zakresie z Centrum Kultury Promocji i Rekreacji w Zielonkach, które było odpowiedzialne za nabór uczestników do udziału w zajęciach oraz wsparło przeprowadzenie zajęć edukacyjnych dla beneficjentów. Przedstawiciele Komisariatu Policji w Zielonkach z siedzibą w Krakowie wsparli przeprowadzenie zajęć dla beneficjentów, poprzez udostepnienie materiałów informacyjno-edukacyjnych i przedstawienie prezentacji.  </w:t>
      </w:r>
    </w:p>
    <w:p w14:paraId="55E16A06" w14:textId="77777777" w:rsidR="000D2483" w:rsidRDefault="000D2483" w:rsidP="001F4BBD">
      <w:pPr>
        <w:tabs>
          <w:tab w:val="left" w:pos="5400"/>
        </w:tabs>
        <w:rPr>
          <w:rFonts w:cs="Times New Roman"/>
          <w:szCs w:val="24"/>
        </w:rPr>
      </w:pPr>
    </w:p>
    <w:p w14:paraId="0BD3AA53" w14:textId="68BA8085" w:rsidR="001F4BBD" w:rsidRPr="001F4BBD" w:rsidRDefault="001F4BBD" w:rsidP="001F4BBD">
      <w:pPr>
        <w:tabs>
          <w:tab w:val="left" w:pos="5400"/>
        </w:tabs>
        <w:rPr>
          <w:rFonts w:cs="Times New Roman"/>
          <w:szCs w:val="24"/>
        </w:rPr>
      </w:pPr>
      <w:r w:rsidRPr="001F4BBD">
        <w:rPr>
          <w:rFonts w:cs="Times New Roman"/>
          <w:szCs w:val="24"/>
        </w:rPr>
        <w:t>Gmina Kęty m.in.:</w:t>
      </w:r>
    </w:p>
    <w:p w14:paraId="7B287F72" w14:textId="77777777" w:rsidR="000D2483" w:rsidRDefault="001F4BBD" w:rsidP="00FE70E3">
      <w:pPr>
        <w:pStyle w:val="Akapitzlist"/>
        <w:numPr>
          <w:ilvl w:val="0"/>
          <w:numId w:val="154"/>
        </w:numPr>
        <w:tabs>
          <w:tab w:val="left" w:pos="5400"/>
        </w:tabs>
        <w:rPr>
          <w:rFonts w:cs="Times New Roman"/>
          <w:szCs w:val="24"/>
        </w:rPr>
      </w:pPr>
      <w:r w:rsidRPr="000D2483">
        <w:rPr>
          <w:rFonts w:cs="Times New Roman"/>
          <w:szCs w:val="24"/>
        </w:rPr>
        <w:t xml:space="preserve">Zorganizowała Punkt Informacji dla Seniorów (udzielanie informacji dotyczących ulg i uprawnień dla osób starszych i niepełnosprawnych oraz udostępnianie druków i pomoc w ich wypełnianiu). </w:t>
      </w:r>
    </w:p>
    <w:p w14:paraId="1389D363" w14:textId="2649E024" w:rsidR="001F4BBD" w:rsidRPr="000D2483" w:rsidRDefault="001F4BBD" w:rsidP="00FE70E3">
      <w:pPr>
        <w:pStyle w:val="Akapitzlist"/>
        <w:numPr>
          <w:ilvl w:val="0"/>
          <w:numId w:val="154"/>
        </w:numPr>
        <w:tabs>
          <w:tab w:val="left" w:pos="5400"/>
        </w:tabs>
        <w:rPr>
          <w:rFonts w:cs="Times New Roman"/>
          <w:szCs w:val="24"/>
        </w:rPr>
      </w:pPr>
      <w:r w:rsidRPr="000D2483">
        <w:rPr>
          <w:rFonts w:cs="Times New Roman"/>
          <w:szCs w:val="24"/>
        </w:rPr>
        <w:t xml:space="preserve">współpraca z fundacją </w:t>
      </w:r>
      <w:proofErr w:type="spellStart"/>
      <w:r w:rsidRPr="000D2483">
        <w:rPr>
          <w:rFonts w:cs="Times New Roman"/>
          <w:szCs w:val="24"/>
        </w:rPr>
        <w:t>EcoTextil</w:t>
      </w:r>
      <w:proofErr w:type="spellEnd"/>
      <w:r w:rsidRPr="000D2483">
        <w:rPr>
          <w:rFonts w:cs="Times New Roman"/>
          <w:szCs w:val="24"/>
        </w:rPr>
        <w:t xml:space="preserve"> w zakresie bezpłatnej wypożyczalni sprzętu rehabilitacyjnego. W 2020 r. z wypożyczalni skorzystały 22 osoby wypożyczając wózki, balkoniki, kule oraz rowery trzykołowe.  </w:t>
      </w:r>
    </w:p>
    <w:p w14:paraId="5BFA165B" w14:textId="24388444" w:rsidR="000D2483" w:rsidRDefault="000D2483" w:rsidP="001F4BBD">
      <w:pPr>
        <w:tabs>
          <w:tab w:val="left" w:pos="5400"/>
        </w:tabs>
        <w:rPr>
          <w:rFonts w:cs="Times New Roman"/>
          <w:szCs w:val="24"/>
        </w:rPr>
      </w:pPr>
    </w:p>
    <w:p w14:paraId="297F2BF2" w14:textId="5B207B70" w:rsidR="001F4BBD" w:rsidRPr="000D2483" w:rsidRDefault="001F4BBD" w:rsidP="001F4BBD">
      <w:pPr>
        <w:tabs>
          <w:tab w:val="left" w:pos="5400"/>
        </w:tabs>
        <w:rPr>
          <w:rFonts w:cs="Times New Roman"/>
          <w:b/>
          <w:bCs/>
          <w:szCs w:val="24"/>
        </w:rPr>
      </w:pPr>
      <w:r w:rsidRPr="000D2483">
        <w:rPr>
          <w:rFonts w:cs="Times New Roman"/>
          <w:b/>
          <w:bCs/>
          <w:szCs w:val="24"/>
        </w:rPr>
        <w:t>Przykłady innowacyjnych rozwiązań</w:t>
      </w:r>
    </w:p>
    <w:p w14:paraId="0EC5B87C" w14:textId="5589883A" w:rsidR="001F4BBD" w:rsidRPr="001F4BBD" w:rsidRDefault="001F4BBD" w:rsidP="001F4BBD">
      <w:pPr>
        <w:tabs>
          <w:tab w:val="left" w:pos="5400"/>
        </w:tabs>
        <w:rPr>
          <w:rFonts w:cs="Times New Roman"/>
          <w:szCs w:val="24"/>
        </w:rPr>
      </w:pPr>
      <w:r w:rsidRPr="001F4BBD">
        <w:rPr>
          <w:rFonts w:cs="Times New Roman"/>
          <w:szCs w:val="24"/>
        </w:rPr>
        <w:t xml:space="preserve">Inkubator Włączenia Społecznego  realizowany jest przez Regionalny Ośrodek Polityki Społecznej w Krakowie, Fundację Rozwoju Demokracji Lokalnej im. Jerzego Regulskiego oraz Uniwersytet Jagielloński w Krakowie. Zakłada wypracowanie i przetestowanie 60 innowacyjnych rozwiązań, które pozwolą na szybsze, skuteczniejsze i bardziej wydajne rozwiązywanie problemów w obszarze włączenia społecznego. Odbiorcami i użytkownikami nowych rozwiązań będą osoby wykluczone i zagrożone wykluczeniem, w tym także z powodu wieku czy niepełnosprawności. Innowacje finansowane i wspierane w ramach projektu powinny ułatwiać funkcjonowanie w przestrzeni publicznej i prywatnej, zwiększać dostęp do różnego </w:t>
      </w:r>
      <w:r w:rsidRPr="001F4BBD">
        <w:rPr>
          <w:rFonts w:cs="Times New Roman"/>
          <w:szCs w:val="24"/>
        </w:rPr>
        <w:lastRenderedPageBreak/>
        <w:t xml:space="preserve">typu usług lub być produktami czy metodami pracy, które ułatwią aktywne życie. W 2020 r. rozpoczęto ogólnopolską akcję konsultacyjno-informacyjną, w ramach której działał Mobilny Punkt i przeprowadzono indywidualne i grupowe spotkania dla potencjalnych wnioskodawców. </w:t>
      </w:r>
    </w:p>
    <w:p w14:paraId="649814E2" w14:textId="77777777" w:rsidR="000D2483" w:rsidRDefault="000D2483" w:rsidP="001F4BBD">
      <w:pPr>
        <w:tabs>
          <w:tab w:val="left" w:pos="5400"/>
        </w:tabs>
        <w:rPr>
          <w:rFonts w:cs="Times New Roman"/>
          <w:szCs w:val="24"/>
        </w:rPr>
      </w:pPr>
    </w:p>
    <w:p w14:paraId="52433128" w14:textId="46A4A874" w:rsidR="001F4BBD" w:rsidRPr="001F4BBD" w:rsidRDefault="001F4BBD" w:rsidP="001F4BBD">
      <w:pPr>
        <w:tabs>
          <w:tab w:val="left" w:pos="5400"/>
        </w:tabs>
        <w:rPr>
          <w:rFonts w:cs="Times New Roman"/>
          <w:szCs w:val="24"/>
        </w:rPr>
      </w:pPr>
      <w:r w:rsidRPr="001F4BBD">
        <w:rPr>
          <w:rFonts w:cs="Times New Roman"/>
          <w:szCs w:val="24"/>
        </w:rPr>
        <w:t>Inkubator Dostępności  - zadaniem projektu jest niwelowanie barier w dostępie do usług, produktów i przestrzeni publicznej dla osób o ograniczonej mobilności, percepcji, starszych i z niepełnosprawnościami. W 2020 r</w:t>
      </w:r>
      <w:r w:rsidR="00EE280C">
        <w:rPr>
          <w:rFonts w:cs="Times New Roman"/>
          <w:szCs w:val="24"/>
        </w:rPr>
        <w:t>.</w:t>
      </w:r>
      <w:r w:rsidRPr="001F4BBD">
        <w:rPr>
          <w:rFonts w:cs="Times New Roman"/>
          <w:szCs w:val="24"/>
        </w:rPr>
        <w:t xml:space="preserve"> w ramach projektu przeprowadzono ogólnopolską akcję konsultacyjno-informacyjną, w ramach której działał także Mobilny Punkt i przeprowadzono spotkania informacyjno-konsultacyjne dla potencjalnych wnioskodawców. Zrealizowano </w:t>
      </w:r>
      <w:proofErr w:type="spellStart"/>
      <w:r w:rsidRPr="001F4BBD">
        <w:rPr>
          <w:rFonts w:cs="Times New Roman"/>
          <w:szCs w:val="24"/>
        </w:rPr>
        <w:t>Innovathony</w:t>
      </w:r>
      <w:proofErr w:type="spellEnd"/>
      <w:r w:rsidRPr="001F4BBD">
        <w:rPr>
          <w:rFonts w:cs="Times New Roman"/>
          <w:szCs w:val="24"/>
        </w:rPr>
        <w:t xml:space="preserve"> dla dostępności - maratony projektowania innowacji w ramach których uczestnicy korzystając z metody Design </w:t>
      </w:r>
      <w:proofErr w:type="spellStart"/>
      <w:r w:rsidRPr="001F4BBD">
        <w:rPr>
          <w:rFonts w:cs="Times New Roman"/>
          <w:szCs w:val="24"/>
        </w:rPr>
        <w:t>Thinking</w:t>
      </w:r>
      <w:proofErr w:type="spellEnd"/>
      <w:r w:rsidRPr="001F4BBD">
        <w:rPr>
          <w:rFonts w:cs="Times New Roman"/>
          <w:szCs w:val="24"/>
        </w:rPr>
        <w:t xml:space="preserve"> opracowywali prototypy rozwiązań zwiększających dostępność do przestrzeni publicznej i zrealizowano nabór pomysłów na Innowacje Społeczne. Spośród 111 nadesłanych zgłoszeń pozytywnie oceniono 33, a 14 z nich rozpoczęło realizację.</w:t>
      </w:r>
    </w:p>
    <w:p w14:paraId="638FD948" w14:textId="77777777" w:rsidR="000D2483" w:rsidRDefault="000D2483" w:rsidP="001F4BBD">
      <w:pPr>
        <w:tabs>
          <w:tab w:val="left" w:pos="5400"/>
        </w:tabs>
        <w:rPr>
          <w:rFonts w:cs="Times New Roman"/>
          <w:szCs w:val="24"/>
        </w:rPr>
      </w:pPr>
    </w:p>
    <w:p w14:paraId="76C1A9A3" w14:textId="7C805D7F" w:rsidR="001F4BBD" w:rsidRPr="001F4BBD" w:rsidRDefault="001F4BBD" w:rsidP="001F4BBD">
      <w:pPr>
        <w:tabs>
          <w:tab w:val="left" w:pos="5400"/>
        </w:tabs>
        <w:rPr>
          <w:rFonts w:cs="Times New Roman"/>
          <w:szCs w:val="24"/>
        </w:rPr>
      </w:pPr>
      <w:proofErr w:type="spellStart"/>
      <w:r w:rsidRPr="001F4BBD">
        <w:rPr>
          <w:rFonts w:cs="Times New Roman"/>
          <w:szCs w:val="24"/>
        </w:rPr>
        <w:t>Ithaca</w:t>
      </w:r>
      <w:proofErr w:type="spellEnd"/>
      <w:r w:rsidRPr="001F4BBD">
        <w:rPr>
          <w:rFonts w:cs="Times New Roman"/>
          <w:szCs w:val="24"/>
        </w:rPr>
        <w:t xml:space="preserve">  – projekt polega na stymulowaniu wdrażania i rozwijania innowacyjnych rozwiązań i tworzenia ekosystemów na rzecz aktywnego i zdrowego starzenia oraz utworzeniu modelu „</w:t>
      </w:r>
      <w:proofErr w:type="spellStart"/>
      <w:r w:rsidRPr="001F4BBD">
        <w:rPr>
          <w:rFonts w:cs="Times New Roman"/>
          <w:szCs w:val="24"/>
        </w:rPr>
        <w:t>triple</w:t>
      </w:r>
      <w:proofErr w:type="spellEnd"/>
      <w:r w:rsidRPr="001F4BBD">
        <w:rPr>
          <w:rFonts w:cs="Times New Roman"/>
          <w:szCs w:val="24"/>
        </w:rPr>
        <w:t xml:space="preserve"> win”, który pozwoli na poprawę stanu zdrowia i dobrobytu pacjentów indywidualnych oraz ich zdolności samodzielnej opieki i samodzielnego życia dłużej niż obecnie i zapewni lepszą kondycję i zyski finansowe sektorom opieki zdrowotnej i społecznej. Małopolska w swoim planie skupia się na wsparciu działań skierowanych do centrów „</w:t>
      </w:r>
      <w:proofErr w:type="spellStart"/>
      <w:r w:rsidRPr="001F4BBD">
        <w:rPr>
          <w:rFonts w:cs="Times New Roman"/>
          <w:szCs w:val="24"/>
        </w:rPr>
        <w:t>wytchnieniowych</w:t>
      </w:r>
      <w:proofErr w:type="spellEnd"/>
      <w:r w:rsidRPr="001F4BBD">
        <w:rPr>
          <w:rFonts w:cs="Times New Roman"/>
          <w:szCs w:val="24"/>
        </w:rPr>
        <w:t xml:space="preserve">” oraz projektu Małopolski  Tele-Anioł. </w:t>
      </w:r>
    </w:p>
    <w:p w14:paraId="7E95D7CF" w14:textId="77777777" w:rsidR="001F4BBD" w:rsidRPr="001F4BBD" w:rsidRDefault="001F4BBD" w:rsidP="001F4BBD">
      <w:pPr>
        <w:tabs>
          <w:tab w:val="left" w:pos="5400"/>
        </w:tabs>
        <w:rPr>
          <w:rFonts w:cs="Times New Roman"/>
          <w:szCs w:val="24"/>
        </w:rPr>
      </w:pPr>
      <w:r w:rsidRPr="001F4BBD">
        <w:rPr>
          <w:rFonts w:cs="Times New Roman"/>
          <w:szCs w:val="24"/>
        </w:rPr>
        <w:t xml:space="preserve">Z uwagi na sytuację epidemiczną warsztaty dla partnerów projektu ITHACA obejmowały m.in. wymianę doświadczeń w zakresie łączenia </w:t>
      </w:r>
      <w:proofErr w:type="spellStart"/>
      <w:r w:rsidRPr="001F4BBD">
        <w:rPr>
          <w:rFonts w:cs="Times New Roman"/>
          <w:szCs w:val="24"/>
        </w:rPr>
        <w:t>teleopieki</w:t>
      </w:r>
      <w:proofErr w:type="spellEnd"/>
      <w:r w:rsidRPr="001F4BBD">
        <w:rPr>
          <w:rFonts w:cs="Times New Roman"/>
          <w:szCs w:val="24"/>
        </w:rPr>
        <w:t xml:space="preserve"> i </w:t>
      </w:r>
      <w:proofErr w:type="spellStart"/>
      <w:r w:rsidRPr="001F4BBD">
        <w:rPr>
          <w:rFonts w:cs="Times New Roman"/>
          <w:szCs w:val="24"/>
        </w:rPr>
        <w:t>telemedycyny</w:t>
      </w:r>
      <w:proofErr w:type="spellEnd"/>
      <w:r w:rsidRPr="001F4BBD">
        <w:rPr>
          <w:rFonts w:cs="Times New Roman"/>
          <w:szCs w:val="24"/>
        </w:rPr>
        <w:t xml:space="preserve">, rozwijania innowacji w zdrowiu oraz wpływu COVID-19 na rozwój cyfrowych rozwiązań poprzez </w:t>
      </w:r>
      <w:proofErr w:type="spellStart"/>
      <w:r w:rsidRPr="001F4BBD">
        <w:rPr>
          <w:rFonts w:cs="Times New Roman"/>
          <w:szCs w:val="24"/>
        </w:rPr>
        <w:t>Living</w:t>
      </w:r>
      <w:proofErr w:type="spellEnd"/>
      <w:r w:rsidRPr="001F4BBD">
        <w:rPr>
          <w:rFonts w:cs="Times New Roman"/>
          <w:szCs w:val="24"/>
        </w:rPr>
        <w:t xml:space="preserve">-Laby. W ramach realizacji regionalnego planu działania dla Małopolski odbyły się 2 spotkania Zespołu zadaniowego ds. opracowania koncepcji rozwoju </w:t>
      </w:r>
      <w:proofErr w:type="spellStart"/>
      <w:r w:rsidRPr="001F4BBD">
        <w:rPr>
          <w:rFonts w:cs="Times New Roman"/>
          <w:szCs w:val="24"/>
        </w:rPr>
        <w:t>teleopieki</w:t>
      </w:r>
      <w:proofErr w:type="spellEnd"/>
      <w:r w:rsidRPr="001F4BBD">
        <w:rPr>
          <w:rFonts w:cs="Times New Roman"/>
          <w:szCs w:val="24"/>
        </w:rPr>
        <w:t xml:space="preserve"> </w:t>
      </w:r>
    </w:p>
    <w:p w14:paraId="55851B4E" w14:textId="77777777" w:rsidR="001F4BBD" w:rsidRPr="001F4BBD" w:rsidRDefault="001F4BBD" w:rsidP="001F4BBD">
      <w:pPr>
        <w:tabs>
          <w:tab w:val="left" w:pos="5400"/>
        </w:tabs>
        <w:rPr>
          <w:rFonts w:cs="Times New Roman"/>
          <w:szCs w:val="24"/>
        </w:rPr>
      </w:pPr>
      <w:r w:rsidRPr="001F4BBD">
        <w:rPr>
          <w:rFonts w:cs="Times New Roman"/>
          <w:szCs w:val="24"/>
        </w:rPr>
        <w:t xml:space="preserve">w regionie. Członkom zespołu przekazano pozyskane w ITHACA dobre praktyki z zakresu </w:t>
      </w:r>
      <w:proofErr w:type="spellStart"/>
      <w:r w:rsidRPr="001F4BBD">
        <w:rPr>
          <w:rFonts w:cs="Times New Roman"/>
          <w:szCs w:val="24"/>
        </w:rPr>
        <w:t>teleopieki</w:t>
      </w:r>
      <w:proofErr w:type="spellEnd"/>
      <w:r w:rsidRPr="001F4BBD">
        <w:rPr>
          <w:rFonts w:cs="Times New Roman"/>
          <w:szCs w:val="24"/>
        </w:rPr>
        <w:t xml:space="preserve">. Natomiast w ramach wsparcia centrów opiekunów nieformalnych opracowana została ankieta badająca potrzeby szkoleniowe centrów. </w:t>
      </w:r>
    </w:p>
    <w:p w14:paraId="08573201" w14:textId="77777777" w:rsidR="000D2483" w:rsidRDefault="000D2483" w:rsidP="001F4BBD">
      <w:pPr>
        <w:tabs>
          <w:tab w:val="left" w:pos="5400"/>
        </w:tabs>
        <w:rPr>
          <w:rFonts w:cs="Times New Roman"/>
          <w:szCs w:val="24"/>
        </w:rPr>
      </w:pPr>
    </w:p>
    <w:p w14:paraId="6E7569F5" w14:textId="35DF349F" w:rsidR="001F4BBD" w:rsidRPr="001F4BBD" w:rsidRDefault="001F4BBD" w:rsidP="001F4BBD">
      <w:pPr>
        <w:tabs>
          <w:tab w:val="left" w:pos="5400"/>
        </w:tabs>
        <w:rPr>
          <w:rFonts w:cs="Times New Roman"/>
          <w:szCs w:val="24"/>
        </w:rPr>
      </w:pPr>
      <w:r w:rsidRPr="001F4BBD">
        <w:rPr>
          <w:rFonts w:cs="Times New Roman"/>
          <w:szCs w:val="24"/>
        </w:rPr>
        <w:t>HoCare2.0  – celem projektu HoCare2.0 jest rozwijanie ekosystemów z zakresu opieki nad osobami starszymi w środowisku domowym, między innymi w oparciu o innowacyjne rozwiązania IT oraz dostarczanie i wdrażanie nowoczesnych narzędzi dla opieki domowej (zdrowotnej i społecznej) w oparciu o potrzeby użytkowników końcowych i ich formalnych lub nieformalnych opiekunów. W 2020</w:t>
      </w:r>
      <w:r w:rsidR="00EE280C">
        <w:rPr>
          <w:rFonts w:cs="Times New Roman"/>
          <w:szCs w:val="24"/>
        </w:rPr>
        <w:t xml:space="preserve"> r.</w:t>
      </w:r>
      <w:r w:rsidRPr="001F4BBD">
        <w:rPr>
          <w:rFonts w:cs="Times New Roman"/>
          <w:szCs w:val="24"/>
        </w:rPr>
        <w:t xml:space="preserve"> odbyły się spotkania grup fokusowych mających na celu identyfikację szeroko rozumianych potrzeb mieszkańców Małopolski w zakresie opieki domowej. Ponadto opracowano podręczniki współtworzenia produktów oraz publicznych usług opieki domowej – osobno dla instytucji świadczących usługi publiczne oraz dla MŚP działających w tym sektorze. Rozpoczęto także prace nad pilotażem dotyczącym współtworzenia publicznej usługi opieki domowej w Małopolsce. Działaniem pilotażowym objęta została grupa 15 pacjentów żywionych dojelitowo (za pośrednictwem PEG) i 15 opiekunów z terenu województwa małopolskiego. W ramach pilotażu przeprowadzono wywiad empatyczny i kontekstowy z pacjentami i opiekunami, na podstawie których powstał raport ze zidentyfikowanymi potrzebami grupy docelowej.</w:t>
      </w:r>
    </w:p>
    <w:p w14:paraId="06FC1B75" w14:textId="1425FD06" w:rsidR="001F4BBD" w:rsidRDefault="001F4BBD" w:rsidP="001F4BBD">
      <w:pPr>
        <w:tabs>
          <w:tab w:val="left" w:pos="5400"/>
        </w:tabs>
        <w:rPr>
          <w:rFonts w:cs="Times New Roman"/>
          <w:szCs w:val="24"/>
        </w:rPr>
      </w:pPr>
      <w:r w:rsidRPr="001F4BBD">
        <w:rPr>
          <w:rFonts w:cs="Times New Roman"/>
          <w:szCs w:val="24"/>
        </w:rPr>
        <w:tab/>
      </w:r>
    </w:p>
    <w:p w14:paraId="16B5C447" w14:textId="2AC82D68" w:rsidR="001F4BBD" w:rsidRDefault="001F4BBD" w:rsidP="001F4BBD">
      <w:pPr>
        <w:pStyle w:val="Nagwek3"/>
      </w:pPr>
      <w:bookmarkStart w:id="195" w:name="_Toc77513982"/>
      <w:bookmarkStart w:id="196" w:name="_Toc80523136"/>
      <w:r w:rsidRPr="001F4BBD">
        <w:lastRenderedPageBreak/>
        <w:t xml:space="preserve">Działania związane z ochroną seniorów przed negatywnymi skutkami pandemii COVID-19, które zostały podjęte w 2020 r w województwie </w:t>
      </w:r>
      <w:r>
        <w:t>małopolskim</w:t>
      </w:r>
      <w:bookmarkEnd w:id="195"/>
      <w:bookmarkEnd w:id="196"/>
    </w:p>
    <w:p w14:paraId="5C82BC8E" w14:textId="77777777" w:rsidR="000B1B06" w:rsidRPr="000B1B06" w:rsidRDefault="000B1B06" w:rsidP="000B1B06"/>
    <w:p w14:paraId="60B4FD31" w14:textId="69094DF5" w:rsidR="001F4BBD" w:rsidRPr="001F4BBD" w:rsidRDefault="001F4BBD" w:rsidP="001F4BBD">
      <w:pPr>
        <w:tabs>
          <w:tab w:val="left" w:pos="5400"/>
        </w:tabs>
        <w:rPr>
          <w:rFonts w:cs="Times New Roman"/>
          <w:szCs w:val="24"/>
        </w:rPr>
      </w:pPr>
      <w:r w:rsidRPr="001F4BBD">
        <w:rPr>
          <w:rFonts w:cs="Times New Roman"/>
          <w:szCs w:val="24"/>
        </w:rPr>
        <w:t>W zakresie związanym z ochroną seniorów przed negatywnymi skutkami pandemii COVID-19 w 2020 r. były podejmowane następujące działania:</w:t>
      </w:r>
    </w:p>
    <w:p w14:paraId="3CF30708" w14:textId="77777777" w:rsidR="0091493E" w:rsidRDefault="001F4BBD" w:rsidP="00FE70E3">
      <w:pPr>
        <w:pStyle w:val="Akapitzlist"/>
        <w:numPr>
          <w:ilvl w:val="0"/>
          <w:numId w:val="145"/>
        </w:numPr>
        <w:tabs>
          <w:tab w:val="left" w:pos="5400"/>
        </w:tabs>
        <w:rPr>
          <w:rFonts w:cs="Times New Roman"/>
          <w:szCs w:val="24"/>
        </w:rPr>
      </w:pPr>
      <w:r w:rsidRPr="0091493E">
        <w:rPr>
          <w:rFonts w:cs="Times New Roman"/>
          <w:szCs w:val="24"/>
        </w:rPr>
        <w:t>realizacja programu „Wspieraj Seniora” przez 138 gmin. Do udziału w  Programie przystąpiło 167 gmin, jednakże z uwagi na problemy z realizacją zadania, 29 gmin zrezygnowało z udziału w Programie i zwróciło środki. Liczba osób, którym udzielono wsparcia w ramach programu wyniosła 4 112. Całkowity koszt zadania wyniósł 3 792 804 zł, w tym środki dotacji w wysokości 2 955 513 zł.</w:t>
      </w:r>
    </w:p>
    <w:p w14:paraId="6BC07372" w14:textId="4833705D" w:rsidR="0091493E" w:rsidRDefault="001F4BBD" w:rsidP="00FE70E3">
      <w:pPr>
        <w:pStyle w:val="Akapitzlist"/>
        <w:numPr>
          <w:ilvl w:val="0"/>
          <w:numId w:val="145"/>
        </w:numPr>
        <w:tabs>
          <w:tab w:val="left" w:pos="5400"/>
        </w:tabs>
        <w:rPr>
          <w:rFonts w:cs="Times New Roman"/>
          <w:szCs w:val="24"/>
        </w:rPr>
      </w:pPr>
      <w:r w:rsidRPr="0091493E">
        <w:rPr>
          <w:rFonts w:cs="Times New Roman"/>
          <w:szCs w:val="24"/>
        </w:rPr>
        <w:t>od 27 kwietnia do 4 czerwca 2020 r</w:t>
      </w:r>
      <w:r w:rsidR="00EE280C">
        <w:rPr>
          <w:rFonts w:cs="Times New Roman"/>
          <w:szCs w:val="24"/>
        </w:rPr>
        <w:t>.</w:t>
      </w:r>
      <w:r w:rsidRPr="0091493E">
        <w:rPr>
          <w:rFonts w:cs="Times New Roman"/>
          <w:szCs w:val="24"/>
        </w:rPr>
        <w:t xml:space="preserve"> przeprowadzono badania na obecność wirusa SARS-CoV-2 wśród pracowników domów pomocy społecznej, zakładów opiekuńczo-leczniczych oraz hospicjów stacjonarnych na terenie powiatów o najwyższym ryzyku epidemicznym. </w:t>
      </w:r>
    </w:p>
    <w:p w14:paraId="2CF07918" w14:textId="77777777" w:rsidR="0091493E" w:rsidRDefault="001F4BBD" w:rsidP="00FE70E3">
      <w:pPr>
        <w:pStyle w:val="Akapitzlist"/>
        <w:numPr>
          <w:ilvl w:val="0"/>
          <w:numId w:val="145"/>
        </w:numPr>
        <w:tabs>
          <w:tab w:val="left" w:pos="5400"/>
        </w:tabs>
        <w:rPr>
          <w:rFonts w:cs="Times New Roman"/>
          <w:szCs w:val="24"/>
        </w:rPr>
      </w:pPr>
      <w:r w:rsidRPr="0091493E">
        <w:rPr>
          <w:rFonts w:cs="Times New Roman"/>
          <w:szCs w:val="24"/>
        </w:rPr>
        <w:t xml:space="preserve">wydawano środki ochrony indywidualnej. Wojewoda Małopolski uczestniczył w dystrybucji środków ochrony indywidualnej przekazywanej przez Agencję Rezerw Materiałowych (aktualnie Rządową Agencję Rezerw Strategicznych), m.in. do zakładów opiekuńczo - leczniczych, </w:t>
      </w:r>
      <w:proofErr w:type="spellStart"/>
      <w:r w:rsidRPr="0091493E">
        <w:rPr>
          <w:rFonts w:cs="Times New Roman"/>
          <w:szCs w:val="24"/>
        </w:rPr>
        <w:t>pielęgnacyjno</w:t>
      </w:r>
      <w:proofErr w:type="spellEnd"/>
      <w:r w:rsidRPr="0091493E">
        <w:rPr>
          <w:rFonts w:cs="Times New Roman"/>
          <w:szCs w:val="24"/>
        </w:rPr>
        <w:t xml:space="preserve"> – opiekuńczych, hospicjów, podmiotów opieki długoterminowej domowej.</w:t>
      </w:r>
    </w:p>
    <w:p w14:paraId="01FD7990" w14:textId="786A6DEF" w:rsidR="0091493E" w:rsidRDefault="001F4BBD" w:rsidP="00FE70E3">
      <w:pPr>
        <w:pStyle w:val="Akapitzlist"/>
        <w:numPr>
          <w:ilvl w:val="0"/>
          <w:numId w:val="145"/>
        </w:numPr>
        <w:tabs>
          <w:tab w:val="left" w:pos="5400"/>
        </w:tabs>
        <w:rPr>
          <w:rFonts w:cs="Times New Roman"/>
          <w:szCs w:val="24"/>
        </w:rPr>
      </w:pPr>
      <w:r w:rsidRPr="0091493E">
        <w:rPr>
          <w:rFonts w:cs="Times New Roman"/>
          <w:szCs w:val="24"/>
        </w:rPr>
        <w:t>Wojewoda Małopolski polecił wytypowanym szpitalom z terenu województwa małopolskiego realizację zadań, o których mowa w § 3 rozporządzenia Ministra Zdrowia z dnia 25 lutego 2021 r. w sprawie chorób zakaźnych powodujących powstanie obowiązku hospitalizacji, izolacji lub izolacji w warunkach domowych oraz obowiązku kwarantanny lub nadzoru epidemiologicznego (Dz. U. z 2021 r. poz. 351</w:t>
      </w:r>
      <w:r w:rsidR="00FF056A">
        <w:rPr>
          <w:rFonts w:cs="Times New Roman"/>
          <w:szCs w:val="24"/>
        </w:rPr>
        <w:t xml:space="preserve">, z </w:t>
      </w:r>
      <w:proofErr w:type="spellStart"/>
      <w:r w:rsidR="00FF056A">
        <w:rPr>
          <w:rFonts w:cs="Times New Roman"/>
          <w:szCs w:val="24"/>
        </w:rPr>
        <w:t>późn</w:t>
      </w:r>
      <w:proofErr w:type="spellEnd"/>
      <w:r w:rsidR="00FF056A">
        <w:rPr>
          <w:rFonts w:cs="Times New Roman"/>
          <w:szCs w:val="24"/>
        </w:rPr>
        <w:t>. zm.</w:t>
      </w:r>
      <w:r w:rsidRPr="0091493E">
        <w:rPr>
          <w:rFonts w:cs="Times New Roman"/>
          <w:szCs w:val="24"/>
        </w:rPr>
        <w:t>) w stosunku do mieszkańców domów pomocy społecznej.</w:t>
      </w:r>
    </w:p>
    <w:p w14:paraId="320F7985" w14:textId="2A18518E" w:rsidR="001F4BBD" w:rsidRPr="0091493E" w:rsidRDefault="001F4BBD" w:rsidP="00FE70E3">
      <w:pPr>
        <w:pStyle w:val="Akapitzlist"/>
        <w:numPr>
          <w:ilvl w:val="0"/>
          <w:numId w:val="145"/>
        </w:numPr>
        <w:tabs>
          <w:tab w:val="left" w:pos="5400"/>
        </w:tabs>
        <w:rPr>
          <w:rFonts w:cs="Times New Roman"/>
          <w:szCs w:val="24"/>
        </w:rPr>
      </w:pPr>
      <w:r w:rsidRPr="0091493E">
        <w:rPr>
          <w:rFonts w:cs="Times New Roman"/>
          <w:szCs w:val="24"/>
        </w:rPr>
        <w:t>W ramach etapu II MTA ROPS w Krakowie realizował 4 moduły projektowe przeznaczone dla placówek opieki całodobowej z Małopolski – personelu, mieszkańców, pacjentów. Wiele z tych placówek przeznaczonych jest dla seniorów lub seniorzy stanowią znaczącą cześć ich mieszkańców. Wśród efektów pakietu społecznego MTA należy wskazać - poprawę bezpieczeństwa 198 małopolskich placówek opieki całodobowej w ramach modułu I, a tym samym ponad 21 tysięcy ich mieszkańców, pacjentów i pracowników, wsparcie wynagrodzeń co najmniej 4 300 pracowników małopolskich domów pomocy społecznej, zatrudnienie minimum 150 osób dodatkowej kadry w DPS, ponad 5 000 wykonanych testów u personelu DPS na obecność wirusa - w ramach modułu II; dofinansowanie 180 samorządów z województwa małopolskiego w module III oraz 10 centrów ewakuacji z 361 miejscami i 213 zestawów do komunikacji zdalnej dla 77 placówek w rezultacie realizacji IV modułu pakietu społecznego małopolskiej Tarczy. Wartość projektów pakietu społecznego MTA to ponad 56 mln. zł.</w:t>
      </w:r>
    </w:p>
    <w:p w14:paraId="66FCD3AD" w14:textId="0C51721C" w:rsidR="001F4BBD" w:rsidRDefault="001F4BBD" w:rsidP="00AC180B">
      <w:pPr>
        <w:tabs>
          <w:tab w:val="left" w:pos="5400"/>
        </w:tabs>
        <w:rPr>
          <w:b/>
          <w:lang w:eastAsia="ar-SA"/>
        </w:rPr>
      </w:pPr>
    </w:p>
    <w:p w14:paraId="029F503D" w14:textId="1E888242" w:rsidR="00AC180B" w:rsidRDefault="00AC180B" w:rsidP="00AC180B">
      <w:pPr>
        <w:pStyle w:val="Nagwek3"/>
      </w:pPr>
      <w:bookmarkStart w:id="197" w:name="_Toc77513983"/>
      <w:bookmarkStart w:id="198" w:name="_Toc80523137"/>
      <w:r>
        <w:t>Infrastruktura społeczna oraz usługi świadczone osobom starszym w 2020 r.</w:t>
      </w:r>
      <w:bookmarkEnd w:id="197"/>
      <w:bookmarkEnd w:id="198"/>
    </w:p>
    <w:p w14:paraId="75F9DC50" w14:textId="77777777" w:rsidR="000B1B06" w:rsidRPr="000B1B06" w:rsidRDefault="000B1B06" w:rsidP="000B1B06"/>
    <w:p w14:paraId="34D5E52A" w14:textId="52E0F7C9" w:rsidR="00AC180B" w:rsidRDefault="00AC180B" w:rsidP="00AC180B">
      <w:pPr>
        <w:rPr>
          <w:rFonts w:cs="Times New Roman"/>
          <w:szCs w:val="24"/>
        </w:rPr>
      </w:pPr>
      <w:r w:rsidRPr="00D96C8C">
        <w:rPr>
          <w:rFonts w:cs="Times New Roman"/>
          <w:szCs w:val="24"/>
        </w:rPr>
        <w:t xml:space="preserve">Szczegółowe informacje dotyczące usług oraz infrastruktury społecznej dostępnej dla osób starszych w województwie </w:t>
      </w:r>
      <w:r w:rsidR="001F4BBD">
        <w:rPr>
          <w:rFonts w:cs="Times New Roman"/>
          <w:szCs w:val="24"/>
        </w:rPr>
        <w:t>małopolskim</w:t>
      </w:r>
      <w:r>
        <w:rPr>
          <w:rFonts w:cs="Times New Roman"/>
          <w:szCs w:val="24"/>
        </w:rPr>
        <w:t xml:space="preserve"> w 2020 r. przedstawia poniższa tabela</w:t>
      </w:r>
    </w:p>
    <w:p w14:paraId="0CC54E29" w14:textId="77777777" w:rsidR="00AC180B" w:rsidRPr="0092226B" w:rsidRDefault="00AC180B" w:rsidP="00AC180B">
      <w:pPr>
        <w:tabs>
          <w:tab w:val="left" w:pos="709"/>
          <w:tab w:val="left" w:pos="851"/>
        </w:tabs>
        <w:rPr>
          <w:rFonts w:cs="Times New Roman"/>
          <w:color w:val="FF0000"/>
          <w:szCs w:val="24"/>
        </w:rPr>
      </w:pPr>
    </w:p>
    <w:p w14:paraId="08543378" w14:textId="77777777" w:rsidR="00FC2614" w:rsidRPr="0092226B" w:rsidRDefault="00FC2614" w:rsidP="00FE70E3">
      <w:pPr>
        <w:numPr>
          <w:ilvl w:val="0"/>
          <w:numId w:val="11"/>
        </w:numPr>
        <w:overflowPunct w:val="0"/>
        <w:autoSpaceDE w:val="0"/>
        <w:autoSpaceDN w:val="0"/>
        <w:adjustRightInd w:val="0"/>
        <w:textAlignment w:val="baseline"/>
        <w:rPr>
          <w:rFonts w:cs="Times New Roman"/>
          <w:color w:val="FF0000"/>
          <w:szCs w:val="24"/>
        </w:rPr>
        <w:sectPr w:rsidR="00FC2614" w:rsidRPr="0092226B" w:rsidSect="00906F86">
          <w:pgSz w:w="11900" w:h="16838"/>
          <w:pgMar w:top="1384" w:right="1386" w:bottom="1038" w:left="1380" w:header="567" w:footer="567" w:gutter="0"/>
          <w:cols w:space="0" w:equalWidth="0">
            <w:col w:w="9140"/>
          </w:cols>
          <w:docGrid w:linePitch="360"/>
        </w:sectPr>
      </w:pPr>
    </w:p>
    <w:p w14:paraId="21473B64" w14:textId="2F775876" w:rsidR="005F20F3" w:rsidRPr="001F4BBD" w:rsidRDefault="005F20F3" w:rsidP="005F20F3">
      <w:pPr>
        <w:pStyle w:val="Legenda"/>
        <w:keepNext/>
        <w:rPr>
          <w:rFonts w:cs="Times New Roman"/>
          <w:b/>
          <w:i w:val="0"/>
          <w:color w:val="auto"/>
          <w:sz w:val="24"/>
        </w:rPr>
      </w:pPr>
      <w:bookmarkStart w:id="199" w:name="_Toc49171435"/>
      <w:r w:rsidRPr="001F4BBD">
        <w:rPr>
          <w:rFonts w:cs="Times New Roman"/>
          <w:b/>
          <w:i w:val="0"/>
          <w:color w:val="auto"/>
          <w:sz w:val="24"/>
        </w:rPr>
        <w:lastRenderedPageBreak/>
        <w:t xml:space="preserve">Tabela </w:t>
      </w:r>
      <w:r w:rsidR="005B094D">
        <w:rPr>
          <w:rFonts w:cs="Times New Roman"/>
          <w:b/>
          <w:i w:val="0"/>
          <w:color w:val="auto"/>
          <w:sz w:val="24"/>
        </w:rPr>
        <w:t>60</w:t>
      </w:r>
      <w:r w:rsidR="00054E88">
        <w:rPr>
          <w:rFonts w:cs="Times New Roman"/>
          <w:b/>
          <w:i w:val="0"/>
          <w:color w:val="auto"/>
          <w:sz w:val="24"/>
        </w:rPr>
        <w:t>.</w:t>
      </w:r>
      <w:r w:rsidR="005B094D">
        <w:rPr>
          <w:rFonts w:cs="Times New Roman"/>
          <w:b/>
          <w:i w:val="0"/>
          <w:color w:val="auto"/>
          <w:sz w:val="24"/>
        </w:rPr>
        <w:t xml:space="preserve"> </w:t>
      </w:r>
      <w:r w:rsidRPr="001F4BBD">
        <w:rPr>
          <w:rFonts w:cs="Times New Roman"/>
          <w:b/>
          <w:i w:val="0"/>
          <w:color w:val="auto"/>
          <w:sz w:val="24"/>
        </w:rPr>
        <w:t>Karta województwa małopolskiego</w:t>
      </w:r>
      <w:bookmarkEnd w:id="199"/>
    </w:p>
    <w:tbl>
      <w:tblPr>
        <w:tblStyle w:val="Tabelasiatki5ciemnaakcent2"/>
        <w:tblpPr w:leftFromText="142" w:rightFromText="142" w:vertAnchor="text" w:horzAnchor="margin" w:tblpXSpec="center" w:tblpY="1"/>
        <w:tblW w:w="14737" w:type="dxa"/>
        <w:tblLayout w:type="fixed"/>
        <w:tblLook w:val="04A0" w:firstRow="1" w:lastRow="0" w:firstColumn="1" w:lastColumn="0" w:noHBand="0" w:noVBand="1"/>
      </w:tblPr>
      <w:tblGrid>
        <w:gridCol w:w="2828"/>
        <w:gridCol w:w="3065"/>
        <w:gridCol w:w="53"/>
        <w:gridCol w:w="2894"/>
        <w:gridCol w:w="790"/>
        <w:gridCol w:w="2158"/>
        <w:gridCol w:w="2949"/>
      </w:tblGrid>
      <w:tr w:rsidR="001F4BBD" w:rsidRPr="0092226B" w14:paraId="0B7D20FF" w14:textId="77777777" w:rsidTr="001F4BBD">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37" w:type="dxa"/>
            <w:gridSpan w:val="7"/>
          </w:tcPr>
          <w:p w14:paraId="4541E1B8" w14:textId="780EC79B" w:rsidR="001F4BBD" w:rsidRPr="00DE642C" w:rsidRDefault="001F4BBD" w:rsidP="001F4BBD">
            <w:pPr>
              <w:tabs>
                <w:tab w:val="left" w:pos="12465"/>
              </w:tabs>
              <w:spacing w:line="240" w:lineRule="auto"/>
              <w:jc w:val="center"/>
              <w:rPr>
                <w:color w:val="auto"/>
                <w:sz w:val="20"/>
                <w:szCs w:val="20"/>
              </w:rPr>
            </w:pPr>
            <w:r w:rsidRPr="00DE642C">
              <w:rPr>
                <w:color w:val="auto"/>
                <w:sz w:val="20"/>
                <w:szCs w:val="20"/>
              </w:rPr>
              <w:t>WOJEWÓDZTWO MAŁOPOLSKIE</w:t>
            </w:r>
          </w:p>
        </w:tc>
      </w:tr>
      <w:tr w:rsidR="0092226B" w:rsidRPr="0092226B" w14:paraId="509EA93E" w14:textId="77777777" w:rsidTr="001F4BB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37" w:type="dxa"/>
            <w:gridSpan w:val="7"/>
          </w:tcPr>
          <w:p w14:paraId="44BE3907" w14:textId="199B39A5" w:rsidR="00FC2614" w:rsidRPr="00DE642C" w:rsidRDefault="00FC2614" w:rsidP="00E86509">
            <w:pPr>
              <w:spacing w:line="240" w:lineRule="auto"/>
              <w:rPr>
                <w:color w:val="auto"/>
                <w:sz w:val="20"/>
                <w:szCs w:val="20"/>
              </w:rPr>
            </w:pPr>
            <w:r w:rsidRPr="00DE642C">
              <w:rPr>
                <w:color w:val="auto"/>
                <w:sz w:val="20"/>
                <w:szCs w:val="20"/>
              </w:rPr>
              <w:t>USŁUGI SPOŁECZNE DLA OSÓB STARSZYCH / INFRASTRUKTURA POMOCY SPOLECZNEJ – DANE ZA 20</w:t>
            </w:r>
            <w:r w:rsidR="001F4BBD" w:rsidRPr="00DE642C">
              <w:rPr>
                <w:color w:val="auto"/>
                <w:sz w:val="20"/>
                <w:szCs w:val="20"/>
              </w:rPr>
              <w:t>20</w:t>
            </w:r>
            <w:r w:rsidRPr="00DE642C">
              <w:rPr>
                <w:color w:val="auto"/>
                <w:sz w:val="20"/>
                <w:szCs w:val="20"/>
              </w:rPr>
              <w:t xml:space="preserve"> R.</w:t>
            </w:r>
          </w:p>
        </w:tc>
      </w:tr>
      <w:tr w:rsidR="0092226B" w:rsidRPr="0092226B" w14:paraId="341151CC" w14:textId="77777777" w:rsidTr="001F4BBD">
        <w:trPr>
          <w:trHeight w:val="79"/>
        </w:trPr>
        <w:tc>
          <w:tcPr>
            <w:cnfStyle w:val="001000000000" w:firstRow="0" w:lastRow="0" w:firstColumn="1" w:lastColumn="0" w:oddVBand="0" w:evenVBand="0" w:oddHBand="0" w:evenHBand="0" w:firstRowFirstColumn="0" w:firstRowLastColumn="0" w:lastRowFirstColumn="0" w:lastRowLastColumn="0"/>
            <w:tcW w:w="2828" w:type="dxa"/>
            <w:vMerge w:val="restart"/>
          </w:tcPr>
          <w:p w14:paraId="71CF9858" w14:textId="77777777" w:rsidR="00FC2614" w:rsidRPr="00DE642C" w:rsidRDefault="00FC2614" w:rsidP="00E86509">
            <w:pPr>
              <w:spacing w:line="240" w:lineRule="auto"/>
              <w:rPr>
                <w:rFonts w:eastAsia="Times New Roman"/>
                <w:b w:val="0"/>
                <w:bCs w:val="0"/>
                <w:color w:val="auto"/>
                <w:sz w:val="20"/>
                <w:szCs w:val="20"/>
                <w:lang w:eastAsia="pl-PL"/>
              </w:rPr>
            </w:pPr>
            <w:r w:rsidRPr="00DE642C">
              <w:rPr>
                <w:rFonts w:eastAsia="Times New Roman"/>
                <w:color w:val="auto"/>
                <w:sz w:val="20"/>
                <w:szCs w:val="20"/>
                <w:lang w:eastAsia="pl-PL"/>
              </w:rPr>
              <w:t>Instytucje pomocy społecznej, w tym:</w:t>
            </w:r>
          </w:p>
        </w:tc>
        <w:tc>
          <w:tcPr>
            <w:tcW w:w="3065" w:type="dxa"/>
          </w:tcPr>
          <w:p w14:paraId="44146C98" w14:textId="77777777" w:rsidR="00FC2614" w:rsidRPr="00DE642C" w:rsidRDefault="00FC2614"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642C">
              <w:rPr>
                <w:b/>
                <w:sz w:val="20"/>
                <w:szCs w:val="20"/>
              </w:rPr>
              <w:t>Rodzaj placówki</w:t>
            </w:r>
          </w:p>
        </w:tc>
        <w:tc>
          <w:tcPr>
            <w:tcW w:w="2947" w:type="dxa"/>
            <w:gridSpan w:val="2"/>
          </w:tcPr>
          <w:p w14:paraId="5E96CA2D" w14:textId="77777777" w:rsidR="00FC2614" w:rsidRPr="00DE642C" w:rsidRDefault="00FC2614"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642C">
              <w:rPr>
                <w:b/>
                <w:sz w:val="20"/>
                <w:szCs w:val="20"/>
              </w:rPr>
              <w:t>Liczba placówek</w:t>
            </w:r>
          </w:p>
        </w:tc>
        <w:tc>
          <w:tcPr>
            <w:tcW w:w="2948" w:type="dxa"/>
            <w:gridSpan w:val="2"/>
          </w:tcPr>
          <w:p w14:paraId="59D6FAB6" w14:textId="77777777" w:rsidR="00FC2614" w:rsidRPr="00DE642C" w:rsidRDefault="00FC2614"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642C">
              <w:rPr>
                <w:b/>
                <w:sz w:val="20"/>
                <w:szCs w:val="20"/>
              </w:rPr>
              <w:t>Liczba miejsc dla osób starszych</w:t>
            </w:r>
          </w:p>
        </w:tc>
        <w:tc>
          <w:tcPr>
            <w:tcW w:w="2949" w:type="dxa"/>
          </w:tcPr>
          <w:p w14:paraId="275CF435" w14:textId="5A49CC0E" w:rsidR="00FC2614" w:rsidRPr="00DE642C" w:rsidRDefault="00FC2614"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DE642C">
              <w:rPr>
                <w:b/>
                <w:sz w:val="20"/>
                <w:szCs w:val="20"/>
              </w:rPr>
              <w:t>Liczba korzystających osób starszych</w:t>
            </w:r>
          </w:p>
        </w:tc>
      </w:tr>
      <w:tr w:rsidR="001F4BBD" w:rsidRPr="0092226B" w14:paraId="75DB84AA" w14:textId="77777777" w:rsidTr="001F4BB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0310B248" w14:textId="77777777" w:rsidR="001F4BBD" w:rsidRPr="00DE642C" w:rsidRDefault="001F4BBD" w:rsidP="001F4BBD">
            <w:pPr>
              <w:spacing w:line="240" w:lineRule="auto"/>
              <w:rPr>
                <w:rFonts w:eastAsia="Times New Roman"/>
                <w:color w:val="auto"/>
                <w:sz w:val="20"/>
                <w:szCs w:val="20"/>
                <w:lang w:eastAsia="pl-PL"/>
              </w:rPr>
            </w:pPr>
          </w:p>
        </w:tc>
        <w:tc>
          <w:tcPr>
            <w:tcW w:w="3065" w:type="dxa"/>
          </w:tcPr>
          <w:p w14:paraId="329436C5" w14:textId="77777777" w:rsidR="001F4BBD" w:rsidRPr="00DE642C" w:rsidRDefault="001F4BBD" w:rsidP="001F4BBD">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Środowiskowe Domy Samopomocy</w:t>
            </w:r>
          </w:p>
        </w:tc>
        <w:tc>
          <w:tcPr>
            <w:tcW w:w="2947" w:type="dxa"/>
            <w:gridSpan w:val="2"/>
          </w:tcPr>
          <w:p w14:paraId="7B05E966" w14:textId="39E2D350"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81</w:t>
            </w:r>
          </w:p>
        </w:tc>
        <w:tc>
          <w:tcPr>
            <w:tcW w:w="2948" w:type="dxa"/>
            <w:gridSpan w:val="2"/>
          </w:tcPr>
          <w:p w14:paraId="2CD7E9FD" w14:textId="75E3DA99"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2 992</w:t>
            </w:r>
          </w:p>
        </w:tc>
        <w:tc>
          <w:tcPr>
            <w:tcW w:w="2949" w:type="dxa"/>
          </w:tcPr>
          <w:p w14:paraId="7238532B" w14:textId="3B9FC3EF"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858</w:t>
            </w:r>
          </w:p>
        </w:tc>
      </w:tr>
      <w:tr w:rsidR="001F4BBD" w:rsidRPr="0092226B" w14:paraId="4EC9E192" w14:textId="77777777" w:rsidTr="001F4BBD">
        <w:trPr>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017D6B44" w14:textId="77777777" w:rsidR="001F4BBD" w:rsidRPr="00DE642C" w:rsidRDefault="001F4BBD" w:rsidP="001F4BBD">
            <w:pPr>
              <w:spacing w:line="240" w:lineRule="auto"/>
              <w:rPr>
                <w:rFonts w:eastAsia="Times New Roman"/>
                <w:color w:val="auto"/>
                <w:sz w:val="20"/>
                <w:szCs w:val="20"/>
                <w:lang w:eastAsia="pl-PL"/>
              </w:rPr>
            </w:pPr>
          </w:p>
        </w:tc>
        <w:tc>
          <w:tcPr>
            <w:tcW w:w="3065" w:type="dxa"/>
          </w:tcPr>
          <w:p w14:paraId="4388CCC5" w14:textId="77777777" w:rsidR="001F4BBD" w:rsidRPr="00DE642C" w:rsidRDefault="001F4BBD" w:rsidP="001F4BBD">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Dzienne Domy Pomocy</w:t>
            </w:r>
          </w:p>
        </w:tc>
        <w:tc>
          <w:tcPr>
            <w:tcW w:w="2947" w:type="dxa"/>
            <w:gridSpan w:val="2"/>
          </w:tcPr>
          <w:p w14:paraId="72247CD4" w14:textId="76433F3F"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13</w:t>
            </w:r>
          </w:p>
        </w:tc>
        <w:tc>
          <w:tcPr>
            <w:tcW w:w="2948" w:type="dxa"/>
            <w:gridSpan w:val="2"/>
          </w:tcPr>
          <w:p w14:paraId="7CD5BF75" w14:textId="44A3B243"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952</w:t>
            </w:r>
          </w:p>
        </w:tc>
        <w:tc>
          <w:tcPr>
            <w:tcW w:w="2949" w:type="dxa"/>
          </w:tcPr>
          <w:p w14:paraId="2F1EE1D1" w14:textId="66441FD6"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1 271</w:t>
            </w:r>
          </w:p>
        </w:tc>
      </w:tr>
      <w:tr w:rsidR="001F4BBD" w:rsidRPr="0092226B" w14:paraId="60B8D46D" w14:textId="77777777" w:rsidTr="001F4BB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31DF854B" w14:textId="77777777" w:rsidR="001F4BBD" w:rsidRPr="00DE642C" w:rsidRDefault="001F4BBD" w:rsidP="001F4BBD">
            <w:pPr>
              <w:spacing w:line="240" w:lineRule="auto"/>
              <w:rPr>
                <w:rFonts w:eastAsia="Times New Roman"/>
                <w:color w:val="auto"/>
                <w:sz w:val="20"/>
                <w:szCs w:val="20"/>
                <w:lang w:eastAsia="pl-PL"/>
              </w:rPr>
            </w:pPr>
          </w:p>
        </w:tc>
        <w:tc>
          <w:tcPr>
            <w:tcW w:w="3065" w:type="dxa"/>
          </w:tcPr>
          <w:p w14:paraId="67094D42" w14:textId="77777777" w:rsidR="001F4BBD" w:rsidRPr="00DE642C" w:rsidRDefault="001F4BBD" w:rsidP="001F4BBD">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Noclegownie, schroniska i domy dla osób bezdomnych</w:t>
            </w:r>
          </w:p>
        </w:tc>
        <w:tc>
          <w:tcPr>
            <w:tcW w:w="2947" w:type="dxa"/>
            <w:gridSpan w:val="2"/>
          </w:tcPr>
          <w:p w14:paraId="6AE5D3F6" w14:textId="5FFA562A"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19</w:t>
            </w:r>
          </w:p>
        </w:tc>
        <w:tc>
          <w:tcPr>
            <w:tcW w:w="2948" w:type="dxa"/>
            <w:gridSpan w:val="2"/>
          </w:tcPr>
          <w:p w14:paraId="0E016F4B" w14:textId="23BEB784"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735+10 miejsc w zimie</w:t>
            </w:r>
          </w:p>
        </w:tc>
        <w:tc>
          <w:tcPr>
            <w:tcW w:w="2949" w:type="dxa"/>
          </w:tcPr>
          <w:p w14:paraId="68174B83" w14:textId="344E8EB9"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514</w:t>
            </w:r>
          </w:p>
        </w:tc>
      </w:tr>
      <w:tr w:rsidR="001F4BBD" w:rsidRPr="0092226B" w14:paraId="0D9D1296" w14:textId="77777777" w:rsidTr="001F4BBD">
        <w:trPr>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2DBA52C2" w14:textId="77777777" w:rsidR="001F4BBD" w:rsidRPr="00DE642C" w:rsidRDefault="001F4BBD" w:rsidP="001F4BBD">
            <w:pPr>
              <w:spacing w:line="240" w:lineRule="auto"/>
              <w:rPr>
                <w:rFonts w:eastAsia="Times New Roman"/>
                <w:color w:val="auto"/>
                <w:sz w:val="20"/>
                <w:szCs w:val="20"/>
                <w:lang w:eastAsia="pl-PL"/>
              </w:rPr>
            </w:pPr>
          </w:p>
        </w:tc>
        <w:tc>
          <w:tcPr>
            <w:tcW w:w="3065" w:type="dxa"/>
          </w:tcPr>
          <w:p w14:paraId="6005AB4D" w14:textId="77777777" w:rsidR="001F4BBD" w:rsidRPr="00DE642C" w:rsidRDefault="001F4BBD" w:rsidP="001F4BBD">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Ogrzewalnie</w:t>
            </w:r>
          </w:p>
        </w:tc>
        <w:tc>
          <w:tcPr>
            <w:tcW w:w="2947" w:type="dxa"/>
            <w:gridSpan w:val="2"/>
          </w:tcPr>
          <w:p w14:paraId="5489861C" w14:textId="7DA38B40"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4</w:t>
            </w:r>
          </w:p>
        </w:tc>
        <w:tc>
          <w:tcPr>
            <w:tcW w:w="2948" w:type="dxa"/>
            <w:gridSpan w:val="2"/>
          </w:tcPr>
          <w:p w14:paraId="3AEAB18B" w14:textId="614BF9EC"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70</w:t>
            </w:r>
          </w:p>
        </w:tc>
        <w:tc>
          <w:tcPr>
            <w:tcW w:w="2949" w:type="dxa"/>
          </w:tcPr>
          <w:p w14:paraId="58AA0560" w14:textId="696E50FD"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178</w:t>
            </w:r>
          </w:p>
        </w:tc>
      </w:tr>
      <w:tr w:rsidR="001F4BBD" w:rsidRPr="0092226B" w14:paraId="4FA5D928" w14:textId="77777777" w:rsidTr="001F4BB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5DDECEBF" w14:textId="77777777" w:rsidR="001F4BBD" w:rsidRPr="00DE642C" w:rsidRDefault="001F4BBD" w:rsidP="001F4BBD">
            <w:pPr>
              <w:spacing w:line="240" w:lineRule="auto"/>
              <w:rPr>
                <w:rFonts w:eastAsia="Times New Roman"/>
                <w:color w:val="auto"/>
                <w:sz w:val="20"/>
                <w:szCs w:val="20"/>
                <w:lang w:eastAsia="pl-PL"/>
              </w:rPr>
            </w:pPr>
          </w:p>
        </w:tc>
        <w:tc>
          <w:tcPr>
            <w:tcW w:w="3065" w:type="dxa"/>
          </w:tcPr>
          <w:p w14:paraId="47AE4F73" w14:textId="77777777" w:rsidR="001F4BBD" w:rsidRPr="00DE642C" w:rsidRDefault="001F4BBD" w:rsidP="001F4BBD">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Kluby Samopomocy</w:t>
            </w:r>
          </w:p>
        </w:tc>
        <w:tc>
          <w:tcPr>
            <w:tcW w:w="2947" w:type="dxa"/>
            <w:gridSpan w:val="2"/>
          </w:tcPr>
          <w:p w14:paraId="052AD55C" w14:textId="7412DB0A"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24</w:t>
            </w:r>
          </w:p>
        </w:tc>
        <w:tc>
          <w:tcPr>
            <w:tcW w:w="2948" w:type="dxa"/>
            <w:gridSpan w:val="2"/>
          </w:tcPr>
          <w:p w14:paraId="5747D115" w14:textId="09E79825"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721</w:t>
            </w:r>
          </w:p>
        </w:tc>
        <w:tc>
          <w:tcPr>
            <w:tcW w:w="2949" w:type="dxa"/>
          </w:tcPr>
          <w:p w14:paraId="792D0857" w14:textId="510CFBCA"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673</w:t>
            </w:r>
          </w:p>
        </w:tc>
      </w:tr>
      <w:tr w:rsidR="001F4BBD" w:rsidRPr="0092226B" w14:paraId="3F2C6888" w14:textId="77777777" w:rsidTr="001F4BBD">
        <w:trPr>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2888AE92" w14:textId="77777777" w:rsidR="001F4BBD" w:rsidRPr="00DE642C" w:rsidRDefault="001F4BBD" w:rsidP="001F4BBD">
            <w:pPr>
              <w:spacing w:line="240" w:lineRule="auto"/>
              <w:rPr>
                <w:rFonts w:eastAsia="Times New Roman"/>
                <w:color w:val="auto"/>
                <w:sz w:val="20"/>
                <w:szCs w:val="20"/>
                <w:lang w:eastAsia="pl-PL"/>
              </w:rPr>
            </w:pPr>
          </w:p>
        </w:tc>
        <w:tc>
          <w:tcPr>
            <w:tcW w:w="3065" w:type="dxa"/>
          </w:tcPr>
          <w:p w14:paraId="1E9DE51E" w14:textId="77777777" w:rsidR="001F4BBD" w:rsidRPr="00DE642C" w:rsidRDefault="001F4BBD" w:rsidP="001F4BBD">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Placówki zapewniające całodobową opiekę osobom niepełnosprawnym, przewlekle chorym lub osobom w podeszłym wieku</w:t>
            </w:r>
          </w:p>
        </w:tc>
        <w:tc>
          <w:tcPr>
            <w:tcW w:w="2947" w:type="dxa"/>
            <w:gridSpan w:val="2"/>
          </w:tcPr>
          <w:p w14:paraId="2A6B6DB7" w14:textId="618B67D4"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44</w:t>
            </w:r>
          </w:p>
        </w:tc>
        <w:tc>
          <w:tcPr>
            <w:tcW w:w="2948" w:type="dxa"/>
            <w:gridSpan w:val="2"/>
          </w:tcPr>
          <w:p w14:paraId="765CD9B2" w14:textId="78103D4B"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1 270</w:t>
            </w:r>
          </w:p>
        </w:tc>
        <w:tc>
          <w:tcPr>
            <w:tcW w:w="2949" w:type="dxa"/>
          </w:tcPr>
          <w:p w14:paraId="63188829" w14:textId="4CE08845"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1058</w:t>
            </w:r>
          </w:p>
        </w:tc>
      </w:tr>
      <w:tr w:rsidR="001F4BBD" w:rsidRPr="0092226B" w14:paraId="243FD450" w14:textId="77777777" w:rsidTr="001F4BB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25B308DE" w14:textId="77777777" w:rsidR="001F4BBD" w:rsidRPr="00DE642C" w:rsidRDefault="001F4BBD" w:rsidP="001F4BBD">
            <w:pPr>
              <w:spacing w:line="240" w:lineRule="auto"/>
              <w:rPr>
                <w:rFonts w:eastAsia="Times New Roman"/>
                <w:color w:val="auto"/>
                <w:sz w:val="20"/>
                <w:szCs w:val="20"/>
                <w:lang w:eastAsia="pl-PL"/>
              </w:rPr>
            </w:pPr>
          </w:p>
        </w:tc>
        <w:tc>
          <w:tcPr>
            <w:tcW w:w="3065" w:type="dxa"/>
          </w:tcPr>
          <w:p w14:paraId="6067EFDC" w14:textId="77777777" w:rsidR="001F4BBD" w:rsidRPr="00DE642C" w:rsidRDefault="001F4BBD" w:rsidP="001F4BBD">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Domy Pomocy Społecznej</w:t>
            </w:r>
          </w:p>
        </w:tc>
        <w:tc>
          <w:tcPr>
            <w:tcW w:w="2947" w:type="dxa"/>
            <w:gridSpan w:val="2"/>
          </w:tcPr>
          <w:p w14:paraId="0E69A224" w14:textId="7E601794"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11</w:t>
            </w:r>
          </w:p>
        </w:tc>
        <w:tc>
          <w:tcPr>
            <w:tcW w:w="2948" w:type="dxa"/>
            <w:gridSpan w:val="2"/>
          </w:tcPr>
          <w:p w14:paraId="057E030B" w14:textId="7FA7AB5B"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686</w:t>
            </w:r>
          </w:p>
        </w:tc>
        <w:tc>
          <w:tcPr>
            <w:tcW w:w="2949" w:type="dxa"/>
          </w:tcPr>
          <w:p w14:paraId="4E4766CE" w14:textId="0183EE89"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 xml:space="preserve">618 </w:t>
            </w:r>
          </w:p>
        </w:tc>
      </w:tr>
      <w:tr w:rsidR="001F4BBD" w:rsidRPr="0092226B" w14:paraId="1C1B9B41" w14:textId="77777777" w:rsidTr="001F4BBD">
        <w:trPr>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3FC0D4FC" w14:textId="77777777" w:rsidR="001F4BBD" w:rsidRPr="00DE642C" w:rsidRDefault="001F4BBD" w:rsidP="001F4BBD">
            <w:pPr>
              <w:spacing w:line="240" w:lineRule="auto"/>
              <w:rPr>
                <w:rFonts w:eastAsia="Times New Roman"/>
                <w:color w:val="auto"/>
                <w:sz w:val="20"/>
                <w:szCs w:val="20"/>
                <w:lang w:eastAsia="pl-PL"/>
              </w:rPr>
            </w:pPr>
          </w:p>
        </w:tc>
        <w:tc>
          <w:tcPr>
            <w:tcW w:w="3065" w:type="dxa"/>
          </w:tcPr>
          <w:p w14:paraId="63B78BCE" w14:textId="77777777" w:rsidR="001F4BBD" w:rsidRPr="00DE642C" w:rsidRDefault="001F4BBD" w:rsidP="001F4BBD">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Mieszkania chronione ogółem</w:t>
            </w:r>
          </w:p>
        </w:tc>
        <w:tc>
          <w:tcPr>
            <w:tcW w:w="2947" w:type="dxa"/>
            <w:gridSpan w:val="2"/>
          </w:tcPr>
          <w:p w14:paraId="137B49E3" w14:textId="0E4AAEA8"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56</w:t>
            </w:r>
          </w:p>
        </w:tc>
        <w:tc>
          <w:tcPr>
            <w:tcW w:w="2948" w:type="dxa"/>
            <w:gridSpan w:val="2"/>
          </w:tcPr>
          <w:p w14:paraId="7BCE3A17" w14:textId="474EE777"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156</w:t>
            </w:r>
          </w:p>
        </w:tc>
        <w:tc>
          <w:tcPr>
            <w:tcW w:w="2949" w:type="dxa"/>
          </w:tcPr>
          <w:p w14:paraId="31978023" w14:textId="171E13B3"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44</w:t>
            </w:r>
          </w:p>
        </w:tc>
      </w:tr>
      <w:tr w:rsidR="001F4BBD" w:rsidRPr="0092226B" w14:paraId="0F2953AD" w14:textId="77777777" w:rsidTr="001F4BB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6A1FCC9A" w14:textId="77777777" w:rsidR="001F4BBD" w:rsidRPr="00DE642C" w:rsidRDefault="001F4BBD" w:rsidP="001F4BBD">
            <w:pPr>
              <w:spacing w:line="240" w:lineRule="auto"/>
              <w:rPr>
                <w:rFonts w:eastAsia="Times New Roman"/>
                <w:color w:val="auto"/>
                <w:sz w:val="20"/>
                <w:szCs w:val="20"/>
                <w:lang w:eastAsia="pl-PL"/>
              </w:rPr>
            </w:pPr>
          </w:p>
        </w:tc>
        <w:tc>
          <w:tcPr>
            <w:tcW w:w="3065" w:type="dxa"/>
          </w:tcPr>
          <w:p w14:paraId="60F90E6E" w14:textId="77777777" w:rsidR="001F4BBD" w:rsidRPr="00DE642C" w:rsidRDefault="001F4BBD" w:rsidP="001F4BBD">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Ośrodki Interwencji Kryzysowej ogółem</w:t>
            </w:r>
          </w:p>
        </w:tc>
        <w:tc>
          <w:tcPr>
            <w:tcW w:w="2947" w:type="dxa"/>
            <w:gridSpan w:val="2"/>
          </w:tcPr>
          <w:p w14:paraId="4DAB6DAC" w14:textId="60C6DFB8"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11</w:t>
            </w:r>
          </w:p>
        </w:tc>
        <w:tc>
          <w:tcPr>
            <w:tcW w:w="2948" w:type="dxa"/>
            <w:gridSpan w:val="2"/>
          </w:tcPr>
          <w:p w14:paraId="449B45E9" w14:textId="2BE23900"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70</w:t>
            </w:r>
          </w:p>
        </w:tc>
        <w:tc>
          <w:tcPr>
            <w:tcW w:w="2949" w:type="dxa"/>
          </w:tcPr>
          <w:p w14:paraId="13D5E11A" w14:textId="570C5C6A"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242</w:t>
            </w:r>
          </w:p>
        </w:tc>
      </w:tr>
      <w:tr w:rsidR="001F4BBD" w:rsidRPr="0092226B" w14:paraId="03DC8789" w14:textId="77777777" w:rsidTr="001F4BBD">
        <w:trPr>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3F7BD449" w14:textId="77777777" w:rsidR="001F4BBD" w:rsidRPr="00DE642C" w:rsidRDefault="001F4BBD" w:rsidP="001F4BBD">
            <w:pPr>
              <w:spacing w:line="240" w:lineRule="auto"/>
              <w:rPr>
                <w:rFonts w:eastAsia="Times New Roman"/>
                <w:color w:val="auto"/>
                <w:sz w:val="20"/>
                <w:szCs w:val="20"/>
                <w:lang w:eastAsia="pl-PL"/>
              </w:rPr>
            </w:pPr>
          </w:p>
        </w:tc>
        <w:tc>
          <w:tcPr>
            <w:tcW w:w="3065" w:type="dxa"/>
          </w:tcPr>
          <w:p w14:paraId="0C8BD674" w14:textId="77777777" w:rsidR="001F4BBD" w:rsidRPr="00DE642C" w:rsidRDefault="001F4BBD" w:rsidP="001F4BBD">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Jednostki specjalistycznego poradnictwa</w:t>
            </w:r>
          </w:p>
        </w:tc>
        <w:tc>
          <w:tcPr>
            <w:tcW w:w="2947" w:type="dxa"/>
            <w:gridSpan w:val="2"/>
          </w:tcPr>
          <w:p w14:paraId="6BAEE320" w14:textId="56322312"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269</w:t>
            </w:r>
          </w:p>
        </w:tc>
        <w:tc>
          <w:tcPr>
            <w:tcW w:w="2948" w:type="dxa"/>
            <w:gridSpan w:val="2"/>
          </w:tcPr>
          <w:p w14:paraId="2F4C2B4D" w14:textId="0E27E19E"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418</w:t>
            </w:r>
          </w:p>
        </w:tc>
        <w:tc>
          <w:tcPr>
            <w:tcW w:w="2949" w:type="dxa"/>
          </w:tcPr>
          <w:p w14:paraId="1825F960" w14:textId="4DACCE0B"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213</w:t>
            </w:r>
          </w:p>
        </w:tc>
      </w:tr>
      <w:tr w:rsidR="001F4BBD" w:rsidRPr="0092226B" w14:paraId="06D52C62" w14:textId="77777777" w:rsidTr="001F4BBD">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340DD6F4" w14:textId="77777777" w:rsidR="001F4BBD" w:rsidRPr="00DE642C" w:rsidRDefault="001F4BBD" w:rsidP="00E86509">
            <w:pPr>
              <w:spacing w:line="240" w:lineRule="auto"/>
              <w:rPr>
                <w:rFonts w:eastAsia="Times New Roman"/>
                <w:sz w:val="20"/>
                <w:szCs w:val="20"/>
                <w:lang w:eastAsia="pl-PL"/>
              </w:rPr>
            </w:pPr>
          </w:p>
        </w:tc>
        <w:tc>
          <w:tcPr>
            <w:tcW w:w="3065" w:type="dxa"/>
          </w:tcPr>
          <w:p w14:paraId="11FC1407" w14:textId="21B606F8" w:rsidR="001F4BBD" w:rsidRPr="00DE642C" w:rsidRDefault="001F4BBD" w:rsidP="00E86509">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Placówki wsparcia dziennego</w:t>
            </w:r>
          </w:p>
        </w:tc>
        <w:tc>
          <w:tcPr>
            <w:tcW w:w="2947" w:type="dxa"/>
            <w:gridSpan w:val="2"/>
          </w:tcPr>
          <w:p w14:paraId="0E990BAA" w14:textId="77777777" w:rsidR="001F4BBD" w:rsidRPr="00DE642C" w:rsidRDefault="001F4BBD" w:rsidP="00E86509">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948" w:type="dxa"/>
            <w:gridSpan w:val="2"/>
          </w:tcPr>
          <w:p w14:paraId="2061384D" w14:textId="77777777" w:rsidR="001F4BBD" w:rsidRPr="00DE642C" w:rsidRDefault="001F4BBD" w:rsidP="00E86509">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949" w:type="dxa"/>
          </w:tcPr>
          <w:p w14:paraId="4CB996A6" w14:textId="77777777" w:rsidR="001F4BBD" w:rsidRPr="00DE642C" w:rsidRDefault="001F4BBD" w:rsidP="00E86509">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92226B" w:rsidRPr="0092226B" w14:paraId="39A8616E" w14:textId="77777777" w:rsidTr="001F4BBD">
        <w:trPr>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3E4833F7" w14:textId="77777777" w:rsidR="00FC2614" w:rsidRPr="00DE642C" w:rsidRDefault="00FC2614" w:rsidP="00E86509">
            <w:pPr>
              <w:spacing w:line="240" w:lineRule="auto"/>
              <w:rPr>
                <w:rFonts w:eastAsia="Times New Roman"/>
                <w:color w:val="auto"/>
                <w:sz w:val="20"/>
                <w:szCs w:val="20"/>
                <w:lang w:eastAsia="pl-PL"/>
              </w:rPr>
            </w:pPr>
          </w:p>
        </w:tc>
        <w:tc>
          <w:tcPr>
            <w:tcW w:w="3065" w:type="dxa"/>
          </w:tcPr>
          <w:p w14:paraId="72FE501C" w14:textId="77777777" w:rsidR="00FC2614" w:rsidRPr="00DE642C" w:rsidRDefault="00FC2614" w:rsidP="00E86509">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Placówki Senior+, w tym:</w:t>
            </w:r>
          </w:p>
        </w:tc>
        <w:tc>
          <w:tcPr>
            <w:tcW w:w="8844" w:type="dxa"/>
            <w:gridSpan w:val="5"/>
          </w:tcPr>
          <w:p w14:paraId="21544A05" w14:textId="77777777" w:rsidR="00FC2614" w:rsidRPr="00DE642C" w:rsidRDefault="00FC2614"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9D7FB7" w:rsidRPr="0092226B" w14:paraId="09A8E598" w14:textId="77777777" w:rsidTr="009D7FB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28" w:type="dxa"/>
            <w:vMerge/>
          </w:tcPr>
          <w:p w14:paraId="0BAE9AF8" w14:textId="77777777" w:rsidR="009D7FB7" w:rsidRPr="00DE642C" w:rsidRDefault="009D7FB7" w:rsidP="001F4BBD">
            <w:pPr>
              <w:spacing w:line="240" w:lineRule="auto"/>
              <w:rPr>
                <w:rFonts w:eastAsia="Times New Roman"/>
                <w:color w:val="auto"/>
                <w:sz w:val="20"/>
                <w:szCs w:val="20"/>
                <w:lang w:eastAsia="pl-PL"/>
              </w:rPr>
            </w:pPr>
          </w:p>
        </w:tc>
        <w:tc>
          <w:tcPr>
            <w:tcW w:w="3065" w:type="dxa"/>
          </w:tcPr>
          <w:p w14:paraId="447BE60C" w14:textId="77777777" w:rsidR="009D7FB7" w:rsidRPr="00DE642C" w:rsidRDefault="009D7FB7" w:rsidP="001F4BBD">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Domy Dziennego Pobytu</w:t>
            </w:r>
          </w:p>
        </w:tc>
        <w:tc>
          <w:tcPr>
            <w:tcW w:w="2947" w:type="dxa"/>
            <w:gridSpan w:val="2"/>
          </w:tcPr>
          <w:p w14:paraId="60353EE9" w14:textId="7571A200" w:rsidR="009D7FB7" w:rsidRPr="00DE642C" w:rsidRDefault="009D7FB7"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w:t>
            </w:r>
          </w:p>
        </w:tc>
        <w:tc>
          <w:tcPr>
            <w:tcW w:w="2948" w:type="dxa"/>
            <w:gridSpan w:val="2"/>
          </w:tcPr>
          <w:p w14:paraId="75BB67B4" w14:textId="2D19E9C6" w:rsidR="009D7FB7" w:rsidRPr="00DE642C" w:rsidRDefault="009D7FB7"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494</w:t>
            </w:r>
          </w:p>
        </w:tc>
        <w:tc>
          <w:tcPr>
            <w:tcW w:w="2949" w:type="dxa"/>
            <w:vMerge w:val="restart"/>
            <w:vAlign w:val="center"/>
          </w:tcPr>
          <w:p w14:paraId="31865648" w14:textId="7D5FC6CE" w:rsidR="009D7FB7" w:rsidRPr="00DE642C" w:rsidRDefault="009D7FB7" w:rsidP="009D7FB7">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2 817</w:t>
            </w:r>
          </w:p>
        </w:tc>
      </w:tr>
      <w:tr w:rsidR="009D7FB7" w:rsidRPr="0092226B" w14:paraId="064F5191" w14:textId="77777777" w:rsidTr="001F4BBD">
        <w:trPr>
          <w:trHeight w:val="85"/>
        </w:trPr>
        <w:tc>
          <w:tcPr>
            <w:cnfStyle w:val="001000000000" w:firstRow="0" w:lastRow="0" w:firstColumn="1" w:lastColumn="0" w:oddVBand="0" w:evenVBand="0" w:oddHBand="0" w:evenHBand="0" w:firstRowFirstColumn="0" w:firstRowLastColumn="0" w:lastRowFirstColumn="0" w:lastRowLastColumn="0"/>
            <w:tcW w:w="2828" w:type="dxa"/>
            <w:vMerge/>
          </w:tcPr>
          <w:p w14:paraId="2F7CBF1A" w14:textId="77777777" w:rsidR="009D7FB7" w:rsidRPr="00DE642C" w:rsidRDefault="009D7FB7" w:rsidP="001F4BBD">
            <w:pPr>
              <w:spacing w:line="240" w:lineRule="auto"/>
              <w:rPr>
                <w:rFonts w:eastAsia="Times New Roman"/>
                <w:color w:val="auto"/>
                <w:sz w:val="20"/>
                <w:szCs w:val="20"/>
                <w:lang w:eastAsia="pl-PL"/>
              </w:rPr>
            </w:pPr>
          </w:p>
        </w:tc>
        <w:tc>
          <w:tcPr>
            <w:tcW w:w="3065" w:type="dxa"/>
          </w:tcPr>
          <w:p w14:paraId="5FBC1BD7" w14:textId="77777777" w:rsidR="009D7FB7" w:rsidRPr="00DE642C" w:rsidRDefault="009D7FB7" w:rsidP="001F4BBD">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Kluby Senior+</w:t>
            </w:r>
          </w:p>
        </w:tc>
        <w:tc>
          <w:tcPr>
            <w:tcW w:w="2947" w:type="dxa"/>
            <w:gridSpan w:val="2"/>
          </w:tcPr>
          <w:p w14:paraId="4E84E750" w14:textId="562F4EFE" w:rsidR="009D7FB7" w:rsidRPr="00DE642C" w:rsidRDefault="009D7FB7"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65</w:t>
            </w:r>
          </w:p>
        </w:tc>
        <w:tc>
          <w:tcPr>
            <w:tcW w:w="2948" w:type="dxa"/>
            <w:gridSpan w:val="2"/>
          </w:tcPr>
          <w:p w14:paraId="5BAACA98" w14:textId="21F57A51" w:rsidR="009D7FB7" w:rsidRPr="00DE642C" w:rsidRDefault="009D7FB7"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1 619</w:t>
            </w:r>
          </w:p>
        </w:tc>
        <w:tc>
          <w:tcPr>
            <w:tcW w:w="2949" w:type="dxa"/>
            <w:vMerge/>
          </w:tcPr>
          <w:p w14:paraId="422AFD97" w14:textId="078A2B0E" w:rsidR="009D7FB7" w:rsidRPr="00DE642C" w:rsidRDefault="009D7FB7"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92226B" w:rsidRPr="0092226B" w14:paraId="4B6FF34C" w14:textId="77777777" w:rsidTr="001F4BBD">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828" w:type="dxa"/>
            <w:vMerge w:val="restart"/>
          </w:tcPr>
          <w:p w14:paraId="4465D19E" w14:textId="77777777" w:rsidR="00FC2614" w:rsidRPr="00DE642C" w:rsidRDefault="00FC2614" w:rsidP="00E86509">
            <w:pPr>
              <w:spacing w:line="240" w:lineRule="auto"/>
              <w:rPr>
                <w:rFonts w:eastAsia="Times New Roman"/>
                <w:b w:val="0"/>
                <w:bCs w:val="0"/>
                <w:color w:val="auto"/>
                <w:sz w:val="20"/>
                <w:szCs w:val="20"/>
                <w:lang w:eastAsia="pl-PL"/>
              </w:rPr>
            </w:pPr>
            <w:r w:rsidRPr="00DE642C">
              <w:rPr>
                <w:rFonts w:eastAsia="Times New Roman"/>
                <w:color w:val="auto"/>
                <w:sz w:val="20"/>
                <w:szCs w:val="20"/>
                <w:lang w:eastAsia="pl-PL"/>
              </w:rPr>
              <w:t>Usługi świadczone osobom starszym</w:t>
            </w:r>
            <w:r w:rsidRPr="00DE642C">
              <w:rPr>
                <w:rStyle w:val="Odwoanieprzypisudolnego"/>
                <w:color w:val="auto"/>
                <w:sz w:val="20"/>
                <w:szCs w:val="20"/>
              </w:rPr>
              <w:footnoteReference w:id="48"/>
            </w:r>
          </w:p>
        </w:tc>
        <w:tc>
          <w:tcPr>
            <w:tcW w:w="3118" w:type="dxa"/>
            <w:gridSpan w:val="2"/>
          </w:tcPr>
          <w:p w14:paraId="11276C4C" w14:textId="77777777" w:rsidR="00FC2614" w:rsidRPr="00DE642C" w:rsidRDefault="00FC2614" w:rsidP="00E86509">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DE642C">
              <w:rPr>
                <w:b/>
                <w:sz w:val="20"/>
                <w:szCs w:val="20"/>
              </w:rPr>
              <w:t>Rodzaj usług</w:t>
            </w:r>
          </w:p>
        </w:tc>
        <w:tc>
          <w:tcPr>
            <w:tcW w:w="3684" w:type="dxa"/>
            <w:gridSpan w:val="2"/>
          </w:tcPr>
          <w:p w14:paraId="3072678B" w14:textId="77777777" w:rsidR="00FC2614" w:rsidRPr="00DE642C" w:rsidRDefault="00FC2614" w:rsidP="00E86509">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DE642C">
              <w:rPr>
                <w:b/>
                <w:sz w:val="20"/>
                <w:szCs w:val="20"/>
              </w:rPr>
              <w:t>Liczba osób starszych objętych pomocą</w:t>
            </w:r>
          </w:p>
        </w:tc>
        <w:tc>
          <w:tcPr>
            <w:tcW w:w="5107" w:type="dxa"/>
            <w:gridSpan w:val="2"/>
          </w:tcPr>
          <w:p w14:paraId="2FFB015C" w14:textId="77777777" w:rsidR="00FC2614" w:rsidRPr="00DE642C" w:rsidRDefault="00FC2614" w:rsidP="00E86509">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DE642C">
              <w:rPr>
                <w:b/>
                <w:sz w:val="20"/>
                <w:szCs w:val="20"/>
              </w:rPr>
              <w:t>Wysokość środków przeznaczonych na usługi</w:t>
            </w:r>
          </w:p>
        </w:tc>
      </w:tr>
      <w:tr w:rsidR="001F4BBD" w:rsidRPr="0092226B" w14:paraId="37AC305E" w14:textId="77777777" w:rsidTr="001F4BBD">
        <w:trPr>
          <w:trHeight w:val="118"/>
        </w:trPr>
        <w:tc>
          <w:tcPr>
            <w:cnfStyle w:val="001000000000" w:firstRow="0" w:lastRow="0" w:firstColumn="1" w:lastColumn="0" w:oddVBand="0" w:evenVBand="0" w:oddHBand="0" w:evenHBand="0" w:firstRowFirstColumn="0" w:firstRowLastColumn="0" w:lastRowFirstColumn="0" w:lastRowLastColumn="0"/>
            <w:tcW w:w="2828" w:type="dxa"/>
            <w:vMerge/>
          </w:tcPr>
          <w:p w14:paraId="20D59263" w14:textId="77777777" w:rsidR="001F4BBD" w:rsidRPr="00DE642C" w:rsidRDefault="001F4BBD" w:rsidP="001F4BBD">
            <w:pPr>
              <w:spacing w:line="240" w:lineRule="auto"/>
              <w:rPr>
                <w:rFonts w:eastAsia="Times New Roman"/>
                <w:b w:val="0"/>
                <w:bCs w:val="0"/>
                <w:color w:val="auto"/>
                <w:sz w:val="20"/>
                <w:szCs w:val="20"/>
                <w:lang w:eastAsia="pl-PL"/>
              </w:rPr>
            </w:pPr>
          </w:p>
        </w:tc>
        <w:tc>
          <w:tcPr>
            <w:tcW w:w="3118" w:type="dxa"/>
            <w:gridSpan w:val="2"/>
          </w:tcPr>
          <w:p w14:paraId="3C5DA965" w14:textId="77777777" w:rsidR="001F4BBD" w:rsidRPr="00DE642C" w:rsidRDefault="001F4BBD" w:rsidP="001F4BBD">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Usługi opiekuńcze ogółem</w:t>
            </w:r>
          </w:p>
        </w:tc>
        <w:tc>
          <w:tcPr>
            <w:tcW w:w="3684" w:type="dxa"/>
            <w:gridSpan w:val="2"/>
          </w:tcPr>
          <w:p w14:paraId="703861D4" w14:textId="307427B9"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7 344</w:t>
            </w:r>
          </w:p>
        </w:tc>
        <w:tc>
          <w:tcPr>
            <w:tcW w:w="5107" w:type="dxa"/>
            <w:gridSpan w:val="2"/>
          </w:tcPr>
          <w:p w14:paraId="3E0DEF90" w14:textId="65E1F078"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74 930</w:t>
            </w:r>
            <w:r w:rsidR="00DE642C" w:rsidRPr="00DE642C">
              <w:rPr>
                <w:sz w:val="20"/>
                <w:szCs w:val="20"/>
              </w:rPr>
              <w:t> </w:t>
            </w:r>
            <w:r w:rsidRPr="00DE642C">
              <w:rPr>
                <w:sz w:val="20"/>
                <w:szCs w:val="20"/>
              </w:rPr>
              <w:t>133</w:t>
            </w:r>
            <w:r w:rsidR="00DE642C" w:rsidRPr="00DE642C">
              <w:rPr>
                <w:sz w:val="20"/>
                <w:szCs w:val="20"/>
              </w:rPr>
              <w:t xml:space="preserve"> zł</w:t>
            </w:r>
          </w:p>
        </w:tc>
      </w:tr>
      <w:tr w:rsidR="0092226B" w:rsidRPr="0092226B" w14:paraId="23CFCBF2" w14:textId="77777777" w:rsidTr="001F4BBD">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28" w:type="dxa"/>
            <w:vMerge/>
          </w:tcPr>
          <w:p w14:paraId="63C863CF" w14:textId="77777777" w:rsidR="00A00C5F" w:rsidRPr="00DE642C" w:rsidRDefault="00A00C5F" w:rsidP="00E86509">
            <w:pPr>
              <w:spacing w:line="240" w:lineRule="auto"/>
              <w:rPr>
                <w:rFonts w:eastAsia="Times New Roman"/>
                <w:b w:val="0"/>
                <w:bCs w:val="0"/>
                <w:color w:val="auto"/>
                <w:sz w:val="20"/>
                <w:szCs w:val="20"/>
                <w:lang w:eastAsia="pl-PL"/>
              </w:rPr>
            </w:pPr>
          </w:p>
        </w:tc>
        <w:tc>
          <w:tcPr>
            <w:tcW w:w="11909" w:type="dxa"/>
            <w:gridSpan w:val="6"/>
          </w:tcPr>
          <w:p w14:paraId="19A9D7FD" w14:textId="77777777" w:rsidR="00A00C5F" w:rsidRPr="00DE642C" w:rsidRDefault="00A00C5F" w:rsidP="00E86509">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w tym:</w:t>
            </w:r>
          </w:p>
        </w:tc>
      </w:tr>
      <w:tr w:rsidR="001F4BBD" w:rsidRPr="0092226B" w14:paraId="332B6705" w14:textId="77777777" w:rsidTr="001F4BBD">
        <w:trPr>
          <w:trHeight w:val="118"/>
        </w:trPr>
        <w:tc>
          <w:tcPr>
            <w:cnfStyle w:val="001000000000" w:firstRow="0" w:lastRow="0" w:firstColumn="1" w:lastColumn="0" w:oddVBand="0" w:evenVBand="0" w:oddHBand="0" w:evenHBand="0" w:firstRowFirstColumn="0" w:firstRowLastColumn="0" w:lastRowFirstColumn="0" w:lastRowLastColumn="0"/>
            <w:tcW w:w="2828" w:type="dxa"/>
            <w:vMerge/>
          </w:tcPr>
          <w:p w14:paraId="75CFBDE1" w14:textId="77777777" w:rsidR="001F4BBD" w:rsidRPr="00DE642C" w:rsidRDefault="001F4BBD" w:rsidP="001F4BBD">
            <w:pPr>
              <w:spacing w:line="240" w:lineRule="auto"/>
              <w:rPr>
                <w:rFonts w:eastAsia="Times New Roman"/>
                <w:b w:val="0"/>
                <w:bCs w:val="0"/>
                <w:color w:val="auto"/>
                <w:sz w:val="20"/>
                <w:szCs w:val="20"/>
                <w:lang w:eastAsia="pl-PL"/>
              </w:rPr>
            </w:pPr>
          </w:p>
        </w:tc>
        <w:tc>
          <w:tcPr>
            <w:tcW w:w="3118" w:type="dxa"/>
            <w:gridSpan w:val="2"/>
          </w:tcPr>
          <w:p w14:paraId="3DB45F11" w14:textId="77777777" w:rsidR="001F4BBD" w:rsidRPr="00DE642C" w:rsidRDefault="001F4BBD" w:rsidP="001F4BBD">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specjalistyczne usługi opiekuńcze</w:t>
            </w:r>
          </w:p>
        </w:tc>
        <w:tc>
          <w:tcPr>
            <w:tcW w:w="3684" w:type="dxa"/>
            <w:gridSpan w:val="2"/>
          </w:tcPr>
          <w:p w14:paraId="4BAFF29B" w14:textId="6EAFE026"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332</w:t>
            </w:r>
          </w:p>
        </w:tc>
        <w:tc>
          <w:tcPr>
            <w:tcW w:w="5107" w:type="dxa"/>
            <w:gridSpan w:val="2"/>
          </w:tcPr>
          <w:p w14:paraId="37FAFF92" w14:textId="02246C8C"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7 625</w:t>
            </w:r>
            <w:r w:rsidR="00DE642C" w:rsidRPr="00DE642C">
              <w:rPr>
                <w:sz w:val="20"/>
                <w:szCs w:val="20"/>
              </w:rPr>
              <w:t> </w:t>
            </w:r>
            <w:r w:rsidRPr="00DE642C">
              <w:rPr>
                <w:sz w:val="20"/>
                <w:szCs w:val="20"/>
              </w:rPr>
              <w:t>955</w:t>
            </w:r>
            <w:r w:rsidR="00DE642C" w:rsidRPr="00DE642C">
              <w:rPr>
                <w:sz w:val="20"/>
                <w:szCs w:val="20"/>
              </w:rPr>
              <w:t xml:space="preserve"> zł</w:t>
            </w:r>
          </w:p>
        </w:tc>
      </w:tr>
      <w:tr w:rsidR="001F4BBD" w:rsidRPr="0092226B" w14:paraId="061CFCE5" w14:textId="77777777" w:rsidTr="001F4B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28" w:type="dxa"/>
            <w:vMerge/>
          </w:tcPr>
          <w:p w14:paraId="231C02A2" w14:textId="77777777" w:rsidR="001F4BBD" w:rsidRPr="00DE642C" w:rsidRDefault="001F4BBD" w:rsidP="001F4BBD">
            <w:pPr>
              <w:spacing w:line="240" w:lineRule="auto"/>
              <w:rPr>
                <w:rFonts w:eastAsia="Times New Roman"/>
                <w:b w:val="0"/>
                <w:bCs w:val="0"/>
                <w:color w:val="auto"/>
                <w:sz w:val="20"/>
                <w:szCs w:val="20"/>
                <w:lang w:eastAsia="pl-PL"/>
              </w:rPr>
            </w:pPr>
          </w:p>
        </w:tc>
        <w:tc>
          <w:tcPr>
            <w:tcW w:w="3118" w:type="dxa"/>
            <w:gridSpan w:val="2"/>
          </w:tcPr>
          <w:p w14:paraId="049DD633" w14:textId="77777777" w:rsidR="001F4BBD" w:rsidRPr="00DE642C" w:rsidRDefault="001F4BBD" w:rsidP="001F4BBD">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specjalistyczne usługi opiekuńcze w miejscu zamieszkania dla osób z zaburzeniami psychicznymi</w:t>
            </w:r>
          </w:p>
        </w:tc>
        <w:tc>
          <w:tcPr>
            <w:tcW w:w="3684" w:type="dxa"/>
            <w:gridSpan w:val="2"/>
          </w:tcPr>
          <w:p w14:paraId="362F11BC" w14:textId="6EF7D8BA"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448</w:t>
            </w:r>
          </w:p>
        </w:tc>
        <w:tc>
          <w:tcPr>
            <w:tcW w:w="5107" w:type="dxa"/>
            <w:gridSpan w:val="2"/>
          </w:tcPr>
          <w:p w14:paraId="46C81D68" w14:textId="2C9D247A"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6 556</w:t>
            </w:r>
            <w:r w:rsidR="00DE642C" w:rsidRPr="00DE642C">
              <w:rPr>
                <w:sz w:val="20"/>
                <w:szCs w:val="20"/>
              </w:rPr>
              <w:t> </w:t>
            </w:r>
            <w:r w:rsidRPr="00DE642C">
              <w:rPr>
                <w:sz w:val="20"/>
                <w:szCs w:val="20"/>
              </w:rPr>
              <w:t>661</w:t>
            </w:r>
            <w:r w:rsidR="00DE642C" w:rsidRPr="00DE642C">
              <w:rPr>
                <w:sz w:val="20"/>
                <w:szCs w:val="20"/>
              </w:rPr>
              <w:t xml:space="preserve"> zł</w:t>
            </w:r>
          </w:p>
        </w:tc>
      </w:tr>
      <w:tr w:rsidR="0092226B" w:rsidRPr="0092226B" w14:paraId="4699C9DF" w14:textId="77777777" w:rsidTr="001F4BBD">
        <w:trPr>
          <w:trHeight w:val="194"/>
        </w:trPr>
        <w:tc>
          <w:tcPr>
            <w:cnfStyle w:val="001000000000" w:firstRow="0" w:lastRow="0" w:firstColumn="1" w:lastColumn="0" w:oddVBand="0" w:evenVBand="0" w:oddHBand="0" w:evenHBand="0" w:firstRowFirstColumn="0" w:firstRowLastColumn="0" w:lastRowFirstColumn="0" w:lastRowLastColumn="0"/>
            <w:tcW w:w="2828" w:type="dxa"/>
            <w:vMerge w:val="restart"/>
          </w:tcPr>
          <w:p w14:paraId="211E9610" w14:textId="77777777" w:rsidR="00FC2614" w:rsidRPr="00DE642C" w:rsidRDefault="00FC2614" w:rsidP="00E86509">
            <w:pPr>
              <w:spacing w:line="240" w:lineRule="auto"/>
              <w:rPr>
                <w:rFonts w:eastAsia="Times New Roman"/>
                <w:b w:val="0"/>
                <w:bCs w:val="0"/>
                <w:color w:val="auto"/>
                <w:sz w:val="20"/>
                <w:szCs w:val="20"/>
                <w:lang w:eastAsia="pl-PL"/>
              </w:rPr>
            </w:pPr>
            <w:r w:rsidRPr="00DE642C">
              <w:rPr>
                <w:rFonts w:eastAsia="Times New Roman"/>
                <w:color w:val="auto"/>
                <w:sz w:val="20"/>
                <w:szCs w:val="20"/>
                <w:lang w:eastAsia="pl-PL"/>
              </w:rPr>
              <w:t>Świadczenia pieniężne przyznane osobom starszym</w:t>
            </w:r>
            <w:r w:rsidRPr="00DE642C">
              <w:rPr>
                <w:rStyle w:val="Odwoanieprzypisudolnego"/>
                <w:color w:val="auto"/>
                <w:sz w:val="20"/>
                <w:szCs w:val="20"/>
              </w:rPr>
              <w:footnoteReference w:id="49"/>
            </w:r>
          </w:p>
        </w:tc>
        <w:tc>
          <w:tcPr>
            <w:tcW w:w="3118" w:type="dxa"/>
            <w:gridSpan w:val="2"/>
          </w:tcPr>
          <w:p w14:paraId="2D6FB87C" w14:textId="77777777" w:rsidR="00FC2614" w:rsidRPr="00DE642C" w:rsidRDefault="00FC2614"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DE642C">
              <w:rPr>
                <w:b/>
                <w:sz w:val="20"/>
                <w:szCs w:val="20"/>
              </w:rPr>
              <w:t>Nazwa świadczenia</w:t>
            </w:r>
          </w:p>
        </w:tc>
        <w:tc>
          <w:tcPr>
            <w:tcW w:w="3684" w:type="dxa"/>
            <w:gridSpan w:val="2"/>
          </w:tcPr>
          <w:p w14:paraId="32052A44" w14:textId="77777777" w:rsidR="00FC2614" w:rsidRPr="00DE642C" w:rsidRDefault="00FC2614"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DE642C">
              <w:rPr>
                <w:b/>
                <w:sz w:val="20"/>
                <w:szCs w:val="20"/>
              </w:rPr>
              <w:t>Liczba osób starszych</w:t>
            </w:r>
          </w:p>
        </w:tc>
        <w:tc>
          <w:tcPr>
            <w:tcW w:w="5107" w:type="dxa"/>
            <w:gridSpan w:val="2"/>
          </w:tcPr>
          <w:p w14:paraId="0B33358B" w14:textId="77777777" w:rsidR="00FC2614" w:rsidRPr="00DE642C" w:rsidRDefault="00FC2614"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DE642C">
              <w:rPr>
                <w:b/>
                <w:sz w:val="20"/>
                <w:szCs w:val="20"/>
              </w:rPr>
              <w:t>Kwota świadczenia</w:t>
            </w:r>
          </w:p>
        </w:tc>
      </w:tr>
      <w:tr w:rsidR="001F4BBD" w:rsidRPr="0092226B" w14:paraId="605B0266" w14:textId="77777777" w:rsidTr="001F4BBD">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28" w:type="dxa"/>
            <w:vMerge/>
          </w:tcPr>
          <w:p w14:paraId="14E24894" w14:textId="77777777" w:rsidR="001F4BBD" w:rsidRPr="00DE642C" w:rsidRDefault="001F4BBD" w:rsidP="001F4BBD">
            <w:pPr>
              <w:spacing w:line="240" w:lineRule="auto"/>
              <w:rPr>
                <w:rFonts w:eastAsia="Times New Roman"/>
                <w:b w:val="0"/>
                <w:bCs w:val="0"/>
                <w:color w:val="auto"/>
                <w:sz w:val="20"/>
                <w:szCs w:val="20"/>
                <w:lang w:eastAsia="pl-PL"/>
              </w:rPr>
            </w:pPr>
          </w:p>
        </w:tc>
        <w:tc>
          <w:tcPr>
            <w:tcW w:w="3118" w:type="dxa"/>
            <w:gridSpan w:val="2"/>
          </w:tcPr>
          <w:p w14:paraId="48072411" w14:textId="77777777" w:rsidR="001F4BBD" w:rsidRPr="00DE642C" w:rsidRDefault="001F4BBD" w:rsidP="001F4BBD">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Zasiłek stały</w:t>
            </w:r>
          </w:p>
        </w:tc>
        <w:tc>
          <w:tcPr>
            <w:tcW w:w="3684" w:type="dxa"/>
            <w:gridSpan w:val="2"/>
          </w:tcPr>
          <w:p w14:paraId="54FF72E5" w14:textId="6EA8D9C3"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4  966</w:t>
            </w:r>
          </w:p>
        </w:tc>
        <w:tc>
          <w:tcPr>
            <w:tcW w:w="5107" w:type="dxa"/>
            <w:gridSpan w:val="2"/>
          </w:tcPr>
          <w:p w14:paraId="66E7A969" w14:textId="09CFDF4C"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47 744</w:t>
            </w:r>
            <w:r w:rsidR="00DE642C" w:rsidRPr="00DE642C">
              <w:rPr>
                <w:sz w:val="20"/>
                <w:szCs w:val="20"/>
              </w:rPr>
              <w:t> </w:t>
            </w:r>
            <w:r w:rsidRPr="00DE642C">
              <w:rPr>
                <w:sz w:val="20"/>
                <w:szCs w:val="20"/>
              </w:rPr>
              <w:t>383</w:t>
            </w:r>
            <w:r w:rsidR="00DE642C" w:rsidRPr="00DE642C">
              <w:rPr>
                <w:sz w:val="20"/>
                <w:szCs w:val="20"/>
              </w:rPr>
              <w:t xml:space="preserve"> zł</w:t>
            </w:r>
          </w:p>
        </w:tc>
      </w:tr>
      <w:tr w:rsidR="001F4BBD" w:rsidRPr="0092226B" w14:paraId="74BE1FE8" w14:textId="77777777" w:rsidTr="001F4BBD">
        <w:trPr>
          <w:trHeight w:val="190"/>
        </w:trPr>
        <w:tc>
          <w:tcPr>
            <w:cnfStyle w:val="001000000000" w:firstRow="0" w:lastRow="0" w:firstColumn="1" w:lastColumn="0" w:oddVBand="0" w:evenVBand="0" w:oddHBand="0" w:evenHBand="0" w:firstRowFirstColumn="0" w:firstRowLastColumn="0" w:lastRowFirstColumn="0" w:lastRowLastColumn="0"/>
            <w:tcW w:w="2828" w:type="dxa"/>
            <w:vMerge/>
          </w:tcPr>
          <w:p w14:paraId="1E77FA6B" w14:textId="77777777" w:rsidR="001F4BBD" w:rsidRPr="00DE642C" w:rsidRDefault="001F4BBD" w:rsidP="001F4BBD">
            <w:pPr>
              <w:spacing w:line="240" w:lineRule="auto"/>
              <w:rPr>
                <w:rFonts w:eastAsia="Times New Roman"/>
                <w:b w:val="0"/>
                <w:bCs w:val="0"/>
                <w:color w:val="auto"/>
                <w:sz w:val="20"/>
                <w:szCs w:val="20"/>
                <w:lang w:eastAsia="pl-PL"/>
              </w:rPr>
            </w:pPr>
          </w:p>
        </w:tc>
        <w:tc>
          <w:tcPr>
            <w:tcW w:w="3118" w:type="dxa"/>
            <w:gridSpan w:val="2"/>
          </w:tcPr>
          <w:p w14:paraId="7BCE9BE8" w14:textId="77777777" w:rsidR="001F4BBD" w:rsidRPr="00DE642C" w:rsidRDefault="001F4BBD" w:rsidP="001F4BBD">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Zasiłek okresowy</w:t>
            </w:r>
          </w:p>
        </w:tc>
        <w:tc>
          <w:tcPr>
            <w:tcW w:w="3684" w:type="dxa"/>
            <w:gridSpan w:val="2"/>
          </w:tcPr>
          <w:p w14:paraId="40400699" w14:textId="5A9E1C27"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4 206</w:t>
            </w:r>
          </w:p>
        </w:tc>
        <w:tc>
          <w:tcPr>
            <w:tcW w:w="5107" w:type="dxa"/>
            <w:gridSpan w:val="2"/>
          </w:tcPr>
          <w:p w14:paraId="7349E409" w14:textId="50D42462"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8 373</w:t>
            </w:r>
            <w:r w:rsidR="00DE642C" w:rsidRPr="00DE642C">
              <w:rPr>
                <w:sz w:val="20"/>
                <w:szCs w:val="20"/>
              </w:rPr>
              <w:t> </w:t>
            </w:r>
            <w:r w:rsidRPr="00DE642C">
              <w:rPr>
                <w:sz w:val="20"/>
                <w:szCs w:val="20"/>
              </w:rPr>
              <w:t>438</w:t>
            </w:r>
            <w:r w:rsidR="00DE642C" w:rsidRPr="00DE642C">
              <w:rPr>
                <w:sz w:val="20"/>
                <w:szCs w:val="20"/>
              </w:rPr>
              <w:t xml:space="preserve"> zł</w:t>
            </w:r>
          </w:p>
        </w:tc>
      </w:tr>
      <w:tr w:rsidR="001F4BBD" w:rsidRPr="0092226B" w14:paraId="1C4F9AE7" w14:textId="77777777" w:rsidTr="001F4BBD">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28" w:type="dxa"/>
            <w:vMerge/>
          </w:tcPr>
          <w:p w14:paraId="3CDB0430" w14:textId="77777777" w:rsidR="001F4BBD" w:rsidRPr="00DE642C" w:rsidRDefault="001F4BBD" w:rsidP="001F4BBD">
            <w:pPr>
              <w:spacing w:line="240" w:lineRule="auto"/>
              <w:rPr>
                <w:rFonts w:eastAsia="Times New Roman"/>
                <w:b w:val="0"/>
                <w:bCs w:val="0"/>
                <w:color w:val="auto"/>
                <w:sz w:val="20"/>
                <w:szCs w:val="20"/>
                <w:lang w:eastAsia="pl-PL"/>
              </w:rPr>
            </w:pPr>
          </w:p>
        </w:tc>
        <w:tc>
          <w:tcPr>
            <w:tcW w:w="3118" w:type="dxa"/>
            <w:gridSpan w:val="2"/>
          </w:tcPr>
          <w:p w14:paraId="393C777C" w14:textId="77777777" w:rsidR="001F4BBD" w:rsidRPr="00DE642C" w:rsidRDefault="001F4BBD" w:rsidP="001F4BBD">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Zasiłek celowy</w:t>
            </w:r>
          </w:p>
        </w:tc>
        <w:tc>
          <w:tcPr>
            <w:tcW w:w="3684" w:type="dxa"/>
            <w:gridSpan w:val="2"/>
          </w:tcPr>
          <w:p w14:paraId="5FC0A5EA" w14:textId="1858E3A2"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7 107</w:t>
            </w:r>
          </w:p>
        </w:tc>
        <w:tc>
          <w:tcPr>
            <w:tcW w:w="5107" w:type="dxa"/>
            <w:gridSpan w:val="2"/>
          </w:tcPr>
          <w:p w14:paraId="7CA9E1FD" w14:textId="2C564BEF" w:rsidR="001F4BBD" w:rsidRPr="00DE642C" w:rsidRDefault="001F4BBD" w:rsidP="001F4BBD">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10 940</w:t>
            </w:r>
            <w:r w:rsidR="00DE642C" w:rsidRPr="00DE642C">
              <w:rPr>
                <w:sz w:val="20"/>
                <w:szCs w:val="20"/>
              </w:rPr>
              <w:t> </w:t>
            </w:r>
            <w:r w:rsidRPr="00DE642C">
              <w:rPr>
                <w:sz w:val="20"/>
                <w:szCs w:val="20"/>
              </w:rPr>
              <w:t>126</w:t>
            </w:r>
            <w:r w:rsidR="00DE642C" w:rsidRPr="00DE642C">
              <w:rPr>
                <w:sz w:val="20"/>
                <w:szCs w:val="20"/>
              </w:rPr>
              <w:t xml:space="preserve"> zł</w:t>
            </w:r>
          </w:p>
        </w:tc>
      </w:tr>
      <w:tr w:rsidR="001F4BBD" w:rsidRPr="0092226B" w14:paraId="6B6C5D1A" w14:textId="77777777" w:rsidTr="001F4BBD">
        <w:trPr>
          <w:trHeight w:val="190"/>
        </w:trPr>
        <w:tc>
          <w:tcPr>
            <w:cnfStyle w:val="001000000000" w:firstRow="0" w:lastRow="0" w:firstColumn="1" w:lastColumn="0" w:oddVBand="0" w:evenVBand="0" w:oddHBand="0" w:evenHBand="0" w:firstRowFirstColumn="0" w:firstRowLastColumn="0" w:lastRowFirstColumn="0" w:lastRowLastColumn="0"/>
            <w:tcW w:w="2828" w:type="dxa"/>
            <w:vMerge/>
          </w:tcPr>
          <w:p w14:paraId="34F64A4A" w14:textId="77777777" w:rsidR="001F4BBD" w:rsidRPr="00DE642C" w:rsidRDefault="001F4BBD" w:rsidP="001F4BBD">
            <w:pPr>
              <w:spacing w:line="240" w:lineRule="auto"/>
              <w:rPr>
                <w:rFonts w:eastAsia="Times New Roman"/>
                <w:b w:val="0"/>
                <w:bCs w:val="0"/>
                <w:color w:val="auto"/>
                <w:sz w:val="20"/>
                <w:szCs w:val="20"/>
                <w:lang w:eastAsia="pl-PL"/>
              </w:rPr>
            </w:pPr>
          </w:p>
        </w:tc>
        <w:tc>
          <w:tcPr>
            <w:tcW w:w="3118" w:type="dxa"/>
            <w:gridSpan w:val="2"/>
          </w:tcPr>
          <w:p w14:paraId="678CBF77" w14:textId="77777777" w:rsidR="001F4BBD" w:rsidRPr="00DE642C" w:rsidRDefault="001F4BBD" w:rsidP="001F4BBD">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Specjalny zasiłek celowy</w:t>
            </w:r>
          </w:p>
        </w:tc>
        <w:tc>
          <w:tcPr>
            <w:tcW w:w="3684" w:type="dxa"/>
            <w:gridSpan w:val="2"/>
          </w:tcPr>
          <w:p w14:paraId="1D9A161E" w14:textId="0DEBED76"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6 538</w:t>
            </w:r>
          </w:p>
        </w:tc>
        <w:tc>
          <w:tcPr>
            <w:tcW w:w="5107" w:type="dxa"/>
            <w:gridSpan w:val="2"/>
          </w:tcPr>
          <w:p w14:paraId="3B4F473A" w14:textId="59AFC9C0" w:rsidR="001F4BBD" w:rsidRPr="00DE642C" w:rsidRDefault="001F4BBD" w:rsidP="001F4BBD">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5 236</w:t>
            </w:r>
            <w:r w:rsidR="00DE642C" w:rsidRPr="00DE642C">
              <w:rPr>
                <w:sz w:val="20"/>
                <w:szCs w:val="20"/>
              </w:rPr>
              <w:t> </w:t>
            </w:r>
            <w:r w:rsidRPr="00DE642C">
              <w:rPr>
                <w:sz w:val="20"/>
                <w:szCs w:val="20"/>
              </w:rPr>
              <w:t>734</w:t>
            </w:r>
            <w:r w:rsidR="00DE642C" w:rsidRPr="00DE642C">
              <w:rPr>
                <w:sz w:val="20"/>
                <w:szCs w:val="20"/>
              </w:rPr>
              <w:t xml:space="preserve"> zł</w:t>
            </w:r>
          </w:p>
        </w:tc>
      </w:tr>
      <w:tr w:rsidR="0092226B" w:rsidRPr="0092226B" w14:paraId="0A17C45D" w14:textId="77777777" w:rsidTr="001F4BBD">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28" w:type="dxa"/>
            <w:vMerge w:val="restart"/>
          </w:tcPr>
          <w:p w14:paraId="373C90E7" w14:textId="77777777" w:rsidR="00FC2614" w:rsidRPr="00DE642C" w:rsidRDefault="00FC2614" w:rsidP="00E86509">
            <w:pPr>
              <w:spacing w:line="240" w:lineRule="auto"/>
              <w:rPr>
                <w:b w:val="0"/>
                <w:color w:val="auto"/>
                <w:sz w:val="20"/>
                <w:szCs w:val="20"/>
                <w:lang w:eastAsia="pl-PL"/>
              </w:rPr>
            </w:pPr>
            <w:r w:rsidRPr="00DE642C">
              <w:rPr>
                <w:color w:val="auto"/>
                <w:sz w:val="20"/>
                <w:szCs w:val="20"/>
                <w:lang w:eastAsia="pl-PL"/>
              </w:rPr>
              <w:t>Największe problemy/niedogodności w świadczeniu opieki nad osobami starszymi (np. zasoby kadrowe, rzeczowe, finansowe itp.)</w:t>
            </w:r>
          </w:p>
        </w:tc>
        <w:tc>
          <w:tcPr>
            <w:tcW w:w="11909" w:type="dxa"/>
            <w:gridSpan w:val="6"/>
          </w:tcPr>
          <w:p w14:paraId="298FBB78" w14:textId="3E3EB2BE" w:rsidR="00FC2614" w:rsidRPr="00DE642C" w:rsidRDefault="001F4BBD" w:rsidP="001F4BBD">
            <w:pPr>
              <w:spacing w:line="240" w:lineRule="auto"/>
              <w:cnfStyle w:val="000000100000" w:firstRow="0" w:lastRow="0" w:firstColumn="0" w:lastColumn="0" w:oddVBand="0" w:evenVBand="0" w:oddHBand="1" w:evenHBand="0" w:firstRowFirstColumn="0" w:firstRowLastColumn="0" w:lastRowFirstColumn="0" w:lastRowLastColumn="0"/>
              <w:rPr>
                <w:bCs/>
                <w:sz w:val="20"/>
                <w:szCs w:val="20"/>
              </w:rPr>
            </w:pPr>
            <w:r w:rsidRPr="00DE642C">
              <w:rPr>
                <w:b/>
                <w:bCs/>
                <w:sz w:val="20"/>
                <w:szCs w:val="20"/>
              </w:rPr>
              <w:t>1.</w:t>
            </w:r>
            <w:r w:rsidRPr="00DE642C">
              <w:rPr>
                <w:bCs/>
                <w:sz w:val="20"/>
                <w:szCs w:val="20"/>
              </w:rPr>
              <w:t xml:space="preserve"> Wiele środowisk zgłaszanych do objęcia pomocą usługową to osoby leżące, często po pobycie w szpitalu, które wymagają głównie pielęgnacji co wiąże się z dźwiganiem.  Sytuacje takie powodują, że większość zatrudnionych na umowy zlecenia opiekunek nie wyraża gotowości objęcia swoimi działaniami takich osób chociażby ze względu na ochronę swojego stanu zdrowia (kręgosłupa). Pomimo takich trudności Ośrodki finalnie nie odmawiają i zawsze zabezpieczają usługi w środowiskach tego wymagających. Niedogodność stanowi też pora dnia świadczenia usług opiekuńczych u Klienta. Zwykle klienci oczekują na takie wsparcie w godzinach porannych. Zrealizowanie usług w nowych środowiskach  w takim czasie bywa niejednokrotnie bardzo trudne z uwagi na fakt, że wszystkie zatrudnione opiekunki mają rozplanowaną pracę od godzin porannych. Pozyskanie i zatrudnienie nowej opiekunki wymaga jednak czasu. Sytuacje takie wymuszają pracę niektórych opiekunek w niewielkiej ilości godzin co powoduje osiąganie niskich wynagrodzeń i brak motywacji do dalszej współpracy.</w:t>
            </w:r>
          </w:p>
        </w:tc>
      </w:tr>
      <w:tr w:rsidR="0092226B" w:rsidRPr="0092226B" w14:paraId="324B7991" w14:textId="77777777" w:rsidTr="001F4BBD">
        <w:trPr>
          <w:trHeight w:val="442"/>
        </w:trPr>
        <w:tc>
          <w:tcPr>
            <w:cnfStyle w:val="001000000000" w:firstRow="0" w:lastRow="0" w:firstColumn="1" w:lastColumn="0" w:oddVBand="0" w:evenVBand="0" w:oddHBand="0" w:evenHBand="0" w:firstRowFirstColumn="0" w:firstRowLastColumn="0" w:lastRowFirstColumn="0" w:lastRowLastColumn="0"/>
            <w:tcW w:w="2828" w:type="dxa"/>
            <w:vMerge/>
          </w:tcPr>
          <w:p w14:paraId="4CD4C820" w14:textId="77777777" w:rsidR="00FC2614" w:rsidRPr="00DE642C" w:rsidRDefault="00FC2614" w:rsidP="00E86509">
            <w:pPr>
              <w:spacing w:line="240" w:lineRule="auto"/>
              <w:rPr>
                <w:color w:val="auto"/>
                <w:sz w:val="20"/>
                <w:szCs w:val="20"/>
                <w:lang w:eastAsia="pl-PL"/>
              </w:rPr>
            </w:pPr>
          </w:p>
        </w:tc>
        <w:tc>
          <w:tcPr>
            <w:tcW w:w="11909" w:type="dxa"/>
            <w:gridSpan w:val="6"/>
          </w:tcPr>
          <w:p w14:paraId="1A0E5123" w14:textId="0E4C709F" w:rsidR="00FC2614" w:rsidRPr="00DE642C" w:rsidRDefault="001F4BBD" w:rsidP="001F4BBD">
            <w:pPr>
              <w:spacing w:line="240" w:lineRule="auto"/>
              <w:cnfStyle w:val="000000000000" w:firstRow="0" w:lastRow="0" w:firstColumn="0" w:lastColumn="0" w:oddVBand="0" w:evenVBand="0" w:oddHBand="0" w:evenHBand="0" w:firstRowFirstColumn="0" w:firstRowLastColumn="0" w:lastRowFirstColumn="0" w:lastRowLastColumn="0"/>
              <w:rPr>
                <w:i/>
                <w:sz w:val="20"/>
                <w:szCs w:val="20"/>
              </w:rPr>
            </w:pPr>
            <w:r w:rsidRPr="00DE642C">
              <w:rPr>
                <w:b/>
                <w:bCs/>
                <w:iCs/>
                <w:sz w:val="20"/>
                <w:szCs w:val="20"/>
              </w:rPr>
              <w:t>2.</w:t>
            </w:r>
            <w:r w:rsidRPr="00DE642C">
              <w:rPr>
                <w:sz w:val="20"/>
                <w:szCs w:val="20"/>
              </w:rPr>
              <w:t xml:space="preserve"> </w:t>
            </w:r>
            <w:r w:rsidRPr="00DE642C">
              <w:rPr>
                <w:i/>
                <w:sz w:val="20"/>
                <w:szCs w:val="20"/>
              </w:rPr>
              <w:t>Ograniczenia i izolacja spowodowana pandemią Covid-19</w:t>
            </w:r>
          </w:p>
        </w:tc>
      </w:tr>
      <w:tr w:rsidR="0092226B" w:rsidRPr="0092226B" w14:paraId="7E55A6ED" w14:textId="77777777" w:rsidTr="001F4BBD">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28" w:type="dxa"/>
            <w:vMerge/>
          </w:tcPr>
          <w:p w14:paraId="14837EF4" w14:textId="77777777" w:rsidR="00FC2614" w:rsidRPr="00DE642C" w:rsidRDefault="00FC2614" w:rsidP="00E86509">
            <w:pPr>
              <w:spacing w:line="240" w:lineRule="auto"/>
              <w:rPr>
                <w:color w:val="auto"/>
                <w:sz w:val="20"/>
                <w:szCs w:val="20"/>
                <w:lang w:eastAsia="pl-PL"/>
              </w:rPr>
            </w:pPr>
          </w:p>
        </w:tc>
        <w:tc>
          <w:tcPr>
            <w:tcW w:w="11909" w:type="dxa"/>
            <w:gridSpan w:val="6"/>
          </w:tcPr>
          <w:p w14:paraId="13AA10DD" w14:textId="14DD8BA2" w:rsidR="00FC2614" w:rsidRPr="00DE642C" w:rsidRDefault="001F4BBD" w:rsidP="001F4BBD">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b/>
                <w:bCs/>
                <w:sz w:val="20"/>
                <w:szCs w:val="20"/>
              </w:rPr>
              <w:t>3.</w:t>
            </w:r>
            <w:r w:rsidRPr="00DE642C">
              <w:rPr>
                <w:sz w:val="20"/>
                <w:szCs w:val="20"/>
              </w:rPr>
              <w:t xml:space="preserve">  Trudności komunikacyjne dotyczące dojazdów opiekunek w teren.  Dojazdy do środowisk odległych w Gminie są  powodem braku chęci ze strony opiekunek do podejmowania pracy w takich środowiskach. Skutkiem pracy w rejonach wiejskich jest niewielka ilość godzin pracy a co za tym idzie niskie wynagrodzenie i strata dużej ilości czasu na przejazdy.</w:t>
            </w:r>
          </w:p>
        </w:tc>
      </w:tr>
      <w:tr w:rsidR="0092226B" w:rsidRPr="0092226B" w14:paraId="158D6702" w14:textId="77777777" w:rsidTr="001F4BBD">
        <w:trPr>
          <w:trHeight w:val="442"/>
        </w:trPr>
        <w:tc>
          <w:tcPr>
            <w:cnfStyle w:val="001000000000" w:firstRow="0" w:lastRow="0" w:firstColumn="1" w:lastColumn="0" w:oddVBand="0" w:evenVBand="0" w:oddHBand="0" w:evenHBand="0" w:firstRowFirstColumn="0" w:firstRowLastColumn="0" w:lastRowFirstColumn="0" w:lastRowLastColumn="0"/>
            <w:tcW w:w="2828" w:type="dxa"/>
          </w:tcPr>
          <w:p w14:paraId="36F1DE97" w14:textId="50082E4F" w:rsidR="00FC2614" w:rsidRPr="00DE642C" w:rsidRDefault="00FC2614" w:rsidP="00E86509">
            <w:pPr>
              <w:spacing w:line="240" w:lineRule="auto"/>
              <w:rPr>
                <w:color w:val="auto"/>
                <w:sz w:val="20"/>
                <w:szCs w:val="20"/>
                <w:lang w:eastAsia="pl-PL"/>
              </w:rPr>
            </w:pPr>
            <w:r w:rsidRPr="00DE642C">
              <w:rPr>
                <w:color w:val="auto"/>
                <w:sz w:val="20"/>
                <w:szCs w:val="20"/>
                <w:lang w:eastAsia="pl-PL"/>
              </w:rPr>
              <w:t>Stopień</w:t>
            </w:r>
            <w:r w:rsidR="001F4BBD" w:rsidRPr="00DE642C">
              <w:rPr>
                <w:color w:val="auto"/>
                <w:sz w:val="20"/>
                <w:szCs w:val="20"/>
                <w:lang w:eastAsia="pl-PL"/>
              </w:rPr>
              <w:t xml:space="preserve"> </w:t>
            </w:r>
            <w:r w:rsidR="001F4BBD" w:rsidRPr="00DE642C">
              <w:rPr>
                <w:sz w:val="20"/>
                <w:szCs w:val="20"/>
              </w:rPr>
              <w:t xml:space="preserve"> </w:t>
            </w:r>
            <w:r w:rsidR="001F4BBD" w:rsidRPr="00DE642C">
              <w:rPr>
                <w:color w:val="auto"/>
                <w:sz w:val="20"/>
                <w:szCs w:val="20"/>
                <w:lang w:eastAsia="pl-PL"/>
              </w:rPr>
              <w:t>zaspokojenia potrzeb w zakresie usług opiekuńczych</w:t>
            </w:r>
          </w:p>
        </w:tc>
        <w:tc>
          <w:tcPr>
            <w:tcW w:w="11909" w:type="dxa"/>
            <w:gridSpan w:val="6"/>
          </w:tcPr>
          <w:p w14:paraId="3EFEADA1" w14:textId="3C9A8D82" w:rsidR="001F4BBD" w:rsidRPr="00DE642C" w:rsidRDefault="001F4BBD" w:rsidP="001F4BBD">
            <w:pPr>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 xml:space="preserve">Rośnie udział osób starszych w populacji regionu, maleją rodzinne zasoby opiekuńcze a zwiększa się poziom społecznych zagrożeń dla zdrowia psychicznego. Prawie połowa starszych Polaków deklaruje wystąpienie objawów depresji.  Zwiększa się liczba osób objętych pomocą w formie usług opiekuńczych jednak w dalszym  ciągu występują problemy w zakresie finansowym i kadrowym.   </w:t>
            </w:r>
          </w:p>
          <w:p w14:paraId="4B57C444" w14:textId="28B0A4B5" w:rsidR="001F4BBD" w:rsidRPr="00DE642C" w:rsidRDefault="001F4BBD" w:rsidP="001F4BBD">
            <w:pPr>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Ciągle zbyt mało jest usług opiekuńczych w stosunku do szacowanego zapotrzebowania. W 2019 r. z gminnych usług opiekuńczych w miejscu zamieszkania skorzystało nieco więcej mieszkańców niż przed rokiem i w poprzednich latach, ale ich zasięg nadal był dość niewielki. Natomiast w 2020 r. zanotowano spadek po wcześniejszych okresach wzrostowych - z gminnych usług opiekuńczych w miejscu zamieszkania skorzystało   7 344 osób 60+. Łączna wysokość środków przeznaczona na usługi to 74 930 133 zł. Dla porównania, w 2019 r</w:t>
            </w:r>
            <w:r w:rsidR="00A931B5">
              <w:rPr>
                <w:sz w:val="20"/>
                <w:szCs w:val="20"/>
              </w:rPr>
              <w:t>.</w:t>
            </w:r>
            <w:r w:rsidRPr="00DE642C">
              <w:rPr>
                <w:sz w:val="20"/>
                <w:szCs w:val="20"/>
              </w:rPr>
              <w:t xml:space="preserve"> objęto pomocą w formie usług opiekuńczych 7 440 osób starszych a środki przeznaczone na usługi wynosiły 52 258 438 zł. </w:t>
            </w:r>
          </w:p>
          <w:p w14:paraId="01114930" w14:textId="77777777" w:rsidR="001F4BBD" w:rsidRPr="00DE642C" w:rsidRDefault="001F4BBD" w:rsidP="001F4BBD">
            <w:pPr>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 xml:space="preserve">Istotnym wskaźnikiem w diagnozie i ocenie tempa demograficznego starzenia jest tzw. wskaźnik podwójnego starzenia, który pokazuje, jaki udział w grupie osób starszych z danej zbiorowości mają najstarsi mieszkańcy, powyżej 80. roku życia. Z jednej strony indeks ten jest miarą dynamiki, z jaką zachodzą procesy starzenia się ludności, a z drugiej obrazuje on wewnętrzną strukturę populacji osób starszych, może być też wskaźnikiem zapotrzebowania na usługi opiekuńcze. W 2020 r., wg danych GUS, osiemdziesięciolatkowie i starsi mieszkańcy Małopolski stanowili grupę ponad 151,4 tysięcy osób. Zaspokojenie potrzeb w zakresie usług opiekuńczych jest niewystarczające także ze względu na brak osób chętnych do sprawowania formalnej opieki, dlatego preferowanym rozwiązaniem powinno być tworzenie dziennych domów pomocy i innych miejsc zapewniających dzienną opiekę i aktywizację. Dzienny dom pomocy wydaje się być najbardziej efektywną formułą organizacji i świadczenia usług opiekuńczych cechującą się dużym potencjałem rozwojowym z uwagi na możliwość włączenia w ofertę placówki rozwiązań </w:t>
            </w:r>
            <w:proofErr w:type="spellStart"/>
            <w:r w:rsidRPr="00DE642C">
              <w:rPr>
                <w:sz w:val="20"/>
                <w:szCs w:val="20"/>
              </w:rPr>
              <w:t>teleopiekuńczych</w:t>
            </w:r>
            <w:proofErr w:type="spellEnd"/>
            <w:r w:rsidRPr="00DE642C">
              <w:rPr>
                <w:sz w:val="20"/>
                <w:szCs w:val="20"/>
              </w:rPr>
              <w:t xml:space="preserve">, wymiar świadczonego wsparcia oraz dodatkowe korzyści dla osób starszych. W dziennym domu pomocy realizowana jest usługa opiekuńcza w wymiarze kilku do 8 godzin dziennie, codziennie we wszystkie dni robocze, natomiast w przypadku usług opiekuńczych w miejscu zamieszkania zbliżony koszt na osobę dotyczy usług świadczonych w wymiarze znacznie mniejszym np. 1 h dziennie na osobę. Badania ankietowe na potrzeby kontroli NIK („Opieka nad osobami starszymi w dziennych domach pomocy”, 2017 r.) wykazały, że seniorzy z DDP jako najistotniejsze uznali – </w:t>
            </w:r>
            <w:r w:rsidRPr="00DE642C">
              <w:rPr>
                <w:sz w:val="20"/>
                <w:szCs w:val="20"/>
              </w:rPr>
              <w:lastRenderedPageBreak/>
              <w:t>oprócz posiłku – możliwość spotykania się z innymi ludźmi (tej korzyści nie osiągają beneficjenci usług opiekuńczych realizowanych w miejscu zamieszkania), korzystania z porad pracowników socjalnych OPS oraz pomoc w rozwiązywaniu trudnych sytuacji życiowych i rodzinnych.</w:t>
            </w:r>
          </w:p>
          <w:p w14:paraId="0F3159CF" w14:textId="77777777" w:rsidR="001F4BBD" w:rsidRPr="00DE642C" w:rsidRDefault="001F4BBD" w:rsidP="001F4BBD">
            <w:pPr>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Przedstawiciele jednostek organizacyjnych pomocy społecznej Województwa Małopolskiego wskazywali, że :</w:t>
            </w:r>
          </w:p>
          <w:p w14:paraId="734F037C" w14:textId="77777777" w:rsidR="001F4BBD" w:rsidRPr="00DE642C" w:rsidRDefault="001F4BBD" w:rsidP="001F4BBD">
            <w:pPr>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 xml:space="preserve">„Potrzeby nie były zaspokojone w 100% ze względu na COVID-19” </w:t>
            </w:r>
          </w:p>
          <w:p w14:paraId="3945949C" w14:textId="77777777" w:rsidR="001F4BBD" w:rsidRPr="00DE642C" w:rsidRDefault="001F4BBD" w:rsidP="001F4BBD">
            <w:pPr>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 xml:space="preserve">„Potrzeby osób starszych w zakresie usług opiekuńczych są zaspokajane w ramach naszych możliwości. Potrzeby są coraz większe a ograniczenia kadrowe i finansowe nie pozwalają na zaspokojenie wszystkich potrzeb osób </w:t>
            </w:r>
          </w:p>
          <w:p w14:paraId="3D62FDC3" w14:textId="77777777" w:rsidR="001F4BBD" w:rsidRPr="00DE642C" w:rsidRDefault="001F4BBD" w:rsidP="001F4BBD">
            <w:pPr>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starszych w maksymalnym wymiarze.”</w:t>
            </w:r>
          </w:p>
          <w:p w14:paraId="19ADFA8F" w14:textId="77777777" w:rsidR="001F4BBD" w:rsidRPr="00DE642C" w:rsidRDefault="001F4BBD" w:rsidP="001F4BBD">
            <w:pPr>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 xml:space="preserve">„Biorąc pod uwagę zmieniającą się często bardzo szybko sytuację seniorów rekomenduje się dodatkowe </w:t>
            </w:r>
          </w:p>
          <w:p w14:paraId="4271F5D3" w14:textId="77777777" w:rsidR="001F4BBD" w:rsidRPr="00DE642C" w:rsidRDefault="001F4BBD" w:rsidP="001F4BBD">
            <w:pPr>
              <w:spacing w:line="240" w:lineRule="auto"/>
              <w:contextualSpacing/>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zatrudnienie. Stopień zaspokojenia potrzeb obecnie szacuje się na poziomie 80%.”</w:t>
            </w:r>
          </w:p>
          <w:p w14:paraId="4A9A1E68" w14:textId="28F06A22" w:rsidR="00FC2614" w:rsidRPr="00DE642C" w:rsidRDefault="00FC2614" w:rsidP="001F4BBD">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bl>
    <w:p w14:paraId="6CB5686D" w14:textId="77777777" w:rsidR="005C6286" w:rsidRDefault="005C6286" w:rsidP="005C6286">
      <w:pPr>
        <w:tabs>
          <w:tab w:val="left" w:pos="5400"/>
        </w:tabs>
        <w:rPr>
          <w:rFonts w:eastAsia="Times New Roman" w:cs="Times New Roman"/>
          <w:b/>
          <w:szCs w:val="24"/>
          <w:lang w:eastAsia="pl-PL"/>
        </w:rPr>
      </w:pPr>
      <w:r w:rsidRPr="00432294">
        <w:rPr>
          <w:rFonts w:eastAsia="Times New Roman" w:cs="Times New Roman"/>
          <w:b/>
          <w:szCs w:val="24"/>
          <w:lang w:eastAsia="pl-PL"/>
        </w:rPr>
        <w:t xml:space="preserve">Źródło: </w:t>
      </w:r>
      <w:r>
        <w:rPr>
          <w:rFonts w:eastAsia="Times New Roman" w:cs="Times New Roman"/>
          <w:b/>
          <w:szCs w:val="24"/>
          <w:lang w:eastAsia="pl-PL"/>
        </w:rPr>
        <w:t>Dane Wojewody Małopolskiego</w:t>
      </w:r>
      <w:r w:rsidRPr="00432294">
        <w:rPr>
          <w:rFonts w:eastAsia="Times New Roman" w:cs="Times New Roman"/>
          <w:b/>
          <w:szCs w:val="24"/>
          <w:lang w:eastAsia="pl-PL"/>
        </w:rPr>
        <w:t xml:space="preserve">. </w:t>
      </w:r>
    </w:p>
    <w:p w14:paraId="0674205A" w14:textId="77777777" w:rsidR="00FC2614" w:rsidRPr="0092226B" w:rsidRDefault="00FC2614" w:rsidP="00CB509F">
      <w:pPr>
        <w:pStyle w:val="Nagwek2"/>
        <w:rPr>
          <w:rFonts w:eastAsia="Times New Roman"/>
          <w:color w:val="FF0000"/>
          <w:lang w:eastAsia="ar-SA"/>
        </w:rPr>
        <w:sectPr w:rsidR="00FC2614" w:rsidRPr="0092226B" w:rsidSect="00080A38">
          <w:pgSz w:w="16838" w:h="11900" w:orient="landscape"/>
          <w:pgMar w:top="1380" w:right="1384" w:bottom="1386" w:left="1038" w:header="0" w:footer="567" w:gutter="0"/>
          <w:cols w:space="0" w:equalWidth="0">
            <w:col w:w="9140"/>
          </w:cols>
          <w:docGrid w:linePitch="360"/>
        </w:sectPr>
      </w:pPr>
    </w:p>
    <w:p w14:paraId="3009CED3" w14:textId="2F5D5F3B" w:rsidR="00F31DCC" w:rsidRPr="00D15498" w:rsidRDefault="001E4033" w:rsidP="00AF051D">
      <w:pPr>
        <w:pStyle w:val="Nagwek2"/>
        <w:numPr>
          <w:ilvl w:val="0"/>
          <w:numId w:val="0"/>
        </w:numPr>
        <w:spacing w:before="240" w:after="240"/>
        <w:ind w:left="576" w:hanging="576"/>
        <w:rPr>
          <w:rFonts w:eastAsia="Times New Roman"/>
          <w:sz w:val="40"/>
          <w:lang w:eastAsia="ar-SA"/>
        </w:rPr>
      </w:pPr>
      <w:bookmarkStart w:id="200" w:name="_Toc80523138"/>
      <w:r w:rsidRPr="00D15498">
        <w:rPr>
          <w:rFonts w:eastAsia="Times New Roman"/>
          <w:sz w:val="40"/>
          <w:lang w:eastAsia="ar-SA"/>
        </w:rPr>
        <w:lastRenderedPageBreak/>
        <w:t xml:space="preserve">3.7 </w:t>
      </w:r>
      <w:r w:rsidR="00B25D75" w:rsidRPr="00D15498">
        <w:rPr>
          <w:rFonts w:eastAsia="Times New Roman"/>
          <w:sz w:val="40"/>
          <w:lang w:eastAsia="ar-SA"/>
        </w:rPr>
        <w:t xml:space="preserve">Województwo </w:t>
      </w:r>
      <w:r w:rsidR="005F0A32" w:rsidRPr="00D15498">
        <w:rPr>
          <w:rFonts w:eastAsia="Times New Roman"/>
          <w:sz w:val="40"/>
          <w:lang w:eastAsia="ar-SA"/>
        </w:rPr>
        <w:t>m</w:t>
      </w:r>
      <w:r w:rsidR="00475EFA" w:rsidRPr="00D15498">
        <w:rPr>
          <w:rFonts w:eastAsia="Times New Roman"/>
          <w:sz w:val="40"/>
          <w:lang w:eastAsia="ar-SA"/>
        </w:rPr>
        <w:t>azowieckie</w:t>
      </w:r>
      <w:bookmarkEnd w:id="200"/>
    </w:p>
    <w:p w14:paraId="67882924" w14:textId="77777777" w:rsidR="00EF43BE" w:rsidRPr="00EF43BE" w:rsidRDefault="00EF43BE" w:rsidP="00EF43BE">
      <w:pPr>
        <w:pStyle w:val="Akapitzlist"/>
        <w:keepNext/>
        <w:keepLines/>
        <w:numPr>
          <w:ilvl w:val="1"/>
          <w:numId w:val="1"/>
        </w:numPr>
        <w:spacing w:before="120" w:after="120"/>
        <w:contextualSpacing w:val="0"/>
        <w:outlineLvl w:val="1"/>
        <w:rPr>
          <w:rFonts w:eastAsiaTheme="majorEastAsia" w:cstheme="majorBidi"/>
          <w:b/>
          <w:vanish/>
          <w:color w:val="ED7D31" w:themeColor="accent2"/>
          <w:sz w:val="34"/>
          <w:szCs w:val="26"/>
          <w:lang w:eastAsia="ar-SA"/>
        </w:rPr>
      </w:pPr>
      <w:bookmarkStart w:id="201" w:name="_Toc77504096"/>
      <w:bookmarkStart w:id="202" w:name="_Toc77513985"/>
      <w:bookmarkStart w:id="203" w:name="_Toc80523139"/>
      <w:bookmarkEnd w:id="201"/>
      <w:bookmarkEnd w:id="202"/>
      <w:bookmarkEnd w:id="203"/>
    </w:p>
    <w:p w14:paraId="03503BFD" w14:textId="0D85EE10" w:rsidR="00702856" w:rsidRDefault="00702856" w:rsidP="00EF43BE">
      <w:pPr>
        <w:pStyle w:val="Nagwek3"/>
        <w:rPr>
          <w:lang w:eastAsia="ar-SA"/>
        </w:rPr>
      </w:pPr>
      <w:bookmarkStart w:id="204" w:name="_Toc77513986"/>
      <w:bookmarkStart w:id="205" w:name="_Toc80523140"/>
      <w:r w:rsidRPr="005B6EB7">
        <w:rPr>
          <w:lang w:eastAsia="ar-SA"/>
        </w:rPr>
        <w:t>Aktywność ekonomiczna i warunki bytowe</w:t>
      </w:r>
      <w:bookmarkEnd w:id="204"/>
      <w:bookmarkEnd w:id="205"/>
    </w:p>
    <w:p w14:paraId="660A9F2C" w14:textId="77777777" w:rsidR="000B1B06" w:rsidRPr="000B1B06" w:rsidRDefault="000B1B06" w:rsidP="000B1B06">
      <w:pPr>
        <w:rPr>
          <w:lang w:eastAsia="ar-SA"/>
        </w:rPr>
      </w:pPr>
    </w:p>
    <w:p w14:paraId="381A0964" w14:textId="77777777" w:rsidR="00702856" w:rsidRDefault="00702856" w:rsidP="00702856">
      <w:pPr>
        <w:rPr>
          <w:rFonts w:cs="Times New Roman"/>
          <w:szCs w:val="24"/>
        </w:rPr>
      </w:pPr>
      <w:r w:rsidRPr="008C62DE">
        <w:rPr>
          <w:rFonts w:cs="Times New Roman"/>
          <w:szCs w:val="24"/>
        </w:rPr>
        <w:t>W 2020 r. w województwie mazowieckim przeciętny miesięczny dochód rozporządzalny przypadający na 1 osobę w gospodarstwach domowych wyniósł  2241 zł. Na dochód rozporządzalny gospodarstwa domowego składają się przede wszystkim dochody z pracy najemnej oraz dochody ze świadczeń społecznych. W 2020 r. ich udział w dochodzie rozporządzalnym wyniósł odpowiednio 55,6% i 25,2%. W 2020 r. przeciętne miesięczne wydatki na 1 osobę w gospodarstwach domowych wyniosły 1443 zł.  Na żywność i napoje bezalkoholowe gospodarstwa domowe przeznaczały przeciętnie 24,2% ogólnej kwoty wydatków, na opłaty z tytułu użytkowania mieszkania lub domu i za korzystanie z nośników energii  - 18,2%, a na zdrowie – 5,8%.</w:t>
      </w:r>
    </w:p>
    <w:p w14:paraId="59E708D0" w14:textId="77777777" w:rsidR="00702856" w:rsidRPr="008C62DE" w:rsidRDefault="00702856" w:rsidP="00702856">
      <w:pPr>
        <w:rPr>
          <w:rFonts w:cs="Times New Roman"/>
          <w:szCs w:val="24"/>
        </w:rPr>
      </w:pPr>
    </w:p>
    <w:p w14:paraId="0F49E8FC" w14:textId="77777777" w:rsidR="00702856" w:rsidRDefault="00702856" w:rsidP="00702856">
      <w:pPr>
        <w:rPr>
          <w:rFonts w:cs="Times New Roman"/>
          <w:szCs w:val="24"/>
        </w:rPr>
      </w:pPr>
      <w:r w:rsidRPr="008C62DE">
        <w:rPr>
          <w:rFonts w:cs="Times New Roman"/>
          <w:szCs w:val="24"/>
        </w:rPr>
        <w:t>W 2020 r. swoją sytuację materialną jako bardzo dobrą i raczej dobrą oceniło 56,2% gospodarstw domowych. Udział gospodarstw określających swoją sytuację materialną jako przeciętną wyniósł 38,8%, a raczej złą i złą ukształtował się na poziomie 5,0%.</w:t>
      </w:r>
    </w:p>
    <w:p w14:paraId="217BC1B9" w14:textId="77777777" w:rsidR="00702856" w:rsidRPr="008C62DE" w:rsidRDefault="00702856" w:rsidP="00702856">
      <w:pPr>
        <w:rPr>
          <w:rFonts w:cs="Times New Roman"/>
          <w:szCs w:val="24"/>
        </w:rPr>
      </w:pPr>
    </w:p>
    <w:p w14:paraId="23C39633" w14:textId="77777777" w:rsidR="00702856" w:rsidRPr="005B6EB7" w:rsidRDefault="00702856" w:rsidP="00702856">
      <w:pPr>
        <w:rPr>
          <w:rFonts w:cs="Times New Roman"/>
          <w:szCs w:val="24"/>
        </w:rPr>
      </w:pPr>
      <w:r w:rsidRPr="008C62DE">
        <w:rPr>
          <w:rFonts w:cs="Times New Roman"/>
          <w:szCs w:val="24"/>
        </w:rPr>
        <w:t>W analizowanym roku przeciętna liczba osób w gospodarstwie domowym ukształtowała się na poziomie 2,49. Przeciętna powierzchnia użytkowa mieszkania zajmowana przez gospodarstwo domowe wyniosła 78,41 m</w:t>
      </w:r>
      <w:r w:rsidRPr="00702856">
        <w:rPr>
          <w:rFonts w:cs="Times New Roman"/>
          <w:szCs w:val="24"/>
          <w:vertAlign w:val="superscript"/>
        </w:rPr>
        <w:t>2</w:t>
      </w:r>
      <w:r w:rsidRPr="008C62DE">
        <w:rPr>
          <w:rFonts w:cs="Times New Roman"/>
          <w:szCs w:val="24"/>
        </w:rPr>
        <w:t>.</w:t>
      </w:r>
    </w:p>
    <w:p w14:paraId="2165DAA7" w14:textId="77777777" w:rsidR="00702856" w:rsidRDefault="00702856" w:rsidP="00702856">
      <w:pPr>
        <w:rPr>
          <w:rFonts w:cs="Times New Roman"/>
          <w:b/>
          <w:color w:val="FF0000"/>
          <w:szCs w:val="24"/>
          <w:lang w:eastAsia="ar-SA"/>
        </w:rPr>
      </w:pPr>
    </w:p>
    <w:p w14:paraId="5B81EE04" w14:textId="7E81CBB7" w:rsidR="00702856" w:rsidRDefault="00702856" w:rsidP="00702856">
      <w:pPr>
        <w:pStyle w:val="Legenda"/>
        <w:keepNext/>
        <w:rPr>
          <w:rFonts w:cs="Times New Roman"/>
          <w:b/>
          <w:i w:val="0"/>
          <w:color w:val="auto"/>
          <w:sz w:val="24"/>
        </w:rPr>
      </w:pPr>
      <w:r w:rsidRPr="00432294">
        <w:rPr>
          <w:rFonts w:cs="Times New Roman"/>
          <w:b/>
          <w:i w:val="0"/>
          <w:color w:val="auto"/>
          <w:sz w:val="24"/>
        </w:rPr>
        <w:t xml:space="preserve">Tabela </w:t>
      </w:r>
      <w:r w:rsidR="005B094D">
        <w:rPr>
          <w:rFonts w:cs="Times New Roman"/>
          <w:b/>
          <w:i w:val="0"/>
          <w:color w:val="auto"/>
          <w:sz w:val="24"/>
        </w:rPr>
        <w:t>61</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 xml:space="preserve">Aktywność ekonomiczna osób starszych w województwie mazowieckim </w:t>
      </w:r>
    </w:p>
    <w:tbl>
      <w:tblPr>
        <w:tblStyle w:val="Tabelasiatki6kolorowaakcent26"/>
        <w:tblpPr w:leftFromText="141" w:rightFromText="141" w:vertAnchor="text" w:tblpXSpec="center" w:tblpY="1"/>
        <w:tblW w:w="9067" w:type="dxa"/>
        <w:tblLayout w:type="fixed"/>
        <w:tblLook w:val="04A0" w:firstRow="1" w:lastRow="0" w:firstColumn="1" w:lastColumn="0" w:noHBand="0" w:noVBand="1"/>
      </w:tblPr>
      <w:tblGrid>
        <w:gridCol w:w="1989"/>
        <w:gridCol w:w="3969"/>
        <w:gridCol w:w="3109"/>
      </w:tblGrid>
      <w:tr w:rsidR="00702856" w:rsidRPr="00702856" w14:paraId="47A99E31" w14:textId="77777777" w:rsidTr="00EB7DC7">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067" w:type="dxa"/>
            <w:gridSpan w:val="3"/>
          </w:tcPr>
          <w:p w14:paraId="2294F5E2" w14:textId="77777777" w:rsidR="00702856" w:rsidRPr="00702856" w:rsidRDefault="00702856" w:rsidP="00EB7DC7">
            <w:pPr>
              <w:spacing w:line="240" w:lineRule="auto"/>
              <w:jc w:val="center"/>
              <w:rPr>
                <w:rFonts w:cs="Times New Roman"/>
                <w:b w:val="0"/>
                <w:bCs w:val="0"/>
                <w:color w:val="auto"/>
                <w:sz w:val="20"/>
                <w:szCs w:val="20"/>
              </w:rPr>
            </w:pPr>
            <w:r w:rsidRPr="00702856">
              <w:rPr>
                <w:rFonts w:cs="Times New Roman"/>
                <w:b w:val="0"/>
                <w:bCs w:val="0"/>
                <w:color w:val="auto"/>
                <w:sz w:val="20"/>
                <w:szCs w:val="20"/>
                <w:lang w:eastAsia="pl-PL"/>
              </w:rPr>
              <w:t>AKTYWNOŚĆ EKONOMICZNA OSÓB STARSZYCH – DANE ZA 2020 R.</w:t>
            </w:r>
          </w:p>
        </w:tc>
      </w:tr>
      <w:tr w:rsidR="00702856" w:rsidRPr="00702856" w14:paraId="763147EB" w14:textId="77777777" w:rsidTr="00EB7DC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958" w:type="dxa"/>
            <w:gridSpan w:val="2"/>
          </w:tcPr>
          <w:p w14:paraId="51269564" w14:textId="77777777" w:rsidR="00702856" w:rsidRPr="00702856" w:rsidRDefault="00702856" w:rsidP="00EB7DC7">
            <w:pPr>
              <w:spacing w:line="240" w:lineRule="auto"/>
              <w:rPr>
                <w:rFonts w:cs="Times New Roman"/>
                <w:b w:val="0"/>
                <w:bCs w:val="0"/>
                <w:color w:val="auto"/>
                <w:sz w:val="20"/>
                <w:szCs w:val="20"/>
              </w:rPr>
            </w:pPr>
            <w:r w:rsidRPr="00702856">
              <w:rPr>
                <w:rFonts w:cs="Times New Roman"/>
                <w:b w:val="0"/>
                <w:bCs w:val="0"/>
                <w:color w:val="auto"/>
                <w:sz w:val="20"/>
                <w:szCs w:val="20"/>
              </w:rPr>
              <w:t>Podział</w:t>
            </w:r>
          </w:p>
        </w:tc>
        <w:tc>
          <w:tcPr>
            <w:tcW w:w="3109" w:type="dxa"/>
          </w:tcPr>
          <w:p w14:paraId="503E0421" w14:textId="77777777" w:rsidR="00702856" w:rsidRPr="00702856" w:rsidRDefault="00702856" w:rsidP="00EB7DC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702856">
              <w:rPr>
                <w:rFonts w:cs="Times New Roman"/>
                <w:b/>
                <w:color w:val="auto"/>
                <w:sz w:val="20"/>
                <w:szCs w:val="20"/>
              </w:rPr>
              <w:t>Liczba</w:t>
            </w:r>
          </w:p>
        </w:tc>
      </w:tr>
      <w:tr w:rsidR="00702856" w:rsidRPr="00702856" w14:paraId="5C1F6668"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1989" w:type="dxa"/>
            <w:vMerge w:val="restart"/>
          </w:tcPr>
          <w:p w14:paraId="5BA0EBB8" w14:textId="77777777" w:rsidR="00702856" w:rsidRPr="00702856" w:rsidRDefault="00702856" w:rsidP="00EB7DC7">
            <w:pPr>
              <w:spacing w:line="240" w:lineRule="auto"/>
              <w:rPr>
                <w:rFonts w:cs="Times New Roman"/>
                <w:bCs w:val="0"/>
                <w:color w:val="auto"/>
                <w:sz w:val="20"/>
                <w:szCs w:val="20"/>
                <w:lang w:eastAsia="pl-PL"/>
              </w:rPr>
            </w:pPr>
            <w:r w:rsidRPr="00702856">
              <w:rPr>
                <w:rFonts w:cs="Times New Roman"/>
                <w:b w:val="0"/>
                <w:bCs w:val="0"/>
                <w:color w:val="auto"/>
                <w:sz w:val="20"/>
                <w:szCs w:val="20"/>
                <w:lang w:eastAsia="pl-PL"/>
              </w:rPr>
              <w:t>Osoby aktywne zawodowo razem (w tys.)</w:t>
            </w:r>
          </w:p>
        </w:tc>
        <w:tc>
          <w:tcPr>
            <w:tcW w:w="3969" w:type="dxa"/>
          </w:tcPr>
          <w:p w14:paraId="477FDAAB"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ogółem</w:t>
            </w:r>
          </w:p>
        </w:tc>
        <w:tc>
          <w:tcPr>
            <w:tcW w:w="3109" w:type="dxa"/>
          </w:tcPr>
          <w:p w14:paraId="0EF4B062"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2617</w:t>
            </w:r>
          </w:p>
        </w:tc>
      </w:tr>
      <w:tr w:rsidR="00702856" w:rsidRPr="00702856" w14:paraId="6AED3B39" w14:textId="77777777" w:rsidTr="004A2D5F">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989" w:type="dxa"/>
            <w:vMerge/>
          </w:tcPr>
          <w:p w14:paraId="3BA89692" w14:textId="77777777" w:rsidR="00702856" w:rsidRPr="00702856" w:rsidRDefault="00702856" w:rsidP="00EB7DC7">
            <w:pPr>
              <w:spacing w:line="240" w:lineRule="auto"/>
              <w:rPr>
                <w:rFonts w:cs="Times New Roman"/>
                <w:bCs w:val="0"/>
                <w:color w:val="auto"/>
                <w:sz w:val="20"/>
                <w:szCs w:val="20"/>
                <w:lang w:eastAsia="pl-PL"/>
              </w:rPr>
            </w:pPr>
          </w:p>
        </w:tc>
        <w:tc>
          <w:tcPr>
            <w:tcW w:w="3969" w:type="dxa"/>
          </w:tcPr>
          <w:p w14:paraId="4DA5435E"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w tym w wieku 60+</w:t>
            </w:r>
          </w:p>
        </w:tc>
        <w:tc>
          <w:tcPr>
            <w:tcW w:w="3109" w:type="dxa"/>
          </w:tcPr>
          <w:p w14:paraId="58164F4E"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242</w:t>
            </w:r>
          </w:p>
        </w:tc>
      </w:tr>
      <w:tr w:rsidR="00702856" w:rsidRPr="00702856" w14:paraId="276A7BD8"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1989" w:type="dxa"/>
            <w:vMerge w:val="restart"/>
          </w:tcPr>
          <w:p w14:paraId="2A05FC62" w14:textId="77777777" w:rsidR="00702856" w:rsidRPr="00702856" w:rsidRDefault="00702856" w:rsidP="00EB7DC7">
            <w:pPr>
              <w:spacing w:line="240" w:lineRule="auto"/>
              <w:rPr>
                <w:rFonts w:cs="Times New Roman"/>
                <w:bCs w:val="0"/>
                <w:color w:val="auto"/>
                <w:sz w:val="20"/>
                <w:szCs w:val="20"/>
                <w:lang w:eastAsia="pl-PL"/>
              </w:rPr>
            </w:pPr>
            <w:r w:rsidRPr="00702856">
              <w:rPr>
                <w:rFonts w:cs="Times New Roman"/>
                <w:b w:val="0"/>
                <w:bCs w:val="0"/>
                <w:color w:val="auto"/>
                <w:sz w:val="20"/>
                <w:szCs w:val="20"/>
                <w:lang w:eastAsia="pl-PL"/>
              </w:rPr>
              <w:t xml:space="preserve">Osoby aktywne zawodowo </w:t>
            </w:r>
            <w:r w:rsidRPr="00702856">
              <w:rPr>
                <w:rFonts w:cs="Times New Roman"/>
                <w:b w:val="0"/>
                <w:bCs w:val="0"/>
                <w:color w:val="auto"/>
                <w:sz w:val="20"/>
                <w:szCs w:val="20"/>
                <w:lang w:eastAsia="pl-PL"/>
              </w:rPr>
              <w:br/>
              <w:t>– pracujący (w tys.)</w:t>
            </w:r>
          </w:p>
        </w:tc>
        <w:tc>
          <w:tcPr>
            <w:tcW w:w="3969" w:type="dxa"/>
          </w:tcPr>
          <w:p w14:paraId="42B00D0C"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Ogółem</w:t>
            </w:r>
          </w:p>
        </w:tc>
        <w:tc>
          <w:tcPr>
            <w:tcW w:w="3109" w:type="dxa"/>
          </w:tcPr>
          <w:p w14:paraId="76F17034"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2528</w:t>
            </w:r>
          </w:p>
        </w:tc>
      </w:tr>
      <w:tr w:rsidR="00702856" w:rsidRPr="00702856" w14:paraId="1A5E2F30" w14:textId="77777777" w:rsidTr="004A2D5F">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989" w:type="dxa"/>
            <w:vMerge/>
          </w:tcPr>
          <w:p w14:paraId="3B1DD82C" w14:textId="77777777" w:rsidR="00702856" w:rsidRPr="00702856" w:rsidRDefault="00702856" w:rsidP="00EB7DC7">
            <w:pPr>
              <w:spacing w:line="240" w:lineRule="auto"/>
              <w:rPr>
                <w:rFonts w:cs="Times New Roman"/>
                <w:bCs w:val="0"/>
                <w:color w:val="auto"/>
                <w:sz w:val="20"/>
                <w:szCs w:val="20"/>
                <w:lang w:eastAsia="pl-PL"/>
              </w:rPr>
            </w:pPr>
          </w:p>
        </w:tc>
        <w:tc>
          <w:tcPr>
            <w:tcW w:w="3969" w:type="dxa"/>
          </w:tcPr>
          <w:p w14:paraId="02FAED80"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w tym w wieku 60+</w:t>
            </w:r>
          </w:p>
        </w:tc>
        <w:tc>
          <w:tcPr>
            <w:tcW w:w="3109" w:type="dxa"/>
          </w:tcPr>
          <w:p w14:paraId="6F75EEFC"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239</w:t>
            </w:r>
          </w:p>
        </w:tc>
      </w:tr>
      <w:tr w:rsidR="00702856" w:rsidRPr="00702856" w14:paraId="79B793DE"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1989" w:type="dxa"/>
            <w:vMerge w:val="restart"/>
          </w:tcPr>
          <w:p w14:paraId="2A4515BD" w14:textId="77777777" w:rsidR="00702856" w:rsidRPr="00702856" w:rsidRDefault="00702856" w:rsidP="00EB7DC7">
            <w:pPr>
              <w:spacing w:line="240" w:lineRule="auto"/>
              <w:rPr>
                <w:rFonts w:cs="Times New Roman"/>
                <w:bCs w:val="0"/>
                <w:color w:val="auto"/>
                <w:sz w:val="20"/>
                <w:szCs w:val="20"/>
                <w:lang w:eastAsia="pl-PL"/>
              </w:rPr>
            </w:pPr>
            <w:r w:rsidRPr="00702856">
              <w:rPr>
                <w:rFonts w:cs="Times New Roman"/>
                <w:b w:val="0"/>
                <w:bCs w:val="0"/>
                <w:color w:val="auto"/>
                <w:sz w:val="20"/>
                <w:szCs w:val="20"/>
                <w:lang w:eastAsia="pl-PL"/>
              </w:rPr>
              <w:t>Osoby bierne zawodowo (w tys.)</w:t>
            </w:r>
          </w:p>
        </w:tc>
        <w:tc>
          <w:tcPr>
            <w:tcW w:w="3969" w:type="dxa"/>
          </w:tcPr>
          <w:p w14:paraId="375FAA35"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ogółem</w:t>
            </w:r>
          </w:p>
        </w:tc>
        <w:tc>
          <w:tcPr>
            <w:tcW w:w="3109" w:type="dxa"/>
          </w:tcPr>
          <w:p w14:paraId="6C119615"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1739</w:t>
            </w:r>
          </w:p>
        </w:tc>
      </w:tr>
      <w:tr w:rsidR="00702856" w:rsidRPr="00702856" w14:paraId="30579B4B" w14:textId="77777777" w:rsidTr="004A2D5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989" w:type="dxa"/>
            <w:vMerge/>
          </w:tcPr>
          <w:p w14:paraId="12B0AFC0" w14:textId="77777777" w:rsidR="00702856" w:rsidRPr="00702856" w:rsidRDefault="00702856" w:rsidP="00EB7DC7">
            <w:pPr>
              <w:spacing w:line="240" w:lineRule="auto"/>
              <w:rPr>
                <w:rFonts w:cs="Times New Roman"/>
                <w:bCs w:val="0"/>
                <w:color w:val="auto"/>
                <w:sz w:val="20"/>
                <w:szCs w:val="20"/>
                <w:lang w:eastAsia="pl-PL"/>
              </w:rPr>
            </w:pPr>
          </w:p>
        </w:tc>
        <w:tc>
          <w:tcPr>
            <w:tcW w:w="3969" w:type="dxa"/>
          </w:tcPr>
          <w:p w14:paraId="1F531538"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w tym w wieku 60+</w:t>
            </w:r>
          </w:p>
        </w:tc>
        <w:tc>
          <w:tcPr>
            <w:tcW w:w="3109" w:type="dxa"/>
          </w:tcPr>
          <w:p w14:paraId="5161CF39"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1090</w:t>
            </w:r>
          </w:p>
        </w:tc>
      </w:tr>
      <w:tr w:rsidR="00702856" w:rsidRPr="00702856" w14:paraId="78BA6C71"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1989" w:type="dxa"/>
            <w:vMerge w:val="restart"/>
          </w:tcPr>
          <w:p w14:paraId="2BED6111" w14:textId="77777777" w:rsidR="00702856" w:rsidRPr="00702856" w:rsidRDefault="00702856" w:rsidP="00EB7DC7">
            <w:pPr>
              <w:spacing w:line="240" w:lineRule="auto"/>
              <w:rPr>
                <w:rFonts w:cs="Times New Roman"/>
                <w:bCs w:val="0"/>
                <w:color w:val="auto"/>
                <w:sz w:val="20"/>
                <w:szCs w:val="20"/>
                <w:lang w:eastAsia="pl-PL"/>
              </w:rPr>
            </w:pPr>
            <w:r w:rsidRPr="00702856">
              <w:rPr>
                <w:rFonts w:cs="Times New Roman"/>
                <w:b w:val="0"/>
                <w:bCs w:val="0"/>
                <w:color w:val="auto"/>
                <w:sz w:val="20"/>
                <w:szCs w:val="20"/>
                <w:lang w:eastAsia="pl-PL"/>
              </w:rPr>
              <w:t>Współczynnik aktywności zawodowej %</w:t>
            </w:r>
          </w:p>
        </w:tc>
        <w:tc>
          <w:tcPr>
            <w:tcW w:w="3969" w:type="dxa"/>
          </w:tcPr>
          <w:p w14:paraId="4CB19454"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Ogółem</w:t>
            </w:r>
          </w:p>
        </w:tc>
        <w:tc>
          <w:tcPr>
            <w:tcW w:w="3109" w:type="dxa"/>
          </w:tcPr>
          <w:p w14:paraId="53943B79"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60,1</w:t>
            </w:r>
          </w:p>
        </w:tc>
      </w:tr>
      <w:tr w:rsidR="00702856" w:rsidRPr="00702856" w14:paraId="22D0155D" w14:textId="77777777" w:rsidTr="004A2D5F">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989" w:type="dxa"/>
            <w:vMerge/>
          </w:tcPr>
          <w:p w14:paraId="22DF22F0" w14:textId="77777777" w:rsidR="00702856" w:rsidRPr="00702856" w:rsidRDefault="00702856" w:rsidP="00EB7DC7">
            <w:pPr>
              <w:spacing w:line="240" w:lineRule="auto"/>
              <w:rPr>
                <w:rFonts w:cs="Times New Roman"/>
                <w:bCs w:val="0"/>
                <w:color w:val="auto"/>
                <w:sz w:val="20"/>
                <w:szCs w:val="20"/>
                <w:lang w:eastAsia="pl-PL"/>
              </w:rPr>
            </w:pPr>
          </w:p>
        </w:tc>
        <w:tc>
          <w:tcPr>
            <w:tcW w:w="3969" w:type="dxa"/>
          </w:tcPr>
          <w:p w14:paraId="654C1CA3"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w tym w wieku 60+</w:t>
            </w:r>
          </w:p>
        </w:tc>
        <w:tc>
          <w:tcPr>
            <w:tcW w:w="3109" w:type="dxa"/>
          </w:tcPr>
          <w:p w14:paraId="33F3960C"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18,2</w:t>
            </w:r>
          </w:p>
        </w:tc>
      </w:tr>
      <w:tr w:rsidR="00702856" w:rsidRPr="00702856" w14:paraId="124BCE47" w14:textId="77777777" w:rsidTr="00EB7DC7">
        <w:trPr>
          <w:trHeight w:val="143"/>
        </w:trPr>
        <w:tc>
          <w:tcPr>
            <w:cnfStyle w:val="001000000000" w:firstRow="0" w:lastRow="0" w:firstColumn="1" w:lastColumn="0" w:oddVBand="0" w:evenVBand="0" w:oddHBand="0" w:evenHBand="0" w:firstRowFirstColumn="0" w:firstRowLastColumn="0" w:lastRowFirstColumn="0" w:lastRowLastColumn="0"/>
            <w:tcW w:w="1989" w:type="dxa"/>
            <w:vMerge w:val="restart"/>
          </w:tcPr>
          <w:p w14:paraId="23D063CF" w14:textId="77777777" w:rsidR="00702856" w:rsidRPr="00702856" w:rsidRDefault="00702856" w:rsidP="00EB7DC7">
            <w:pPr>
              <w:spacing w:line="240" w:lineRule="auto"/>
              <w:rPr>
                <w:rFonts w:cs="Times New Roman"/>
                <w:bCs w:val="0"/>
                <w:color w:val="auto"/>
                <w:sz w:val="20"/>
                <w:szCs w:val="20"/>
                <w:lang w:eastAsia="pl-PL"/>
              </w:rPr>
            </w:pPr>
            <w:r w:rsidRPr="00702856">
              <w:rPr>
                <w:rFonts w:cs="Times New Roman"/>
                <w:b w:val="0"/>
                <w:bCs w:val="0"/>
                <w:color w:val="auto"/>
                <w:sz w:val="20"/>
                <w:szCs w:val="20"/>
                <w:lang w:eastAsia="pl-PL"/>
              </w:rPr>
              <w:t>Wskaźnik zatrudnienia %</w:t>
            </w:r>
          </w:p>
        </w:tc>
        <w:tc>
          <w:tcPr>
            <w:tcW w:w="3969" w:type="dxa"/>
          </w:tcPr>
          <w:p w14:paraId="0C91B992"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ogółem</w:t>
            </w:r>
          </w:p>
        </w:tc>
        <w:tc>
          <w:tcPr>
            <w:tcW w:w="3109" w:type="dxa"/>
          </w:tcPr>
          <w:p w14:paraId="4D88C073"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58,0</w:t>
            </w:r>
          </w:p>
        </w:tc>
      </w:tr>
      <w:tr w:rsidR="00702856" w:rsidRPr="00702856" w14:paraId="5C5DE011" w14:textId="77777777" w:rsidTr="004A2D5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989" w:type="dxa"/>
            <w:vMerge/>
          </w:tcPr>
          <w:p w14:paraId="01352CC0" w14:textId="77777777" w:rsidR="00702856" w:rsidRPr="00702856" w:rsidRDefault="00702856" w:rsidP="00EB7DC7">
            <w:pPr>
              <w:spacing w:line="240" w:lineRule="auto"/>
              <w:rPr>
                <w:rFonts w:cs="Times New Roman"/>
                <w:bCs w:val="0"/>
                <w:color w:val="auto"/>
                <w:sz w:val="20"/>
                <w:szCs w:val="20"/>
                <w:lang w:eastAsia="pl-PL"/>
              </w:rPr>
            </w:pPr>
          </w:p>
        </w:tc>
        <w:tc>
          <w:tcPr>
            <w:tcW w:w="3969" w:type="dxa"/>
          </w:tcPr>
          <w:p w14:paraId="700262A4"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w tym w wieku 60+</w:t>
            </w:r>
          </w:p>
        </w:tc>
        <w:tc>
          <w:tcPr>
            <w:tcW w:w="3109" w:type="dxa"/>
          </w:tcPr>
          <w:p w14:paraId="268F23D1"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17,9</w:t>
            </w:r>
          </w:p>
        </w:tc>
      </w:tr>
      <w:tr w:rsidR="00702856" w:rsidRPr="00702856" w14:paraId="7B19036D" w14:textId="77777777" w:rsidTr="00EB7DC7">
        <w:trPr>
          <w:trHeight w:val="282"/>
        </w:trPr>
        <w:tc>
          <w:tcPr>
            <w:cnfStyle w:val="001000000000" w:firstRow="0" w:lastRow="0" w:firstColumn="1" w:lastColumn="0" w:oddVBand="0" w:evenVBand="0" w:oddHBand="0" w:evenHBand="0" w:firstRowFirstColumn="0" w:firstRowLastColumn="0" w:lastRowFirstColumn="0" w:lastRowLastColumn="0"/>
            <w:tcW w:w="1989" w:type="dxa"/>
            <w:vMerge w:val="restart"/>
          </w:tcPr>
          <w:p w14:paraId="1869CF89" w14:textId="77777777" w:rsidR="00702856" w:rsidRPr="00702856" w:rsidRDefault="00702856" w:rsidP="00EB7DC7">
            <w:pPr>
              <w:spacing w:line="240" w:lineRule="auto"/>
              <w:rPr>
                <w:rFonts w:cs="Times New Roman"/>
                <w:bCs w:val="0"/>
                <w:color w:val="auto"/>
                <w:sz w:val="20"/>
                <w:szCs w:val="20"/>
                <w:lang w:eastAsia="pl-PL"/>
              </w:rPr>
            </w:pPr>
            <w:r w:rsidRPr="00702856">
              <w:rPr>
                <w:rFonts w:eastAsia="Times New Roman" w:cs="Times New Roman"/>
                <w:b w:val="0"/>
                <w:bCs w:val="0"/>
                <w:color w:val="auto"/>
                <w:sz w:val="20"/>
                <w:szCs w:val="20"/>
                <w:lang w:eastAsia="pl-PL"/>
              </w:rPr>
              <w:t xml:space="preserve">Osoby bierne zawodowo  w wieku 60 lat i więcej według wybranych przyczyn bierności </w:t>
            </w:r>
            <w:r w:rsidRPr="00702856">
              <w:rPr>
                <w:rFonts w:eastAsia="Times New Roman" w:cs="Times New Roman"/>
                <w:b w:val="0"/>
                <w:bCs w:val="0"/>
                <w:color w:val="auto"/>
                <w:sz w:val="20"/>
                <w:szCs w:val="20"/>
                <w:lang w:eastAsia="pl-PL"/>
              </w:rPr>
              <w:br/>
              <w:t>(w tys.)</w:t>
            </w:r>
          </w:p>
        </w:tc>
        <w:tc>
          <w:tcPr>
            <w:tcW w:w="3969" w:type="dxa"/>
          </w:tcPr>
          <w:p w14:paraId="2E4B68B4"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ogółem</w:t>
            </w:r>
          </w:p>
        </w:tc>
        <w:tc>
          <w:tcPr>
            <w:tcW w:w="3109" w:type="dxa"/>
          </w:tcPr>
          <w:p w14:paraId="1DFC8222"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1090</w:t>
            </w:r>
          </w:p>
        </w:tc>
      </w:tr>
      <w:tr w:rsidR="00702856" w:rsidRPr="00702856" w14:paraId="1E6FB1FF"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9" w:type="dxa"/>
            <w:vMerge/>
          </w:tcPr>
          <w:p w14:paraId="09A56BD4" w14:textId="77777777" w:rsidR="00702856" w:rsidRPr="00702856" w:rsidRDefault="00702856" w:rsidP="00EB7DC7">
            <w:pPr>
              <w:spacing w:line="240" w:lineRule="auto"/>
              <w:rPr>
                <w:rFonts w:eastAsia="Times New Roman" w:cs="Times New Roman"/>
                <w:color w:val="auto"/>
                <w:sz w:val="20"/>
                <w:szCs w:val="20"/>
                <w:lang w:eastAsia="pl-PL"/>
              </w:rPr>
            </w:pPr>
          </w:p>
        </w:tc>
        <w:tc>
          <w:tcPr>
            <w:tcW w:w="7078" w:type="dxa"/>
            <w:gridSpan w:val="2"/>
          </w:tcPr>
          <w:p w14:paraId="2A2667FA"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w tym:</w:t>
            </w:r>
          </w:p>
        </w:tc>
      </w:tr>
      <w:tr w:rsidR="00702856" w:rsidRPr="00702856" w14:paraId="38A0FC25" w14:textId="77777777" w:rsidTr="00EB7DC7">
        <w:trPr>
          <w:trHeight w:val="280"/>
        </w:trPr>
        <w:tc>
          <w:tcPr>
            <w:cnfStyle w:val="001000000000" w:firstRow="0" w:lastRow="0" w:firstColumn="1" w:lastColumn="0" w:oddVBand="0" w:evenVBand="0" w:oddHBand="0" w:evenHBand="0" w:firstRowFirstColumn="0" w:firstRowLastColumn="0" w:lastRowFirstColumn="0" w:lastRowLastColumn="0"/>
            <w:tcW w:w="1989" w:type="dxa"/>
            <w:vMerge/>
          </w:tcPr>
          <w:p w14:paraId="3E0C44C0" w14:textId="77777777" w:rsidR="00702856" w:rsidRPr="00702856" w:rsidRDefault="00702856" w:rsidP="00EB7DC7">
            <w:pPr>
              <w:spacing w:line="240" w:lineRule="auto"/>
              <w:rPr>
                <w:rFonts w:eastAsia="Times New Roman" w:cs="Times New Roman"/>
                <w:color w:val="auto"/>
                <w:sz w:val="20"/>
                <w:szCs w:val="20"/>
                <w:lang w:eastAsia="pl-PL"/>
              </w:rPr>
            </w:pPr>
          </w:p>
        </w:tc>
        <w:tc>
          <w:tcPr>
            <w:tcW w:w="3969" w:type="dxa"/>
          </w:tcPr>
          <w:p w14:paraId="77B64DAB"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702856">
              <w:rPr>
                <w:rFonts w:eastAsia="Times New Roman" w:cs="Times New Roman"/>
                <w:color w:val="auto"/>
                <w:sz w:val="20"/>
                <w:szCs w:val="20"/>
                <w:lang w:eastAsia="pl-PL"/>
              </w:rPr>
              <w:t>osoby nieposzukujące pracy - razem</w:t>
            </w:r>
          </w:p>
        </w:tc>
        <w:tc>
          <w:tcPr>
            <w:tcW w:w="3109" w:type="dxa"/>
          </w:tcPr>
          <w:p w14:paraId="27CE83BF"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1089</w:t>
            </w:r>
          </w:p>
        </w:tc>
      </w:tr>
      <w:tr w:rsidR="00702856" w:rsidRPr="00702856" w14:paraId="4D386D29"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89" w:type="dxa"/>
            <w:vMerge/>
          </w:tcPr>
          <w:p w14:paraId="12F5F568" w14:textId="77777777" w:rsidR="00702856" w:rsidRPr="00702856" w:rsidRDefault="00702856" w:rsidP="00EB7DC7">
            <w:pPr>
              <w:spacing w:line="240" w:lineRule="auto"/>
              <w:rPr>
                <w:rFonts w:eastAsia="Times New Roman" w:cs="Times New Roman"/>
                <w:color w:val="auto"/>
                <w:sz w:val="20"/>
                <w:szCs w:val="20"/>
                <w:lang w:eastAsia="pl-PL"/>
              </w:rPr>
            </w:pPr>
          </w:p>
        </w:tc>
        <w:tc>
          <w:tcPr>
            <w:tcW w:w="3969" w:type="dxa"/>
          </w:tcPr>
          <w:p w14:paraId="00D441B8"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eastAsia="Times New Roman" w:cs="Times New Roman"/>
                <w:color w:val="auto"/>
                <w:sz w:val="20"/>
                <w:szCs w:val="20"/>
                <w:lang w:eastAsia="pl-PL"/>
              </w:rPr>
              <w:t>osoby nieposzukujące pracy - emerytura</w:t>
            </w:r>
          </w:p>
        </w:tc>
        <w:tc>
          <w:tcPr>
            <w:tcW w:w="3109" w:type="dxa"/>
          </w:tcPr>
          <w:p w14:paraId="69E9E664"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1008</w:t>
            </w:r>
          </w:p>
        </w:tc>
      </w:tr>
      <w:tr w:rsidR="00702856" w:rsidRPr="00702856" w14:paraId="128C461C" w14:textId="77777777" w:rsidTr="004A2D5F">
        <w:trPr>
          <w:trHeight w:val="511"/>
        </w:trPr>
        <w:tc>
          <w:tcPr>
            <w:cnfStyle w:val="001000000000" w:firstRow="0" w:lastRow="0" w:firstColumn="1" w:lastColumn="0" w:oddVBand="0" w:evenVBand="0" w:oddHBand="0" w:evenHBand="0" w:firstRowFirstColumn="0" w:firstRowLastColumn="0" w:lastRowFirstColumn="0" w:lastRowLastColumn="0"/>
            <w:tcW w:w="1989" w:type="dxa"/>
            <w:vMerge/>
          </w:tcPr>
          <w:p w14:paraId="08C0933E" w14:textId="77777777" w:rsidR="00702856" w:rsidRPr="00702856" w:rsidRDefault="00702856" w:rsidP="00EB7DC7">
            <w:pPr>
              <w:spacing w:line="240" w:lineRule="auto"/>
              <w:rPr>
                <w:rFonts w:eastAsia="Times New Roman" w:cs="Times New Roman"/>
                <w:color w:val="auto"/>
                <w:sz w:val="20"/>
                <w:szCs w:val="20"/>
                <w:lang w:eastAsia="pl-PL"/>
              </w:rPr>
            </w:pPr>
          </w:p>
        </w:tc>
        <w:tc>
          <w:tcPr>
            <w:tcW w:w="3969" w:type="dxa"/>
          </w:tcPr>
          <w:p w14:paraId="5EDD60BA"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eastAsia="Times New Roman" w:cs="Times New Roman"/>
                <w:color w:val="auto"/>
                <w:sz w:val="20"/>
                <w:szCs w:val="20"/>
                <w:lang w:eastAsia="pl-PL"/>
              </w:rPr>
              <w:t>osoby nieposzukujące pracy - choroba, niepełnosprawność</w:t>
            </w:r>
          </w:p>
        </w:tc>
        <w:tc>
          <w:tcPr>
            <w:tcW w:w="3109" w:type="dxa"/>
          </w:tcPr>
          <w:p w14:paraId="6DD4AA0A"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59</w:t>
            </w:r>
          </w:p>
        </w:tc>
      </w:tr>
      <w:tr w:rsidR="00702856" w:rsidRPr="00702856" w14:paraId="62E31C71" w14:textId="77777777" w:rsidTr="00EB7D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89" w:type="dxa"/>
            <w:vMerge w:val="restart"/>
          </w:tcPr>
          <w:p w14:paraId="2A6A590B" w14:textId="77777777" w:rsidR="00702856" w:rsidRPr="00702856" w:rsidRDefault="00702856" w:rsidP="00EB7DC7">
            <w:pPr>
              <w:spacing w:line="240" w:lineRule="auto"/>
              <w:rPr>
                <w:rFonts w:eastAsia="Times New Roman" w:cs="Times New Roman"/>
                <w:color w:val="auto"/>
                <w:sz w:val="20"/>
                <w:szCs w:val="20"/>
                <w:lang w:eastAsia="pl-PL"/>
              </w:rPr>
            </w:pPr>
            <w:r w:rsidRPr="00702856">
              <w:rPr>
                <w:rFonts w:eastAsia="Times New Roman" w:cs="Times New Roman"/>
                <w:b w:val="0"/>
                <w:bCs w:val="0"/>
                <w:color w:val="auto"/>
                <w:sz w:val="20"/>
                <w:szCs w:val="20"/>
                <w:lang w:eastAsia="pl-PL"/>
              </w:rPr>
              <w:t>Osoby bezrobotne zarejestrowane w urzędach pracy (w tys.)</w:t>
            </w:r>
          </w:p>
        </w:tc>
        <w:tc>
          <w:tcPr>
            <w:tcW w:w="3969" w:type="dxa"/>
          </w:tcPr>
          <w:p w14:paraId="4CE6CFAA"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ogółem</w:t>
            </w:r>
          </w:p>
        </w:tc>
        <w:tc>
          <w:tcPr>
            <w:tcW w:w="3109" w:type="dxa"/>
          </w:tcPr>
          <w:p w14:paraId="4DB99056"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146,4</w:t>
            </w:r>
          </w:p>
        </w:tc>
      </w:tr>
      <w:tr w:rsidR="00702856" w:rsidRPr="00702856" w14:paraId="29E1E67D" w14:textId="77777777" w:rsidTr="00EB7DC7">
        <w:trPr>
          <w:trHeight w:val="284"/>
        </w:trPr>
        <w:tc>
          <w:tcPr>
            <w:cnfStyle w:val="001000000000" w:firstRow="0" w:lastRow="0" w:firstColumn="1" w:lastColumn="0" w:oddVBand="0" w:evenVBand="0" w:oddHBand="0" w:evenHBand="0" w:firstRowFirstColumn="0" w:firstRowLastColumn="0" w:lastRowFirstColumn="0" w:lastRowLastColumn="0"/>
            <w:tcW w:w="1989" w:type="dxa"/>
            <w:vMerge/>
          </w:tcPr>
          <w:p w14:paraId="3DC6F5CA" w14:textId="77777777" w:rsidR="00702856" w:rsidRPr="00702856" w:rsidRDefault="00702856" w:rsidP="00EB7DC7">
            <w:pPr>
              <w:spacing w:line="240" w:lineRule="auto"/>
              <w:rPr>
                <w:rFonts w:eastAsia="Times New Roman" w:cs="Times New Roman"/>
                <w:color w:val="auto"/>
                <w:sz w:val="20"/>
                <w:szCs w:val="20"/>
                <w:lang w:eastAsia="pl-PL"/>
              </w:rPr>
            </w:pPr>
          </w:p>
        </w:tc>
        <w:tc>
          <w:tcPr>
            <w:tcW w:w="3969" w:type="dxa"/>
          </w:tcPr>
          <w:p w14:paraId="14D01EF3"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w tym w wieku 60+</w:t>
            </w:r>
          </w:p>
        </w:tc>
        <w:tc>
          <w:tcPr>
            <w:tcW w:w="3109" w:type="dxa"/>
          </w:tcPr>
          <w:p w14:paraId="0F401E95"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10,2</w:t>
            </w:r>
          </w:p>
        </w:tc>
      </w:tr>
      <w:tr w:rsidR="00702856" w:rsidRPr="00702856" w14:paraId="0AA7345E" w14:textId="77777777" w:rsidTr="00EB7DC7">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989" w:type="dxa"/>
            <w:vMerge w:val="restart"/>
          </w:tcPr>
          <w:p w14:paraId="5A541144" w14:textId="77777777" w:rsidR="00702856" w:rsidRPr="00702856" w:rsidRDefault="00702856" w:rsidP="00EB7DC7">
            <w:pPr>
              <w:spacing w:line="240" w:lineRule="auto"/>
              <w:rPr>
                <w:rFonts w:eastAsia="Times New Roman" w:cs="Times New Roman"/>
                <w:color w:val="auto"/>
                <w:sz w:val="20"/>
                <w:szCs w:val="20"/>
                <w:lang w:eastAsia="pl-PL"/>
              </w:rPr>
            </w:pPr>
            <w:r w:rsidRPr="00702856">
              <w:rPr>
                <w:rFonts w:eastAsia="Times New Roman" w:cs="Times New Roman"/>
                <w:b w:val="0"/>
                <w:bCs w:val="0"/>
                <w:color w:val="auto"/>
                <w:sz w:val="20"/>
                <w:szCs w:val="20"/>
                <w:lang w:eastAsia="pl-PL"/>
              </w:rPr>
              <w:lastRenderedPageBreak/>
              <w:t xml:space="preserve">Osoby pobierające renty </w:t>
            </w:r>
            <w:r w:rsidRPr="00702856">
              <w:rPr>
                <w:rFonts w:eastAsia="Times New Roman" w:cs="Times New Roman"/>
                <w:b w:val="0"/>
                <w:bCs w:val="0"/>
                <w:color w:val="auto"/>
                <w:sz w:val="20"/>
                <w:szCs w:val="20"/>
                <w:lang w:eastAsia="pl-PL"/>
              </w:rPr>
              <w:br/>
              <w:t xml:space="preserve">i emerytury </w:t>
            </w:r>
          </w:p>
        </w:tc>
        <w:tc>
          <w:tcPr>
            <w:tcW w:w="7078" w:type="dxa"/>
            <w:gridSpan w:val="2"/>
          </w:tcPr>
          <w:p w14:paraId="66273EF5" w14:textId="77777777" w:rsidR="00702856" w:rsidRPr="00702856" w:rsidRDefault="00702856" w:rsidP="00EB7DC7">
            <w:pPr>
              <w:tabs>
                <w:tab w:val="left" w:pos="1725"/>
                <w:tab w:val="center" w:pos="2363"/>
              </w:tabs>
              <w:spacing w:line="240" w:lineRule="auto"/>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702856">
              <w:rPr>
                <w:rFonts w:cs="Times New Roman"/>
                <w:b/>
                <w:color w:val="auto"/>
                <w:sz w:val="20"/>
                <w:szCs w:val="20"/>
              </w:rPr>
              <w:t>ZUS</w:t>
            </w:r>
          </w:p>
        </w:tc>
      </w:tr>
      <w:tr w:rsidR="00702856" w:rsidRPr="00702856" w14:paraId="477A546D" w14:textId="77777777" w:rsidTr="00EB7DC7">
        <w:trPr>
          <w:trHeight w:val="189"/>
        </w:trPr>
        <w:tc>
          <w:tcPr>
            <w:cnfStyle w:val="001000000000" w:firstRow="0" w:lastRow="0" w:firstColumn="1" w:lastColumn="0" w:oddVBand="0" w:evenVBand="0" w:oddHBand="0" w:evenHBand="0" w:firstRowFirstColumn="0" w:firstRowLastColumn="0" w:lastRowFirstColumn="0" w:lastRowLastColumn="0"/>
            <w:tcW w:w="1989" w:type="dxa"/>
            <w:vMerge/>
          </w:tcPr>
          <w:p w14:paraId="4B90BB30" w14:textId="77777777" w:rsidR="00702856" w:rsidRPr="00702856" w:rsidRDefault="00702856" w:rsidP="00EB7DC7">
            <w:pPr>
              <w:spacing w:line="240" w:lineRule="auto"/>
              <w:rPr>
                <w:rFonts w:eastAsia="Times New Roman" w:cs="Times New Roman"/>
                <w:color w:val="auto"/>
                <w:sz w:val="20"/>
                <w:szCs w:val="20"/>
                <w:lang w:eastAsia="pl-PL"/>
              </w:rPr>
            </w:pPr>
          </w:p>
        </w:tc>
        <w:tc>
          <w:tcPr>
            <w:tcW w:w="3969" w:type="dxa"/>
          </w:tcPr>
          <w:p w14:paraId="0A69ED64" w14:textId="77777777" w:rsidR="00702856" w:rsidRPr="00702856" w:rsidRDefault="00702856" w:rsidP="00EB7DC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702856">
              <w:rPr>
                <w:rFonts w:cs="Times New Roman"/>
                <w:b/>
                <w:color w:val="auto"/>
                <w:sz w:val="20"/>
                <w:szCs w:val="20"/>
              </w:rPr>
              <w:t>Rodzaj świadczenia</w:t>
            </w:r>
          </w:p>
        </w:tc>
        <w:tc>
          <w:tcPr>
            <w:tcW w:w="3109" w:type="dxa"/>
          </w:tcPr>
          <w:p w14:paraId="1CC4DDB6" w14:textId="77777777" w:rsidR="00702856" w:rsidRPr="00702856" w:rsidRDefault="00702856" w:rsidP="00EB7DC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702856">
              <w:rPr>
                <w:rFonts w:cs="Times New Roman"/>
                <w:b/>
                <w:color w:val="auto"/>
                <w:sz w:val="20"/>
                <w:szCs w:val="20"/>
              </w:rPr>
              <w:t>Przeciętna miesięczna liczba emerytów i rencistów (w tys.)</w:t>
            </w:r>
          </w:p>
        </w:tc>
      </w:tr>
      <w:tr w:rsidR="00702856" w:rsidRPr="00702856" w14:paraId="34780E9D" w14:textId="77777777" w:rsidTr="00EB7DC7">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989" w:type="dxa"/>
            <w:vMerge/>
          </w:tcPr>
          <w:p w14:paraId="3B05B41D" w14:textId="77777777" w:rsidR="00702856" w:rsidRPr="00702856" w:rsidRDefault="00702856" w:rsidP="00EB7DC7">
            <w:pPr>
              <w:spacing w:line="240" w:lineRule="auto"/>
              <w:rPr>
                <w:rFonts w:eastAsia="Times New Roman" w:cs="Times New Roman"/>
                <w:color w:val="auto"/>
                <w:sz w:val="20"/>
                <w:szCs w:val="20"/>
                <w:lang w:eastAsia="pl-PL"/>
              </w:rPr>
            </w:pPr>
          </w:p>
        </w:tc>
        <w:tc>
          <w:tcPr>
            <w:tcW w:w="3969" w:type="dxa"/>
          </w:tcPr>
          <w:p w14:paraId="64DB8032"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Emerytury</w:t>
            </w:r>
          </w:p>
        </w:tc>
        <w:tc>
          <w:tcPr>
            <w:tcW w:w="3109" w:type="dxa"/>
          </w:tcPr>
          <w:p w14:paraId="53D1D8D4"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823,2</w:t>
            </w:r>
          </w:p>
        </w:tc>
      </w:tr>
      <w:tr w:rsidR="00702856" w:rsidRPr="00702856" w14:paraId="3F5769C6" w14:textId="77777777" w:rsidTr="00EB7DC7">
        <w:trPr>
          <w:trHeight w:val="142"/>
        </w:trPr>
        <w:tc>
          <w:tcPr>
            <w:cnfStyle w:val="001000000000" w:firstRow="0" w:lastRow="0" w:firstColumn="1" w:lastColumn="0" w:oddVBand="0" w:evenVBand="0" w:oddHBand="0" w:evenHBand="0" w:firstRowFirstColumn="0" w:firstRowLastColumn="0" w:lastRowFirstColumn="0" w:lastRowLastColumn="0"/>
            <w:tcW w:w="1989" w:type="dxa"/>
            <w:vMerge/>
          </w:tcPr>
          <w:p w14:paraId="7CD56F74" w14:textId="77777777" w:rsidR="00702856" w:rsidRPr="00702856" w:rsidRDefault="00702856" w:rsidP="00EB7DC7">
            <w:pPr>
              <w:spacing w:line="240" w:lineRule="auto"/>
              <w:rPr>
                <w:rFonts w:eastAsia="Times New Roman" w:cs="Times New Roman"/>
                <w:color w:val="auto"/>
                <w:sz w:val="20"/>
                <w:szCs w:val="20"/>
                <w:lang w:eastAsia="pl-PL"/>
              </w:rPr>
            </w:pPr>
          </w:p>
        </w:tc>
        <w:tc>
          <w:tcPr>
            <w:tcW w:w="3969" w:type="dxa"/>
          </w:tcPr>
          <w:p w14:paraId="2321ADDA"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Renty z tytułu niezdolności do pracy</w:t>
            </w:r>
          </w:p>
        </w:tc>
        <w:tc>
          <w:tcPr>
            <w:tcW w:w="3109" w:type="dxa"/>
          </w:tcPr>
          <w:p w14:paraId="5E174FA6"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70,9</w:t>
            </w:r>
          </w:p>
        </w:tc>
      </w:tr>
      <w:tr w:rsidR="00702856" w:rsidRPr="00702856" w14:paraId="0878714E" w14:textId="77777777" w:rsidTr="00EB7DC7">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989" w:type="dxa"/>
            <w:vMerge/>
          </w:tcPr>
          <w:p w14:paraId="17819BF0" w14:textId="77777777" w:rsidR="00702856" w:rsidRPr="00702856" w:rsidRDefault="00702856" w:rsidP="00EB7DC7">
            <w:pPr>
              <w:spacing w:line="240" w:lineRule="auto"/>
              <w:rPr>
                <w:rFonts w:eastAsia="Times New Roman" w:cs="Times New Roman"/>
                <w:color w:val="auto"/>
                <w:sz w:val="20"/>
                <w:szCs w:val="20"/>
                <w:lang w:eastAsia="pl-PL"/>
              </w:rPr>
            </w:pPr>
          </w:p>
        </w:tc>
        <w:tc>
          <w:tcPr>
            <w:tcW w:w="3969" w:type="dxa"/>
          </w:tcPr>
          <w:p w14:paraId="6247F2D8"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Renty rodzinne</w:t>
            </w:r>
          </w:p>
        </w:tc>
        <w:tc>
          <w:tcPr>
            <w:tcW w:w="3109" w:type="dxa"/>
          </w:tcPr>
          <w:p w14:paraId="7D3C2C32"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137,5</w:t>
            </w:r>
          </w:p>
        </w:tc>
      </w:tr>
      <w:tr w:rsidR="00702856" w:rsidRPr="00702856" w14:paraId="3115FAAF" w14:textId="77777777" w:rsidTr="00EB7DC7">
        <w:trPr>
          <w:trHeight w:val="284"/>
        </w:trPr>
        <w:tc>
          <w:tcPr>
            <w:cnfStyle w:val="001000000000" w:firstRow="0" w:lastRow="0" w:firstColumn="1" w:lastColumn="0" w:oddVBand="0" w:evenVBand="0" w:oddHBand="0" w:evenHBand="0" w:firstRowFirstColumn="0" w:firstRowLastColumn="0" w:lastRowFirstColumn="0" w:lastRowLastColumn="0"/>
            <w:tcW w:w="1989" w:type="dxa"/>
            <w:vMerge/>
          </w:tcPr>
          <w:p w14:paraId="0F9F699F" w14:textId="77777777" w:rsidR="00702856" w:rsidRPr="00702856" w:rsidRDefault="00702856" w:rsidP="00EB7DC7">
            <w:pPr>
              <w:spacing w:line="240" w:lineRule="auto"/>
              <w:rPr>
                <w:rFonts w:eastAsia="Times New Roman" w:cs="Times New Roman"/>
                <w:color w:val="auto"/>
                <w:sz w:val="20"/>
                <w:szCs w:val="20"/>
                <w:lang w:eastAsia="pl-PL"/>
              </w:rPr>
            </w:pPr>
          </w:p>
        </w:tc>
        <w:tc>
          <w:tcPr>
            <w:tcW w:w="7078" w:type="dxa"/>
            <w:gridSpan w:val="2"/>
          </w:tcPr>
          <w:p w14:paraId="71A3B9A6" w14:textId="77777777" w:rsidR="00702856" w:rsidRPr="00702856" w:rsidRDefault="00702856" w:rsidP="00EB7DC7">
            <w:pPr>
              <w:tabs>
                <w:tab w:val="left" w:pos="1507"/>
                <w:tab w:val="center" w:pos="2363"/>
              </w:tabs>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702856">
              <w:rPr>
                <w:rFonts w:cs="Times New Roman"/>
                <w:b/>
                <w:color w:val="auto"/>
                <w:sz w:val="20"/>
                <w:szCs w:val="20"/>
              </w:rPr>
              <w:t>KRUS</w:t>
            </w:r>
          </w:p>
        </w:tc>
      </w:tr>
      <w:tr w:rsidR="00702856" w:rsidRPr="00702856" w14:paraId="75A24DEE" w14:textId="77777777" w:rsidTr="00EB7DC7">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989" w:type="dxa"/>
            <w:vMerge/>
          </w:tcPr>
          <w:p w14:paraId="333EDC46" w14:textId="77777777" w:rsidR="00702856" w:rsidRPr="00702856" w:rsidRDefault="00702856" w:rsidP="00EB7DC7">
            <w:pPr>
              <w:spacing w:line="240" w:lineRule="auto"/>
              <w:rPr>
                <w:rFonts w:eastAsia="Times New Roman" w:cs="Times New Roman"/>
                <w:color w:val="auto"/>
                <w:sz w:val="20"/>
                <w:szCs w:val="20"/>
                <w:lang w:eastAsia="pl-PL"/>
              </w:rPr>
            </w:pPr>
          </w:p>
        </w:tc>
        <w:tc>
          <w:tcPr>
            <w:tcW w:w="3969" w:type="dxa"/>
          </w:tcPr>
          <w:p w14:paraId="0D9534F6" w14:textId="77777777" w:rsidR="00702856" w:rsidRPr="00702856" w:rsidRDefault="00702856" w:rsidP="00EB7DC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702856">
              <w:rPr>
                <w:rFonts w:cs="Times New Roman"/>
                <w:b/>
                <w:color w:val="auto"/>
                <w:sz w:val="20"/>
                <w:szCs w:val="20"/>
              </w:rPr>
              <w:t>Rodzaj świadczenia</w:t>
            </w:r>
          </w:p>
        </w:tc>
        <w:tc>
          <w:tcPr>
            <w:tcW w:w="3109" w:type="dxa"/>
          </w:tcPr>
          <w:p w14:paraId="301D7871" w14:textId="77777777" w:rsidR="00702856" w:rsidRPr="00702856" w:rsidRDefault="00702856" w:rsidP="00EB7DC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702856">
              <w:rPr>
                <w:rFonts w:cs="Times New Roman"/>
                <w:b/>
                <w:color w:val="auto"/>
                <w:sz w:val="20"/>
                <w:szCs w:val="20"/>
              </w:rPr>
              <w:t>Przeciętna miesięczna liczba emerytów i rencistów (w tys.)</w:t>
            </w:r>
          </w:p>
        </w:tc>
      </w:tr>
      <w:tr w:rsidR="00702856" w:rsidRPr="00702856" w14:paraId="4EB5963E"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1989" w:type="dxa"/>
            <w:vMerge/>
          </w:tcPr>
          <w:p w14:paraId="6E949D38" w14:textId="77777777" w:rsidR="00702856" w:rsidRPr="00702856" w:rsidRDefault="00702856" w:rsidP="00EB7DC7">
            <w:pPr>
              <w:spacing w:line="240" w:lineRule="auto"/>
              <w:rPr>
                <w:rFonts w:eastAsia="Times New Roman" w:cs="Times New Roman"/>
                <w:color w:val="auto"/>
                <w:sz w:val="20"/>
                <w:szCs w:val="20"/>
                <w:lang w:eastAsia="pl-PL"/>
              </w:rPr>
            </w:pPr>
          </w:p>
        </w:tc>
        <w:tc>
          <w:tcPr>
            <w:tcW w:w="3969" w:type="dxa"/>
          </w:tcPr>
          <w:p w14:paraId="56604DA0"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Emerytury</w:t>
            </w:r>
          </w:p>
        </w:tc>
        <w:tc>
          <w:tcPr>
            <w:tcW w:w="3109" w:type="dxa"/>
          </w:tcPr>
          <w:p w14:paraId="478EDCB3"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136,2</w:t>
            </w:r>
          </w:p>
        </w:tc>
      </w:tr>
      <w:tr w:rsidR="00702856" w:rsidRPr="00702856" w14:paraId="65D9FC06" w14:textId="77777777" w:rsidTr="00EB7DC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989" w:type="dxa"/>
            <w:vMerge/>
          </w:tcPr>
          <w:p w14:paraId="2751B2D9" w14:textId="77777777" w:rsidR="00702856" w:rsidRPr="00702856" w:rsidRDefault="00702856" w:rsidP="00EB7DC7">
            <w:pPr>
              <w:spacing w:line="240" w:lineRule="auto"/>
              <w:rPr>
                <w:rFonts w:eastAsia="Times New Roman" w:cs="Times New Roman"/>
                <w:color w:val="auto"/>
                <w:sz w:val="20"/>
                <w:szCs w:val="20"/>
                <w:lang w:eastAsia="pl-PL"/>
              </w:rPr>
            </w:pPr>
          </w:p>
        </w:tc>
        <w:tc>
          <w:tcPr>
            <w:tcW w:w="3969" w:type="dxa"/>
          </w:tcPr>
          <w:p w14:paraId="0446FF02"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Renty z tytułu niezdolności do pracy</w:t>
            </w:r>
          </w:p>
        </w:tc>
        <w:tc>
          <w:tcPr>
            <w:tcW w:w="3109" w:type="dxa"/>
          </w:tcPr>
          <w:p w14:paraId="32B1B0D7" w14:textId="77777777" w:rsidR="00702856" w:rsidRPr="00702856" w:rsidRDefault="00702856"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02856">
              <w:rPr>
                <w:rFonts w:cs="Times New Roman"/>
                <w:color w:val="auto"/>
                <w:sz w:val="20"/>
                <w:szCs w:val="20"/>
              </w:rPr>
              <w:t>23,3</w:t>
            </w:r>
          </w:p>
        </w:tc>
      </w:tr>
      <w:tr w:rsidR="00702856" w:rsidRPr="00702856" w14:paraId="59BB8CDC"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1989" w:type="dxa"/>
            <w:vMerge/>
          </w:tcPr>
          <w:p w14:paraId="76A65CCD" w14:textId="77777777" w:rsidR="00702856" w:rsidRPr="00702856" w:rsidRDefault="00702856" w:rsidP="00EB7DC7">
            <w:pPr>
              <w:spacing w:line="240" w:lineRule="auto"/>
              <w:rPr>
                <w:rFonts w:eastAsia="Times New Roman" w:cs="Times New Roman"/>
                <w:color w:val="auto"/>
                <w:sz w:val="20"/>
                <w:szCs w:val="20"/>
                <w:lang w:eastAsia="pl-PL"/>
              </w:rPr>
            </w:pPr>
          </w:p>
        </w:tc>
        <w:tc>
          <w:tcPr>
            <w:tcW w:w="3969" w:type="dxa"/>
          </w:tcPr>
          <w:p w14:paraId="67431084"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Renty rodzinne</w:t>
            </w:r>
          </w:p>
        </w:tc>
        <w:tc>
          <w:tcPr>
            <w:tcW w:w="3109" w:type="dxa"/>
          </w:tcPr>
          <w:p w14:paraId="12DD9576" w14:textId="77777777" w:rsidR="00702856" w:rsidRPr="00702856" w:rsidRDefault="00702856"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02856">
              <w:rPr>
                <w:rFonts w:cs="Times New Roman"/>
                <w:color w:val="auto"/>
                <w:sz w:val="20"/>
                <w:szCs w:val="20"/>
              </w:rPr>
              <w:t>6,9</w:t>
            </w:r>
          </w:p>
        </w:tc>
      </w:tr>
    </w:tbl>
    <w:p w14:paraId="0B17A838" w14:textId="77777777" w:rsidR="00702856" w:rsidRPr="00702856" w:rsidRDefault="00702856" w:rsidP="00702856">
      <w:pPr>
        <w:tabs>
          <w:tab w:val="left" w:pos="5400"/>
        </w:tabs>
        <w:rPr>
          <w:rFonts w:eastAsia="Times New Roman" w:cs="Times New Roman"/>
          <w:b/>
          <w:szCs w:val="24"/>
          <w:lang w:eastAsia="pl-PL"/>
        </w:rPr>
      </w:pPr>
      <w:r w:rsidRPr="00702856">
        <w:rPr>
          <w:rFonts w:eastAsia="Times New Roman" w:cs="Times New Roman"/>
          <w:b/>
          <w:szCs w:val="24"/>
          <w:lang w:eastAsia="pl-PL"/>
        </w:rPr>
        <w:t xml:space="preserve">Źródło: GUS. </w:t>
      </w:r>
    </w:p>
    <w:p w14:paraId="259D2D15" w14:textId="77777777" w:rsidR="00702856" w:rsidRDefault="00702856" w:rsidP="00E7359C">
      <w:pPr>
        <w:rPr>
          <w:rFonts w:cs="Times New Roman"/>
          <w:b/>
          <w:color w:val="FF0000"/>
          <w:szCs w:val="24"/>
          <w:lang w:eastAsia="ar-SA"/>
        </w:rPr>
      </w:pPr>
    </w:p>
    <w:p w14:paraId="54110A0E" w14:textId="40894023" w:rsidR="00E52964" w:rsidRDefault="00E52964" w:rsidP="00E52964">
      <w:pPr>
        <w:pStyle w:val="Nagwek3"/>
      </w:pPr>
      <w:bookmarkStart w:id="206" w:name="_Toc77513987"/>
      <w:bookmarkStart w:id="207" w:name="_Toc80523141"/>
      <w:r w:rsidRPr="00E52964">
        <w:t>Sytuacja osób niepełnosprawnych i ich opiekunów</w:t>
      </w:r>
      <w:bookmarkEnd w:id="206"/>
      <w:bookmarkEnd w:id="207"/>
    </w:p>
    <w:p w14:paraId="6C6E60CB" w14:textId="77777777" w:rsidR="000B1B06" w:rsidRPr="000B1B06" w:rsidRDefault="000B1B06" w:rsidP="000B1B06"/>
    <w:p w14:paraId="21E39385" w14:textId="785D104C" w:rsidR="00E52964" w:rsidRPr="00E52964" w:rsidRDefault="00E52964" w:rsidP="00E52964">
      <w:pPr>
        <w:rPr>
          <w:rFonts w:cs="Times New Roman"/>
          <w:szCs w:val="24"/>
        </w:rPr>
      </w:pPr>
      <w:r w:rsidRPr="00E52964">
        <w:rPr>
          <w:rFonts w:cs="Times New Roman"/>
          <w:szCs w:val="24"/>
        </w:rPr>
        <w:t>W 2020 r. w województwie mazowieckim wydano łącznie 23 191 orzeczeń o stopniu niepełnosprawności dla osób 60+, z tego:</w:t>
      </w:r>
    </w:p>
    <w:p w14:paraId="7A687BC6" w14:textId="77777777" w:rsidR="004A2D5F" w:rsidRDefault="00E52964" w:rsidP="00FE70E3">
      <w:pPr>
        <w:pStyle w:val="Akapitzlist"/>
        <w:numPr>
          <w:ilvl w:val="0"/>
          <w:numId w:val="11"/>
        </w:numPr>
        <w:rPr>
          <w:rFonts w:cs="Times New Roman"/>
          <w:szCs w:val="24"/>
        </w:rPr>
      </w:pPr>
      <w:r w:rsidRPr="004A2D5F">
        <w:rPr>
          <w:rFonts w:cs="Times New Roman"/>
          <w:szCs w:val="24"/>
        </w:rPr>
        <w:t>8 803 orzeczeń o znacznym stopniu niepełnosprawności,</w:t>
      </w:r>
    </w:p>
    <w:p w14:paraId="3424AA3E" w14:textId="77777777" w:rsidR="004A2D5F" w:rsidRDefault="00E52964" w:rsidP="00FE70E3">
      <w:pPr>
        <w:pStyle w:val="Akapitzlist"/>
        <w:numPr>
          <w:ilvl w:val="0"/>
          <w:numId w:val="11"/>
        </w:numPr>
        <w:rPr>
          <w:rFonts w:cs="Times New Roman"/>
          <w:szCs w:val="24"/>
        </w:rPr>
      </w:pPr>
      <w:r w:rsidRPr="004A2D5F">
        <w:rPr>
          <w:rFonts w:cs="Times New Roman"/>
          <w:szCs w:val="24"/>
        </w:rPr>
        <w:t>10 955 orzeczeń o umiarkowanym stopniu niepełnosprawności,</w:t>
      </w:r>
    </w:p>
    <w:p w14:paraId="3BB8F9A7" w14:textId="7DA3E280" w:rsidR="00E52964" w:rsidRDefault="00E52964" w:rsidP="00FE70E3">
      <w:pPr>
        <w:pStyle w:val="Akapitzlist"/>
        <w:numPr>
          <w:ilvl w:val="0"/>
          <w:numId w:val="11"/>
        </w:numPr>
        <w:rPr>
          <w:rFonts w:cs="Times New Roman"/>
          <w:szCs w:val="24"/>
        </w:rPr>
      </w:pPr>
      <w:r w:rsidRPr="004A2D5F">
        <w:rPr>
          <w:rFonts w:cs="Times New Roman"/>
          <w:szCs w:val="24"/>
        </w:rPr>
        <w:t>3 433 orzeczeń o lekkim stopniu niepełnosprawności.</w:t>
      </w:r>
    </w:p>
    <w:p w14:paraId="1335461F" w14:textId="77777777" w:rsidR="004A2D5F" w:rsidRPr="004A2D5F" w:rsidRDefault="004A2D5F" w:rsidP="004A2D5F">
      <w:pPr>
        <w:rPr>
          <w:rFonts w:cs="Times New Roman"/>
          <w:szCs w:val="24"/>
        </w:rPr>
      </w:pPr>
    </w:p>
    <w:p w14:paraId="424E5642" w14:textId="77777777" w:rsidR="00E52964" w:rsidRPr="00E52964" w:rsidRDefault="00E52964" w:rsidP="00E52964">
      <w:pPr>
        <w:rPr>
          <w:rFonts w:cs="Times New Roman"/>
          <w:szCs w:val="24"/>
        </w:rPr>
      </w:pPr>
      <w:r w:rsidRPr="00E52964">
        <w:rPr>
          <w:rFonts w:cs="Times New Roman"/>
          <w:szCs w:val="24"/>
        </w:rPr>
        <w:t>W 2020 r. Wydział do Spraw Osób Niepełnosprawnych w ramach Funduszu Solidarnościowego realizował następujące programy dedykowane osobom niepełnosprawnym, w tym osobom starszym niepełnosprawnym ze znacznym lub umiarkowanym stopniem niepełnosprawności:</w:t>
      </w:r>
    </w:p>
    <w:p w14:paraId="1A0B3477" w14:textId="77777777" w:rsidR="004A2D5F" w:rsidRDefault="00E52964" w:rsidP="00FE70E3">
      <w:pPr>
        <w:pStyle w:val="Akapitzlist"/>
        <w:numPr>
          <w:ilvl w:val="0"/>
          <w:numId w:val="155"/>
        </w:numPr>
        <w:rPr>
          <w:rFonts w:cs="Times New Roman"/>
          <w:szCs w:val="24"/>
        </w:rPr>
      </w:pPr>
      <w:r w:rsidRPr="004A2D5F">
        <w:rPr>
          <w:rFonts w:cs="Times New Roman"/>
          <w:szCs w:val="24"/>
        </w:rPr>
        <w:t>„Usługi opiekuńcze dla osób niepełnosprawnych” - edycja 2020 - program miał na celu m. in. zwiększenie dostępności do usług opiekuńczych, w tym specjalistycznych usług opiekuńczych dla osób niepełnosprawnych ze znacznym stopniem niepełnosprawności w wieku do 75 lat. W programie realizowanym przez 43 gminy, uczestniczyło 872 osoby w wieku 60+. Dofinansowanie ze środków Funduszu Solidarnościowego na realizację programu stanowiło kwotę 5 277 546,32 zł (usługi opiekuńcze) oraz 1 255 204,65 zł (specjalistyczne usługi opiekuńcze),</w:t>
      </w:r>
    </w:p>
    <w:p w14:paraId="75F08A76" w14:textId="77777777" w:rsidR="004A2D5F" w:rsidRDefault="00E52964" w:rsidP="00FE70E3">
      <w:pPr>
        <w:pStyle w:val="Akapitzlist"/>
        <w:numPr>
          <w:ilvl w:val="0"/>
          <w:numId w:val="155"/>
        </w:numPr>
        <w:rPr>
          <w:rFonts w:cs="Times New Roman"/>
          <w:szCs w:val="24"/>
        </w:rPr>
      </w:pPr>
      <w:r w:rsidRPr="004A2D5F">
        <w:rPr>
          <w:rFonts w:cs="Times New Roman"/>
          <w:szCs w:val="24"/>
        </w:rPr>
        <w:t xml:space="preserve">„Opieka </w:t>
      </w:r>
      <w:proofErr w:type="spellStart"/>
      <w:r w:rsidRPr="004A2D5F">
        <w:rPr>
          <w:rFonts w:cs="Times New Roman"/>
          <w:szCs w:val="24"/>
        </w:rPr>
        <w:t>wytchnieniowa</w:t>
      </w:r>
      <w:proofErr w:type="spellEnd"/>
      <w:r w:rsidRPr="004A2D5F">
        <w:rPr>
          <w:rFonts w:cs="Times New Roman"/>
          <w:szCs w:val="24"/>
        </w:rPr>
        <w:t xml:space="preserve">” - celem programu było wsparcie członków rodzin oraz opiekunów sprawujących bezpośrednią opiekę nad osobami niepełnosprawnymi. Wsparcie polegało na pomocy w postaci doraźnej, czasowej przerwy w sprawowaniu opieki m. in. nad osobami ze znacznym stopniem niepełnosprawności oraz na specjalistycznym poradnictwie. Czasowe odciążenie opiekunów, realizowane w postaci opieki dziennej oraz całodobowej zapewniło możliwość regeneracji oraz odpoczynku od codziennych obowiązków. Wsparcie w postaci specjalistycznego poradnictwa wzmocniło potencjał opiekunów oraz podwyższyło poziom kompetencji w sprawowaniu opieki. Z opieki </w:t>
      </w:r>
      <w:proofErr w:type="spellStart"/>
      <w:r w:rsidRPr="004A2D5F">
        <w:rPr>
          <w:rFonts w:cs="Times New Roman"/>
          <w:szCs w:val="24"/>
        </w:rPr>
        <w:t>wytchnieniowej</w:t>
      </w:r>
      <w:proofErr w:type="spellEnd"/>
      <w:r w:rsidRPr="004A2D5F">
        <w:rPr>
          <w:rFonts w:cs="Times New Roman"/>
          <w:szCs w:val="24"/>
        </w:rPr>
        <w:t xml:space="preserve"> skorzystało łącznie 106 osób w wieku 60+ . Na realizację programu wydatkowano 4 520 170,48 zł,</w:t>
      </w:r>
    </w:p>
    <w:p w14:paraId="2A37D586" w14:textId="2FD9C1E4" w:rsidR="00E52964" w:rsidRDefault="00E52964" w:rsidP="00FE70E3">
      <w:pPr>
        <w:pStyle w:val="Akapitzlist"/>
        <w:numPr>
          <w:ilvl w:val="0"/>
          <w:numId w:val="155"/>
        </w:numPr>
        <w:rPr>
          <w:rFonts w:cs="Times New Roman"/>
          <w:szCs w:val="24"/>
        </w:rPr>
      </w:pPr>
      <w:r w:rsidRPr="004A2D5F">
        <w:rPr>
          <w:rFonts w:cs="Times New Roman"/>
          <w:szCs w:val="24"/>
        </w:rPr>
        <w:t xml:space="preserve">„Asystent osobisty osoby niepełnosprawnej”- celem programu było wprowadzenie usługi asystenta jako formy wsparcia dla osób niepełnosprawnych posiadających orzeczenie o znacznym lub umiarkowanym stopniu niepełnosprawności. Osoby te miały możliwość skorzystania z pomocy asystenta m. in. przy wykonywaniu codziennych czynności, załatwianiu spraw urzędowych czy podejmowaniu aktywności społecznej. Przebywanie </w:t>
      </w:r>
      <w:r w:rsidRPr="004A2D5F">
        <w:rPr>
          <w:rFonts w:cs="Times New Roman"/>
          <w:szCs w:val="24"/>
        </w:rPr>
        <w:lastRenderedPageBreak/>
        <w:t xml:space="preserve">osoby niepełnosprawnej z innymi osobami przyczynia się do ich lepszego uspołecznienia, do rozwijania kompetencji społecznych a także do podjęcia przez osoby niepełnosprawne aktywności na miarę posiadanego potencjału i zasobów. W programie uczestniczyło 31 jednostek samorządu terytorialnego. Z usług asystenta skorzystało </w:t>
      </w:r>
      <w:r w:rsidR="004A2D5F">
        <w:rPr>
          <w:rFonts w:cs="Times New Roman"/>
          <w:szCs w:val="24"/>
        </w:rPr>
        <w:t xml:space="preserve"> </w:t>
      </w:r>
      <w:r w:rsidRPr="004A2D5F">
        <w:rPr>
          <w:rFonts w:cs="Times New Roman"/>
          <w:szCs w:val="24"/>
        </w:rPr>
        <w:t>238 osób w wieku 60+. Na realizację programu przeznaczono środki w kwocie 8 927 921,84 zł.</w:t>
      </w:r>
    </w:p>
    <w:p w14:paraId="4FF02437" w14:textId="77777777" w:rsidR="004A2D5F" w:rsidRPr="004A2D5F" w:rsidRDefault="004A2D5F" w:rsidP="004A2D5F">
      <w:pPr>
        <w:rPr>
          <w:rFonts w:cs="Times New Roman"/>
          <w:szCs w:val="24"/>
        </w:rPr>
      </w:pPr>
    </w:p>
    <w:p w14:paraId="19D75613" w14:textId="3B07336C" w:rsidR="00702856" w:rsidRDefault="00E52964" w:rsidP="00E52964">
      <w:pPr>
        <w:rPr>
          <w:rFonts w:cs="Times New Roman"/>
          <w:szCs w:val="24"/>
        </w:rPr>
      </w:pPr>
      <w:r w:rsidRPr="00E52964">
        <w:rPr>
          <w:rFonts w:cs="Times New Roman"/>
          <w:szCs w:val="24"/>
        </w:rPr>
        <w:t>Wydział do Spraw osób Niepełnosprawnych, który zajmuje się obsługą programów rządowych realizowanych w ramach Funduszu Solidarnościowego, prowadził w 2020 r. szerokie działania o charakterze informacyjno-promocyjnym. Zgodnie z zapisami realizowanych programów, Wojewoda Mazowiecki na bieżąco umieszczał wszelkie informacje dotyczące programów, ich realizacji na głównej stronie internetowej Urzędu w zakładce Fundusz Solidarnościowy oraz w Biuletynie Informacji Publicznej. Dzięki powyższym działaniom, jednostki samorządu terytorialnego oraz osoby niepełnosprawne i ich rodziny/opiekunowie miały dostęp do aktualnych informacji dot. programów.</w:t>
      </w:r>
    </w:p>
    <w:p w14:paraId="74C2CB38" w14:textId="6FFB214C" w:rsidR="00E52964" w:rsidRDefault="00E52964" w:rsidP="00E52964">
      <w:pPr>
        <w:rPr>
          <w:rFonts w:cs="Times New Roman"/>
          <w:szCs w:val="24"/>
        </w:rPr>
      </w:pPr>
    </w:p>
    <w:p w14:paraId="00784907" w14:textId="61844308" w:rsidR="00E52964" w:rsidRDefault="00E52964" w:rsidP="00E52964">
      <w:pPr>
        <w:pStyle w:val="Nagwek3"/>
      </w:pPr>
      <w:bookmarkStart w:id="208" w:name="_Toc77513988"/>
      <w:bookmarkStart w:id="209" w:name="_Toc80523142"/>
      <w:r w:rsidRPr="00E52964">
        <w:t xml:space="preserve">Działania i inicjatywy realizowane na rzecz osób starszych w województwie </w:t>
      </w:r>
      <w:r>
        <w:t>mazowieckim</w:t>
      </w:r>
      <w:bookmarkEnd w:id="208"/>
      <w:bookmarkEnd w:id="209"/>
    </w:p>
    <w:p w14:paraId="2A0C6A57" w14:textId="77777777" w:rsidR="000B1B06" w:rsidRPr="000B1B06" w:rsidRDefault="000B1B06" w:rsidP="000B1B06"/>
    <w:p w14:paraId="04513F43" w14:textId="77777777" w:rsidR="00E52964" w:rsidRPr="00E52964" w:rsidRDefault="00E52964" w:rsidP="00E52964">
      <w:pPr>
        <w:rPr>
          <w:rFonts w:cs="Times New Roman"/>
          <w:szCs w:val="24"/>
        </w:rPr>
      </w:pPr>
      <w:r w:rsidRPr="00E52964">
        <w:rPr>
          <w:rFonts w:cs="Times New Roman"/>
          <w:szCs w:val="24"/>
        </w:rPr>
        <w:t>W województwie mazowieckim w 2020 r. w obszarze polityki senioralnej podejmowane były liczne inicjatywy poświęcone osobom starszym. Kluczowymi dokumentami określającymi kierunki działań w obszarze polityki senioralnej są:</w:t>
      </w:r>
    </w:p>
    <w:p w14:paraId="100E75D6" w14:textId="77777777" w:rsidR="004A2D5F" w:rsidRDefault="00E52964" w:rsidP="00FE70E3">
      <w:pPr>
        <w:pStyle w:val="Akapitzlist"/>
        <w:numPr>
          <w:ilvl w:val="0"/>
          <w:numId w:val="157"/>
        </w:numPr>
        <w:rPr>
          <w:rFonts w:cs="Times New Roman"/>
          <w:szCs w:val="24"/>
        </w:rPr>
      </w:pPr>
      <w:r w:rsidRPr="004A2D5F">
        <w:rPr>
          <w:rFonts w:cs="Times New Roman"/>
          <w:szCs w:val="24"/>
        </w:rPr>
        <w:t>Strategia Polityki Społecznej Województwa Mazowieckiego na lata 2014-2020, w której wskazano na potrzebę realizacji polityki senioralnej jako jednej z nowych polityk regionalnych,</w:t>
      </w:r>
    </w:p>
    <w:p w14:paraId="308E3D56" w14:textId="14D572FE" w:rsidR="00E52964" w:rsidRPr="004A2D5F" w:rsidRDefault="00E52964" w:rsidP="00FE70E3">
      <w:pPr>
        <w:pStyle w:val="Akapitzlist"/>
        <w:numPr>
          <w:ilvl w:val="0"/>
          <w:numId w:val="157"/>
        </w:numPr>
        <w:rPr>
          <w:rFonts w:cs="Times New Roman"/>
          <w:szCs w:val="24"/>
        </w:rPr>
      </w:pPr>
      <w:r w:rsidRPr="004A2D5F">
        <w:rPr>
          <w:rFonts w:cs="Times New Roman"/>
          <w:szCs w:val="24"/>
        </w:rPr>
        <w:t>Wojewódzki Program Polityki Senioralnej na lata 2019-2021, który stanowi uszczegółowienie oraz rozwinięcie celów i działań zapisanych w mazowieckiej strategii polityki społecznej</w:t>
      </w:r>
      <w:r w:rsidR="004A2D5F">
        <w:rPr>
          <w:rFonts w:cs="Times New Roman"/>
          <w:szCs w:val="24"/>
        </w:rPr>
        <w:t>.</w:t>
      </w:r>
    </w:p>
    <w:p w14:paraId="5BD3CDBA" w14:textId="5BA93265" w:rsidR="00E52964" w:rsidRDefault="00E52964" w:rsidP="00E52964">
      <w:pPr>
        <w:rPr>
          <w:rFonts w:cs="Times New Roman"/>
          <w:szCs w:val="24"/>
        </w:rPr>
      </w:pPr>
      <w:r w:rsidRPr="00E52964">
        <w:rPr>
          <w:rFonts w:cs="Times New Roman"/>
          <w:szCs w:val="24"/>
        </w:rPr>
        <w:t>Celem działań zapisanych w ww. dokumentach strategicznych jest tworzenie warunków umożliwiających wykorzystanie potencjału osób starszych jako aktywnych uczestników życia gospodarczego i rynku pracy. Powyższe dokumenty są zgodne z celami i działaniami wynikającymi z przyjętego przez Radę Ministrów dokumentu pt. Polityka społeczna wobec osób starszych 2030. Bezpieczeństwo-Uczestnictwo-Solidarność. Ponadto Samorząd Województwa Mazowieckiego w swych działaniach uwzględnia wnioski i rekomendacje zawarte - w sporządzanej corocznie - Informacji o sytuacji osób starszych w Polsce.</w:t>
      </w:r>
    </w:p>
    <w:p w14:paraId="04FF2868" w14:textId="77777777" w:rsidR="004A2D5F" w:rsidRPr="00E52964" w:rsidRDefault="004A2D5F" w:rsidP="00E52964">
      <w:pPr>
        <w:rPr>
          <w:rFonts w:cs="Times New Roman"/>
          <w:szCs w:val="24"/>
        </w:rPr>
      </w:pPr>
    </w:p>
    <w:p w14:paraId="67884F54" w14:textId="77777777" w:rsidR="00E52964" w:rsidRPr="00E52964" w:rsidRDefault="00E52964" w:rsidP="00E52964">
      <w:pPr>
        <w:rPr>
          <w:rFonts w:cs="Times New Roman"/>
          <w:szCs w:val="24"/>
        </w:rPr>
      </w:pPr>
      <w:r w:rsidRPr="00E52964">
        <w:rPr>
          <w:rFonts w:cs="Times New Roman"/>
          <w:szCs w:val="24"/>
        </w:rPr>
        <w:t>W celu zwiększenia partycypacji seniorów w życiu publicznym zorganizowano w 2020 r. cykl wideokonferencji pt. „Rada seniorów jako organ wspomagający działalność samorządu terytorialnego”, adresowanych do samorządowców, władz z poziomu powiatów, miast i gmin oraz do przedstawicieli środowisk senioralnych, m.in. organizacji pozarządowych i uniwersytetów trzeciego wieku. Podczas konferencji, członkowie Mazowieckiej Rady Seniorów, będącej organem konsultacyjnym, doradczym i inicjatywnym Marszałka Województwa Mazowieckiego oraz przedstawiciele wybranych organizacji pozarządowych inspirowali lokalne środowiska do powoływania rad seniorów. Ponadto prezentowano dobre praktyki w zakresie tworzenia i rozwijania rad seniorów na Mazowszu.</w:t>
      </w:r>
    </w:p>
    <w:p w14:paraId="735845E5" w14:textId="3E43EB2E" w:rsidR="00E52964" w:rsidRDefault="00E52964" w:rsidP="00E52964">
      <w:pPr>
        <w:rPr>
          <w:rFonts w:cs="Times New Roman"/>
          <w:szCs w:val="24"/>
        </w:rPr>
      </w:pPr>
      <w:r w:rsidRPr="00E52964">
        <w:rPr>
          <w:rFonts w:cs="Times New Roman"/>
          <w:szCs w:val="24"/>
        </w:rPr>
        <w:lastRenderedPageBreak/>
        <w:t xml:space="preserve">Zorganizowano także konferencję on-line pt. „Piąty Sejmik Senioralny Województwa Mazowieckiego” skierowaną do osób starszych, w szczególności do przedstawicieli rad seniorów, uniwersytetów trzeciego wieku, klubów seniora, organizacji pozarządowych oraz Polskiego Związku Emerytów, Rencistów i Inwalidów ( materiał filmowy dostępny w serwisie YouTube, kanał: </w:t>
      </w:r>
      <w:r w:rsidR="00A5053D">
        <w:rPr>
          <w:rFonts w:cs="Times New Roman"/>
          <w:szCs w:val="24"/>
        </w:rPr>
        <w:t>MCPS</w:t>
      </w:r>
      <w:r w:rsidRPr="00E52964">
        <w:rPr>
          <w:rFonts w:cs="Times New Roman"/>
          <w:szCs w:val="24"/>
        </w:rPr>
        <w:t xml:space="preserve"> warszawa).</w:t>
      </w:r>
    </w:p>
    <w:p w14:paraId="4DF48CEC" w14:textId="77777777" w:rsidR="004A2D5F" w:rsidRPr="00E52964" w:rsidRDefault="004A2D5F" w:rsidP="00E52964">
      <w:pPr>
        <w:rPr>
          <w:rFonts w:cs="Times New Roman"/>
          <w:szCs w:val="24"/>
        </w:rPr>
      </w:pPr>
    </w:p>
    <w:p w14:paraId="1C7E501D" w14:textId="1BAB7BD6" w:rsidR="00E52964" w:rsidRDefault="00E52964" w:rsidP="00E52964">
      <w:pPr>
        <w:rPr>
          <w:rFonts w:cs="Times New Roman"/>
          <w:szCs w:val="24"/>
        </w:rPr>
      </w:pPr>
      <w:r w:rsidRPr="00E52964">
        <w:rPr>
          <w:rFonts w:cs="Times New Roman"/>
          <w:szCs w:val="24"/>
        </w:rPr>
        <w:t>Niezwykle ważnym projektem wspierającym aktywność społeczną, kulturalną, edukacyjną i obywatelską, skierowanym do osób starszych był Program Wieloletni „Senior+” na lata 2015-2020. Na Mazowszu w 2020 r. funkcjonowały 132 placówki „Senior+”, w tym 36 Dziennych Domów oraz 96 Klubów. W 2020</w:t>
      </w:r>
      <w:r w:rsidR="00A931B5">
        <w:rPr>
          <w:rFonts w:cs="Times New Roman"/>
          <w:szCs w:val="24"/>
        </w:rPr>
        <w:t xml:space="preserve"> r.</w:t>
      </w:r>
      <w:r w:rsidRPr="00E52964">
        <w:rPr>
          <w:rFonts w:cs="Times New Roman"/>
          <w:szCs w:val="24"/>
        </w:rPr>
        <w:t xml:space="preserve"> odnotowano znaczny przyrost nowoutworzonych placówek typu „Senior+” (20 placówek). Na ich utworzenie oraz dofinansowanie działalności już istniejących Domów i Klubów przeznaczono blisko 8 mln złotych. Placówki te oferowały ogółem 3225 miejsc dla osób powyżej 60 roku życia.</w:t>
      </w:r>
    </w:p>
    <w:p w14:paraId="74F482EE" w14:textId="73E3DCF7" w:rsidR="00E52964" w:rsidRPr="00E52964" w:rsidRDefault="00E52964" w:rsidP="00E52964">
      <w:pPr>
        <w:rPr>
          <w:rFonts w:cs="Times New Roman"/>
          <w:szCs w:val="24"/>
        </w:rPr>
      </w:pPr>
    </w:p>
    <w:p w14:paraId="634FD1B4" w14:textId="1CBA908B" w:rsidR="00E52964" w:rsidRDefault="00E52964" w:rsidP="00E52964">
      <w:pPr>
        <w:rPr>
          <w:rFonts w:cs="Times New Roman"/>
          <w:szCs w:val="24"/>
        </w:rPr>
      </w:pPr>
      <w:r w:rsidRPr="00E52964">
        <w:rPr>
          <w:rFonts w:cs="Times New Roman"/>
          <w:szCs w:val="24"/>
        </w:rPr>
        <w:t>Cenną inicjatywą wspierającą aktywność edukacyjną seniorów były Uniwersytety Trzeciego Wieku. W 2020 r. dotację na realizację programów edukacyjno-integracyjnych otrzymało 21 Uniwersytetów Trzeciego Wieku działających na terenie Warszawy. Z pomocy skorzystało ok. 5 000 słuchaczy, którym zapewniono ciekawą ofertę zajęć oraz dostęp do najnowszych osiągnięć naukowych (prelekcje i wykłady prowadzone były przez przedstawicieli Polskiej Akademii Nauk). W związku z pandemią uniwersytety działały w ograniczonym zakresie. Część zawiesiła swoją działalność edukacyjną, pozostając jedynie w kontakcie telefonicznym ze swoimi słuchaczami i świadcząc im wsparcie psychiczne. Jednak większość uniwersytetów podjęła się trudu prowadzenia zajęć online, co spotkało się z zainteresowaniem ze strony seniorów.</w:t>
      </w:r>
    </w:p>
    <w:p w14:paraId="42022E17" w14:textId="77777777" w:rsidR="004A2D5F" w:rsidRPr="00E52964" w:rsidRDefault="004A2D5F" w:rsidP="00E52964">
      <w:pPr>
        <w:rPr>
          <w:rFonts w:cs="Times New Roman"/>
          <w:szCs w:val="24"/>
        </w:rPr>
      </w:pPr>
    </w:p>
    <w:p w14:paraId="082CE04D" w14:textId="77777777" w:rsidR="00E52964" w:rsidRPr="00E52964" w:rsidRDefault="00E52964" w:rsidP="00E52964">
      <w:pPr>
        <w:rPr>
          <w:rFonts w:cs="Times New Roman"/>
          <w:szCs w:val="24"/>
        </w:rPr>
      </w:pPr>
      <w:r w:rsidRPr="00E52964">
        <w:rPr>
          <w:rFonts w:cs="Times New Roman"/>
          <w:szCs w:val="24"/>
        </w:rPr>
        <w:t>W obszarze polityki senioralnej w 2020 r. Mazowieckie Centrum Polityki Społecznej przekazało 42 dotacje dla organizacji pozarządowych na realizację następujących zadań publicznych:</w:t>
      </w:r>
    </w:p>
    <w:p w14:paraId="3FF17CF6" w14:textId="77777777" w:rsidR="004A2D5F" w:rsidRDefault="00E52964" w:rsidP="00FE70E3">
      <w:pPr>
        <w:pStyle w:val="Akapitzlist"/>
        <w:numPr>
          <w:ilvl w:val="0"/>
          <w:numId w:val="158"/>
        </w:numPr>
        <w:rPr>
          <w:rFonts w:cs="Times New Roman"/>
          <w:szCs w:val="24"/>
        </w:rPr>
      </w:pPr>
      <w:r w:rsidRPr="004A2D5F">
        <w:rPr>
          <w:rFonts w:cs="Times New Roman"/>
          <w:szCs w:val="24"/>
        </w:rPr>
        <w:t>„Działania na rzecz osób starszych w zakresie zwiększania samodzielności i przeciwdziałania zagrożeniu marginalizacją społeczną” - 39 dotacji na łączną kwotę 1 601 800 zł ( wspieranie i umożliwienie aktywnego starzenia się oraz prowadzenia samodzielnego i satysfakcjonującego życia, np. poprzez zapewnienie atrakcyjnego spędzania czasu, dostępu do nowych mediów cyfrowych, budowanie i rozwijanie dialogu pokoleniowego i międzypokoleniowego, organizację warsztatów i wydarzeń skierowanych do seniorów itp.),</w:t>
      </w:r>
    </w:p>
    <w:p w14:paraId="4FB7AB25" w14:textId="77777777" w:rsidR="004A2D5F" w:rsidRDefault="00E52964" w:rsidP="00FE70E3">
      <w:pPr>
        <w:pStyle w:val="Akapitzlist"/>
        <w:numPr>
          <w:ilvl w:val="0"/>
          <w:numId w:val="158"/>
        </w:numPr>
        <w:rPr>
          <w:rFonts w:cs="Times New Roman"/>
          <w:szCs w:val="24"/>
        </w:rPr>
      </w:pPr>
      <w:r w:rsidRPr="004A2D5F">
        <w:rPr>
          <w:rFonts w:cs="Times New Roman"/>
          <w:szCs w:val="24"/>
        </w:rPr>
        <w:t>„Partycypacja osób starszych w życiu społecznym” - 1 dotacja na kwotę 300 000 zł (diagnozowanie udziału osób starszych w życiu społecznym, podejmowanie działań motywujących i aktywizujących środowiska lokalne do uczestnictwa w życiu publicznym),</w:t>
      </w:r>
    </w:p>
    <w:p w14:paraId="5155362D" w14:textId="3C47E922" w:rsidR="004A2D5F" w:rsidRDefault="00E52964" w:rsidP="00FE70E3">
      <w:pPr>
        <w:pStyle w:val="Akapitzlist"/>
        <w:numPr>
          <w:ilvl w:val="0"/>
          <w:numId w:val="158"/>
        </w:numPr>
        <w:rPr>
          <w:rFonts w:cs="Times New Roman"/>
          <w:szCs w:val="24"/>
        </w:rPr>
      </w:pPr>
      <w:r w:rsidRPr="004A2D5F">
        <w:rPr>
          <w:rFonts w:cs="Times New Roman"/>
          <w:szCs w:val="24"/>
        </w:rPr>
        <w:t>„Ścieżką edukacyjną w trzeci wiek” - 1 dotacja na kwotę 300 000 zł (stymulowanie aktywności społecznej i edukacyjnej seniorów),</w:t>
      </w:r>
    </w:p>
    <w:p w14:paraId="0FFD0DCD" w14:textId="4D0C3BBB" w:rsidR="00E52964" w:rsidRDefault="00E52964" w:rsidP="00FE70E3">
      <w:pPr>
        <w:pStyle w:val="Akapitzlist"/>
        <w:numPr>
          <w:ilvl w:val="0"/>
          <w:numId w:val="158"/>
        </w:numPr>
        <w:rPr>
          <w:rFonts w:cs="Times New Roman"/>
          <w:szCs w:val="24"/>
        </w:rPr>
      </w:pPr>
      <w:r w:rsidRPr="004A2D5F">
        <w:rPr>
          <w:rFonts w:cs="Times New Roman"/>
          <w:szCs w:val="24"/>
        </w:rPr>
        <w:t>„Mapa dobrych praktyk i miejsc przyjaznych dla seniorów”- 1 dotacja na kwotę 98 200 zł (prezentacja informacji o instytucjach i ich ofertach kierowanych do osób starszych oraz o miejscach przyjaznych dla seniorów).</w:t>
      </w:r>
    </w:p>
    <w:p w14:paraId="695C5789" w14:textId="77777777" w:rsidR="004A2D5F" w:rsidRPr="004A2D5F" w:rsidRDefault="004A2D5F" w:rsidP="004A2D5F">
      <w:pPr>
        <w:rPr>
          <w:rFonts w:cs="Times New Roman"/>
          <w:szCs w:val="24"/>
        </w:rPr>
      </w:pPr>
    </w:p>
    <w:p w14:paraId="7A071B94" w14:textId="77777777" w:rsidR="00E52964" w:rsidRPr="00E52964" w:rsidRDefault="00E52964" w:rsidP="00E52964">
      <w:pPr>
        <w:rPr>
          <w:rFonts w:cs="Times New Roman"/>
          <w:szCs w:val="24"/>
        </w:rPr>
      </w:pPr>
      <w:r w:rsidRPr="00E52964">
        <w:rPr>
          <w:rFonts w:cs="Times New Roman"/>
          <w:szCs w:val="24"/>
        </w:rPr>
        <w:t>Mazowieckie gminy podejmowały w 2020 r. szereg działań i projektów w zakresie przeciwdziałania dyskryminacji ze względu na wiek. Realizowane w gminach działania obejmowały m.in.:</w:t>
      </w:r>
    </w:p>
    <w:p w14:paraId="35348F5B" w14:textId="77777777" w:rsidR="004A2D5F" w:rsidRDefault="00E52964" w:rsidP="00FE70E3">
      <w:pPr>
        <w:pStyle w:val="Akapitzlist"/>
        <w:numPr>
          <w:ilvl w:val="0"/>
          <w:numId w:val="159"/>
        </w:numPr>
        <w:rPr>
          <w:rFonts w:cs="Times New Roman"/>
          <w:szCs w:val="24"/>
        </w:rPr>
      </w:pPr>
      <w:r w:rsidRPr="004A2D5F">
        <w:rPr>
          <w:rFonts w:cs="Times New Roman"/>
          <w:szCs w:val="24"/>
        </w:rPr>
        <w:lastRenderedPageBreak/>
        <w:t>zorganizowanie warsztatów "Zrozumieć starość" przeprowadzonych przez animatorki z Fundacji Zaczyn dla uczniów klas ósmych szkół w Wiązownie i Gliniance.</w:t>
      </w:r>
    </w:p>
    <w:p w14:paraId="0B83B510" w14:textId="77777777" w:rsidR="004A2D5F" w:rsidRDefault="00E52964" w:rsidP="00FE70E3">
      <w:pPr>
        <w:pStyle w:val="Akapitzlist"/>
        <w:numPr>
          <w:ilvl w:val="0"/>
          <w:numId w:val="159"/>
        </w:numPr>
        <w:rPr>
          <w:rFonts w:cs="Times New Roman"/>
          <w:szCs w:val="24"/>
        </w:rPr>
      </w:pPr>
      <w:r w:rsidRPr="004A2D5F">
        <w:rPr>
          <w:rFonts w:cs="Times New Roman"/>
          <w:szCs w:val="24"/>
        </w:rPr>
        <w:t>w ramach funkcjonowania „Dziennego Domu Senior+” w gminie Czerwin organizowano wiele imprez pod hasłem budowania więzi międzypokoleniowych. Były one doskonałą okazją do wzajemnego poznawania się i nawiązywania bliższych relacji, przekazywania młodym ludziom doświadczeń i wiedzy osób starszych, kultywowania tradycji patriotycznych, zwyczajów, jak również wspólnego aktywnego spędzenia wolnego czasu.</w:t>
      </w:r>
    </w:p>
    <w:p w14:paraId="124EE440" w14:textId="77777777" w:rsidR="004A2D5F" w:rsidRDefault="00E52964" w:rsidP="00FE70E3">
      <w:pPr>
        <w:pStyle w:val="Akapitzlist"/>
        <w:numPr>
          <w:ilvl w:val="0"/>
          <w:numId w:val="159"/>
        </w:numPr>
        <w:rPr>
          <w:rFonts w:cs="Times New Roman"/>
          <w:szCs w:val="24"/>
        </w:rPr>
      </w:pPr>
      <w:r w:rsidRPr="004A2D5F">
        <w:rPr>
          <w:rFonts w:cs="Times New Roman"/>
          <w:szCs w:val="24"/>
        </w:rPr>
        <w:t xml:space="preserve">realizacja w gminie Radzanowo projektu „Więź międzypokoleniowa jako kierunek profilaktyki uzależnień” Akademickiego Stowarzyszenia Ambitni w Działaniu. W siedzibie CKIS przy udziale grupy kulinarnej Seniorki z Radzanowa i członków Koła nr 10 Związku Emerytów, Rencistów i Inwalidów zrealizowano warsztaty kulinarne z dziećmi (dwie grupy po 20 osób), prelekcję dla wielowiekowej grupy wraz z podsumowaniem projektu w formie spotkania edukacyjno-integracyjnego oraz projektu SENIOR 60+ W KULTURZE Fundacji Fundusz Lokalny Ziemi Płockiej Młodzi Razem zrealizowanego ze środków Ministerstwa Pracy i Polityki Społecznej w ramach Rządowego Programu na rzecz Aktywności Społecznej Osób Starszych na lata 2014-2020. We współpracy z </w:t>
      </w:r>
      <w:proofErr w:type="spellStart"/>
      <w:r w:rsidRPr="004A2D5F">
        <w:rPr>
          <w:rFonts w:cs="Times New Roman"/>
          <w:szCs w:val="24"/>
        </w:rPr>
        <w:t>CKiS</w:t>
      </w:r>
      <w:proofErr w:type="spellEnd"/>
      <w:r w:rsidRPr="004A2D5F">
        <w:rPr>
          <w:rFonts w:cs="Times New Roman"/>
          <w:szCs w:val="24"/>
        </w:rPr>
        <w:t xml:space="preserve"> zrealizowano: Warsztaty muzyczno-teatralne pn. Teatr młody duchem; Spektakl pn. Opowieść Wigilijna będący efektem warsztatów muzyczno-teatralnych; Warsztaty wyjazdowe dla seniorów Otwieramy się na świat wyjazd do Kazimierza Dolnego;</w:t>
      </w:r>
    </w:p>
    <w:p w14:paraId="4B0A0504" w14:textId="77777777" w:rsidR="004E283E" w:rsidRDefault="00E52964" w:rsidP="00FE70E3">
      <w:pPr>
        <w:pStyle w:val="Akapitzlist"/>
        <w:numPr>
          <w:ilvl w:val="0"/>
          <w:numId w:val="159"/>
        </w:numPr>
        <w:rPr>
          <w:rFonts w:cs="Times New Roman"/>
          <w:szCs w:val="24"/>
        </w:rPr>
      </w:pPr>
      <w:r w:rsidRPr="004A2D5F">
        <w:rPr>
          <w:rFonts w:cs="Times New Roman"/>
          <w:szCs w:val="24"/>
        </w:rPr>
        <w:t>działania Uniwersytetu Trzeciego Wieku w Tłuszczu, który zmienia postrzeganie starości w społeczeństwie, pozwala na uczestnictwo obywatelskie, społeczne, kulturalne, artystyczne i sportowe. Wykorzystuje potencjał osób starszych, zagospodarowuje nadmiar wolnego czasu seniorów poprzez wolontariat na rzecz Placówek Wsparcia Dziennego w gm. Tłuszcz (pomoc w lekcjach, korepetycje). UTW pozwala na integrację międzypokoleniową. W ramach UTW powstała grupa Amazonek, która podjęła się edukacji dzieci i młodzieży z zakresu profilaktyki - samobadania piersi i jąder.</w:t>
      </w:r>
    </w:p>
    <w:p w14:paraId="723B82FB" w14:textId="77777777" w:rsidR="004E283E" w:rsidRDefault="00E52964" w:rsidP="00FE70E3">
      <w:pPr>
        <w:pStyle w:val="Akapitzlist"/>
        <w:numPr>
          <w:ilvl w:val="0"/>
          <w:numId w:val="159"/>
        </w:numPr>
        <w:rPr>
          <w:rFonts w:cs="Times New Roman"/>
          <w:szCs w:val="24"/>
        </w:rPr>
      </w:pPr>
      <w:r w:rsidRPr="004E283E">
        <w:rPr>
          <w:rFonts w:cs="Times New Roman"/>
          <w:szCs w:val="24"/>
        </w:rPr>
        <w:t>MGOPS w Piasecznie w ramach pracy metodą środowiskową, realizowaną przez projekty socjalne prowadził działania mające na celu aktywizację i integrację osób starszych w obrębie poszczególnych miejscowości. W 2020 zrealizowano m.in.</w:t>
      </w:r>
      <w:r w:rsidR="004E283E">
        <w:rPr>
          <w:rFonts w:cs="Times New Roman"/>
          <w:szCs w:val="24"/>
        </w:rPr>
        <w:t>:</w:t>
      </w:r>
    </w:p>
    <w:p w14:paraId="33BF80BC" w14:textId="77777777" w:rsidR="004E283E" w:rsidRDefault="00E52964" w:rsidP="00FE70E3">
      <w:pPr>
        <w:pStyle w:val="Akapitzlist"/>
        <w:numPr>
          <w:ilvl w:val="1"/>
          <w:numId w:val="159"/>
        </w:numPr>
        <w:rPr>
          <w:rFonts w:cs="Times New Roman"/>
          <w:szCs w:val="24"/>
        </w:rPr>
      </w:pPr>
      <w:r w:rsidRPr="004E283E">
        <w:rPr>
          <w:rFonts w:cs="Times New Roman"/>
          <w:szCs w:val="24"/>
        </w:rPr>
        <w:t>Projekt socjalny „Żyjemy Aktywnie” realizowany w KS w Jastrzębiu - 60 osób.</w:t>
      </w:r>
    </w:p>
    <w:p w14:paraId="4CE2E3E0" w14:textId="77777777" w:rsidR="004E283E" w:rsidRDefault="00E52964" w:rsidP="00FE70E3">
      <w:pPr>
        <w:pStyle w:val="Akapitzlist"/>
        <w:numPr>
          <w:ilvl w:val="1"/>
          <w:numId w:val="159"/>
        </w:numPr>
        <w:rPr>
          <w:rFonts w:cs="Times New Roman"/>
          <w:szCs w:val="24"/>
        </w:rPr>
      </w:pPr>
      <w:r w:rsidRPr="004E283E">
        <w:rPr>
          <w:rFonts w:cs="Times New Roman"/>
          <w:szCs w:val="24"/>
        </w:rPr>
        <w:t>Projekt socjalny „Zdrowy bo aktywny Senior” realizowany w KS Wola Gołkowska 33 osoby.</w:t>
      </w:r>
    </w:p>
    <w:p w14:paraId="57559752" w14:textId="4355C7E8" w:rsidR="00E52964" w:rsidRPr="004E283E" w:rsidRDefault="00E52964" w:rsidP="00FE70E3">
      <w:pPr>
        <w:pStyle w:val="Akapitzlist"/>
        <w:numPr>
          <w:ilvl w:val="1"/>
          <w:numId w:val="159"/>
        </w:numPr>
        <w:rPr>
          <w:rFonts w:cs="Times New Roman"/>
          <w:szCs w:val="24"/>
        </w:rPr>
      </w:pPr>
      <w:r w:rsidRPr="004E283E">
        <w:rPr>
          <w:rFonts w:cs="Times New Roman"/>
          <w:szCs w:val="24"/>
        </w:rPr>
        <w:t>Projekt socjalny „Kreatywny Senior” realizowany w KS w Złotokłosie 50 osób. Projekt socjalny „Zdrowie i Edukacja” realizowany w KS w Józefosławiu 77 osób.</w:t>
      </w:r>
    </w:p>
    <w:p w14:paraId="099B10C4" w14:textId="34BC3F41" w:rsidR="004E283E" w:rsidRDefault="00E52964" w:rsidP="004E283E">
      <w:pPr>
        <w:rPr>
          <w:rFonts w:cs="Times New Roman"/>
          <w:szCs w:val="24"/>
        </w:rPr>
      </w:pPr>
      <w:r w:rsidRPr="00E52964">
        <w:rPr>
          <w:rFonts w:cs="Times New Roman"/>
          <w:szCs w:val="24"/>
        </w:rPr>
        <w:t>Wszystkie te projekty miały na celu zwiększenie dostępności do usług społecznych, tworzenie warunków do rozwoju, aktywności społecznej oraz zapobieganie wykluczeniu seniorów i osób niepełnosprawnych.</w:t>
      </w:r>
    </w:p>
    <w:p w14:paraId="34D37176" w14:textId="2EB49555" w:rsidR="004E283E" w:rsidRDefault="004E283E" w:rsidP="004E283E">
      <w:pPr>
        <w:rPr>
          <w:rFonts w:cs="Times New Roman"/>
          <w:szCs w:val="24"/>
        </w:rPr>
      </w:pPr>
    </w:p>
    <w:p w14:paraId="2C326FD3" w14:textId="0338575A" w:rsidR="00E52964" w:rsidRPr="004E283E" w:rsidRDefault="004E283E" w:rsidP="00E52964">
      <w:pPr>
        <w:rPr>
          <w:rFonts w:cs="Times New Roman"/>
          <w:b/>
          <w:bCs/>
          <w:szCs w:val="24"/>
        </w:rPr>
      </w:pPr>
      <w:r w:rsidRPr="004E283E">
        <w:rPr>
          <w:rFonts w:cs="Times New Roman"/>
          <w:b/>
          <w:bCs/>
          <w:szCs w:val="24"/>
        </w:rPr>
        <w:t>Przykłady dobrych praktyk na poziomie powiatu, gminy</w:t>
      </w:r>
    </w:p>
    <w:p w14:paraId="54FC8E6F" w14:textId="77777777" w:rsidR="00E52964" w:rsidRPr="00E52964" w:rsidRDefault="00E52964" w:rsidP="00E52964">
      <w:pPr>
        <w:rPr>
          <w:rFonts w:cs="Times New Roman"/>
          <w:szCs w:val="24"/>
        </w:rPr>
      </w:pPr>
      <w:r w:rsidRPr="00E52964">
        <w:rPr>
          <w:rFonts w:cs="Times New Roman"/>
          <w:szCs w:val="24"/>
        </w:rPr>
        <w:t>Potrzeby osób starszych w 2020 r. zajmowały bardzo ważne miejsce w polityce społecznej prowadzonej na poziomie lokalnym. Przedstawiamy kilka przykładów dobrych praktyk podejmowanych w 2020 r. w powiatach i gminach województwa mazowieckiego.</w:t>
      </w:r>
    </w:p>
    <w:p w14:paraId="60BDB6AE" w14:textId="77777777" w:rsidR="004E283E" w:rsidRDefault="004E283E" w:rsidP="00E52964">
      <w:pPr>
        <w:rPr>
          <w:rFonts w:cs="Times New Roman"/>
          <w:szCs w:val="24"/>
        </w:rPr>
      </w:pPr>
    </w:p>
    <w:p w14:paraId="117897F2" w14:textId="77777777" w:rsidR="004E283E" w:rsidRDefault="004E283E" w:rsidP="00E52964">
      <w:pPr>
        <w:rPr>
          <w:rFonts w:cs="Times New Roman"/>
          <w:szCs w:val="24"/>
        </w:rPr>
      </w:pPr>
    </w:p>
    <w:p w14:paraId="281DDEFC" w14:textId="77777777" w:rsidR="004E283E" w:rsidRDefault="004E283E" w:rsidP="00E52964">
      <w:pPr>
        <w:rPr>
          <w:rFonts w:cs="Times New Roman"/>
          <w:szCs w:val="24"/>
        </w:rPr>
      </w:pPr>
    </w:p>
    <w:p w14:paraId="77F12B69" w14:textId="5A69CE58" w:rsidR="00E52964" w:rsidRPr="00E52964" w:rsidRDefault="00E52964" w:rsidP="00E52964">
      <w:pPr>
        <w:rPr>
          <w:rFonts w:cs="Times New Roman"/>
          <w:szCs w:val="24"/>
        </w:rPr>
      </w:pPr>
      <w:r w:rsidRPr="00E52964">
        <w:rPr>
          <w:rFonts w:cs="Times New Roman"/>
          <w:szCs w:val="24"/>
        </w:rPr>
        <w:lastRenderedPageBreak/>
        <w:t>Miasto st. Warszawa</w:t>
      </w:r>
    </w:p>
    <w:p w14:paraId="644BA413" w14:textId="77777777" w:rsidR="004E283E" w:rsidRDefault="00E52964" w:rsidP="00FE70E3">
      <w:pPr>
        <w:pStyle w:val="Akapitzlist"/>
        <w:numPr>
          <w:ilvl w:val="0"/>
          <w:numId w:val="160"/>
        </w:numPr>
        <w:rPr>
          <w:rFonts w:cs="Times New Roman"/>
          <w:szCs w:val="24"/>
        </w:rPr>
      </w:pPr>
      <w:r w:rsidRPr="004E283E">
        <w:rPr>
          <w:rFonts w:cs="Times New Roman"/>
          <w:szCs w:val="24"/>
        </w:rPr>
        <w:t>Do interesujących działań ukierunkowanych na osoby 60+ można zaliczyć pomysł zorganizowania „Kompleksowego sprzątania mieszkań odbiorców usług opiekuńczych w Warszawie”, który realizowany był na zlecenie Miasta przez dwie organizacje pozarządowe: Caritas Diecezji Warszawsko-Praskiej oraz Stowarzyszenie Wsparcia i Rodziny Skrzat. W ramach projektu przeprowadzono kompleksowe sprzątanie i odświeżenie 24 mieszkań należących do seniorów objętych usługami opiekuńczymi.</w:t>
      </w:r>
    </w:p>
    <w:p w14:paraId="76BCFF13" w14:textId="77777777" w:rsidR="004E283E" w:rsidRDefault="00E52964" w:rsidP="00FE70E3">
      <w:pPr>
        <w:pStyle w:val="Akapitzlist"/>
        <w:numPr>
          <w:ilvl w:val="0"/>
          <w:numId w:val="160"/>
        </w:numPr>
        <w:rPr>
          <w:rFonts w:cs="Times New Roman"/>
          <w:szCs w:val="24"/>
        </w:rPr>
      </w:pPr>
      <w:r w:rsidRPr="004E283E">
        <w:rPr>
          <w:rFonts w:cs="Times New Roman"/>
          <w:szCs w:val="24"/>
        </w:rPr>
        <w:t>Aby ograniczyć ryzyko zarażenia spowodowane pandemią zawieszono powyższe działania, a na ich miejsce wprowadzono dowóz obiadów do domów seniorów.</w:t>
      </w:r>
    </w:p>
    <w:p w14:paraId="36D88CD4" w14:textId="77777777" w:rsidR="004E283E" w:rsidRDefault="00E52964" w:rsidP="00FE70E3">
      <w:pPr>
        <w:pStyle w:val="Akapitzlist"/>
        <w:numPr>
          <w:ilvl w:val="0"/>
          <w:numId w:val="160"/>
        </w:numPr>
        <w:rPr>
          <w:rFonts w:cs="Times New Roman"/>
          <w:szCs w:val="24"/>
        </w:rPr>
      </w:pPr>
      <w:r w:rsidRPr="004E283E">
        <w:rPr>
          <w:rFonts w:cs="Times New Roman"/>
          <w:szCs w:val="24"/>
        </w:rPr>
        <w:t>W 2020 r. kontynuowany był projekt „Zaloguj i Pomagaj - Warszawa dla seniora”. Ta inicjatywa finansowana była ze środków m.st. Warszawy - realizowana przez Stowarzyszenie Q Rozwojowi miała na celu pomoc w rozwoju społeczności wolontariuszy pomagających warszawskim seniorom. Skierowana była do osób, które lubią ludzi i chcą im bezinteresownie pomagać. Celem projektu było odbudowanie więzi społecznych osamotnionych seniorów poprzez wspólne zainteresowania i spędzanie czasu z wolontariuszem. Partnerami Stowarzyszenia było 10 dzielnicowych ośrodków pomocy społecznej. W warunkach stanu epidemii projekt realizowany był w znaczącej części przy użyciu środków komunikacji zdalnej (telefon, Internet), z dbałością o zachowanie reżimu sanitarnego.</w:t>
      </w:r>
    </w:p>
    <w:p w14:paraId="0852FB46" w14:textId="77777777" w:rsidR="004E283E" w:rsidRDefault="00E52964" w:rsidP="00FE70E3">
      <w:pPr>
        <w:pStyle w:val="Akapitzlist"/>
        <w:numPr>
          <w:ilvl w:val="0"/>
          <w:numId w:val="160"/>
        </w:numPr>
        <w:rPr>
          <w:rFonts w:cs="Times New Roman"/>
          <w:szCs w:val="24"/>
        </w:rPr>
      </w:pPr>
      <w:r w:rsidRPr="004E283E">
        <w:rPr>
          <w:rFonts w:cs="Times New Roman"/>
          <w:szCs w:val="24"/>
        </w:rPr>
        <w:t>Projekt „</w:t>
      </w:r>
      <w:proofErr w:type="spellStart"/>
      <w:r w:rsidRPr="004E283E">
        <w:rPr>
          <w:rFonts w:cs="Times New Roman"/>
          <w:szCs w:val="24"/>
        </w:rPr>
        <w:t>Z@opiekowani</w:t>
      </w:r>
      <w:proofErr w:type="spellEnd"/>
      <w:r w:rsidRPr="004E283E">
        <w:rPr>
          <w:rFonts w:cs="Times New Roman"/>
          <w:szCs w:val="24"/>
        </w:rPr>
        <w:t xml:space="preserve">” - stanowił kompleksowe wsparcie osób niesamodzielnych w m. st. Warszawie, współfinansowany ze środków Europejskiego Funduszu Społecznego w ramach Regionalnego Programu Operacyjnego Województwa Mazowieckiego na lata 2014 - 2020. Program zapewnił kompleksową usługę </w:t>
      </w:r>
      <w:proofErr w:type="spellStart"/>
      <w:r w:rsidRPr="004E283E">
        <w:rPr>
          <w:rFonts w:cs="Times New Roman"/>
          <w:szCs w:val="24"/>
        </w:rPr>
        <w:t>teleopieki</w:t>
      </w:r>
      <w:proofErr w:type="spellEnd"/>
      <w:r w:rsidRPr="004E283E">
        <w:rPr>
          <w:rFonts w:cs="Times New Roman"/>
          <w:szCs w:val="24"/>
        </w:rPr>
        <w:t>, tj. usługi całodobowego monitoringu i przyznawania natychmiastowej pomocy w przypadku zagrożenia życia, zdrowia i bezpieczeństwa. Z programu skorzystało 40 mieszkańców w wieku 60+ z miasta Warszawy.</w:t>
      </w:r>
    </w:p>
    <w:p w14:paraId="51544FC3" w14:textId="77777777" w:rsidR="004E283E" w:rsidRDefault="00E52964" w:rsidP="00FE70E3">
      <w:pPr>
        <w:pStyle w:val="Akapitzlist"/>
        <w:numPr>
          <w:ilvl w:val="0"/>
          <w:numId w:val="160"/>
        </w:numPr>
        <w:rPr>
          <w:rFonts w:cs="Times New Roman"/>
          <w:szCs w:val="24"/>
        </w:rPr>
      </w:pPr>
      <w:r w:rsidRPr="004E283E">
        <w:rPr>
          <w:rFonts w:cs="Times New Roman"/>
          <w:szCs w:val="24"/>
        </w:rPr>
        <w:t>Dużym zainteresowaniem w 2020 r. cieszył się projekt „Taksówka dla Powstańców Warszawy”, z którego korzystało miesięcznie ok. 200 Powstańców. Liczba przejazdów wynosiła 12 845. Powstańcom projekt ten umożliwił przemieszczanie się po Warszawie, w tym dotarcie na ważne wydarzenia rocznicowe, czy też do miejsc, które mają dla nich szczególne znaczenie np. do Muzeum Powstania Warszawskiego, Domu Dziennego Wsparcia dla Powstańców Warszawy. W okresie epidemii realizowany był również dowóz taksówką zakupów bezpośrednio do miejsca zamieszkania Powstańców.</w:t>
      </w:r>
    </w:p>
    <w:p w14:paraId="54FC8BA7" w14:textId="77777777" w:rsidR="004E283E" w:rsidRDefault="00E52964" w:rsidP="00FE70E3">
      <w:pPr>
        <w:pStyle w:val="Akapitzlist"/>
        <w:numPr>
          <w:ilvl w:val="0"/>
          <w:numId w:val="160"/>
        </w:numPr>
        <w:rPr>
          <w:rFonts w:cs="Times New Roman"/>
          <w:szCs w:val="24"/>
        </w:rPr>
      </w:pPr>
      <w:r w:rsidRPr="004E283E">
        <w:rPr>
          <w:rFonts w:cs="Times New Roman"/>
          <w:szCs w:val="24"/>
        </w:rPr>
        <w:t>Kolejnym działaniem na rzecz podopiecznych ośrodków pomocy społecznej był - kontynuowany po udanym pilotażu projekt „Warszawska Złota Rączka dla Seniorów”, skierowany do mieszkańców powyżej 75 roku życia. Projekt realizowany był przez dwie organizacje: Mazowiecki Oddział Okręgowy Polskiego Czerwonego Krzyża i Fundację Pomoc Potrzebującym i polegał na nieodpłatnym wykonywaniu w domach seniorów prostych napraw niewymagających specjalistycznej wiedzy i uprawnień. Katalog usług zawierał m. in. wymianę żarówek, naprawę cieknącego kranu, uszczelnienie drzwi lub okien, powieszenie półki lub lustra. W 2020 r. z usług Złotej Rączki skorzystało 1 039 osób w wieku 75+, u których wykonano 1 628 drobnych napraw.</w:t>
      </w:r>
    </w:p>
    <w:p w14:paraId="2376221E" w14:textId="77777777" w:rsidR="004E283E" w:rsidRDefault="00E52964" w:rsidP="00FE70E3">
      <w:pPr>
        <w:pStyle w:val="Akapitzlist"/>
        <w:numPr>
          <w:ilvl w:val="0"/>
          <w:numId w:val="160"/>
        </w:numPr>
        <w:rPr>
          <w:rFonts w:cs="Times New Roman"/>
          <w:szCs w:val="24"/>
        </w:rPr>
      </w:pPr>
      <w:r w:rsidRPr="004E283E">
        <w:rPr>
          <w:rFonts w:cs="Times New Roman"/>
          <w:szCs w:val="24"/>
        </w:rPr>
        <w:t xml:space="preserve">W 2020 r. Warszawska Rada Seniorów zaangażowana była w realizację Programu „Warszawa Przyjazna Seniorom” oraz pełniła role doradcze dla realizatorów wybranych </w:t>
      </w:r>
      <w:r w:rsidRPr="004E283E">
        <w:rPr>
          <w:rFonts w:cs="Times New Roman"/>
          <w:szCs w:val="24"/>
        </w:rPr>
        <w:lastRenderedPageBreak/>
        <w:t>działań. W 2020 r. Rada składała się z 26 członków, przedstawicieli: Komisji Dialogu Społecznego ds. Osób Starszych i Kombatantów oraz ds. Uniwersytetów Trzeciego Wieku, Rady m.st. Warszawy, Prezydenta m.st. Warszawy oraz rad seniorów z dzielnic Warszawy. Rady powołano we wszystkich 18 dzielnicach m.st. Warszawy. W 2020 r. w radach dzielnicowych działało 236 osób.</w:t>
      </w:r>
    </w:p>
    <w:p w14:paraId="62701329" w14:textId="77777777" w:rsidR="004E283E" w:rsidRDefault="00E52964" w:rsidP="00FE70E3">
      <w:pPr>
        <w:pStyle w:val="Akapitzlist"/>
        <w:numPr>
          <w:ilvl w:val="0"/>
          <w:numId w:val="160"/>
        </w:numPr>
        <w:rPr>
          <w:rFonts w:cs="Times New Roman"/>
          <w:szCs w:val="24"/>
        </w:rPr>
      </w:pPr>
      <w:r w:rsidRPr="004E283E">
        <w:rPr>
          <w:rFonts w:cs="Times New Roman"/>
          <w:szCs w:val="24"/>
        </w:rPr>
        <w:t>Mimo trwającej pandemii udało się przeprowadzić konkurs - Miejsce Przyjazne Seniorom- realizowany przy współpracy z radnymi dzielnic Warszawy. Celem tej akcji było wyróżnienie i promowanie instytucji, organizacji i podmiotów działających na terenie Warszawy- otwartych na potrzeby osób starszych. Wskazanie miejsc bez barier architektonicznych, oferujących atrakcyjne produkty, usługi i zniżki, w których seniorzy czują się swobodnie, są traktowani uprzejmie i przyjaźnie obsługiwani. W 2020 r. przyznano certyfikaty 40 takim miejscom. Program dostępny na stronie: https://politykaspoleczna.um.warszawa.pl/aktualności/ewaluacja-programu-warszawa- przyjazna-seniorom.</w:t>
      </w:r>
    </w:p>
    <w:p w14:paraId="0D34FE7A" w14:textId="77777777" w:rsidR="004E283E" w:rsidRDefault="00E52964" w:rsidP="00FE70E3">
      <w:pPr>
        <w:pStyle w:val="Akapitzlist"/>
        <w:numPr>
          <w:ilvl w:val="0"/>
          <w:numId w:val="160"/>
        </w:numPr>
        <w:rPr>
          <w:rFonts w:cs="Times New Roman"/>
          <w:szCs w:val="24"/>
        </w:rPr>
      </w:pPr>
      <w:r w:rsidRPr="004E283E">
        <w:rPr>
          <w:rFonts w:cs="Times New Roman"/>
          <w:szCs w:val="24"/>
        </w:rPr>
        <w:t xml:space="preserve">Warszawskich seniorów angażuje także Centrum Aktywności Międzypokoleniowej. Celem jego działalności jest aktywizacja osób starszych oraz budowanie dialogu międzypokoleniowego. Z oferty Centrum korzystają osoby wymagające wsparcia lub korzystające z oferty wspólnego spędzania czasu celem aktywizacji społecznej i ruchowej. Przy Centrum działa Punkt Wolontariatu Senioralnego, w którym osoby starsze mogą dowiedzieć się o możliwości zaangażowania w działania </w:t>
      </w:r>
      <w:proofErr w:type="spellStart"/>
      <w:r w:rsidRPr="004E283E">
        <w:rPr>
          <w:rFonts w:cs="Times New Roman"/>
          <w:szCs w:val="24"/>
        </w:rPr>
        <w:t>wolontariackie</w:t>
      </w:r>
      <w:proofErr w:type="spellEnd"/>
      <w:r w:rsidRPr="004E283E">
        <w:rPr>
          <w:rFonts w:cs="Times New Roman"/>
          <w:szCs w:val="24"/>
        </w:rPr>
        <w:t>. Centrum Aktywności Międzypokoleniowej odwiedza dziennie ok. 250 osób.</w:t>
      </w:r>
    </w:p>
    <w:p w14:paraId="070BF060" w14:textId="77777777" w:rsidR="004E283E" w:rsidRDefault="00E52964" w:rsidP="00FE70E3">
      <w:pPr>
        <w:pStyle w:val="Akapitzlist"/>
        <w:numPr>
          <w:ilvl w:val="0"/>
          <w:numId w:val="160"/>
        </w:numPr>
        <w:rPr>
          <w:rFonts w:cs="Times New Roman"/>
          <w:szCs w:val="24"/>
        </w:rPr>
      </w:pPr>
      <w:r w:rsidRPr="004E283E">
        <w:rPr>
          <w:rFonts w:cs="Times New Roman"/>
          <w:szCs w:val="24"/>
        </w:rPr>
        <w:t>W styczniu 2020 r. w Centrum zostało uruchomione Senioralne Biuro Karier, w którym osoby będące na emeryturze znajdują wsparcie w znalezieniu zatrudnienia.</w:t>
      </w:r>
    </w:p>
    <w:p w14:paraId="714CF3B0" w14:textId="77777777" w:rsidR="004E283E" w:rsidRDefault="00E52964" w:rsidP="00FE70E3">
      <w:pPr>
        <w:pStyle w:val="Akapitzlist"/>
        <w:numPr>
          <w:ilvl w:val="0"/>
          <w:numId w:val="160"/>
        </w:numPr>
        <w:rPr>
          <w:rFonts w:cs="Times New Roman"/>
          <w:szCs w:val="24"/>
        </w:rPr>
      </w:pPr>
      <w:r w:rsidRPr="004E283E">
        <w:rPr>
          <w:rFonts w:cs="Times New Roman"/>
          <w:szCs w:val="24"/>
        </w:rPr>
        <w:t>Miasto Warszawa we współpracy z Centrum Aktywności Międzypokoleniowej „Nowolipie” wydaje „Pokolenia”-Warszawski Miesięcznik Seniorów. Od października 2018 r. do maja 2021 r. ukazało się 31 numerów tego czasopisma. Celem miesięcznika jest aktywizacja warszawskich seniorów, tworzenie ich pozytywnego wizerunku, docieranie do nich z informacją o adresowanych do osób starszych wydarzeniach i działaniach warszawskiego samorządu oraz instytucji. Docieranie do seniorów z tradycyjną, drukowaną wersją miesięcznika staje się obecnie ważniejsze niż w poprzednich latach z uwagi na trwającą pandemię, szczególnie tych seniorów, którzy nie korzystają z Internetu i nie mają dostępu do zamieszczonych tam informacji i ofert.</w:t>
      </w:r>
    </w:p>
    <w:p w14:paraId="643E5E2C" w14:textId="31930C55" w:rsidR="00E52964" w:rsidRPr="004E283E" w:rsidRDefault="00E52964" w:rsidP="00FE70E3">
      <w:pPr>
        <w:pStyle w:val="Akapitzlist"/>
        <w:numPr>
          <w:ilvl w:val="0"/>
          <w:numId w:val="160"/>
        </w:numPr>
        <w:rPr>
          <w:rFonts w:cs="Times New Roman"/>
          <w:szCs w:val="24"/>
        </w:rPr>
      </w:pPr>
      <w:r w:rsidRPr="004E283E">
        <w:rPr>
          <w:rFonts w:cs="Times New Roman"/>
          <w:szCs w:val="24"/>
        </w:rPr>
        <w:t>Nieformalni opiekunowie osób niesamodzielnych 60+ objęci byli w 2020 r. edukacyjno- informacyjnym wsparciem dwóch dotowanych z budżetu m.st. Warszawy organizacji pozarządowych - Mazowieckiego Oddziału Okręgowego PCK i Stowarzyszenia Pomocy Psychologicznej Syntonia. Organizacje te przeszkoliły podczas stacjonarnych szkoleń 41 opiekunów osób starszych. Przez cały rok działały ( głównie w formie porad telefonicznych) punkty informacyjne dla opiekunów, dyżury w skali roku trwały łącznie ok. 2 tys. godzin. Stowarzyszenie Syntonia opracowało drugą część poradnika „Życie z osobą niesamodzielną 60+” zawierającego wskazówki dla opiekunów nieformalnych.</w:t>
      </w:r>
    </w:p>
    <w:p w14:paraId="634C57FF" w14:textId="77777777" w:rsidR="004E283E" w:rsidRDefault="004E283E" w:rsidP="00E52964">
      <w:pPr>
        <w:rPr>
          <w:rFonts w:cs="Times New Roman"/>
          <w:szCs w:val="24"/>
        </w:rPr>
      </w:pPr>
    </w:p>
    <w:p w14:paraId="47AFAED4" w14:textId="302DACD6" w:rsidR="00E52964" w:rsidRPr="00E52964" w:rsidRDefault="00E52964" w:rsidP="00E52964">
      <w:pPr>
        <w:rPr>
          <w:rFonts w:cs="Times New Roman"/>
          <w:szCs w:val="24"/>
        </w:rPr>
      </w:pPr>
      <w:r w:rsidRPr="00E52964">
        <w:rPr>
          <w:rFonts w:cs="Times New Roman"/>
          <w:szCs w:val="24"/>
        </w:rPr>
        <w:t>Gmina Miasta Kobyłka</w:t>
      </w:r>
    </w:p>
    <w:p w14:paraId="39D2C39F" w14:textId="77777777" w:rsidR="00E52964" w:rsidRPr="00E52964" w:rsidRDefault="00E52964" w:rsidP="00E52964">
      <w:pPr>
        <w:rPr>
          <w:rFonts w:cs="Times New Roman"/>
          <w:szCs w:val="24"/>
        </w:rPr>
      </w:pPr>
      <w:r w:rsidRPr="00E52964">
        <w:rPr>
          <w:rFonts w:cs="Times New Roman"/>
          <w:szCs w:val="24"/>
        </w:rPr>
        <w:t xml:space="preserve">Gmina Miasta Kobyłka realizowała program Taksówka Miejska. „Program przewodu osób 70+” umożliwia mieszkańcom Miasta Kobyłka, którzy ukończyli 70 rok życia oraz osobom przewlekle chorym i/lub osobom niepełnosprawnym korzystanie z przewozu samochodem </w:t>
      </w:r>
      <w:r w:rsidRPr="00E52964">
        <w:rPr>
          <w:rFonts w:cs="Times New Roman"/>
          <w:szCs w:val="24"/>
        </w:rPr>
        <w:lastRenderedPageBreak/>
        <w:t>osobowym, po wcześniejszym umówieniu terminu przejazdu np. do przychodni, urzędu, MOK, OPS.</w:t>
      </w:r>
    </w:p>
    <w:p w14:paraId="4D3FD89B" w14:textId="77777777" w:rsidR="004E283E" w:rsidRDefault="004E283E" w:rsidP="00E52964">
      <w:pPr>
        <w:rPr>
          <w:rFonts w:cs="Times New Roman"/>
          <w:szCs w:val="24"/>
        </w:rPr>
      </w:pPr>
    </w:p>
    <w:p w14:paraId="65A784F9" w14:textId="02D8ABB4" w:rsidR="00E52964" w:rsidRPr="00E52964" w:rsidRDefault="00E52964" w:rsidP="00E52964">
      <w:pPr>
        <w:rPr>
          <w:rFonts w:cs="Times New Roman"/>
          <w:szCs w:val="24"/>
        </w:rPr>
      </w:pPr>
      <w:r w:rsidRPr="00E52964">
        <w:rPr>
          <w:rFonts w:cs="Times New Roman"/>
          <w:szCs w:val="24"/>
        </w:rPr>
        <w:t>Gmina Marki</w:t>
      </w:r>
    </w:p>
    <w:p w14:paraId="66A538F8" w14:textId="77777777" w:rsidR="00E52964" w:rsidRPr="00E52964" w:rsidRDefault="00E52964" w:rsidP="00E52964">
      <w:pPr>
        <w:rPr>
          <w:rFonts w:cs="Times New Roman"/>
          <w:szCs w:val="24"/>
        </w:rPr>
      </w:pPr>
      <w:r w:rsidRPr="00E52964">
        <w:rPr>
          <w:rFonts w:cs="Times New Roman"/>
          <w:szCs w:val="24"/>
        </w:rPr>
        <w:t>Działania skierowane wobec seniorów obejmowały:</w:t>
      </w:r>
    </w:p>
    <w:p w14:paraId="1E62F699" w14:textId="5D1D8060" w:rsidR="004E283E" w:rsidRDefault="00E52964" w:rsidP="00FE70E3">
      <w:pPr>
        <w:pStyle w:val="Akapitzlist"/>
        <w:numPr>
          <w:ilvl w:val="0"/>
          <w:numId w:val="161"/>
        </w:numPr>
        <w:rPr>
          <w:rFonts w:cs="Times New Roman"/>
          <w:szCs w:val="24"/>
        </w:rPr>
      </w:pPr>
      <w:r w:rsidRPr="004E283E">
        <w:rPr>
          <w:rFonts w:cs="Times New Roman"/>
          <w:szCs w:val="24"/>
        </w:rPr>
        <w:t>współpracę z Marecką Radą Seniorów i finansowanie zaproponowanych przedsięwzięć jak np.</w:t>
      </w:r>
      <w:r w:rsidR="004E283E" w:rsidRPr="004E283E">
        <w:rPr>
          <w:rFonts w:cs="Times New Roman"/>
          <w:szCs w:val="24"/>
        </w:rPr>
        <w:t xml:space="preserve"> </w:t>
      </w:r>
      <w:r w:rsidRPr="004E283E">
        <w:rPr>
          <w:rFonts w:cs="Times New Roman"/>
          <w:szCs w:val="24"/>
        </w:rPr>
        <w:t xml:space="preserve">opracowanie Informatora dla seniora. Poradnik ten powstał z myślą o seniorach, którzy nie posiadają dostępu do </w:t>
      </w:r>
      <w:proofErr w:type="spellStart"/>
      <w:r w:rsidRPr="004E283E">
        <w:rPr>
          <w:rFonts w:cs="Times New Roman"/>
          <w:szCs w:val="24"/>
        </w:rPr>
        <w:t>internetu</w:t>
      </w:r>
      <w:proofErr w:type="spellEnd"/>
      <w:r w:rsidRPr="004E283E">
        <w:rPr>
          <w:rFonts w:cs="Times New Roman"/>
          <w:szCs w:val="24"/>
        </w:rPr>
        <w:t xml:space="preserve"> i informacji o możliwościach pomocy dla seniorów przede wszystkim w okresie pandemii i sposobach spędzania czasu wolnego. Poradnik ma na celu pomóc seniorom w prowadzeniu samodzielnego i aktywnego życia w mieście. Mareckim seniorom zostało przekazane 3 tys. Informatorów.</w:t>
      </w:r>
    </w:p>
    <w:p w14:paraId="3C8BD2C8" w14:textId="6484544B" w:rsidR="004E283E" w:rsidRDefault="004E283E" w:rsidP="00FE70E3">
      <w:pPr>
        <w:pStyle w:val="Akapitzlist"/>
        <w:numPr>
          <w:ilvl w:val="0"/>
          <w:numId w:val="161"/>
        </w:numPr>
        <w:rPr>
          <w:rFonts w:cs="Times New Roman"/>
          <w:szCs w:val="24"/>
        </w:rPr>
      </w:pPr>
      <w:r>
        <w:rPr>
          <w:rFonts w:cs="Times New Roman"/>
          <w:szCs w:val="24"/>
        </w:rPr>
        <w:t>C</w:t>
      </w:r>
      <w:r w:rsidR="00E52964" w:rsidRPr="004E283E">
        <w:rPr>
          <w:rFonts w:cs="Times New Roman"/>
          <w:szCs w:val="24"/>
        </w:rPr>
        <w:t xml:space="preserve">elem zmniejszenia stresu i niepokoju związanego z pandemią mareccy seniorzy włączyli się w życie kulturalne miasta poprzez działania na platformie E-LABIRYNT MIASTA, na </w:t>
      </w:r>
      <w:r w:rsidRPr="004E283E">
        <w:rPr>
          <w:rFonts w:cs="Times New Roman"/>
          <w:szCs w:val="24"/>
        </w:rPr>
        <w:t>której</w:t>
      </w:r>
      <w:r w:rsidR="00E52964" w:rsidRPr="004E283E">
        <w:rPr>
          <w:rFonts w:cs="Times New Roman"/>
          <w:szCs w:val="24"/>
        </w:rPr>
        <w:t xml:space="preserve"> tworzono E-MUZEUM MAREK </w:t>
      </w:r>
      <w:r w:rsidRPr="004E283E">
        <w:rPr>
          <w:rFonts w:cs="Times New Roman"/>
          <w:szCs w:val="24"/>
        </w:rPr>
        <w:t>prowadzonej</w:t>
      </w:r>
      <w:r w:rsidR="00E52964" w:rsidRPr="004E283E">
        <w:rPr>
          <w:rFonts w:cs="Times New Roman"/>
          <w:szCs w:val="24"/>
        </w:rPr>
        <w:t xml:space="preserve"> przez Marecki Ośrodek Kultury. Do E-Muzeum trafiły przedmioty, dokumenty, fotografie ze zbiorów seniorskich.</w:t>
      </w:r>
    </w:p>
    <w:p w14:paraId="0FE94883" w14:textId="45CDB9E6" w:rsidR="004E283E" w:rsidRDefault="004E283E" w:rsidP="00FE70E3">
      <w:pPr>
        <w:pStyle w:val="Akapitzlist"/>
        <w:numPr>
          <w:ilvl w:val="0"/>
          <w:numId w:val="161"/>
        </w:numPr>
        <w:rPr>
          <w:rFonts w:cs="Times New Roman"/>
          <w:szCs w:val="24"/>
        </w:rPr>
      </w:pPr>
      <w:r>
        <w:rPr>
          <w:rFonts w:cs="Times New Roman"/>
          <w:szCs w:val="24"/>
        </w:rPr>
        <w:t>W</w:t>
      </w:r>
      <w:r w:rsidR="00E52964" w:rsidRPr="004E283E">
        <w:rPr>
          <w:rFonts w:cs="Times New Roman"/>
          <w:szCs w:val="24"/>
        </w:rPr>
        <w:t xml:space="preserve"> październiku 2020 r</w:t>
      </w:r>
      <w:r w:rsidR="00A931B5">
        <w:rPr>
          <w:rFonts w:cs="Times New Roman"/>
          <w:szCs w:val="24"/>
        </w:rPr>
        <w:t>.</w:t>
      </w:r>
      <w:r w:rsidR="00E52964" w:rsidRPr="004E283E">
        <w:rPr>
          <w:rFonts w:cs="Times New Roman"/>
          <w:szCs w:val="24"/>
        </w:rPr>
        <w:t xml:space="preserve"> Marecki Ośrodek Kultury im. Tadeusza </w:t>
      </w:r>
      <w:proofErr w:type="spellStart"/>
      <w:r w:rsidR="00E52964" w:rsidRPr="004E283E">
        <w:rPr>
          <w:rFonts w:cs="Times New Roman"/>
          <w:szCs w:val="24"/>
        </w:rPr>
        <w:t>Lużyńskiego</w:t>
      </w:r>
      <w:proofErr w:type="spellEnd"/>
      <w:r w:rsidR="00E52964" w:rsidRPr="004E283E">
        <w:rPr>
          <w:rFonts w:cs="Times New Roman"/>
          <w:szCs w:val="24"/>
        </w:rPr>
        <w:t xml:space="preserve"> wspólnie z Marecką Radą Seniorów, Klubem Seniora przy MOK oraz przy wsparciu </w:t>
      </w:r>
      <w:r w:rsidR="00A931B5" w:rsidRPr="004E283E">
        <w:rPr>
          <w:rFonts w:cs="Times New Roman"/>
          <w:szCs w:val="24"/>
        </w:rPr>
        <w:t>Fundacji</w:t>
      </w:r>
      <w:r w:rsidR="00E52964" w:rsidRPr="004E283E">
        <w:rPr>
          <w:rFonts w:cs="Times New Roman"/>
          <w:szCs w:val="24"/>
        </w:rPr>
        <w:t xml:space="preserve"> Zaczyn przygotował dla starszego pokolenia mieszkańców miasta Marecki Tydzień Seniora. Uczestnicy mogli wziąć udział w warsztatach plastycznych, tanecznych i rękodzieła. Odbywały się również wykłady o wizerunku, pokaz mody i udzielano porad komputerowych.</w:t>
      </w:r>
    </w:p>
    <w:p w14:paraId="40FFBC19" w14:textId="0CEF399D" w:rsidR="004E283E" w:rsidRDefault="004E283E" w:rsidP="00FE70E3">
      <w:pPr>
        <w:pStyle w:val="Akapitzlist"/>
        <w:numPr>
          <w:ilvl w:val="0"/>
          <w:numId w:val="161"/>
        </w:numPr>
        <w:rPr>
          <w:rFonts w:cs="Times New Roman"/>
          <w:szCs w:val="24"/>
        </w:rPr>
      </w:pPr>
      <w:r>
        <w:rPr>
          <w:rFonts w:cs="Times New Roman"/>
          <w:szCs w:val="24"/>
        </w:rPr>
        <w:t>P</w:t>
      </w:r>
      <w:r w:rsidR="00E52964" w:rsidRPr="004E283E">
        <w:rPr>
          <w:rFonts w:cs="Times New Roman"/>
          <w:szCs w:val="24"/>
        </w:rPr>
        <w:t xml:space="preserve">rzygotowano specjalny punkt składania deklaracji za gospodarowanie odpadami dedykowany seniorom, który mieścił się w Centrum Aktywności Fabryczna 3 w Markach. Pracownicy CAF3 pomagali wypełniać deklaracje seniorom, którym wypełnienie formularzy sprawiało trudności. </w:t>
      </w:r>
    </w:p>
    <w:p w14:paraId="039449EF" w14:textId="266DDCE8" w:rsidR="004E283E" w:rsidRDefault="004E283E" w:rsidP="004E283E">
      <w:pPr>
        <w:rPr>
          <w:rFonts w:cs="Times New Roman"/>
          <w:szCs w:val="24"/>
        </w:rPr>
      </w:pPr>
    </w:p>
    <w:p w14:paraId="5FC08A1E" w14:textId="058C1546" w:rsidR="004E283E" w:rsidRDefault="004E283E" w:rsidP="004E283E">
      <w:pPr>
        <w:rPr>
          <w:rFonts w:cs="Times New Roman"/>
          <w:szCs w:val="24"/>
        </w:rPr>
      </w:pPr>
      <w:r>
        <w:rPr>
          <w:rFonts w:cs="Times New Roman"/>
          <w:szCs w:val="24"/>
        </w:rPr>
        <w:t>Powiat otwocki</w:t>
      </w:r>
    </w:p>
    <w:p w14:paraId="6A18E29D" w14:textId="46C8D971" w:rsidR="004E283E" w:rsidRDefault="004E283E" w:rsidP="004E283E">
      <w:r>
        <w:t>Powiat otwocki realizował projekt współfinansowany ze środków UE: Poprawa funkcjonowania osób niesamodzielnych z terenu powiatu otwockiego poprzez uruchomienie usług socjalnych świadczonych w formie wsparcia dziennego. Osiągnięto następujące rezultaty:</w:t>
      </w:r>
    </w:p>
    <w:p w14:paraId="11FA01F0" w14:textId="76B74340" w:rsidR="004E283E" w:rsidRDefault="004E283E" w:rsidP="00FE70E3">
      <w:pPr>
        <w:pStyle w:val="Akapitzlist"/>
        <w:numPr>
          <w:ilvl w:val="0"/>
          <w:numId w:val="163"/>
        </w:numPr>
        <w:rPr>
          <w:rFonts w:cs="Times New Roman"/>
          <w:szCs w:val="24"/>
        </w:rPr>
      </w:pPr>
      <w:r w:rsidRPr="004E283E">
        <w:rPr>
          <w:rFonts w:cs="Times New Roman"/>
          <w:szCs w:val="24"/>
        </w:rPr>
        <w:t xml:space="preserve">wdrożenie usług opiekuńczych w formie </w:t>
      </w:r>
      <w:proofErr w:type="spellStart"/>
      <w:r w:rsidRPr="004E283E">
        <w:rPr>
          <w:rFonts w:cs="Times New Roman"/>
          <w:szCs w:val="24"/>
        </w:rPr>
        <w:t>teleopieki</w:t>
      </w:r>
      <w:proofErr w:type="spellEnd"/>
      <w:r w:rsidRPr="004E283E">
        <w:rPr>
          <w:rFonts w:cs="Times New Roman"/>
          <w:szCs w:val="24"/>
        </w:rPr>
        <w:t xml:space="preserve"> na terenie powiatu otwockiego dla min. 30 os.</w:t>
      </w:r>
      <w:r>
        <w:rPr>
          <w:rFonts w:cs="Times New Roman"/>
          <w:szCs w:val="24"/>
        </w:rPr>
        <w:t>,</w:t>
      </w:r>
    </w:p>
    <w:p w14:paraId="42DCA018" w14:textId="6F9BDEF1" w:rsidR="004E283E" w:rsidRDefault="004E283E" w:rsidP="00FE70E3">
      <w:pPr>
        <w:pStyle w:val="Akapitzlist"/>
        <w:numPr>
          <w:ilvl w:val="0"/>
          <w:numId w:val="163"/>
        </w:numPr>
        <w:rPr>
          <w:rFonts w:cs="Times New Roman"/>
          <w:szCs w:val="24"/>
        </w:rPr>
      </w:pPr>
      <w:r w:rsidRPr="004E283E">
        <w:rPr>
          <w:rFonts w:cs="Times New Roman"/>
          <w:szCs w:val="24"/>
        </w:rPr>
        <w:t>zwiększenie kompetencji społ. u min. 23 os.</w:t>
      </w:r>
      <w:r>
        <w:rPr>
          <w:rFonts w:cs="Times New Roman"/>
          <w:szCs w:val="24"/>
        </w:rPr>
        <w:t>,</w:t>
      </w:r>
    </w:p>
    <w:p w14:paraId="43E36F43" w14:textId="49C4A495" w:rsidR="004E283E" w:rsidRDefault="004E283E" w:rsidP="00FE70E3">
      <w:pPr>
        <w:pStyle w:val="Akapitzlist"/>
        <w:numPr>
          <w:ilvl w:val="0"/>
          <w:numId w:val="163"/>
        </w:numPr>
        <w:rPr>
          <w:rFonts w:cs="Times New Roman"/>
          <w:szCs w:val="24"/>
        </w:rPr>
      </w:pPr>
      <w:r w:rsidRPr="004E283E">
        <w:rPr>
          <w:rFonts w:cs="Times New Roman"/>
          <w:szCs w:val="24"/>
        </w:rPr>
        <w:t>zwiększenie kompetencji życiowych u min. 15 os.</w:t>
      </w:r>
      <w:r>
        <w:rPr>
          <w:rFonts w:cs="Times New Roman"/>
          <w:szCs w:val="24"/>
        </w:rPr>
        <w:t>,</w:t>
      </w:r>
    </w:p>
    <w:p w14:paraId="653328F6" w14:textId="17EACAAA" w:rsidR="004E283E" w:rsidRDefault="004E283E" w:rsidP="00FE70E3">
      <w:pPr>
        <w:pStyle w:val="Akapitzlist"/>
        <w:numPr>
          <w:ilvl w:val="0"/>
          <w:numId w:val="163"/>
        </w:numPr>
        <w:rPr>
          <w:rFonts w:cs="Times New Roman"/>
          <w:szCs w:val="24"/>
        </w:rPr>
      </w:pPr>
      <w:r w:rsidRPr="004E283E">
        <w:rPr>
          <w:rFonts w:cs="Times New Roman"/>
          <w:szCs w:val="24"/>
        </w:rPr>
        <w:t>zwiększenie poziomu motywacji u min. 60 os.</w:t>
      </w:r>
      <w:r>
        <w:rPr>
          <w:rFonts w:cs="Times New Roman"/>
          <w:szCs w:val="24"/>
        </w:rPr>
        <w:t>,</w:t>
      </w:r>
    </w:p>
    <w:p w14:paraId="224A99B3" w14:textId="03EAE3D6" w:rsidR="004E283E" w:rsidRPr="004E283E" w:rsidRDefault="004E283E" w:rsidP="00FE70E3">
      <w:pPr>
        <w:pStyle w:val="Akapitzlist"/>
        <w:numPr>
          <w:ilvl w:val="0"/>
          <w:numId w:val="163"/>
        </w:numPr>
        <w:rPr>
          <w:rFonts w:cs="Times New Roman"/>
          <w:szCs w:val="24"/>
        </w:rPr>
      </w:pPr>
      <w:r w:rsidRPr="004E283E">
        <w:rPr>
          <w:rFonts w:cs="Times New Roman"/>
          <w:szCs w:val="24"/>
        </w:rPr>
        <w:t>zwiększenie poziomu umiejętności cyfrowych przez min. 23 os.</w:t>
      </w:r>
    </w:p>
    <w:p w14:paraId="521AE237" w14:textId="77777777" w:rsidR="004E283E" w:rsidRPr="004E283E" w:rsidRDefault="004E283E" w:rsidP="004E283E">
      <w:pPr>
        <w:rPr>
          <w:rFonts w:cs="Times New Roman"/>
          <w:szCs w:val="24"/>
        </w:rPr>
      </w:pPr>
    </w:p>
    <w:p w14:paraId="798EA95F" w14:textId="77777777" w:rsidR="00E52964" w:rsidRPr="00E52964" w:rsidRDefault="00E52964" w:rsidP="00E52964">
      <w:pPr>
        <w:rPr>
          <w:rFonts w:cs="Times New Roman"/>
          <w:szCs w:val="24"/>
        </w:rPr>
      </w:pPr>
      <w:r w:rsidRPr="00E52964">
        <w:rPr>
          <w:rFonts w:cs="Times New Roman"/>
          <w:szCs w:val="24"/>
        </w:rPr>
        <w:t>Powiat żyrardowski</w:t>
      </w:r>
    </w:p>
    <w:p w14:paraId="71049679" w14:textId="50820038" w:rsidR="00E52964" w:rsidRDefault="00E52964" w:rsidP="00E52964">
      <w:pPr>
        <w:rPr>
          <w:rFonts w:cs="Times New Roman"/>
          <w:szCs w:val="24"/>
        </w:rPr>
      </w:pPr>
      <w:r w:rsidRPr="00E52964">
        <w:rPr>
          <w:rFonts w:cs="Times New Roman"/>
          <w:szCs w:val="24"/>
        </w:rPr>
        <w:t xml:space="preserve">Powiat żyrardowski który zamieszkuje 75 749 osób, z tego 22% to osoby w wieku poprodukcyjnym również aktywnie wspierał seniorów. Korzystali oni z wielu dostępnych form pomocy i wsparcia, w tym turnusy rehabilitacyjne - 78% korzystających to osoby w wieku 60+, przedmioty ortopedyczne i środki pomocnicze 73% korzystających to osoby w wieku 60+, w przypadku likwidacji barier funkcjonalnych - 45% to osoby w wieku 60+, w tym; likwidacja barier architektonicznych - 64%, likwidacja barier technicznych - 73%, natomiast w przypadku </w:t>
      </w:r>
      <w:r w:rsidRPr="00E52964">
        <w:rPr>
          <w:rFonts w:cs="Times New Roman"/>
          <w:szCs w:val="24"/>
        </w:rPr>
        <w:lastRenderedPageBreak/>
        <w:t>likwidacji barier w komunikowaniu się 30%. Udzielane były także dofinansowania do zadań związanych z organizowaniem przedsięwzięć o charakterze edukacyjnym, sportowym i kulturalnym. W zadaniu tym 99,7% beneficjentów to osoby w wieku 60+. Zadania te są dofinansowane ze środków Państwowego Funduszu Rehabilitacji Osób Niepełnosprawnych, wszelkie informacje dostępne są na stronie PCPR i w wersji papierowej w holu głównym budynku.</w:t>
      </w:r>
    </w:p>
    <w:p w14:paraId="264F496D" w14:textId="77777777" w:rsidR="004E283E" w:rsidRPr="00E52964" w:rsidRDefault="004E283E" w:rsidP="00E52964">
      <w:pPr>
        <w:rPr>
          <w:rFonts w:cs="Times New Roman"/>
          <w:szCs w:val="24"/>
        </w:rPr>
      </w:pPr>
    </w:p>
    <w:p w14:paraId="580D8EA0" w14:textId="77777777" w:rsidR="00E52964" w:rsidRPr="00E52964" w:rsidRDefault="00E52964" w:rsidP="00E52964">
      <w:pPr>
        <w:rPr>
          <w:rFonts w:cs="Times New Roman"/>
          <w:szCs w:val="24"/>
        </w:rPr>
      </w:pPr>
      <w:r w:rsidRPr="00E52964">
        <w:rPr>
          <w:rFonts w:cs="Times New Roman"/>
          <w:szCs w:val="24"/>
        </w:rPr>
        <w:t>Powiat płocki</w:t>
      </w:r>
    </w:p>
    <w:p w14:paraId="1B2574E8" w14:textId="36319C1A" w:rsidR="00E52964" w:rsidRPr="00E52964" w:rsidRDefault="00E52964" w:rsidP="00E52964">
      <w:pPr>
        <w:rPr>
          <w:rFonts w:cs="Times New Roman"/>
          <w:szCs w:val="24"/>
        </w:rPr>
      </w:pPr>
      <w:r w:rsidRPr="00E52964">
        <w:rPr>
          <w:rFonts w:cs="Times New Roman"/>
          <w:szCs w:val="24"/>
        </w:rPr>
        <w:t>Dofinansował ze środków Państwowego Funduszu Rehabilitacji Osób Niepełnosprawnych w ramach realizacji zadań sportu, kultury, rekreacji i turystyki w 2020 r</w:t>
      </w:r>
      <w:r w:rsidR="00BF29EF">
        <w:rPr>
          <w:rFonts w:cs="Times New Roman"/>
          <w:szCs w:val="24"/>
        </w:rPr>
        <w:t>.</w:t>
      </w:r>
      <w:r w:rsidRPr="00E52964">
        <w:rPr>
          <w:rFonts w:cs="Times New Roman"/>
          <w:szCs w:val="24"/>
        </w:rPr>
        <w:t xml:space="preserve"> </w:t>
      </w:r>
      <w:r w:rsidR="002816BF">
        <w:rPr>
          <w:rFonts w:cs="Times New Roman"/>
          <w:szCs w:val="24"/>
        </w:rPr>
        <w:t>dwa</w:t>
      </w:r>
      <w:r w:rsidRPr="00E52964">
        <w:rPr>
          <w:rFonts w:cs="Times New Roman"/>
          <w:szCs w:val="24"/>
        </w:rPr>
        <w:t xml:space="preserve"> projekty realizowane przez Polski Związek Emerytów, Rencistów i Inwalidów Zarząd Okręgowy w Płocku:</w:t>
      </w:r>
    </w:p>
    <w:p w14:paraId="442F4FBD" w14:textId="77777777" w:rsidR="004E283E" w:rsidRDefault="00E52964" w:rsidP="00FE70E3">
      <w:pPr>
        <w:pStyle w:val="Akapitzlist"/>
        <w:numPr>
          <w:ilvl w:val="0"/>
          <w:numId w:val="162"/>
        </w:numPr>
        <w:rPr>
          <w:rFonts w:cs="Times New Roman"/>
          <w:szCs w:val="24"/>
        </w:rPr>
      </w:pPr>
      <w:r w:rsidRPr="004E283E">
        <w:rPr>
          <w:rFonts w:cs="Times New Roman"/>
          <w:szCs w:val="24"/>
        </w:rPr>
        <w:t>Przegląd amatorskiej twórczości literackiej seniorów,</w:t>
      </w:r>
    </w:p>
    <w:p w14:paraId="7D993D38" w14:textId="744A0B86" w:rsidR="004E283E" w:rsidRDefault="00E52964" w:rsidP="00FE70E3">
      <w:pPr>
        <w:pStyle w:val="Akapitzlist"/>
        <w:numPr>
          <w:ilvl w:val="0"/>
          <w:numId w:val="162"/>
        </w:numPr>
        <w:rPr>
          <w:rFonts w:cs="Times New Roman"/>
          <w:szCs w:val="24"/>
        </w:rPr>
      </w:pPr>
      <w:r w:rsidRPr="004E283E">
        <w:rPr>
          <w:rFonts w:cs="Times New Roman"/>
          <w:szCs w:val="24"/>
        </w:rPr>
        <w:t>Powiatowa Olimpiada Sprawności seniorów na wesoło o Puchar Starosty.</w:t>
      </w:r>
    </w:p>
    <w:p w14:paraId="57A912FB" w14:textId="77777777" w:rsidR="004E283E" w:rsidRPr="004E283E" w:rsidRDefault="004E283E" w:rsidP="004E283E">
      <w:pPr>
        <w:pStyle w:val="Akapitzlist"/>
        <w:ind w:left="360"/>
        <w:rPr>
          <w:rFonts w:cs="Times New Roman"/>
          <w:szCs w:val="24"/>
        </w:rPr>
      </w:pPr>
    </w:p>
    <w:p w14:paraId="64CC0307" w14:textId="65FBD678" w:rsidR="00E52964" w:rsidRPr="00E52964" w:rsidRDefault="00E52964" w:rsidP="00E52964">
      <w:pPr>
        <w:rPr>
          <w:rFonts w:cs="Times New Roman"/>
          <w:szCs w:val="24"/>
        </w:rPr>
      </w:pPr>
      <w:r w:rsidRPr="004E283E">
        <w:rPr>
          <w:rFonts w:cs="Times New Roman"/>
          <w:b/>
          <w:bCs/>
          <w:szCs w:val="24"/>
        </w:rPr>
        <w:t>Przykłady innowacyjnych rozwiązań</w:t>
      </w:r>
    </w:p>
    <w:p w14:paraId="3A10097F" w14:textId="514A3205" w:rsidR="00E52964" w:rsidRDefault="00E52964" w:rsidP="004E283E">
      <w:pPr>
        <w:rPr>
          <w:rFonts w:cs="Times New Roman"/>
          <w:szCs w:val="24"/>
        </w:rPr>
      </w:pPr>
      <w:r w:rsidRPr="00E52964">
        <w:rPr>
          <w:rFonts w:cs="Times New Roman"/>
          <w:szCs w:val="24"/>
        </w:rPr>
        <w:t xml:space="preserve">W 2020 r. na Mazowszu kontynuowano działania w zakresie tworzenia samorządowego systemu usług dla seniorów z wykorzystaniem nowych technologii - systemu </w:t>
      </w:r>
      <w:proofErr w:type="spellStart"/>
      <w:r w:rsidRPr="00E52964">
        <w:rPr>
          <w:rFonts w:cs="Times New Roman"/>
          <w:szCs w:val="24"/>
        </w:rPr>
        <w:t>teleopieki</w:t>
      </w:r>
      <w:proofErr w:type="spellEnd"/>
      <w:r w:rsidRPr="00E52964">
        <w:rPr>
          <w:rFonts w:cs="Times New Roman"/>
          <w:szCs w:val="24"/>
        </w:rPr>
        <w:t xml:space="preserve">. Podjęte działania wynikały z realizacji zapisów „Wojewódzkiego Programu Polityki Senioralnej na lata 2019-2021”, w którym jeden z celów szczegółowych zakłada zwiększenie dostępności oraz poprawę jakości usług społecznych umożliwiających samodzielne funkcjonowanie osób starszych w środowisku zamieszkania. Ta forma usług opiekuńczych jest alternatywna dla pobytu osób starszych w zakładzie opiekuńczo-leczniczym czy domu pomocy społecznej oraz wsparciem dla rodzin osób samotnie zamieszkujących. System </w:t>
      </w:r>
      <w:proofErr w:type="spellStart"/>
      <w:r w:rsidRPr="00E52964">
        <w:rPr>
          <w:rFonts w:cs="Times New Roman"/>
          <w:szCs w:val="24"/>
        </w:rPr>
        <w:t>teleopieki</w:t>
      </w:r>
      <w:proofErr w:type="spellEnd"/>
      <w:r w:rsidRPr="00E52964">
        <w:rPr>
          <w:rFonts w:cs="Times New Roman"/>
          <w:szCs w:val="24"/>
        </w:rPr>
        <w:t xml:space="preserve"> wzmacnia poczucie bezpieczeństwa osób nim objętych, jak również pozwala opiekunom osób starszych kontynuować swoja aktywność zawodową i społeczną. W 2020 r. Sejmik Województwa Mazowieckiego udzielił pomocy finansowej 28 gminom w województwie mazowieckim w formie dotacji celowej na realizację ww. zadania. Usługami </w:t>
      </w:r>
      <w:proofErr w:type="spellStart"/>
      <w:r w:rsidRPr="00E52964">
        <w:rPr>
          <w:rFonts w:cs="Times New Roman"/>
          <w:szCs w:val="24"/>
        </w:rPr>
        <w:t>teleopieki</w:t>
      </w:r>
      <w:proofErr w:type="spellEnd"/>
      <w:r w:rsidRPr="00E52964">
        <w:rPr>
          <w:rFonts w:cs="Times New Roman"/>
          <w:szCs w:val="24"/>
        </w:rPr>
        <w:t xml:space="preserve"> objęto 654 najstarszych mieszkańców Mazowsza, potrzebujących wsparcia w miejscu zamieszkania.</w:t>
      </w:r>
    </w:p>
    <w:p w14:paraId="0A38482B" w14:textId="77777777" w:rsidR="004A2D5F" w:rsidRDefault="004A2D5F" w:rsidP="00E52964">
      <w:pPr>
        <w:rPr>
          <w:rFonts w:cs="Times New Roman"/>
          <w:szCs w:val="24"/>
        </w:rPr>
      </w:pPr>
    </w:p>
    <w:p w14:paraId="362B45AD" w14:textId="39585CAE" w:rsidR="00E52964" w:rsidRDefault="00E52964" w:rsidP="00E52964">
      <w:pPr>
        <w:pStyle w:val="Nagwek3"/>
      </w:pPr>
      <w:bookmarkStart w:id="210" w:name="_Toc77513989"/>
      <w:bookmarkStart w:id="211" w:name="_Toc80523143"/>
      <w:r w:rsidRPr="00E52964">
        <w:t xml:space="preserve">Działania związane z ochroną seniorów przed negatywnymi skutkami pandemii COVID-19, które zostały podjęte w 2020 r w województwie </w:t>
      </w:r>
      <w:r>
        <w:t>mazowieckim</w:t>
      </w:r>
      <w:bookmarkEnd w:id="210"/>
      <w:bookmarkEnd w:id="211"/>
    </w:p>
    <w:p w14:paraId="0DE84738" w14:textId="77777777" w:rsidR="000B1B06" w:rsidRPr="000B1B06" w:rsidRDefault="000B1B06" w:rsidP="000B1B06"/>
    <w:p w14:paraId="5BC32AB6" w14:textId="77777777" w:rsidR="004A2D5F" w:rsidRDefault="00E52964" w:rsidP="00E52964">
      <w:pPr>
        <w:rPr>
          <w:rFonts w:cs="Times New Roman"/>
          <w:szCs w:val="24"/>
        </w:rPr>
      </w:pPr>
      <w:r w:rsidRPr="00E52964">
        <w:rPr>
          <w:rFonts w:cs="Times New Roman"/>
          <w:szCs w:val="24"/>
        </w:rPr>
        <w:t>Wśród inicjatyw realizowanych w 2020 r. wspierających ochronę zdrowia i życia osób powyżej 70 roku życia znalazł się Program „Wspieraj Seniora”. Do programu w województwie mazowieckim przystąpiło 168 gmin w celu świadczenia pomocy osobom starszym, którzy w obowiązującym czasie pandemii Covid-19 zdecydowali się na pozostanie w domu i dlatego też wymagali wsparcia w zabezpieczaniu artykułów podstawowej potrzeby.</w:t>
      </w:r>
    </w:p>
    <w:p w14:paraId="49B05720" w14:textId="694A73F0" w:rsidR="00E52964" w:rsidRDefault="00E52964" w:rsidP="00E52964">
      <w:pPr>
        <w:rPr>
          <w:rFonts w:cs="Times New Roman"/>
          <w:szCs w:val="24"/>
        </w:rPr>
      </w:pPr>
      <w:r w:rsidRPr="00E52964">
        <w:rPr>
          <w:rFonts w:cs="Times New Roman"/>
          <w:szCs w:val="24"/>
        </w:rPr>
        <w:t>Osoby starsze, które zdecydowały się pozostać w domu w związku z utrzymującym się stanem epidemii, mogły zgłosić prośbę o pomoc, dzwoniąc pod nr 22 505 11 11, na ogólnopolską infolinię uruchomioną w ramach programu Solidarnościowy Korpus Wsparcia Seniorów lub wybrać drogę kontaktu telefonicznego i/lub bezpośredniego do OPS.</w:t>
      </w:r>
    </w:p>
    <w:p w14:paraId="684EA6A3" w14:textId="77777777" w:rsidR="004A2D5F" w:rsidRPr="00E52964" w:rsidRDefault="004A2D5F" w:rsidP="00E52964">
      <w:pPr>
        <w:rPr>
          <w:rFonts w:cs="Times New Roman"/>
          <w:szCs w:val="24"/>
        </w:rPr>
      </w:pPr>
    </w:p>
    <w:p w14:paraId="0D0B38D3" w14:textId="713F9CB7" w:rsidR="00E52964" w:rsidRPr="00E52964" w:rsidRDefault="00E52964" w:rsidP="00E52964">
      <w:pPr>
        <w:rPr>
          <w:rFonts w:cs="Times New Roman"/>
          <w:szCs w:val="24"/>
        </w:rPr>
      </w:pPr>
      <w:r w:rsidRPr="00E52964">
        <w:rPr>
          <w:rFonts w:cs="Times New Roman"/>
          <w:szCs w:val="24"/>
        </w:rPr>
        <w:t xml:space="preserve">W rezultacie podjętych działań promocyjno-informacyjnych, w ramach programu, odnotowano łącznie 8 069 zgłoszeń, w tym 6 807 zgłoszeń od osób w wieku 70 lat i więcej oraz 1 262 zgłoszenia od osób w wieku poniżej 70 lat. Z pomocy w ramach ww. programu skorzystało </w:t>
      </w:r>
      <w:r w:rsidRPr="00E52964">
        <w:rPr>
          <w:rFonts w:cs="Times New Roman"/>
          <w:szCs w:val="24"/>
        </w:rPr>
        <w:lastRenderedPageBreak/>
        <w:t>łącznie 5068 seniorów. W ramach budżetu państwa na realizację Programu „Wspieraj Seniora”, jednostkom samorządu terytorialnego przyznano środki finansowe w</w:t>
      </w:r>
      <w:r w:rsidR="004A2D5F">
        <w:rPr>
          <w:rFonts w:cs="Times New Roman"/>
          <w:szCs w:val="24"/>
        </w:rPr>
        <w:t> </w:t>
      </w:r>
      <w:r w:rsidRPr="00E52964">
        <w:rPr>
          <w:rFonts w:cs="Times New Roman"/>
          <w:szCs w:val="24"/>
        </w:rPr>
        <w:t>wysokości</w:t>
      </w:r>
      <w:r w:rsidR="004A2D5F">
        <w:rPr>
          <w:rFonts w:cs="Times New Roman"/>
          <w:szCs w:val="24"/>
        </w:rPr>
        <w:t> </w:t>
      </w:r>
      <w:r w:rsidRPr="00E52964">
        <w:rPr>
          <w:rFonts w:cs="Times New Roman"/>
          <w:szCs w:val="24"/>
        </w:rPr>
        <w:t>12</w:t>
      </w:r>
      <w:r w:rsidR="004A2D5F">
        <w:rPr>
          <w:rFonts w:cs="Times New Roman"/>
          <w:szCs w:val="24"/>
        </w:rPr>
        <w:t> </w:t>
      </w:r>
      <w:r w:rsidRPr="00E52964">
        <w:rPr>
          <w:rFonts w:cs="Times New Roman"/>
          <w:szCs w:val="24"/>
        </w:rPr>
        <w:t>986</w:t>
      </w:r>
      <w:r w:rsidR="004A2D5F">
        <w:rPr>
          <w:rFonts w:cs="Times New Roman"/>
          <w:szCs w:val="24"/>
        </w:rPr>
        <w:t> </w:t>
      </w:r>
      <w:r w:rsidRPr="00E52964">
        <w:rPr>
          <w:rFonts w:cs="Times New Roman"/>
          <w:szCs w:val="24"/>
        </w:rPr>
        <w:t>625,00</w:t>
      </w:r>
      <w:r w:rsidR="004A2D5F">
        <w:rPr>
          <w:rFonts w:cs="Times New Roman"/>
          <w:szCs w:val="24"/>
        </w:rPr>
        <w:t> </w:t>
      </w:r>
      <w:r w:rsidRPr="00E52964">
        <w:rPr>
          <w:rFonts w:cs="Times New Roman"/>
          <w:szCs w:val="24"/>
        </w:rPr>
        <w:t>zł.</w:t>
      </w:r>
    </w:p>
    <w:p w14:paraId="3D100DED" w14:textId="77777777" w:rsidR="004A2D5F" w:rsidRDefault="004A2D5F" w:rsidP="00E52964">
      <w:pPr>
        <w:rPr>
          <w:rFonts w:cs="Times New Roman"/>
          <w:szCs w:val="24"/>
        </w:rPr>
      </w:pPr>
    </w:p>
    <w:p w14:paraId="5DFCD475" w14:textId="306C128A" w:rsidR="00E52964" w:rsidRPr="00E52964" w:rsidRDefault="00E52964" w:rsidP="00E52964">
      <w:pPr>
        <w:rPr>
          <w:rFonts w:cs="Times New Roman"/>
          <w:szCs w:val="24"/>
        </w:rPr>
      </w:pPr>
      <w:r w:rsidRPr="00E52964">
        <w:rPr>
          <w:rFonts w:cs="Times New Roman"/>
          <w:szCs w:val="24"/>
        </w:rPr>
        <w:t>W celu ochrony seniorów przed negatywnymi skutkami pandemii w domach pomocy społecznej na terenie Warszawy wprowadzono 14-dniowy system pracy dla personelu oraz wprowadzono cykliczne testowanie pracowników w kierunku COVID-19 przed przystąpieniem do pracy.</w:t>
      </w:r>
    </w:p>
    <w:p w14:paraId="27A42849" w14:textId="77777777" w:rsidR="004A2D5F" w:rsidRDefault="004A2D5F" w:rsidP="00E52964">
      <w:pPr>
        <w:rPr>
          <w:rFonts w:cs="Times New Roman"/>
          <w:szCs w:val="24"/>
        </w:rPr>
      </w:pPr>
    </w:p>
    <w:p w14:paraId="476F813F" w14:textId="2BF3161D" w:rsidR="00E52964" w:rsidRPr="00E52964" w:rsidRDefault="00E52964" w:rsidP="00E52964">
      <w:pPr>
        <w:rPr>
          <w:rFonts w:cs="Times New Roman"/>
          <w:szCs w:val="24"/>
        </w:rPr>
      </w:pPr>
      <w:r w:rsidRPr="00E52964">
        <w:rPr>
          <w:rFonts w:cs="Times New Roman"/>
          <w:szCs w:val="24"/>
        </w:rPr>
        <w:t>W związku z pandemią COVID-19 i wynikającą z niej potrzebą otoczenia szczególną troską i opieką niesamodzielnych osób starszych i ich opiekunów Mazowieckie Centrum Polityki Społecznej podjęło następujące inicjatywy:</w:t>
      </w:r>
    </w:p>
    <w:p w14:paraId="6F78D8E3" w14:textId="77777777" w:rsidR="004A2D5F" w:rsidRDefault="00E52964" w:rsidP="00FE70E3">
      <w:pPr>
        <w:pStyle w:val="Akapitzlist"/>
        <w:numPr>
          <w:ilvl w:val="0"/>
          <w:numId w:val="156"/>
        </w:numPr>
        <w:rPr>
          <w:rFonts w:cs="Times New Roman"/>
          <w:szCs w:val="24"/>
        </w:rPr>
      </w:pPr>
      <w:r w:rsidRPr="004A2D5F">
        <w:rPr>
          <w:rFonts w:cs="Times New Roman"/>
          <w:szCs w:val="24"/>
        </w:rPr>
        <w:t>dokonano zakupu urządzeń do oczyszczania powietrza dla 60 mazowieckich domów pomocy społecznej,</w:t>
      </w:r>
    </w:p>
    <w:p w14:paraId="328B6591" w14:textId="77777777" w:rsidR="004A2D5F" w:rsidRDefault="00E52964" w:rsidP="00FE70E3">
      <w:pPr>
        <w:pStyle w:val="Akapitzlist"/>
        <w:numPr>
          <w:ilvl w:val="0"/>
          <w:numId w:val="156"/>
        </w:numPr>
        <w:rPr>
          <w:rFonts w:cs="Times New Roman"/>
          <w:szCs w:val="24"/>
        </w:rPr>
      </w:pPr>
      <w:r w:rsidRPr="004A2D5F">
        <w:rPr>
          <w:rFonts w:cs="Times New Roman"/>
          <w:szCs w:val="24"/>
        </w:rPr>
        <w:t>zakupiono 46 urządzeń dezynfekujących i udzielono 106 grantów dla podmiotów prowadzących na Mazowszu DPS-y z przeznaczeniem na zakup sprzętu, środków ochrony osobistej, a także na dodatki do wynagrodzeń personelu tych placówek, bezpośrednio sprawującego opiekę nad pensjonariuszami,</w:t>
      </w:r>
    </w:p>
    <w:p w14:paraId="7EAAF3C7" w14:textId="77777777" w:rsidR="004A2D5F" w:rsidRDefault="00E52964" w:rsidP="00FE70E3">
      <w:pPr>
        <w:pStyle w:val="Akapitzlist"/>
        <w:numPr>
          <w:ilvl w:val="0"/>
          <w:numId w:val="156"/>
        </w:numPr>
        <w:rPr>
          <w:rFonts w:cs="Times New Roman"/>
          <w:szCs w:val="24"/>
        </w:rPr>
      </w:pPr>
      <w:r w:rsidRPr="004A2D5F">
        <w:rPr>
          <w:rFonts w:cs="Times New Roman"/>
          <w:szCs w:val="24"/>
        </w:rPr>
        <w:t>dokonano zakupu sprzętu do dezynfekcji oraz środków ochrony osobistej dla 52 domów pomocy społecznej w ramach funduszy unijnych,</w:t>
      </w:r>
    </w:p>
    <w:p w14:paraId="3B867843" w14:textId="7F570E67" w:rsidR="00E52964" w:rsidRDefault="00E52964" w:rsidP="00FE70E3">
      <w:pPr>
        <w:pStyle w:val="Akapitzlist"/>
        <w:numPr>
          <w:ilvl w:val="0"/>
          <w:numId w:val="156"/>
        </w:numPr>
        <w:rPr>
          <w:rFonts w:cs="Times New Roman"/>
          <w:szCs w:val="24"/>
        </w:rPr>
      </w:pPr>
      <w:r w:rsidRPr="004A2D5F">
        <w:rPr>
          <w:rFonts w:cs="Times New Roman"/>
          <w:szCs w:val="24"/>
        </w:rPr>
        <w:t>zrealizowano projekt polegający na zapewnieniu codziennych posiłków osobom potrzebującym wsparcia; projekt zakładał przygotowanie i dostarczenie 42 000 posiłków dla 1400 osób starszych lub niesamodzielnych na terenie 11 powiatów województwa mazowieckiego.</w:t>
      </w:r>
    </w:p>
    <w:p w14:paraId="49D08206" w14:textId="77777777" w:rsidR="004A2D5F" w:rsidRPr="004A2D5F" w:rsidRDefault="004A2D5F" w:rsidP="004A2D5F">
      <w:pPr>
        <w:rPr>
          <w:rFonts w:cs="Times New Roman"/>
          <w:szCs w:val="24"/>
        </w:rPr>
      </w:pPr>
    </w:p>
    <w:p w14:paraId="30C06E2B" w14:textId="5F18FCB7" w:rsidR="00E52964" w:rsidRDefault="00E52964" w:rsidP="00E52964">
      <w:pPr>
        <w:rPr>
          <w:rFonts w:cs="Times New Roman"/>
          <w:szCs w:val="24"/>
        </w:rPr>
      </w:pPr>
      <w:r w:rsidRPr="00E52964">
        <w:rPr>
          <w:rFonts w:cs="Times New Roman"/>
          <w:szCs w:val="24"/>
        </w:rPr>
        <w:t>W czasie pandemii Centrum Aktywności Międzypokoleniowej w dni powszednie przygotowuje ok. 200 posiłków dla seniorów ( w tym dla 80 Powstańców Warszawskich), które przy wsparciu wolontariuszy, organizacji pozarządowych i Straży Miejskiej dostarcza seniorom korzystającym ze wsparcia placówki.</w:t>
      </w:r>
    </w:p>
    <w:p w14:paraId="5CA3DED5" w14:textId="77777777" w:rsidR="004A2D5F" w:rsidRPr="00E52964" w:rsidRDefault="004A2D5F" w:rsidP="00E52964">
      <w:pPr>
        <w:rPr>
          <w:rFonts w:cs="Times New Roman"/>
          <w:szCs w:val="24"/>
        </w:rPr>
      </w:pPr>
    </w:p>
    <w:p w14:paraId="4BECBCBA" w14:textId="256D89C4" w:rsidR="00E52964" w:rsidRDefault="00E52964" w:rsidP="00E7359C">
      <w:pPr>
        <w:rPr>
          <w:rFonts w:cs="Times New Roman"/>
          <w:szCs w:val="24"/>
        </w:rPr>
      </w:pPr>
      <w:r w:rsidRPr="00E52964">
        <w:rPr>
          <w:rFonts w:cs="Times New Roman"/>
          <w:szCs w:val="24"/>
        </w:rPr>
        <w:t>W marcu 2020 r. powołano System Wsparcia „Warszawa Wspiera”, który skupia się na potrzebach mieszkańców przebywających w domach z uwagi na wprowadzone obostrzenia oraz z powodu odbywania kwarantanny. W każdej z dzielnic Warszawy funkcjonuje Dzielnicowy Zespół „Warszawa Wspiera”, złożony z pracowników urzędu dzielnicy, ośrodka pomocy społecznej oraz innych jednostek miejskich. Zespoły te wspierają osoby pozostające w swoich domach, zwłaszcza najbardziej narażone na rozwinięcie ciężkiej postaci COVID-19. Seniorom pomagano w robieniu zakupów, wynoszeniu śmieci, wyprowadzaniu zwierząt domowych i innych codziennych zadaniach.</w:t>
      </w:r>
    </w:p>
    <w:p w14:paraId="764AEBE8" w14:textId="77777777" w:rsidR="004E283E" w:rsidRPr="004A2D5F" w:rsidRDefault="004E283E" w:rsidP="00E7359C">
      <w:pPr>
        <w:rPr>
          <w:rFonts w:cs="Times New Roman"/>
          <w:szCs w:val="24"/>
        </w:rPr>
      </w:pPr>
    </w:p>
    <w:p w14:paraId="5DE5A1B8" w14:textId="2300F82D" w:rsidR="00AC180B" w:rsidRDefault="00AC180B" w:rsidP="00AC180B">
      <w:pPr>
        <w:pStyle w:val="Nagwek3"/>
      </w:pPr>
      <w:bookmarkStart w:id="212" w:name="_Toc77513990"/>
      <w:bookmarkStart w:id="213" w:name="_Toc80523144"/>
      <w:r>
        <w:t>Infrastruktura społeczna oraz usługi świadczone osobom starszym w 2020 r.</w:t>
      </w:r>
      <w:bookmarkEnd w:id="212"/>
      <w:bookmarkEnd w:id="213"/>
    </w:p>
    <w:p w14:paraId="773D9F1A" w14:textId="77777777" w:rsidR="000B1B06" w:rsidRPr="000B1B06" w:rsidRDefault="000B1B06" w:rsidP="000B1B06"/>
    <w:p w14:paraId="4D7A010F" w14:textId="1D1F6ECE" w:rsidR="00AC180B" w:rsidRDefault="00AC180B" w:rsidP="00AC180B">
      <w:pPr>
        <w:rPr>
          <w:rFonts w:cs="Times New Roman"/>
          <w:szCs w:val="24"/>
        </w:rPr>
      </w:pPr>
      <w:r w:rsidRPr="00D96C8C">
        <w:rPr>
          <w:rFonts w:cs="Times New Roman"/>
          <w:szCs w:val="24"/>
        </w:rPr>
        <w:t xml:space="preserve">Szczegółowe informacje dotyczące usług oraz infrastruktury społecznej dostępnej dla osób starszych w województwie </w:t>
      </w:r>
      <w:r w:rsidR="00CB49BF">
        <w:rPr>
          <w:rFonts w:cs="Times New Roman"/>
          <w:szCs w:val="24"/>
        </w:rPr>
        <w:t>mazowieckim</w:t>
      </w:r>
      <w:r>
        <w:rPr>
          <w:rFonts w:cs="Times New Roman"/>
          <w:szCs w:val="24"/>
        </w:rPr>
        <w:t xml:space="preserve"> w 2020 r. przedstawia poniższa tabela</w:t>
      </w:r>
    </w:p>
    <w:p w14:paraId="5C8787E5" w14:textId="77777777" w:rsidR="00AC180B" w:rsidRDefault="00AC180B" w:rsidP="00E7359C">
      <w:pPr>
        <w:widowControl w:val="0"/>
        <w:tabs>
          <w:tab w:val="left" w:pos="709"/>
        </w:tabs>
        <w:rPr>
          <w:rFonts w:cs="Times New Roman"/>
          <w:b/>
          <w:color w:val="FF0000"/>
          <w:szCs w:val="24"/>
        </w:rPr>
      </w:pPr>
    </w:p>
    <w:p w14:paraId="56754829" w14:textId="77777777" w:rsidR="008524D9" w:rsidRPr="0092226B" w:rsidRDefault="003D3533" w:rsidP="00E7359C">
      <w:pPr>
        <w:widowControl w:val="0"/>
        <w:tabs>
          <w:tab w:val="left" w:pos="709"/>
        </w:tabs>
        <w:rPr>
          <w:rFonts w:cs="Times New Roman"/>
          <w:color w:val="FF0000"/>
          <w:szCs w:val="24"/>
        </w:rPr>
        <w:sectPr w:rsidR="008524D9" w:rsidRPr="0092226B" w:rsidSect="00080A38">
          <w:pgSz w:w="11900" w:h="16838"/>
          <w:pgMar w:top="1384" w:right="1386" w:bottom="1038" w:left="1380" w:header="0" w:footer="567" w:gutter="0"/>
          <w:cols w:space="0" w:equalWidth="0">
            <w:col w:w="9140"/>
          </w:cols>
          <w:docGrid w:linePitch="360"/>
        </w:sectPr>
      </w:pPr>
      <w:r w:rsidRPr="0092226B">
        <w:rPr>
          <w:rFonts w:cs="Times New Roman"/>
          <w:color w:val="FF0000"/>
          <w:szCs w:val="24"/>
        </w:rPr>
        <w:t xml:space="preserve">. </w:t>
      </w:r>
    </w:p>
    <w:p w14:paraId="6C5E4347" w14:textId="654EE63C" w:rsidR="005F20F3" w:rsidRPr="00CB49BF" w:rsidRDefault="005F20F3" w:rsidP="005F20F3">
      <w:pPr>
        <w:pStyle w:val="Legenda"/>
        <w:keepNext/>
        <w:rPr>
          <w:rFonts w:cs="Times New Roman"/>
          <w:b/>
          <w:i w:val="0"/>
          <w:color w:val="auto"/>
          <w:sz w:val="24"/>
        </w:rPr>
      </w:pPr>
      <w:bookmarkStart w:id="214" w:name="_Toc49171436"/>
      <w:r w:rsidRPr="00CB49BF">
        <w:rPr>
          <w:rFonts w:cs="Times New Roman"/>
          <w:b/>
          <w:i w:val="0"/>
          <w:color w:val="auto"/>
          <w:sz w:val="24"/>
        </w:rPr>
        <w:lastRenderedPageBreak/>
        <w:t xml:space="preserve">Tabela </w:t>
      </w:r>
      <w:r w:rsidR="005B094D">
        <w:rPr>
          <w:rFonts w:cs="Times New Roman"/>
          <w:b/>
          <w:i w:val="0"/>
          <w:color w:val="auto"/>
          <w:sz w:val="24"/>
        </w:rPr>
        <w:t>62</w:t>
      </w:r>
      <w:r w:rsidR="00054E88">
        <w:rPr>
          <w:rFonts w:cs="Times New Roman"/>
          <w:b/>
          <w:i w:val="0"/>
          <w:color w:val="auto"/>
          <w:sz w:val="24"/>
        </w:rPr>
        <w:t>.</w:t>
      </w:r>
      <w:r w:rsidRPr="00CB49BF">
        <w:rPr>
          <w:rFonts w:cs="Times New Roman"/>
          <w:b/>
          <w:i w:val="0"/>
          <w:color w:val="auto"/>
          <w:sz w:val="24"/>
        </w:rPr>
        <w:t xml:space="preserve"> Karta województwa mazowieckiego</w:t>
      </w:r>
      <w:bookmarkEnd w:id="214"/>
    </w:p>
    <w:tbl>
      <w:tblPr>
        <w:tblStyle w:val="Tabelasiatki5ciemnaakcent2"/>
        <w:tblpPr w:leftFromText="142" w:rightFromText="142" w:vertAnchor="text" w:horzAnchor="margin" w:tblpXSpec="center" w:tblpY="1"/>
        <w:tblW w:w="14741" w:type="dxa"/>
        <w:tblLayout w:type="fixed"/>
        <w:tblLook w:val="04A0" w:firstRow="1" w:lastRow="0" w:firstColumn="1" w:lastColumn="0" w:noHBand="0" w:noVBand="1"/>
      </w:tblPr>
      <w:tblGrid>
        <w:gridCol w:w="2830"/>
        <w:gridCol w:w="3066"/>
        <w:gridCol w:w="53"/>
        <w:gridCol w:w="2895"/>
        <w:gridCol w:w="790"/>
        <w:gridCol w:w="2158"/>
        <w:gridCol w:w="2949"/>
      </w:tblGrid>
      <w:tr w:rsidR="00CB49BF" w:rsidRPr="00CB49BF" w14:paraId="54DC87D7" w14:textId="77777777" w:rsidTr="00CB49BF">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0927BF24" w14:textId="6E85D34C" w:rsidR="00CB49BF" w:rsidRPr="00DE642C" w:rsidRDefault="00CB49BF" w:rsidP="00E86509">
            <w:pPr>
              <w:spacing w:line="240" w:lineRule="auto"/>
              <w:jc w:val="center"/>
              <w:rPr>
                <w:sz w:val="20"/>
                <w:szCs w:val="20"/>
              </w:rPr>
            </w:pPr>
            <w:r w:rsidRPr="00DE642C">
              <w:rPr>
                <w:color w:val="auto"/>
                <w:sz w:val="20"/>
                <w:szCs w:val="20"/>
              </w:rPr>
              <w:t>WOJEWÓDZTWO MAZOWIECKIE</w:t>
            </w:r>
          </w:p>
        </w:tc>
      </w:tr>
      <w:tr w:rsidR="00CB49BF" w:rsidRPr="00CB49BF" w14:paraId="27D11A79" w14:textId="77777777" w:rsidTr="00CB49B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1F695AE7" w14:textId="7550CE89" w:rsidR="003D3533" w:rsidRPr="00DE642C" w:rsidRDefault="003D3533" w:rsidP="00CB49BF">
            <w:pPr>
              <w:spacing w:line="240" w:lineRule="auto"/>
              <w:jc w:val="center"/>
              <w:rPr>
                <w:color w:val="auto"/>
                <w:sz w:val="20"/>
                <w:szCs w:val="20"/>
              </w:rPr>
            </w:pPr>
            <w:r w:rsidRPr="00DE642C">
              <w:rPr>
                <w:color w:val="auto"/>
                <w:sz w:val="20"/>
                <w:szCs w:val="20"/>
              </w:rPr>
              <w:t>USŁUGI SPOŁECZNE DLA OSÓB STARSZYCH / INFRASTRUKTURA POMOCY SPOLECZNEJ – DANE ZA 20</w:t>
            </w:r>
            <w:r w:rsidR="00CB49BF" w:rsidRPr="00DE642C">
              <w:rPr>
                <w:color w:val="auto"/>
                <w:sz w:val="20"/>
                <w:szCs w:val="20"/>
              </w:rPr>
              <w:t>20</w:t>
            </w:r>
            <w:r w:rsidRPr="00DE642C">
              <w:rPr>
                <w:color w:val="auto"/>
                <w:sz w:val="20"/>
                <w:szCs w:val="20"/>
              </w:rPr>
              <w:t xml:space="preserve"> R.</w:t>
            </w:r>
          </w:p>
        </w:tc>
      </w:tr>
      <w:tr w:rsidR="00CB49BF" w:rsidRPr="00CB49BF" w14:paraId="366E9CAF" w14:textId="77777777" w:rsidTr="00CB49BF">
        <w:trPr>
          <w:trHeight w:val="7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1BF16389" w14:textId="480489E6" w:rsidR="003D3533" w:rsidRPr="00CB49BF" w:rsidRDefault="003D3533" w:rsidP="00E86509">
            <w:pPr>
              <w:spacing w:line="240" w:lineRule="auto"/>
              <w:rPr>
                <w:rFonts w:eastAsia="Times New Roman"/>
                <w:b w:val="0"/>
                <w:bCs w:val="0"/>
                <w:color w:val="auto"/>
                <w:lang w:eastAsia="pl-PL"/>
              </w:rPr>
            </w:pPr>
            <w:r w:rsidRPr="00CB49BF">
              <w:rPr>
                <w:rFonts w:eastAsia="Times New Roman"/>
                <w:color w:val="auto"/>
                <w:lang w:eastAsia="pl-PL"/>
              </w:rPr>
              <w:t>Instytucje pomocy społecznej, w tym</w:t>
            </w:r>
            <w:r w:rsidR="00DE642C">
              <w:rPr>
                <w:rFonts w:eastAsia="Times New Roman"/>
                <w:color w:val="auto"/>
                <w:lang w:eastAsia="pl-PL"/>
              </w:rPr>
              <w:t>:</w:t>
            </w:r>
          </w:p>
        </w:tc>
        <w:tc>
          <w:tcPr>
            <w:tcW w:w="3066" w:type="dxa"/>
          </w:tcPr>
          <w:p w14:paraId="16842E80" w14:textId="77777777" w:rsidR="003D3533" w:rsidRPr="00CB49BF" w:rsidRDefault="003D3533"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bCs/>
              </w:rPr>
            </w:pPr>
            <w:r w:rsidRPr="00CB49BF">
              <w:rPr>
                <w:b/>
              </w:rPr>
              <w:t>Rodzaj placówki</w:t>
            </w:r>
          </w:p>
        </w:tc>
        <w:tc>
          <w:tcPr>
            <w:tcW w:w="2948" w:type="dxa"/>
            <w:gridSpan w:val="2"/>
          </w:tcPr>
          <w:p w14:paraId="67F8B306" w14:textId="77777777" w:rsidR="003D3533" w:rsidRPr="00DE642C" w:rsidRDefault="003D3533"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642C">
              <w:rPr>
                <w:b/>
                <w:sz w:val="20"/>
                <w:szCs w:val="20"/>
              </w:rPr>
              <w:t>Liczba placówek</w:t>
            </w:r>
          </w:p>
        </w:tc>
        <w:tc>
          <w:tcPr>
            <w:tcW w:w="2948" w:type="dxa"/>
            <w:gridSpan w:val="2"/>
          </w:tcPr>
          <w:p w14:paraId="4AF8D4CE" w14:textId="77777777" w:rsidR="003D3533" w:rsidRPr="00DE642C" w:rsidRDefault="003D3533"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642C">
              <w:rPr>
                <w:b/>
                <w:sz w:val="20"/>
                <w:szCs w:val="20"/>
              </w:rPr>
              <w:t>Liczba miejsc dla osób starszych</w:t>
            </w:r>
          </w:p>
        </w:tc>
        <w:tc>
          <w:tcPr>
            <w:tcW w:w="2949" w:type="dxa"/>
          </w:tcPr>
          <w:p w14:paraId="4708C4B1" w14:textId="77777777" w:rsidR="003D3533" w:rsidRPr="00DE642C" w:rsidRDefault="003D3533"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DE642C">
              <w:rPr>
                <w:b/>
                <w:sz w:val="20"/>
                <w:szCs w:val="20"/>
              </w:rPr>
              <w:t>Liczba korzystających osób starszych</w:t>
            </w:r>
          </w:p>
        </w:tc>
      </w:tr>
      <w:tr w:rsidR="002A2513" w:rsidRPr="00CB49BF" w14:paraId="43AE91F1" w14:textId="77777777" w:rsidTr="00CB49B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CD9DC4D" w14:textId="77777777" w:rsidR="002A2513" w:rsidRPr="00CB49BF" w:rsidRDefault="002A2513" w:rsidP="002A2513">
            <w:pPr>
              <w:spacing w:line="240" w:lineRule="auto"/>
              <w:rPr>
                <w:rFonts w:eastAsia="Times New Roman"/>
                <w:color w:val="auto"/>
                <w:lang w:eastAsia="pl-PL"/>
              </w:rPr>
            </w:pPr>
          </w:p>
        </w:tc>
        <w:tc>
          <w:tcPr>
            <w:tcW w:w="3066" w:type="dxa"/>
          </w:tcPr>
          <w:p w14:paraId="5CE55EB9" w14:textId="77777777" w:rsidR="002A2513" w:rsidRPr="00CB49BF" w:rsidRDefault="002A2513" w:rsidP="002A2513">
            <w:pPr>
              <w:spacing w:line="240" w:lineRule="auto"/>
              <w:cnfStyle w:val="000000100000" w:firstRow="0" w:lastRow="0" w:firstColumn="0" w:lastColumn="0" w:oddVBand="0" w:evenVBand="0" w:oddHBand="1" w:evenHBand="0" w:firstRowFirstColumn="0" w:firstRowLastColumn="0" w:lastRowFirstColumn="0" w:lastRowLastColumn="0"/>
            </w:pPr>
            <w:r w:rsidRPr="00CB49BF">
              <w:t>Środowiskowe Domy Samopomocy</w:t>
            </w:r>
          </w:p>
        </w:tc>
        <w:tc>
          <w:tcPr>
            <w:tcW w:w="2948" w:type="dxa"/>
            <w:gridSpan w:val="2"/>
          </w:tcPr>
          <w:p w14:paraId="666FB67F" w14:textId="2D4D3FEC"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DE642C">
              <w:rPr>
                <w:sz w:val="20"/>
                <w:szCs w:val="20"/>
              </w:rPr>
              <w:t>77</w:t>
            </w:r>
          </w:p>
        </w:tc>
        <w:tc>
          <w:tcPr>
            <w:tcW w:w="2948" w:type="dxa"/>
            <w:gridSpan w:val="2"/>
          </w:tcPr>
          <w:p w14:paraId="66B9176D" w14:textId="3A26172D"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DE642C">
              <w:rPr>
                <w:sz w:val="20"/>
                <w:szCs w:val="20"/>
              </w:rPr>
              <w:t>725</w:t>
            </w:r>
          </w:p>
        </w:tc>
        <w:tc>
          <w:tcPr>
            <w:tcW w:w="2949" w:type="dxa"/>
          </w:tcPr>
          <w:p w14:paraId="65C4A303" w14:textId="4774C354"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DE642C">
              <w:rPr>
                <w:sz w:val="20"/>
                <w:szCs w:val="20"/>
              </w:rPr>
              <w:t>443</w:t>
            </w:r>
          </w:p>
        </w:tc>
      </w:tr>
      <w:tr w:rsidR="002A2513" w:rsidRPr="00CB49BF" w14:paraId="1C241144" w14:textId="77777777" w:rsidTr="00CB49BF">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B219AF4" w14:textId="77777777" w:rsidR="002A2513" w:rsidRPr="00CB49BF" w:rsidRDefault="002A2513" w:rsidP="002A2513">
            <w:pPr>
              <w:spacing w:line="240" w:lineRule="auto"/>
              <w:rPr>
                <w:rFonts w:eastAsia="Times New Roman"/>
                <w:color w:val="auto"/>
                <w:lang w:eastAsia="pl-PL"/>
              </w:rPr>
            </w:pPr>
          </w:p>
        </w:tc>
        <w:tc>
          <w:tcPr>
            <w:tcW w:w="3066" w:type="dxa"/>
          </w:tcPr>
          <w:p w14:paraId="7342324B" w14:textId="77777777" w:rsidR="002A2513" w:rsidRPr="00CB49BF" w:rsidRDefault="002A2513" w:rsidP="002A2513">
            <w:pPr>
              <w:spacing w:line="240" w:lineRule="auto"/>
              <w:cnfStyle w:val="000000000000" w:firstRow="0" w:lastRow="0" w:firstColumn="0" w:lastColumn="0" w:oddVBand="0" w:evenVBand="0" w:oddHBand="0" w:evenHBand="0" w:firstRowFirstColumn="0" w:firstRowLastColumn="0" w:lastRowFirstColumn="0" w:lastRowLastColumn="0"/>
            </w:pPr>
            <w:r w:rsidRPr="00CB49BF">
              <w:t>Dzienne Domy Pomocy</w:t>
            </w:r>
          </w:p>
        </w:tc>
        <w:tc>
          <w:tcPr>
            <w:tcW w:w="2948" w:type="dxa"/>
            <w:gridSpan w:val="2"/>
          </w:tcPr>
          <w:p w14:paraId="4D90552A" w14:textId="053D6401"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DE642C">
              <w:rPr>
                <w:sz w:val="20"/>
                <w:szCs w:val="20"/>
              </w:rPr>
              <w:t>57</w:t>
            </w:r>
          </w:p>
        </w:tc>
        <w:tc>
          <w:tcPr>
            <w:tcW w:w="2948" w:type="dxa"/>
            <w:gridSpan w:val="2"/>
          </w:tcPr>
          <w:p w14:paraId="35201815" w14:textId="606661AF"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DE642C">
              <w:rPr>
                <w:sz w:val="20"/>
                <w:szCs w:val="20"/>
              </w:rPr>
              <w:t>810</w:t>
            </w:r>
          </w:p>
        </w:tc>
        <w:tc>
          <w:tcPr>
            <w:tcW w:w="2949" w:type="dxa"/>
          </w:tcPr>
          <w:p w14:paraId="2B489FB8" w14:textId="5639CE99"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DE642C">
              <w:rPr>
                <w:sz w:val="20"/>
                <w:szCs w:val="20"/>
              </w:rPr>
              <w:t>1</w:t>
            </w:r>
            <w:r w:rsidR="00DE642C" w:rsidRPr="00DE642C">
              <w:rPr>
                <w:sz w:val="20"/>
                <w:szCs w:val="20"/>
              </w:rPr>
              <w:t xml:space="preserve"> </w:t>
            </w:r>
            <w:r w:rsidRPr="00DE642C">
              <w:rPr>
                <w:sz w:val="20"/>
                <w:szCs w:val="20"/>
              </w:rPr>
              <w:t>352</w:t>
            </w:r>
          </w:p>
        </w:tc>
      </w:tr>
      <w:tr w:rsidR="002A2513" w:rsidRPr="00CB49BF" w14:paraId="591F017F" w14:textId="77777777" w:rsidTr="00CB49B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EB712C1" w14:textId="77777777" w:rsidR="002A2513" w:rsidRPr="00CB49BF" w:rsidRDefault="002A2513" w:rsidP="002A2513">
            <w:pPr>
              <w:spacing w:line="240" w:lineRule="auto"/>
              <w:rPr>
                <w:rFonts w:eastAsia="Times New Roman"/>
                <w:color w:val="auto"/>
                <w:lang w:eastAsia="pl-PL"/>
              </w:rPr>
            </w:pPr>
          </w:p>
        </w:tc>
        <w:tc>
          <w:tcPr>
            <w:tcW w:w="3066" w:type="dxa"/>
          </w:tcPr>
          <w:p w14:paraId="405740AB" w14:textId="77777777" w:rsidR="002A2513" w:rsidRPr="00CB49BF" w:rsidRDefault="002A2513" w:rsidP="002A2513">
            <w:pPr>
              <w:spacing w:line="240" w:lineRule="auto"/>
              <w:cnfStyle w:val="000000100000" w:firstRow="0" w:lastRow="0" w:firstColumn="0" w:lastColumn="0" w:oddVBand="0" w:evenVBand="0" w:oddHBand="1" w:evenHBand="0" w:firstRowFirstColumn="0" w:firstRowLastColumn="0" w:lastRowFirstColumn="0" w:lastRowLastColumn="0"/>
            </w:pPr>
            <w:r w:rsidRPr="00CB49BF">
              <w:t>Noclegownie, schroniska i domy dla osób bezdomnych</w:t>
            </w:r>
          </w:p>
        </w:tc>
        <w:tc>
          <w:tcPr>
            <w:tcW w:w="2948" w:type="dxa"/>
            <w:gridSpan w:val="2"/>
          </w:tcPr>
          <w:p w14:paraId="6E58AFB1" w14:textId="4023D269"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32</w:t>
            </w:r>
          </w:p>
        </w:tc>
        <w:tc>
          <w:tcPr>
            <w:tcW w:w="2948" w:type="dxa"/>
            <w:gridSpan w:val="2"/>
          </w:tcPr>
          <w:p w14:paraId="5B5915C1" w14:textId="1F03BB7A"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1</w:t>
            </w:r>
            <w:r w:rsidR="00DE642C" w:rsidRPr="00DE642C">
              <w:rPr>
                <w:sz w:val="20"/>
                <w:szCs w:val="20"/>
              </w:rPr>
              <w:t xml:space="preserve"> </w:t>
            </w:r>
            <w:r w:rsidRPr="00DE642C">
              <w:rPr>
                <w:sz w:val="20"/>
                <w:szCs w:val="20"/>
              </w:rPr>
              <w:t>830</w:t>
            </w:r>
          </w:p>
        </w:tc>
        <w:tc>
          <w:tcPr>
            <w:tcW w:w="2949" w:type="dxa"/>
          </w:tcPr>
          <w:p w14:paraId="03A48215" w14:textId="731F7908"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991</w:t>
            </w:r>
          </w:p>
        </w:tc>
      </w:tr>
      <w:tr w:rsidR="002A2513" w:rsidRPr="00CB49BF" w14:paraId="397E56B1" w14:textId="77777777" w:rsidTr="00CB49BF">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58942E0" w14:textId="77777777" w:rsidR="002A2513" w:rsidRPr="00CB49BF" w:rsidRDefault="002A2513" w:rsidP="002A2513">
            <w:pPr>
              <w:spacing w:line="240" w:lineRule="auto"/>
              <w:rPr>
                <w:rFonts w:eastAsia="Times New Roman"/>
                <w:color w:val="auto"/>
                <w:lang w:eastAsia="pl-PL"/>
              </w:rPr>
            </w:pPr>
          </w:p>
        </w:tc>
        <w:tc>
          <w:tcPr>
            <w:tcW w:w="3066" w:type="dxa"/>
          </w:tcPr>
          <w:p w14:paraId="4DD747C4" w14:textId="77777777" w:rsidR="002A2513" w:rsidRPr="00CB49BF" w:rsidRDefault="002A2513" w:rsidP="002A2513">
            <w:pPr>
              <w:spacing w:line="240" w:lineRule="auto"/>
              <w:cnfStyle w:val="000000000000" w:firstRow="0" w:lastRow="0" w:firstColumn="0" w:lastColumn="0" w:oddVBand="0" w:evenVBand="0" w:oddHBand="0" w:evenHBand="0" w:firstRowFirstColumn="0" w:firstRowLastColumn="0" w:lastRowFirstColumn="0" w:lastRowLastColumn="0"/>
            </w:pPr>
            <w:r w:rsidRPr="00CB49BF">
              <w:t>Ogrzewalnie</w:t>
            </w:r>
          </w:p>
        </w:tc>
        <w:tc>
          <w:tcPr>
            <w:tcW w:w="2948" w:type="dxa"/>
            <w:gridSpan w:val="2"/>
          </w:tcPr>
          <w:p w14:paraId="56E9137A" w14:textId="6EE84DBF"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3</w:t>
            </w:r>
          </w:p>
        </w:tc>
        <w:tc>
          <w:tcPr>
            <w:tcW w:w="2948" w:type="dxa"/>
            <w:gridSpan w:val="2"/>
          </w:tcPr>
          <w:p w14:paraId="469D1107" w14:textId="2B95F328"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60</w:t>
            </w:r>
          </w:p>
        </w:tc>
        <w:tc>
          <w:tcPr>
            <w:tcW w:w="2949" w:type="dxa"/>
          </w:tcPr>
          <w:p w14:paraId="145C7196" w14:textId="329E1E66"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30</w:t>
            </w:r>
          </w:p>
        </w:tc>
      </w:tr>
      <w:tr w:rsidR="002A2513" w:rsidRPr="00CB49BF" w14:paraId="7FE6039C" w14:textId="77777777" w:rsidTr="00CB49B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ED09DEA" w14:textId="77777777" w:rsidR="002A2513" w:rsidRPr="00CB49BF" w:rsidRDefault="002A2513" w:rsidP="002A2513">
            <w:pPr>
              <w:spacing w:line="240" w:lineRule="auto"/>
              <w:rPr>
                <w:rFonts w:eastAsia="Times New Roman"/>
                <w:color w:val="auto"/>
                <w:lang w:eastAsia="pl-PL"/>
              </w:rPr>
            </w:pPr>
          </w:p>
        </w:tc>
        <w:tc>
          <w:tcPr>
            <w:tcW w:w="3066" w:type="dxa"/>
          </w:tcPr>
          <w:p w14:paraId="6446FD23" w14:textId="77777777" w:rsidR="002A2513" w:rsidRPr="00CB49BF" w:rsidRDefault="002A2513" w:rsidP="002A2513">
            <w:pPr>
              <w:spacing w:line="240" w:lineRule="auto"/>
              <w:cnfStyle w:val="000000100000" w:firstRow="0" w:lastRow="0" w:firstColumn="0" w:lastColumn="0" w:oddVBand="0" w:evenVBand="0" w:oddHBand="1" w:evenHBand="0" w:firstRowFirstColumn="0" w:firstRowLastColumn="0" w:lastRowFirstColumn="0" w:lastRowLastColumn="0"/>
            </w:pPr>
            <w:r w:rsidRPr="00CB49BF">
              <w:t>Kluby Samopomocy</w:t>
            </w:r>
          </w:p>
        </w:tc>
        <w:tc>
          <w:tcPr>
            <w:tcW w:w="2948" w:type="dxa"/>
            <w:gridSpan w:val="2"/>
          </w:tcPr>
          <w:p w14:paraId="126A0D78" w14:textId="64419201"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DE642C">
              <w:rPr>
                <w:sz w:val="20"/>
                <w:szCs w:val="20"/>
              </w:rPr>
              <w:t>50</w:t>
            </w:r>
          </w:p>
        </w:tc>
        <w:tc>
          <w:tcPr>
            <w:tcW w:w="2948" w:type="dxa"/>
            <w:gridSpan w:val="2"/>
          </w:tcPr>
          <w:p w14:paraId="099381B3" w14:textId="7051A22A"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DE642C">
              <w:rPr>
                <w:sz w:val="20"/>
                <w:szCs w:val="20"/>
              </w:rPr>
              <w:t>771</w:t>
            </w:r>
          </w:p>
        </w:tc>
        <w:tc>
          <w:tcPr>
            <w:tcW w:w="2949" w:type="dxa"/>
          </w:tcPr>
          <w:p w14:paraId="7AE35FFA" w14:textId="365E2EE5"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DE642C">
              <w:rPr>
                <w:sz w:val="20"/>
                <w:szCs w:val="20"/>
              </w:rPr>
              <w:t>1</w:t>
            </w:r>
            <w:r w:rsidR="00DE642C" w:rsidRPr="00DE642C">
              <w:rPr>
                <w:sz w:val="20"/>
                <w:szCs w:val="20"/>
              </w:rPr>
              <w:t xml:space="preserve"> </w:t>
            </w:r>
            <w:r w:rsidRPr="00DE642C">
              <w:rPr>
                <w:sz w:val="20"/>
                <w:szCs w:val="20"/>
              </w:rPr>
              <w:t>195</w:t>
            </w:r>
          </w:p>
        </w:tc>
      </w:tr>
      <w:tr w:rsidR="002A2513" w:rsidRPr="00CB49BF" w14:paraId="0AF560C0" w14:textId="77777777" w:rsidTr="00CB49BF">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6257960" w14:textId="77777777" w:rsidR="002A2513" w:rsidRPr="00CB49BF" w:rsidRDefault="002A2513" w:rsidP="002A2513">
            <w:pPr>
              <w:spacing w:line="240" w:lineRule="auto"/>
              <w:rPr>
                <w:rFonts w:eastAsia="Times New Roman"/>
                <w:color w:val="auto"/>
                <w:lang w:eastAsia="pl-PL"/>
              </w:rPr>
            </w:pPr>
          </w:p>
        </w:tc>
        <w:tc>
          <w:tcPr>
            <w:tcW w:w="3066" w:type="dxa"/>
          </w:tcPr>
          <w:p w14:paraId="56AE1B89" w14:textId="77777777" w:rsidR="002A2513" w:rsidRPr="00CB49BF" w:rsidRDefault="002A2513" w:rsidP="002A2513">
            <w:pPr>
              <w:spacing w:line="240" w:lineRule="auto"/>
              <w:cnfStyle w:val="000000000000" w:firstRow="0" w:lastRow="0" w:firstColumn="0" w:lastColumn="0" w:oddVBand="0" w:evenVBand="0" w:oddHBand="0" w:evenHBand="0" w:firstRowFirstColumn="0" w:firstRowLastColumn="0" w:lastRowFirstColumn="0" w:lastRowLastColumn="0"/>
              <w:rPr>
                <w:highlight w:val="yellow"/>
              </w:rPr>
            </w:pPr>
            <w:r w:rsidRPr="00CB49BF">
              <w:t>Placówki zapewniające całodobową opiekę osobom niepełnosprawnym, przewlekle chorym lub osobom w podeszłym wieku</w:t>
            </w:r>
          </w:p>
        </w:tc>
        <w:tc>
          <w:tcPr>
            <w:tcW w:w="2948" w:type="dxa"/>
            <w:gridSpan w:val="2"/>
          </w:tcPr>
          <w:p w14:paraId="7063316E" w14:textId="4976A474"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127</w:t>
            </w:r>
          </w:p>
        </w:tc>
        <w:tc>
          <w:tcPr>
            <w:tcW w:w="2948" w:type="dxa"/>
            <w:gridSpan w:val="2"/>
          </w:tcPr>
          <w:p w14:paraId="286C40EC" w14:textId="712B23A7"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5</w:t>
            </w:r>
            <w:r w:rsidR="00DE642C" w:rsidRPr="00DE642C">
              <w:rPr>
                <w:sz w:val="20"/>
                <w:szCs w:val="20"/>
              </w:rPr>
              <w:t xml:space="preserve"> </w:t>
            </w:r>
            <w:r w:rsidRPr="00DE642C">
              <w:rPr>
                <w:sz w:val="20"/>
                <w:szCs w:val="20"/>
              </w:rPr>
              <w:t>555</w:t>
            </w:r>
          </w:p>
        </w:tc>
        <w:tc>
          <w:tcPr>
            <w:tcW w:w="2949" w:type="dxa"/>
          </w:tcPr>
          <w:p w14:paraId="5C03703B" w14:textId="551F8C82"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DE642C">
              <w:rPr>
                <w:sz w:val="20"/>
                <w:szCs w:val="20"/>
              </w:rPr>
              <w:t>3</w:t>
            </w:r>
            <w:r w:rsidR="00DE642C" w:rsidRPr="00DE642C">
              <w:rPr>
                <w:sz w:val="20"/>
                <w:szCs w:val="20"/>
              </w:rPr>
              <w:t xml:space="preserve"> </w:t>
            </w:r>
            <w:r w:rsidRPr="00DE642C">
              <w:rPr>
                <w:sz w:val="20"/>
                <w:szCs w:val="20"/>
              </w:rPr>
              <w:t>911</w:t>
            </w:r>
          </w:p>
        </w:tc>
      </w:tr>
      <w:tr w:rsidR="002A2513" w:rsidRPr="00CB49BF" w14:paraId="4147B24B" w14:textId="77777777" w:rsidTr="00CB49B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28D6D03" w14:textId="77777777" w:rsidR="002A2513" w:rsidRPr="00CB49BF" w:rsidRDefault="002A2513" w:rsidP="002A2513">
            <w:pPr>
              <w:spacing w:line="240" w:lineRule="auto"/>
              <w:rPr>
                <w:rFonts w:eastAsia="Times New Roman"/>
                <w:color w:val="auto"/>
                <w:lang w:eastAsia="pl-PL"/>
              </w:rPr>
            </w:pPr>
          </w:p>
        </w:tc>
        <w:tc>
          <w:tcPr>
            <w:tcW w:w="3066" w:type="dxa"/>
          </w:tcPr>
          <w:p w14:paraId="069BB59B" w14:textId="77777777" w:rsidR="002A2513" w:rsidRPr="00CB49BF" w:rsidRDefault="002A2513" w:rsidP="002A2513">
            <w:pPr>
              <w:spacing w:line="240" w:lineRule="auto"/>
              <w:cnfStyle w:val="000000100000" w:firstRow="0" w:lastRow="0" w:firstColumn="0" w:lastColumn="0" w:oddVBand="0" w:evenVBand="0" w:oddHBand="1" w:evenHBand="0" w:firstRowFirstColumn="0" w:firstRowLastColumn="0" w:lastRowFirstColumn="0" w:lastRowLastColumn="0"/>
            </w:pPr>
            <w:r w:rsidRPr="00CB49BF">
              <w:t>Domy Pomocy Społecznej</w:t>
            </w:r>
          </w:p>
        </w:tc>
        <w:tc>
          <w:tcPr>
            <w:tcW w:w="2948" w:type="dxa"/>
            <w:gridSpan w:val="2"/>
          </w:tcPr>
          <w:p w14:paraId="1E92A08D" w14:textId="770A0007"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107</w:t>
            </w:r>
          </w:p>
        </w:tc>
        <w:tc>
          <w:tcPr>
            <w:tcW w:w="2948" w:type="dxa"/>
            <w:gridSpan w:val="2"/>
          </w:tcPr>
          <w:p w14:paraId="7A261641" w14:textId="6D3BE9E5"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2</w:t>
            </w:r>
            <w:r w:rsidR="00DE642C" w:rsidRPr="00DE642C">
              <w:rPr>
                <w:sz w:val="20"/>
                <w:szCs w:val="20"/>
              </w:rPr>
              <w:t xml:space="preserve"> </w:t>
            </w:r>
            <w:r w:rsidRPr="00DE642C">
              <w:rPr>
                <w:sz w:val="20"/>
                <w:szCs w:val="20"/>
              </w:rPr>
              <w:t>354</w:t>
            </w:r>
          </w:p>
        </w:tc>
        <w:tc>
          <w:tcPr>
            <w:tcW w:w="2949" w:type="dxa"/>
          </w:tcPr>
          <w:p w14:paraId="2230B2CA" w14:textId="2E88E756"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1</w:t>
            </w:r>
            <w:r w:rsidR="00DE642C" w:rsidRPr="00DE642C">
              <w:rPr>
                <w:sz w:val="20"/>
                <w:szCs w:val="20"/>
              </w:rPr>
              <w:t xml:space="preserve"> </w:t>
            </w:r>
            <w:r w:rsidRPr="00DE642C">
              <w:rPr>
                <w:sz w:val="20"/>
                <w:szCs w:val="20"/>
              </w:rPr>
              <w:t>906</w:t>
            </w:r>
          </w:p>
        </w:tc>
      </w:tr>
      <w:tr w:rsidR="002A2513" w:rsidRPr="00CB49BF" w14:paraId="3A6F9FD4" w14:textId="77777777" w:rsidTr="00CB49BF">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68FC8F3" w14:textId="77777777" w:rsidR="002A2513" w:rsidRPr="00CB49BF" w:rsidRDefault="002A2513" w:rsidP="002A2513">
            <w:pPr>
              <w:spacing w:line="240" w:lineRule="auto"/>
              <w:rPr>
                <w:rFonts w:eastAsia="Times New Roman"/>
                <w:color w:val="auto"/>
                <w:lang w:eastAsia="pl-PL"/>
              </w:rPr>
            </w:pPr>
          </w:p>
        </w:tc>
        <w:tc>
          <w:tcPr>
            <w:tcW w:w="3066" w:type="dxa"/>
          </w:tcPr>
          <w:p w14:paraId="051D0D17" w14:textId="77777777" w:rsidR="002A2513" w:rsidRPr="00CB49BF" w:rsidRDefault="002A2513" w:rsidP="002A2513">
            <w:pPr>
              <w:spacing w:line="240" w:lineRule="auto"/>
              <w:cnfStyle w:val="000000000000" w:firstRow="0" w:lastRow="0" w:firstColumn="0" w:lastColumn="0" w:oddVBand="0" w:evenVBand="0" w:oddHBand="0" w:evenHBand="0" w:firstRowFirstColumn="0" w:firstRowLastColumn="0" w:lastRowFirstColumn="0" w:lastRowLastColumn="0"/>
            </w:pPr>
            <w:r w:rsidRPr="00CB49BF">
              <w:t>Mieszkania chronione ogółem</w:t>
            </w:r>
          </w:p>
        </w:tc>
        <w:tc>
          <w:tcPr>
            <w:tcW w:w="2948" w:type="dxa"/>
            <w:gridSpan w:val="2"/>
          </w:tcPr>
          <w:p w14:paraId="468BD3BE" w14:textId="486F6904"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53</w:t>
            </w:r>
          </w:p>
        </w:tc>
        <w:tc>
          <w:tcPr>
            <w:tcW w:w="2948" w:type="dxa"/>
            <w:gridSpan w:val="2"/>
          </w:tcPr>
          <w:p w14:paraId="7D46F630" w14:textId="655043D0"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48</w:t>
            </w:r>
          </w:p>
        </w:tc>
        <w:tc>
          <w:tcPr>
            <w:tcW w:w="2949" w:type="dxa"/>
          </w:tcPr>
          <w:p w14:paraId="265F8B4C" w14:textId="4FB511AC"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5</w:t>
            </w:r>
          </w:p>
        </w:tc>
      </w:tr>
      <w:tr w:rsidR="002A2513" w:rsidRPr="00CB49BF" w14:paraId="0E5B60AA" w14:textId="77777777" w:rsidTr="00CB49B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7534AD9" w14:textId="77777777" w:rsidR="002A2513" w:rsidRPr="00CB49BF" w:rsidRDefault="002A2513" w:rsidP="002A2513">
            <w:pPr>
              <w:spacing w:line="240" w:lineRule="auto"/>
              <w:rPr>
                <w:rFonts w:eastAsia="Times New Roman"/>
                <w:color w:val="auto"/>
                <w:lang w:eastAsia="pl-PL"/>
              </w:rPr>
            </w:pPr>
          </w:p>
        </w:tc>
        <w:tc>
          <w:tcPr>
            <w:tcW w:w="3066" w:type="dxa"/>
          </w:tcPr>
          <w:p w14:paraId="016B67F0" w14:textId="77777777" w:rsidR="002A2513" w:rsidRPr="00CB49BF" w:rsidRDefault="002A2513" w:rsidP="002A2513">
            <w:pPr>
              <w:spacing w:line="240" w:lineRule="auto"/>
              <w:cnfStyle w:val="000000100000" w:firstRow="0" w:lastRow="0" w:firstColumn="0" w:lastColumn="0" w:oddVBand="0" w:evenVBand="0" w:oddHBand="1" w:evenHBand="0" w:firstRowFirstColumn="0" w:firstRowLastColumn="0" w:lastRowFirstColumn="0" w:lastRowLastColumn="0"/>
            </w:pPr>
            <w:r w:rsidRPr="00CB49BF">
              <w:t>Ośrodki Interwencji Kryzysowej ogółem</w:t>
            </w:r>
          </w:p>
        </w:tc>
        <w:tc>
          <w:tcPr>
            <w:tcW w:w="2948" w:type="dxa"/>
            <w:gridSpan w:val="2"/>
          </w:tcPr>
          <w:p w14:paraId="107F1465" w14:textId="26D4EC9A"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DE642C">
              <w:rPr>
                <w:sz w:val="20"/>
                <w:szCs w:val="20"/>
              </w:rPr>
              <w:t>13</w:t>
            </w:r>
          </w:p>
        </w:tc>
        <w:tc>
          <w:tcPr>
            <w:tcW w:w="2948" w:type="dxa"/>
            <w:gridSpan w:val="2"/>
          </w:tcPr>
          <w:p w14:paraId="763E0EA0" w14:textId="026D73BE"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DE642C">
              <w:rPr>
                <w:sz w:val="20"/>
                <w:szCs w:val="20"/>
              </w:rPr>
              <w:t>-</w:t>
            </w:r>
          </w:p>
        </w:tc>
        <w:tc>
          <w:tcPr>
            <w:tcW w:w="2949" w:type="dxa"/>
          </w:tcPr>
          <w:p w14:paraId="45C414B6" w14:textId="40B4BE8E"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DE642C">
              <w:rPr>
                <w:sz w:val="20"/>
                <w:szCs w:val="20"/>
              </w:rPr>
              <w:t>94</w:t>
            </w:r>
          </w:p>
        </w:tc>
      </w:tr>
      <w:tr w:rsidR="002A2513" w:rsidRPr="00CB49BF" w14:paraId="56AED486" w14:textId="77777777" w:rsidTr="00CB49BF">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298055D" w14:textId="77777777" w:rsidR="002A2513" w:rsidRPr="00CB49BF" w:rsidRDefault="002A2513" w:rsidP="002A2513">
            <w:pPr>
              <w:spacing w:line="240" w:lineRule="auto"/>
              <w:rPr>
                <w:rFonts w:eastAsia="Times New Roman"/>
                <w:color w:val="auto"/>
                <w:lang w:eastAsia="pl-PL"/>
              </w:rPr>
            </w:pPr>
          </w:p>
        </w:tc>
        <w:tc>
          <w:tcPr>
            <w:tcW w:w="3066" w:type="dxa"/>
          </w:tcPr>
          <w:p w14:paraId="7D12B60B" w14:textId="77777777" w:rsidR="002A2513" w:rsidRPr="00CB49BF" w:rsidRDefault="002A2513" w:rsidP="002A2513">
            <w:pPr>
              <w:spacing w:line="240" w:lineRule="auto"/>
              <w:cnfStyle w:val="000000000000" w:firstRow="0" w:lastRow="0" w:firstColumn="0" w:lastColumn="0" w:oddVBand="0" w:evenVBand="0" w:oddHBand="0" w:evenHBand="0" w:firstRowFirstColumn="0" w:firstRowLastColumn="0" w:lastRowFirstColumn="0" w:lastRowLastColumn="0"/>
            </w:pPr>
            <w:r w:rsidRPr="00CB49BF">
              <w:t>Jednostki specjalistycznego poradnictwa</w:t>
            </w:r>
          </w:p>
        </w:tc>
        <w:tc>
          <w:tcPr>
            <w:tcW w:w="2948" w:type="dxa"/>
            <w:gridSpan w:val="2"/>
          </w:tcPr>
          <w:p w14:paraId="51DECE76" w14:textId="0508EFC2"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55</w:t>
            </w:r>
          </w:p>
        </w:tc>
        <w:tc>
          <w:tcPr>
            <w:tcW w:w="2948" w:type="dxa"/>
            <w:gridSpan w:val="2"/>
          </w:tcPr>
          <w:p w14:paraId="6BA3787B" w14:textId="1961DC71"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w:t>
            </w:r>
          </w:p>
        </w:tc>
        <w:tc>
          <w:tcPr>
            <w:tcW w:w="2949" w:type="dxa"/>
          </w:tcPr>
          <w:p w14:paraId="7951EAEF" w14:textId="02B7A165"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1</w:t>
            </w:r>
            <w:r w:rsidR="00DE642C" w:rsidRPr="00DE642C">
              <w:rPr>
                <w:sz w:val="20"/>
                <w:szCs w:val="20"/>
              </w:rPr>
              <w:t xml:space="preserve"> </w:t>
            </w:r>
            <w:r w:rsidRPr="00DE642C">
              <w:rPr>
                <w:sz w:val="20"/>
                <w:szCs w:val="20"/>
              </w:rPr>
              <w:t>898</w:t>
            </w:r>
          </w:p>
        </w:tc>
      </w:tr>
      <w:tr w:rsidR="002A2513" w:rsidRPr="00CB49BF" w14:paraId="4CE02720" w14:textId="77777777" w:rsidTr="00CB49B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6233486" w14:textId="77777777" w:rsidR="002A2513" w:rsidRPr="00CB49BF" w:rsidRDefault="002A2513" w:rsidP="002A2513">
            <w:pPr>
              <w:spacing w:line="240" w:lineRule="auto"/>
              <w:rPr>
                <w:rFonts w:eastAsia="Times New Roman"/>
                <w:lang w:eastAsia="pl-PL"/>
              </w:rPr>
            </w:pPr>
          </w:p>
        </w:tc>
        <w:tc>
          <w:tcPr>
            <w:tcW w:w="3066" w:type="dxa"/>
          </w:tcPr>
          <w:p w14:paraId="6FA2E121" w14:textId="1C8B693D" w:rsidR="002A2513" w:rsidRPr="00CB49BF" w:rsidRDefault="002A2513" w:rsidP="002A2513">
            <w:pPr>
              <w:spacing w:line="240" w:lineRule="auto"/>
              <w:cnfStyle w:val="000000100000" w:firstRow="0" w:lastRow="0" w:firstColumn="0" w:lastColumn="0" w:oddVBand="0" w:evenVBand="0" w:oddHBand="1" w:evenHBand="0" w:firstRowFirstColumn="0" w:firstRowLastColumn="0" w:lastRowFirstColumn="0" w:lastRowLastColumn="0"/>
            </w:pPr>
            <w:r>
              <w:t>Placówki wsparcia dziennego</w:t>
            </w:r>
          </w:p>
        </w:tc>
        <w:tc>
          <w:tcPr>
            <w:tcW w:w="2948" w:type="dxa"/>
            <w:gridSpan w:val="2"/>
          </w:tcPr>
          <w:p w14:paraId="56A390C5" w14:textId="4B2DFD69"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21</w:t>
            </w:r>
          </w:p>
        </w:tc>
        <w:tc>
          <w:tcPr>
            <w:tcW w:w="2948" w:type="dxa"/>
            <w:gridSpan w:val="2"/>
          </w:tcPr>
          <w:p w14:paraId="5BF5B10D" w14:textId="3E5F8FB1"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218</w:t>
            </w:r>
          </w:p>
        </w:tc>
        <w:tc>
          <w:tcPr>
            <w:tcW w:w="2949" w:type="dxa"/>
          </w:tcPr>
          <w:p w14:paraId="7B96379B" w14:textId="73185E60"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219</w:t>
            </w:r>
          </w:p>
        </w:tc>
      </w:tr>
      <w:tr w:rsidR="00CB49BF" w:rsidRPr="00CB49BF" w14:paraId="50338BFF" w14:textId="77777777" w:rsidTr="00CB49BF">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C1C02B5" w14:textId="77777777" w:rsidR="003D3533" w:rsidRPr="00CB49BF" w:rsidRDefault="003D3533" w:rsidP="00E86509">
            <w:pPr>
              <w:spacing w:line="240" w:lineRule="auto"/>
              <w:rPr>
                <w:rFonts w:eastAsia="Times New Roman"/>
                <w:color w:val="auto"/>
                <w:lang w:eastAsia="pl-PL"/>
              </w:rPr>
            </w:pPr>
          </w:p>
        </w:tc>
        <w:tc>
          <w:tcPr>
            <w:tcW w:w="3066" w:type="dxa"/>
          </w:tcPr>
          <w:p w14:paraId="29A08E0E" w14:textId="77777777" w:rsidR="003D3533" w:rsidRPr="00CB49BF" w:rsidRDefault="003D3533" w:rsidP="00E86509">
            <w:pPr>
              <w:spacing w:line="240" w:lineRule="auto"/>
              <w:cnfStyle w:val="000000000000" w:firstRow="0" w:lastRow="0" w:firstColumn="0" w:lastColumn="0" w:oddVBand="0" w:evenVBand="0" w:oddHBand="0" w:evenHBand="0" w:firstRowFirstColumn="0" w:firstRowLastColumn="0" w:lastRowFirstColumn="0" w:lastRowLastColumn="0"/>
            </w:pPr>
            <w:r w:rsidRPr="00CB49BF">
              <w:t>Placówki Senior+, w tym:</w:t>
            </w:r>
          </w:p>
        </w:tc>
        <w:tc>
          <w:tcPr>
            <w:tcW w:w="8845" w:type="dxa"/>
            <w:gridSpan w:val="5"/>
          </w:tcPr>
          <w:p w14:paraId="0F7680B0" w14:textId="77777777" w:rsidR="003D3533" w:rsidRPr="00DE642C" w:rsidRDefault="003D3533" w:rsidP="00E86509">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A2513" w:rsidRPr="00CB49BF" w14:paraId="5DAE3E4E" w14:textId="77777777" w:rsidTr="00CB49B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48E87FB" w14:textId="77777777" w:rsidR="002A2513" w:rsidRPr="00CB49BF" w:rsidRDefault="002A2513" w:rsidP="002A2513">
            <w:pPr>
              <w:spacing w:line="240" w:lineRule="auto"/>
              <w:rPr>
                <w:rFonts w:eastAsia="Times New Roman"/>
                <w:color w:val="auto"/>
                <w:lang w:eastAsia="pl-PL"/>
              </w:rPr>
            </w:pPr>
          </w:p>
        </w:tc>
        <w:tc>
          <w:tcPr>
            <w:tcW w:w="3066" w:type="dxa"/>
          </w:tcPr>
          <w:p w14:paraId="4B0399ED" w14:textId="77777777" w:rsidR="002A2513" w:rsidRPr="00CB49BF" w:rsidRDefault="002A2513" w:rsidP="002A2513">
            <w:pPr>
              <w:spacing w:line="240" w:lineRule="auto"/>
              <w:cnfStyle w:val="000000100000" w:firstRow="0" w:lastRow="0" w:firstColumn="0" w:lastColumn="0" w:oddVBand="0" w:evenVBand="0" w:oddHBand="1" w:evenHBand="0" w:firstRowFirstColumn="0" w:firstRowLastColumn="0" w:lastRowFirstColumn="0" w:lastRowLastColumn="0"/>
            </w:pPr>
            <w:r w:rsidRPr="00CB49BF">
              <w:t>Domy Dziennego Pobytu</w:t>
            </w:r>
          </w:p>
        </w:tc>
        <w:tc>
          <w:tcPr>
            <w:tcW w:w="2948" w:type="dxa"/>
            <w:gridSpan w:val="2"/>
          </w:tcPr>
          <w:p w14:paraId="6434E898" w14:textId="58326B09"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36</w:t>
            </w:r>
          </w:p>
        </w:tc>
        <w:tc>
          <w:tcPr>
            <w:tcW w:w="2948" w:type="dxa"/>
            <w:gridSpan w:val="2"/>
          </w:tcPr>
          <w:p w14:paraId="5CCC04B4" w14:textId="5901869A"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914</w:t>
            </w:r>
          </w:p>
        </w:tc>
        <w:tc>
          <w:tcPr>
            <w:tcW w:w="2949" w:type="dxa"/>
          </w:tcPr>
          <w:p w14:paraId="19DD6667" w14:textId="485E0180" w:rsidR="002A2513" w:rsidRPr="00DE642C" w:rsidRDefault="002A2513" w:rsidP="002A251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735</w:t>
            </w:r>
          </w:p>
        </w:tc>
      </w:tr>
      <w:tr w:rsidR="002A2513" w:rsidRPr="00CB49BF" w14:paraId="6B43B882" w14:textId="77777777" w:rsidTr="00CB49BF">
        <w:trPr>
          <w:trHeight w:val="85"/>
        </w:trPr>
        <w:tc>
          <w:tcPr>
            <w:cnfStyle w:val="001000000000" w:firstRow="0" w:lastRow="0" w:firstColumn="1" w:lastColumn="0" w:oddVBand="0" w:evenVBand="0" w:oddHBand="0" w:evenHBand="0" w:firstRowFirstColumn="0" w:firstRowLastColumn="0" w:lastRowFirstColumn="0" w:lastRowLastColumn="0"/>
            <w:tcW w:w="2830" w:type="dxa"/>
            <w:vMerge/>
          </w:tcPr>
          <w:p w14:paraId="00991BB8" w14:textId="77777777" w:rsidR="002A2513" w:rsidRPr="00CB49BF" w:rsidRDefault="002A2513" w:rsidP="002A2513">
            <w:pPr>
              <w:spacing w:line="240" w:lineRule="auto"/>
              <w:rPr>
                <w:rFonts w:eastAsia="Times New Roman"/>
                <w:color w:val="auto"/>
                <w:lang w:eastAsia="pl-PL"/>
              </w:rPr>
            </w:pPr>
          </w:p>
        </w:tc>
        <w:tc>
          <w:tcPr>
            <w:tcW w:w="3066" w:type="dxa"/>
          </w:tcPr>
          <w:p w14:paraId="0CC90C1B" w14:textId="77777777" w:rsidR="002A2513" w:rsidRPr="00CB49BF" w:rsidRDefault="002A2513" w:rsidP="002A2513">
            <w:pPr>
              <w:spacing w:line="240" w:lineRule="auto"/>
              <w:cnfStyle w:val="000000000000" w:firstRow="0" w:lastRow="0" w:firstColumn="0" w:lastColumn="0" w:oddVBand="0" w:evenVBand="0" w:oddHBand="0" w:evenHBand="0" w:firstRowFirstColumn="0" w:firstRowLastColumn="0" w:lastRowFirstColumn="0" w:lastRowLastColumn="0"/>
            </w:pPr>
            <w:r w:rsidRPr="00CB49BF">
              <w:t>Kluby Senior+</w:t>
            </w:r>
          </w:p>
        </w:tc>
        <w:tc>
          <w:tcPr>
            <w:tcW w:w="2948" w:type="dxa"/>
            <w:gridSpan w:val="2"/>
          </w:tcPr>
          <w:p w14:paraId="17E22C5F" w14:textId="314CEBB0"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96</w:t>
            </w:r>
          </w:p>
        </w:tc>
        <w:tc>
          <w:tcPr>
            <w:tcW w:w="2948" w:type="dxa"/>
            <w:gridSpan w:val="2"/>
          </w:tcPr>
          <w:p w14:paraId="5ACCFF35" w14:textId="3BB57E79"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2</w:t>
            </w:r>
            <w:r w:rsidR="00DE642C" w:rsidRPr="00DE642C">
              <w:rPr>
                <w:sz w:val="20"/>
                <w:szCs w:val="20"/>
              </w:rPr>
              <w:t xml:space="preserve"> </w:t>
            </w:r>
            <w:r w:rsidRPr="00DE642C">
              <w:rPr>
                <w:sz w:val="20"/>
                <w:szCs w:val="20"/>
              </w:rPr>
              <w:t>311</w:t>
            </w:r>
          </w:p>
        </w:tc>
        <w:tc>
          <w:tcPr>
            <w:tcW w:w="2949" w:type="dxa"/>
          </w:tcPr>
          <w:p w14:paraId="0567696A" w14:textId="68951E3A"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2</w:t>
            </w:r>
            <w:r w:rsidR="00DE642C" w:rsidRPr="00DE642C">
              <w:rPr>
                <w:sz w:val="20"/>
                <w:szCs w:val="20"/>
              </w:rPr>
              <w:t xml:space="preserve"> </w:t>
            </w:r>
            <w:r w:rsidRPr="00DE642C">
              <w:rPr>
                <w:sz w:val="20"/>
                <w:szCs w:val="20"/>
              </w:rPr>
              <w:t>756</w:t>
            </w:r>
          </w:p>
        </w:tc>
      </w:tr>
      <w:tr w:rsidR="00CB49BF" w:rsidRPr="00CB49BF" w14:paraId="656C5713" w14:textId="77777777" w:rsidTr="00CB49BF">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02934087" w14:textId="77777777" w:rsidR="003D3533" w:rsidRPr="00CB49BF" w:rsidRDefault="003D3533" w:rsidP="00E86509">
            <w:pPr>
              <w:spacing w:line="240" w:lineRule="auto"/>
              <w:rPr>
                <w:rFonts w:eastAsia="Times New Roman"/>
                <w:b w:val="0"/>
                <w:bCs w:val="0"/>
                <w:color w:val="auto"/>
                <w:lang w:eastAsia="pl-PL"/>
              </w:rPr>
            </w:pPr>
            <w:r w:rsidRPr="00CB49BF">
              <w:rPr>
                <w:rFonts w:eastAsia="Times New Roman"/>
                <w:color w:val="auto"/>
                <w:lang w:eastAsia="pl-PL"/>
              </w:rPr>
              <w:t>Usługi świadczone osobom starszym</w:t>
            </w:r>
          </w:p>
        </w:tc>
        <w:tc>
          <w:tcPr>
            <w:tcW w:w="3119" w:type="dxa"/>
            <w:gridSpan w:val="2"/>
          </w:tcPr>
          <w:p w14:paraId="661F1DBC" w14:textId="77777777" w:rsidR="003D3533" w:rsidRPr="00DE642C" w:rsidRDefault="003D3533" w:rsidP="00E86509">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DE642C">
              <w:rPr>
                <w:b/>
                <w:sz w:val="20"/>
                <w:szCs w:val="20"/>
              </w:rPr>
              <w:t>Rodzaj usług</w:t>
            </w:r>
          </w:p>
        </w:tc>
        <w:tc>
          <w:tcPr>
            <w:tcW w:w="3685" w:type="dxa"/>
            <w:gridSpan w:val="2"/>
          </w:tcPr>
          <w:p w14:paraId="52C492F5" w14:textId="77777777" w:rsidR="003D3533" w:rsidRPr="00DE642C" w:rsidRDefault="003D3533" w:rsidP="00E86509">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DE642C">
              <w:rPr>
                <w:b/>
                <w:sz w:val="20"/>
                <w:szCs w:val="20"/>
              </w:rPr>
              <w:t>Liczba osób starszych objętych pomocą</w:t>
            </w:r>
          </w:p>
        </w:tc>
        <w:tc>
          <w:tcPr>
            <w:tcW w:w="5107" w:type="dxa"/>
            <w:gridSpan w:val="2"/>
          </w:tcPr>
          <w:p w14:paraId="5A46B3CB" w14:textId="77777777" w:rsidR="003D3533" w:rsidRPr="00DE642C" w:rsidRDefault="003D3533" w:rsidP="00E86509">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DE642C">
              <w:rPr>
                <w:b/>
                <w:sz w:val="20"/>
                <w:szCs w:val="20"/>
              </w:rPr>
              <w:t>Wysokość środków przeznaczonych na usługi</w:t>
            </w:r>
          </w:p>
        </w:tc>
      </w:tr>
      <w:tr w:rsidR="002A2513" w:rsidRPr="00CB49BF" w14:paraId="06BD9AC7" w14:textId="77777777" w:rsidTr="00CB49BF">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08555610" w14:textId="77777777" w:rsidR="002A2513" w:rsidRPr="00CB49BF" w:rsidRDefault="002A2513" w:rsidP="002A2513">
            <w:pPr>
              <w:spacing w:line="240" w:lineRule="auto"/>
              <w:rPr>
                <w:rFonts w:eastAsia="Times New Roman"/>
                <w:b w:val="0"/>
                <w:bCs w:val="0"/>
                <w:color w:val="auto"/>
                <w:lang w:eastAsia="pl-PL"/>
              </w:rPr>
            </w:pPr>
          </w:p>
        </w:tc>
        <w:tc>
          <w:tcPr>
            <w:tcW w:w="3119" w:type="dxa"/>
            <w:gridSpan w:val="2"/>
          </w:tcPr>
          <w:p w14:paraId="4CD35557" w14:textId="77777777" w:rsidR="002A2513" w:rsidRPr="00DE642C" w:rsidRDefault="002A2513" w:rsidP="002A2513">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Usługi opiekuńcze ogółem</w:t>
            </w:r>
          </w:p>
        </w:tc>
        <w:tc>
          <w:tcPr>
            <w:tcW w:w="3685" w:type="dxa"/>
            <w:gridSpan w:val="2"/>
          </w:tcPr>
          <w:p w14:paraId="627DC6EA" w14:textId="5E41AD2F"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13 592</w:t>
            </w:r>
          </w:p>
        </w:tc>
        <w:tc>
          <w:tcPr>
            <w:tcW w:w="5107" w:type="dxa"/>
            <w:gridSpan w:val="2"/>
          </w:tcPr>
          <w:p w14:paraId="0E44F6D2" w14:textId="5FF8D876" w:rsidR="002A2513" w:rsidRPr="00DE642C" w:rsidRDefault="002A2513" w:rsidP="002A2513">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86 722</w:t>
            </w:r>
            <w:r w:rsidR="00DE642C" w:rsidRPr="00DE642C">
              <w:rPr>
                <w:sz w:val="20"/>
                <w:szCs w:val="20"/>
              </w:rPr>
              <w:t> </w:t>
            </w:r>
            <w:r w:rsidRPr="00DE642C">
              <w:rPr>
                <w:sz w:val="20"/>
                <w:szCs w:val="20"/>
              </w:rPr>
              <w:t>206</w:t>
            </w:r>
            <w:r w:rsidR="00DE642C" w:rsidRPr="00DE642C">
              <w:rPr>
                <w:sz w:val="20"/>
                <w:szCs w:val="20"/>
              </w:rPr>
              <w:t xml:space="preserve"> zł</w:t>
            </w:r>
          </w:p>
        </w:tc>
      </w:tr>
      <w:tr w:rsidR="00CB49BF" w:rsidRPr="00CB49BF" w14:paraId="34B92A75" w14:textId="77777777" w:rsidTr="00CB49BF">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32E77885" w14:textId="77777777" w:rsidR="00A154D9" w:rsidRPr="00CB49BF" w:rsidRDefault="00A154D9" w:rsidP="00E86509">
            <w:pPr>
              <w:spacing w:line="240" w:lineRule="auto"/>
              <w:rPr>
                <w:rFonts w:eastAsia="Times New Roman"/>
                <w:b w:val="0"/>
                <w:bCs w:val="0"/>
                <w:color w:val="auto"/>
                <w:lang w:eastAsia="pl-PL"/>
              </w:rPr>
            </w:pPr>
          </w:p>
        </w:tc>
        <w:tc>
          <w:tcPr>
            <w:tcW w:w="11911" w:type="dxa"/>
            <w:gridSpan w:val="6"/>
          </w:tcPr>
          <w:p w14:paraId="750750F1" w14:textId="77777777" w:rsidR="00A154D9" w:rsidRPr="00DE642C" w:rsidRDefault="00A154D9" w:rsidP="00E86509">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w tym:</w:t>
            </w:r>
          </w:p>
        </w:tc>
      </w:tr>
      <w:tr w:rsidR="007F41B9" w:rsidRPr="00CB49BF" w14:paraId="59A0642A" w14:textId="77777777" w:rsidTr="00CB49BF">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3E9E9C8D" w14:textId="77777777" w:rsidR="007F41B9" w:rsidRPr="00CB49BF" w:rsidRDefault="007F41B9" w:rsidP="007F41B9">
            <w:pPr>
              <w:spacing w:line="240" w:lineRule="auto"/>
              <w:rPr>
                <w:rFonts w:eastAsia="Times New Roman"/>
                <w:b w:val="0"/>
                <w:bCs w:val="0"/>
                <w:color w:val="auto"/>
                <w:lang w:eastAsia="pl-PL"/>
              </w:rPr>
            </w:pPr>
          </w:p>
        </w:tc>
        <w:tc>
          <w:tcPr>
            <w:tcW w:w="3119" w:type="dxa"/>
            <w:gridSpan w:val="2"/>
          </w:tcPr>
          <w:p w14:paraId="65E8A317" w14:textId="77777777" w:rsidR="007F41B9" w:rsidRPr="00DE642C" w:rsidRDefault="007F41B9" w:rsidP="007F41B9">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specjalistyczne usługi opiekuńcze</w:t>
            </w:r>
          </w:p>
        </w:tc>
        <w:tc>
          <w:tcPr>
            <w:tcW w:w="3685" w:type="dxa"/>
            <w:gridSpan w:val="2"/>
          </w:tcPr>
          <w:p w14:paraId="28C58957" w14:textId="1A854500" w:rsidR="007F41B9" w:rsidRPr="00DE642C" w:rsidRDefault="007F41B9" w:rsidP="007F41B9">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1 212</w:t>
            </w:r>
          </w:p>
        </w:tc>
        <w:tc>
          <w:tcPr>
            <w:tcW w:w="5107" w:type="dxa"/>
            <w:gridSpan w:val="2"/>
          </w:tcPr>
          <w:p w14:paraId="3D329C3B" w14:textId="7AEEC6A5" w:rsidR="007F41B9" w:rsidRPr="00DE642C" w:rsidRDefault="007F41B9" w:rsidP="007F41B9">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5 558</w:t>
            </w:r>
            <w:r w:rsidR="00DE642C" w:rsidRPr="00DE642C">
              <w:rPr>
                <w:sz w:val="20"/>
                <w:szCs w:val="20"/>
              </w:rPr>
              <w:t> </w:t>
            </w:r>
            <w:r w:rsidRPr="00DE642C">
              <w:rPr>
                <w:sz w:val="20"/>
                <w:szCs w:val="20"/>
              </w:rPr>
              <w:t>633</w:t>
            </w:r>
            <w:r w:rsidR="00DE642C" w:rsidRPr="00DE642C">
              <w:rPr>
                <w:sz w:val="20"/>
                <w:szCs w:val="20"/>
              </w:rPr>
              <w:t xml:space="preserve"> zł</w:t>
            </w:r>
          </w:p>
        </w:tc>
      </w:tr>
      <w:tr w:rsidR="007F41B9" w:rsidRPr="00CB49BF" w14:paraId="39EC2C18" w14:textId="77777777" w:rsidTr="00CB49B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0" w:type="dxa"/>
            <w:vMerge/>
          </w:tcPr>
          <w:p w14:paraId="792F8C33" w14:textId="77777777" w:rsidR="007F41B9" w:rsidRPr="00CB49BF" w:rsidRDefault="007F41B9" w:rsidP="007F41B9">
            <w:pPr>
              <w:spacing w:line="240" w:lineRule="auto"/>
              <w:rPr>
                <w:rFonts w:eastAsia="Times New Roman"/>
                <w:b w:val="0"/>
                <w:bCs w:val="0"/>
                <w:color w:val="auto"/>
                <w:lang w:eastAsia="pl-PL"/>
              </w:rPr>
            </w:pPr>
          </w:p>
        </w:tc>
        <w:tc>
          <w:tcPr>
            <w:tcW w:w="3119" w:type="dxa"/>
            <w:gridSpan w:val="2"/>
          </w:tcPr>
          <w:p w14:paraId="302284C7" w14:textId="77777777" w:rsidR="007F41B9" w:rsidRPr="00DE642C" w:rsidRDefault="007F41B9" w:rsidP="007F41B9">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specjalistyczne usługi opiekuńcze w miejscu zamieszkania dla osób z zaburzeniami psychicznymi</w:t>
            </w:r>
          </w:p>
        </w:tc>
        <w:tc>
          <w:tcPr>
            <w:tcW w:w="3685" w:type="dxa"/>
            <w:gridSpan w:val="2"/>
          </w:tcPr>
          <w:p w14:paraId="374C90B3" w14:textId="46F0E944" w:rsidR="007F41B9" w:rsidRPr="00DE642C" w:rsidRDefault="007F41B9" w:rsidP="007F41B9">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415</w:t>
            </w:r>
          </w:p>
        </w:tc>
        <w:tc>
          <w:tcPr>
            <w:tcW w:w="5107" w:type="dxa"/>
            <w:gridSpan w:val="2"/>
          </w:tcPr>
          <w:p w14:paraId="0F57E4AB" w14:textId="6342C3DF" w:rsidR="007F41B9" w:rsidRPr="00DE642C" w:rsidRDefault="007F41B9" w:rsidP="007F41B9">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2 744</w:t>
            </w:r>
            <w:r w:rsidR="00DE642C" w:rsidRPr="00DE642C">
              <w:rPr>
                <w:sz w:val="20"/>
                <w:szCs w:val="20"/>
              </w:rPr>
              <w:t> </w:t>
            </w:r>
            <w:r w:rsidRPr="00DE642C">
              <w:rPr>
                <w:sz w:val="20"/>
                <w:szCs w:val="20"/>
              </w:rPr>
              <w:t>114</w:t>
            </w:r>
            <w:r w:rsidR="00DE642C" w:rsidRPr="00DE642C">
              <w:rPr>
                <w:sz w:val="20"/>
                <w:szCs w:val="20"/>
              </w:rPr>
              <w:t xml:space="preserve"> zł</w:t>
            </w:r>
          </w:p>
        </w:tc>
      </w:tr>
      <w:tr w:rsidR="00CB49BF" w:rsidRPr="00CB49BF" w14:paraId="2506A80A" w14:textId="77777777" w:rsidTr="00CB49BF">
        <w:trPr>
          <w:trHeight w:val="19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3464627F" w14:textId="77777777" w:rsidR="00A154D9" w:rsidRPr="00CB49BF" w:rsidRDefault="00A154D9" w:rsidP="00E86509">
            <w:pPr>
              <w:spacing w:line="240" w:lineRule="auto"/>
              <w:rPr>
                <w:rFonts w:eastAsia="Times New Roman"/>
                <w:b w:val="0"/>
                <w:bCs w:val="0"/>
                <w:color w:val="auto"/>
                <w:lang w:eastAsia="pl-PL"/>
              </w:rPr>
            </w:pPr>
            <w:r w:rsidRPr="00CB49BF">
              <w:rPr>
                <w:rFonts w:eastAsia="Times New Roman"/>
                <w:color w:val="auto"/>
                <w:lang w:eastAsia="pl-PL"/>
              </w:rPr>
              <w:t>Świadczenia pieniężne przyznane osobom starszym</w:t>
            </w:r>
          </w:p>
        </w:tc>
        <w:tc>
          <w:tcPr>
            <w:tcW w:w="3119" w:type="dxa"/>
            <w:gridSpan w:val="2"/>
          </w:tcPr>
          <w:p w14:paraId="0A236A72" w14:textId="77777777" w:rsidR="00A154D9" w:rsidRPr="00DE642C" w:rsidRDefault="00A154D9"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DE642C">
              <w:rPr>
                <w:b/>
                <w:sz w:val="20"/>
                <w:szCs w:val="20"/>
              </w:rPr>
              <w:t>Nazwa świadczenia</w:t>
            </w:r>
          </w:p>
        </w:tc>
        <w:tc>
          <w:tcPr>
            <w:tcW w:w="3685" w:type="dxa"/>
            <w:gridSpan w:val="2"/>
          </w:tcPr>
          <w:p w14:paraId="0BB755C2" w14:textId="77777777" w:rsidR="00A154D9" w:rsidRPr="00DE642C" w:rsidRDefault="00A154D9"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DE642C">
              <w:rPr>
                <w:b/>
                <w:sz w:val="20"/>
                <w:szCs w:val="20"/>
              </w:rPr>
              <w:t>Liczba osób starszych</w:t>
            </w:r>
          </w:p>
        </w:tc>
        <w:tc>
          <w:tcPr>
            <w:tcW w:w="5107" w:type="dxa"/>
            <w:gridSpan w:val="2"/>
          </w:tcPr>
          <w:p w14:paraId="1361ABC0" w14:textId="77777777" w:rsidR="00A154D9" w:rsidRPr="00DE642C" w:rsidRDefault="00A154D9"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DE642C">
              <w:rPr>
                <w:b/>
                <w:sz w:val="20"/>
                <w:szCs w:val="20"/>
              </w:rPr>
              <w:t>Kwota świadczenia</w:t>
            </w:r>
          </w:p>
        </w:tc>
      </w:tr>
      <w:tr w:rsidR="007F41B9" w:rsidRPr="00CB49BF" w14:paraId="59F69FF5" w14:textId="77777777" w:rsidTr="00CB49BF">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0B693F75" w14:textId="77777777" w:rsidR="007F41B9" w:rsidRPr="00CB49BF" w:rsidRDefault="007F41B9" w:rsidP="007F41B9">
            <w:pPr>
              <w:spacing w:line="240" w:lineRule="auto"/>
              <w:rPr>
                <w:rFonts w:eastAsia="Times New Roman"/>
                <w:b w:val="0"/>
                <w:bCs w:val="0"/>
                <w:color w:val="auto"/>
                <w:lang w:eastAsia="pl-PL"/>
              </w:rPr>
            </w:pPr>
          </w:p>
        </w:tc>
        <w:tc>
          <w:tcPr>
            <w:tcW w:w="3119" w:type="dxa"/>
            <w:gridSpan w:val="2"/>
          </w:tcPr>
          <w:p w14:paraId="5FB42B57" w14:textId="77777777" w:rsidR="007F41B9" w:rsidRPr="00DE642C" w:rsidRDefault="007F41B9" w:rsidP="007F41B9">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Zasiłek stały</w:t>
            </w:r>
          </w:p>
        </w:tc>
        <w:tc>
          <w:tcPr>
            <w:tcW w:w="3685" w:type="dxa"/>
            <w:gridSpan w:val="2"/>
          </w:tcPr>
          <w:p w14:paraId="1DEF9F85" w14:textId="69A5D65F" w:rsidR="007F41B9" w:rsidRPr="00DE642C" w:rsidRDefault="007F41B9" w:rsidP="007F41B9">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10 496</w:t>
            </w:r>
          </w:p>
        </w:tc>
        <w:tc>
          <w:tcPr>
            <w:tcW w:w="5107" w:type="dxa"/>
            <w:gridSpan w:val="2"/>
          </w:tcPr>
          <w:p w14:paraId="0CC76EE9" w14:textId="3EDE279F" w:rsidR="007F41B9" w:rsidRPr="00DE642C" w:rsidRDefault="007F41B9" w:rsidP="007F41B9">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58 644</w:t>
            </w:r>
            <w:r w:rsidR="00DE642C" w:rsidRPr="00DE642C">
              <w:rPr>
                <w:sz w:val="20"/>
                <w:szCs w:val="20"/>
              </w:rPr>
              <w:t> </w:t>
            </w:r>
            <w:r w:rsidRPr="00DE642C">
              <w:rPr>
                <w:sz w:val="20"/>
                <w:szCs w:val="20"/>
              </w:rPr>
              <w:t>194</w:t>
            </w:r>
            <w:r w:rsidR="00DE642C" w:rsidRPr="00DE642C">
              <w:rPr>
                <w:sz w:val="20"/>
                <w:szCs w:val="20"/>
              </w:rPr>
              <w:t xml:space="preserve"> zł</w:t>
            </w:r>
          </w:p>
        </w:tc>
      </w:tr>
      <w:tr w:rsidR="007F41B9" w:rsidRPr="00CB49BF" w14:paraId="769924EB" w14:textId="77777777" w:rsidTr="00CB49BF">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65636680" w14:textId="77777777" w:rsidR="007F41B9" w:rsidRPr="00CB49BF" w:rsidRDefault="007F41B9" w:rsidP="007F41B9">
            <w:pPr>
              <w:spacing w:line="240" w:lineRule="auto"/>
              <w:rPr>
                <w:rFonts w:eastAsia="Times New Roman"/>
                <w:b w:val="0"/>
                <w:bCs w:val="0"/>
                <w:color w:val="auto"/>
                <w:lang w:eastAsia="pl-PL"/>
              </w:rPr>
            </w:pPr>
          </w:p>
        </w:tc>
        <w:tc>
          <w:tcPr>
            <w:tcW w:w="3119" w:type="dxa"/>
            <w:gridSpan w:val="2"/>
          </w:tcPr>
          <w:p w14:paraId="316016F1" w14:textId="77777777" w:rsidR="007F41B9" w:rsidRPr="00DE642C" w:rsidRDefault="007F41B9" w:rsidP="007F41B9">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Zasiłek okresowy</w:t>
            </w:r>
          </w:p>
        </w:tc>
        <w:tc>
          <w:tcPr>
            <w:tcW w:w="3685" w:type="dxa"/>
            <w:gridSpan w:val="2"/>
          </w:tcPr>
          <w:p w14:paraId="4E5CD83E" w14:textId="10F733D0" w:rsidR="007F41B9" w:rsidRPr="00DE642C" w:rsidRDefault="007F41B9" w:rsidP="007F41B9">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2 999</w:t>
            </w:r>
          </w:p>
        </w:tc>
        <w:tc>
          <w:tcPr>
            <w:tcW w:w="5107" w:type="dxa"/>
            <w:gridSpan w:val="2"/>
          </w:tcPr>
          <w:p w14:paraId="5AE0A14E" w14:textId="331B8503" w:rsidR="007F41B9" w:rsidRPr="00DE642C" w:rsidRDefault="007F41B9" w:rsidP="007F41B9">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5 545</w:t>
            </w:r>
            <w:r w:rsidR="00DE642C" w:rsidRPr="00DE642C">
              <w:rPr>
                <w:sz w:val="20"/>
                <w:szCs w:val="20"/>
              </w:rPr>
              <w:t> </w:t>
            </w:r>
            <w:r w:rsidRPr="00DE642C">
              <w:rPr>
                <w:sz w:val="20"/>
                <w:szCs w:val="20"/>
              </w:rPr>
              <w:t>848</w:t>
            </w:r>
            <w:r w:rsidR="00DE642C" w:rsidRPr="00DE642C">
              <w:rPr>
                <w:sz w:val="20"/>
                <w:szCs w:val="20"/>
              </w:rPr>
              <w:t xml:space="preserve"> zł</w:t>
            </w:r>
          </w:p>
        </w:tc>
      </w:tr>
      <w:tr w:rsidR="007F41B9" w:rsidRPr="00CB49BF" w14:paraId="100B219E" w14:textId="77777777" w:rsidTr="00CB49BF">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6C2A47AD" w14:textId="77777777" w:rsidR="007F41B9" w:rsidRPr="00CB49BF" w:rsidRDefault="007F41B9" w:rsidP="007F41B9">
            <w:pPr>
              <w:spacing w:line="240" w:lineRule="auto"/>
              <w:rPr>
                <w:rFonts w:eastAsia="Times New Roman"/>
                <w:b w:val="0"/>
                <w:bCs w:val="0"/>
                <w:color w:val="auto"/>
                <w:lang w:eastAsia="pl-PL"/>
              </w:rPr>
            </w:pPr>
          </w:p>
        </w:tc>
        <w:tc>
          <w:tcPr>
            <w:tcW w:w="3119" w:type="dxa"/>
            <w:gridSpan w:val="2"/>
          </w:tcPr>
          <w:p w14:paraId="2D0C9EE0" w14:textId="77777777" w:rsidR="007F41B9" w:rsidRPr="00DE642C" w:rsidRDefault="007F41B9" w:rsidP="007F41B9">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Zasiłek celowy</w:t>
            </w:r>
          </w:p>
        </w:tc>
        <w:tc>
          <w:tcPr>
            <w:tcW w:w="3685" w:type="dxa"/>
            <w:gridSpan w:val="2"/>
          </w:tcPr>
          <w:p w14:paraId="5837C7EC" w14:textId="787FB6A9" w:rsidR="007F41B9" w:rsidRPr="00DE642C" w:rsidRDefault="007F41B9" w:rsidP="007F41B9">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14 008</w:t>
            </w:r>
          </w:p>
        </w:tc>
        <w:tc>
          <w:tcPr>
            <w:tcW w:w="5107" w:type="dxa"/>
            <w:gridSpan w:val="2"/>
          </w:tcPr>
          <w:p w14:paraId="6EFD8CB0" w14:textId="4F1388F0" w:rsidR="007F41B9" w:rsidRPr="00DE642C" w:rsidRDefault="007F41B9" w:rsidP="007F41B9">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15 818</w:t>
            </w:r>
            <w:r w:rsidR="00DE642C" w:rsidRPr="00DE642C">
              <w:rPr>
                <w:sz w:val="20"/>
                <w:szCs w:val="20"/>
              </w:rPr>
              <w:t> </w:t>
            </w:r>
            <w:r w:rsidRPr="00DE642C">
              <w:rPr>
                <w:sz w:val="20"/>
                <w:szCs w:val="20"/>
              </w:rPr>
              <w:t>341</w:t>
            </w:r>
            <w:r w:rsidR="00DE642C" w:rsidRPr="00DE642C">
              <w:rPr>
                <w:sz w:val="20"/>
                <w:szCs w:val="20"/>
              </w:rPr>
              <w:t xml:space="preserve"> zł</w:t>
            </w:r>
          </w:p>
        </w:tc>
      </w:tr>
      <w:tr w:rsidR="007F41B9" w:rsidRPr="00CB49BF" w14:paraId="659D64D2" w14:textId="77777777" w:rsidTr="00CB49BF">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1615709C" w14:textId="77777777" w:rsidR="007F41B9" w:rsidRPr="00CB49BF" w:rsidRDefault="007F41B9" w:rsidP="007F41B9">
            <w:pPr>
              <w:spacing w:line="240" w:lineRule="auto"/>
              <w:rPr>
                <w:rFonts w:eastAsia="Times New Roman"/>
                <w:b w:val="0"/>
                <w:bCs w:val="0"/>
                <w:color w:val="auto"/>
                <w:lang w:eastAsia="pl-PL"/>
              </w:rPr>
            </w:pPr>
          </w:p>
        </w:tc>
        <w:tc>
          <w:tcPr>
            <w:tcW w:w="3119" w:type="dxa"/>
            <w:gridSpan w:val="2"/>
          </w:tcPr>
          <w:p w14:paraId="4F8DCBB7" w14:textId="77777777" w:rsidR="007F41B9" w:rsidRPr="00DE642C" w:rsidRDefault="007F41B9" w:rsidP="007F41B9">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Specjalny zasiłek celowy</w:t>
            </w:r>
          </w:p>
        </w:tc>
        <w:tc>
          <w:tcPr>
            <w:tcW w:w="3685" w:type="dxa"/>
            <w:gridSpan w:val="2"/>
          </w:tcPr>
          <w:p w14:paraId="0DCD0A6B" w14:textId="5B4AE707" w:rsidR="007F41B9" w:rsidRPr="00DE642C" w:rsidRDefault="007F41B9" w:rsidP="007F41B9">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7 686</w:t>
            </w:r>
          </w:p>
        </w:tc>
        <w:tc>
          <w:tcPr>
            <w:tcW w:w="5107" w:type="dxa"/>
            <w:gridSpan w:val="2"/>
          </w:tcPr>
          <w:p w14:paraId="0E1563AC" w14:textId="47627ACD" w:rsidR="007F41B9" w:rsidRPr="00DE642C" w:rsidRDefault="007F41B9" w:rsidP="007F41B9">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6 365</w:t>
            </w:r>
            <w:r w:rsidR="00DE642C" w:rsidRPr="00DE642C">
              <w:rPr>
                <w:sz w:val="20"/>
                <w:szCs w:val="20"/>
              </w:rPr>
              <w:t> </w:t>
            </w:r>
            <w:r w:rsidRPr="00DE642C">
              <w:rPr>
                <w:sz w:val="20"/>
                <w:szCs w:val="20"/>
              </w:rPr>
              <w:t>749</w:t>
            </w:r>
            <w:r w:rsidR="00DE642C" w:rsidRPr="00DE642C">
              <w:rPr>
                <w:sz w:val="20"/>
                <w:szCs w:val="20"/>
              </w:rPr>
              <w:t xml:space="preserve"> zł</w:t>
            </w:r>
          </w:p>
        </w:tc>
      </w:tr>
      <w:tr w:rsidR="00CB49BF" w:rsidRPr="00CB49BF" w14:paraId="5EF7DF8E" w14:textId="77777777" w:rsidTr="00CB49B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6231B3FD" w14:textId="77777777" w:rsidR="00A154D9" w:rsidRPr="00CB49BF" w:rsidRDefault="00A154D9" w:rsidP="00E86509">
            <w:pPr>
              <w:spacing w:line="240" w:lineRule="auto"/>
              <w:rPr>
                <w:b w:val="0"/>
                <w:color w:val="auto"/>
                <w:lang w:eastAsia="pl-PL"/>
              </w:rPr>
            </w:pPr>
            <w:r w:rsidRPr="00CB49BF">
              <w:rPr>
                <w:color w:val="auto"/>
                <w:lang w:eastAsia="pl-PL"/>
              </w:rPr>
              <w:t>Największe problemy/niedogodności w świadczeniu opieki nad osobami starszymi (np. zasoby kadrowe, rzeczowe, finansowe itp.)</w:t>
            </w:r>
          </w:p>
        </w:tc>
        <w:tc>
          <w:tcPr>
            <w:tcW w:w="11911" w:type="dxa"/>
            <w:gridSpan w:val="6"/>
          </w:tcPr>
          <w:p w14:paraId="27D2D9BD" w14:textId="0EA684AF" w:rsidR="00A154D9" w:rsidRPr="00DE642C" w:rsidRDefault="00A154D9" w:rsidP="00E86509">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b/>
                <w:sz w:val="20"/>
                <w:szCs w:val="20"/>
              </w:rPr>
              <w:t>1.</w:t>
            </w:r>
            <w:r w:rsidR="007F41B9" w:rsidRPr="00DE642C">
              <w:rPr>
                <w:b/>
                <w:sz w:val="20"/>
                <w:szCs w:val="20"/>
              </w:rPr>
              <w:t xml:space="preserve"> </w:t>
            </w:r>
            <w:r w:rsidRPr="00DE642C">
              <w:rPr>
                <w:sz w:val="20"/>
                <w:szCs w:val="20"/>
              </w:rPr>
              <w:t>Brak wykwalifikowanej kadry.</w:t>
            </w:r>
          </w:p>
        </w:tc>
      </w:tr>
      <w:tr w:rsidR="00CB49BF" w:rsidRPr="00CB49BF" w14:paraId="58A7573F" w14:textId="77777777" w:rsidTr="00CB49BF">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664837C1" w14:textId="77777777" w:rsidR="00A154D9" w:rsidRPr="00CB49BF" w:rsidRDefault="00A154D9" w:rsidP="00E86509">
            <w:pPr>
              <w:spacing w:line="240" w:lineRule="auto"/>
              <w:rPr>
                <w:color w:val="auto"/>
                <w:lang w:eastAsia="pl-PL"/>
              </w:rPr>
            </w:pPr>
          </w:p>
        </w:tc>
        <w:tc>
          <w:tcPr>
            <w:tcW w:w="11911" w:type="dxa"/>
            <w:gridSpan w:val="6"/>
          </w:tcPr>
          <w:p w14:paraId="7B8FD9E6" w14:textId="0178B4B0" w:rsidR="00A154D9" w:rsidRPr="00DE642C" w:rsidRDefault="00A154D9" w:rsidP="00E86509">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b/>
                <w:sz w:val="20"/>
                <w:szCs w:val="20"/>
              </w:rPr>
              <w:t>2.</w:t>
            </w:r>
            <w:r w:rsidR="007F41B9" w:rsidRPr="00DE642C">
              <w:rPr>
                <w:sz w:val="20"/>
                <w:szCs w:val="20"/>
              </w:rPr>
              <w:t xml:space="preserve"> Brak zgody na ponoszenie odpłatności.</w:t>
            </w:r>
          </w:p>
        </w:tc>
      </w:tr>
      <w:tr w:rsidR="00CB49BF" w:rsidRPr="00CB49BF" w14:paraId="5D5191AA" w14:textId="77777777" w:rsidTr="00CB49BF">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26CAEE1F" w14:textId="77777777" w:rsidR="00A154D9" w:rsidRPr="00CB49BF" w:rsidRDefault="00A154D9" w:rsidP="00E86509">
            <w:pPr>
              <w:spacing w:line="240" w:lineRule="auto"/>
              <w:rPr>
                <w:color w:val="auto"/>
                <w:lang w:eastAsia="pl-PL"/>
              </w:rPr>
            </w:pPr>
          </w:p>
        </w:tc>
        <w:tc>
          <w:tcPr>
            <w:tcW w:w="11911" w:type="dxa"/>
            <w:gridSpan w:val="6"/>
          </w:tcPr>
          <w:p w14:paraId="521DD3C2" w14:textId="40A0D7E2" w:rsidR="00A154D9" w:rsidRPr="00DE642C" w:rsidRDefault="00A154D9" w:rsidP="00E86509">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b/>
                <w:sz w:val="20"/>
                <w:szCs w:val="20"/>
              </w:rPr>
              <w:t>3.</w:t>
            </w:r>
            <w:r w:rsidR="007F41B9" w:rsidRPr="00DE642C">
              <w:rPr>
                <w:b/>
                <w:sz w:val="20"/>
                <w:szCs w:val="20"/>
              </w:rPr>
              <w:t xml:space="preserve"> </w:t>
            </w:r>
            <w:r w:rsidR="007F41B9" w:rsidRPr="00DE642C">
              <w:rPr>
                <w:sz w:val="20"/>
                <w:szCs w:val="20"/>
              </w:rPr>
              <w:t>Osoby świadczące usługi mają trudności z dojazdem, ponieważ osoby wymagające pomocy mieszkają w dużych odległościach.</w:t>
            </w:r>
          </w:p>
        </w:tc>
      </w:tr>
      <w:tr w:rsidR="00CB49BF" w:rsidRPr="00CB49BF" w14:paraId="53107FB8" w14:textId="77777777" w:rsidTr="00CB49BF">
        <w:trPr>
          <w:trHeight w:val="442"/>
        </w:trPr>
        <w:tc>
          <w:tcPr>
            <w:cnfStyle w:val="001000000000" w:firstRow="0" w:lastRow="0" w:firstColumn="1" w:lastColumn="0" w:oddVBand="0" w:evenVBand="0" w:oddHBand="0" w:evenHBand="0" w:firstRowFirstColumn="0" w:firstRowLastColumn="0" w:lastRowFirstColumn="0" w:lastRowLastColumn="0"/>
            <w:tcW w:w="2830" w:type="dxa"/>
          </w:tcPr>
          <w:p w14:paraId="1D4E1EF2" w14:textId="77777777" w:rsidR="00A154D9" w:rsidRPr="00CB49BF" w:rsidRDefault="00A154D9" w:rsidP="00E86509">
            <w:pPr>
              <w:spacing w:line="240" w:lineRule="auto"/>
              <w:rPr>
                <w:color w:val="auto"/>
                <w:lang w:eastAsia="pl-PL"/>
              </w:rPr>
            </w:pPr>
            <w:r w:rsidRPr="00CB49BF">
              <w:rPr>
                <w:color w:val="auto"/>
                <w:lang w:eastAsia="pl-PL"/>
              </w:rPr>
              <w:t>Stopień zaspokojenia potrzeb w zakresie usług opiekuńczych</w:t>
            </w:r>
          </w:p>
        </w:tc>
        <w:tc>
          <w:tcPr>
            <w:tcW w:w="11911" w:type="dxa"/>
            <w:gridSpan w:val="6"/>
          </w:tcPr>
          <w:p w14:paraId="5905EAE0" w14:textId="0B745D62" w:rsidR="00A154D9" w:rsidRPr="00DE642C" w:rsidRDefault="007F41B9" w:rsidP="00E86509">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W 2020 r. o pomoc w formie usług opiekuńczych ubiegało się 13 758 osób, natomiast pomoc przyznano 13 408 osobom, co stanowi 97,5 % złożonych wniosków. Z udzielonej pomocy zrezygnowało 1 205 osób. Ponadto pomoc w formie usług opiekuńczych świadczono także osobom, dla których usługi opiekuńcze zostały przyznane przed 2020 r. Łącznie usługi opiekuńcze skierowano do 13 592 osób, w tym dla 1 212 osób świadczono specjalistyczne usługi opiekuńcze oraz 415 osób świadczono usługi specjalistyczne dla osób z zaburzeniami psychicznymi. Pomocy z uwagi na wiek, stan zdrowia, niepełnosprawność, samotność wymagało ponadto 223 osoby, które nie były objęte pomocą w formie usług opiekuńczych ze względu na odmowę udzielenia pomocy, brak zgody na ponoszenie odpłatności, braki kadrowe.</w:t>
            </w:r>
          </w:p>
        </w:tc>
      </w:tr>
    </w:tbl>
    <w:p w14:paraId="3B00A8B6" w14:textId="77777777" w:rsidR="005C6286" w:rsidRPr="005C6286" w:rsidRDefault="005C6286" w:rsidP="005C6286">
      <w:pPr>
        <w:tabs>
          <w:tab w:val="left" w:pos="5400"/>
        </w:tabs>
        <w:rPr>
          <w:rFonts w:eastAsia="Times New Roman" w:cs="Times New Roman"/>
          <w:b/>
          <w:szCs w:val="24"/>
          <w:lang w:eastAsia="pl-PL"/>
        </w:rPr>
      </w:pPr>
      <w:r w:rsidRPr="00432294">
        <w:rPr>
          <w:rFonts w:eastAsia="Times New Roman" w:cs="Times New Roman"/>
          <w:b/>
          <w:szCs w:val="24"/>
          <w:lang w:eastAsia="pl-PL"/>
        </w:rPr>
        <w:t xml:space="preserve">Źródło: </w:t>
      </w:r>
      <w:r>
        <w:rPr>
          <w:rFonts w:eastAsia="Times New Roman" w:cs="Times New Roman"/>
          <w:b/>
          <w:szCs w:val="24"/>
          <w:lang w:eastAsia="pl-PL"/>
        </w:rPr>
        <w:t>Dane Wojewody Mazowieckiego</w:t>
      </w:r>
      <w:r w:rsidRPr="00432294">
        <w:rPr>
          <w:rFonts w:eastAsia="Times New Roman" w:cs="Times New Roman"/>
          <w:b/>
          <w:szCs w:val="24"/>
          <w:lang w:eastAsia="pl-PL"/>
        </w:rPr>
        <w:t xml:space="preserve">. </w:t>
      </w:r>
    </w:p>
    <w:p w14:paraId="2355130E" w14:textId="77777777" w:rsidR="005C6286" w:rsidRPr="005C6286" w:rsidRDefault="005C6286" w:rsidP="005C6286">
      <w:pPr>
        <w:rPr>
          <w:lang w:eastAsia="ar-SA"/>
        </w:rPr>
        <w:sectPr w:rsidR="005C6286" w:rsidRPr="005C6286" w:rsidSect="00080A38">
          <w:pgSz w:w="16838" w:h="11900" w:orient="landscape"/>
          <w:pgMar w:top="1380" w:right="1384" w:bottom="1386" w:left="1038" w:header="0" w:footer="567" w:gutter="0"/>
          <w:cols w:space="0" w:equalWidth="0">
            <w:col w:w="9140"/>
          </w:cols>
          <w:docGrid w:linePitch="360"/>
        </w:sectPr>
      </w:pPr>
    </w:p>
    <w:p w14:paraId="2BE602D6" w14:textId="77777777" w:rsidR="00E51AC8" w:rsidRPr="00E51AC8" w:rsidRDefault="00E51AC8" w:rsidP="00FE70E3">
      <w:pPr>
        <w:pStyle w:val="Akapitzlist"/>
        <w:keepNext/>
        <w:keepLines/>
        <w:numPr>
          <w:ilvl w:val="0"/>
          <w:numId w:val="12"/>
        </w:numPr>
        <w:spacing w:before="240" w:after="240"/>
        <w:contextualSpacing w:val="0"/>
        <w:outlineLvl w:val="1"/>
        <w:rPr>
          <w:rFonts w:eastAsia="Times New Roman" w:cs="Times New Roman"/>
          <w:b/>
          <w:vanish/>
          <w:color w:val="ED7D31" w:themeColor="accent2"/>
          <w:sz w:val="40"/>
          <w:szCs w:val="26"/>
          <w:lang w:eastAsia="ar-SA"/>
        </w:rPr>
      </w:pPr>
      <w:bookmarkStart w:id="215" w:name="_Toc77504102"/>
      <w:bookmarkStart w:id="216" w:name="_Toc77513991"/>
      <w:bookmarkStart w:id="217" w:name="_Toc80523145"/>
      <w:bookmarkEnd w:id="215"/>
      <w:bookmarkEnd w:id="216"/>
      <w:bookmarkEnd w:id="217"/>
    </w:p>
    <w:p w14:paraId="65BF2C78" w14:textId="77777777" w:rsidR="00E51AC8" w:rsidRPr="00E51AC8" w:rsidRDefault="00E51AC8" w:rsidP="00FE70E3">
      <w:pPr>
        <w:pStyle w:val="Akapitzlist"/>
        <w:keepNext/>
        <w:keepLines/>
        <w:numPr>
          <w:ilvl w:val="0"/>
          <w:numId w:val="12"/>
        </w:numPr>
        <w:spacing w:before="240" w:after="240"/>
        <w:contextualSpacing w:val="0"/>
        <w:outlineLvl w:val="1"/>
        <w:rPr>
          <w:rFonts w:eastAsia="Times New Roman" w:cs="Times New Roman"/>
          <w:b/>
          <w:vanish/>
          <w:color w:val="ED7D31" w:themeColor="accent2"/>
          <w:sz w:val="40"/>
          <w:szCs w:val="26"/>
          <w:lang w:eastAsia="ar-SA"/>
        </w:rPr>
      </w:pPr>
      <w:bookmarkStart w:id="218" w:name="_Toc77504103"/>
      <w:bookmarkStart w:id="219" w:name="_Toc77513992"/>
      <w:bookmarkStart w:id="220" w:name="_Toc80523146"/>
      <w:bookmarkEnd w:id="218"/>
      <w:bookmarkEnd w:id="219"/>
      <w:bookmarkEnd w:id="220"/>
    </w:p>
    <w:p w14:paraId="66C8DB5C" w14:textId="77777777" w:rsidR="00E51AC8" w:rsidRPr="00E51AC8" w:rsidRDefault="00E51AC8" w:rsidP="00FE70E3">
      <w:pPr>
        <w:pStyle w:val="Akapitzlist"/>
        <w:keepNext/>
        <w:keepLines/>
        <w:numPr>
          <w:ilvl w:val="0"/>
          <w:numId w:val="12"/>
        </w:numPr>
        <w:spacing w:before="240" w:after="240"/>
        <w:contextualSpacing w:val="0"/>
        <w:outlineLvl w:val="1"/>
        <w:rPr>
          <w:rFonts w:eastAsia="Times New Roman" w:cs="Times New Roman"/>
          <w:b/>
          <w:vanish/>
          <w:color w:val="ED7D31" w:themeColor="accent2"/>
          <w:sz w:val="40"/>
          <w:szCs w:val="26"/>
          <w:lang w:eastAsia="ar-SA"/>
        </w:rPr>
      </w:pPr>
      <w:bookmarkStart w:id="221" w:name="_Toc77504104"/>
      <w:bookmarkStart w:id="222" w:name="_Toc77513993"/>
      <w:bookmarkStart w:id="223" w:name="_Toc80523147"/>
      <w:bookmarkEnd w:id="221"/>
      <w:bookmarkEnd w:id="222"/>
      <w:bookmarkEnd w:id="223"/>
    </w:p>
    <w:p w14:paraId="11C8B7C3" w14:textId="7219E73C" w:rsidR="00F31DCC" w:rsidRPr="00D15498" w:rsidRDefault="00B25D75" w:rsidP="00FE70E3">
      <w:pPr>
        <w:pStyle w:val="Nagwek2"/>
        <w:numPr>
          <w:ilvl w:val="1"/>
          <w:numId w:val="12"/>
        </w:numPr>
        <w:spacing w:before="240" w:after="240"/>
        <w:rPr>
          <w:rFonts w:eastAsia="Times New Roman" w:cs="Times New Roman"/>
          <w:sz w:val="40"/>
          <w:lang w:eastAsia="ar-SA"/>
        </w:rPr>
      </w:pPr>
      <w:bookmarkStart w:id="224" w:name="_Toc80523148"/>
      <w:r w:rsidRPr="00D15498">
        <w:rPr>
          <w:rFonts w:eastAsia="Times New Roman" w:cs="Times New Roman"/>
          <w:sz w:val="40"/>
          <w:lang w:eastAsia="ar-SA"/>
        </w:rPr>
        <w:t xml:space="preserve">Województwo </w:t>
      </w:r>
      <w:r w:rsidR="005F0A32" w:rsidRPr="00D15498">
        <w:rPr>
          <w:rFonts w:eastAsia="Times New Roman" w:cs="Times New Roman"/>
          <w:sz w:val="40"/>
          <w:lang w:eastAsia="ar-SA"/>
        </w:rPr>
        <w:t>o</w:t>
      </w:r>
      <w:r w:rsidR="00475EFA" w:rsidRPr="00D15498">
        <w:rPr>
          <w:rFonts w:eastAsia="Times New Roman" w:cs="Times New Roman"/>
          <w:sz w:val="40"/>
          <w:lang w:eastAsia="ar-SA"/>
        </w:rPr>
        <w:t>polskie</w:t>
      </w:r>
      <w:bookmarkEnd w:id="224"/>
    </w:p>
    <w:p w14:paraId="0197E201" w14:textId="77777777" w:rsidR="005B094D" w:rsidRPr="005B094D" w:rsidRDefault="005B094D" w:rsidP="005B094D">
      <w:pPr>
        <w:pStyle w:val="Akapitzlist"/>
        <w:keepNext/>
        <w:keepLines/>
        <w:numPr>
          <w:ilvl w:val="1"/>
          <w:numId w:val="1"/>
        </w:numPr>
        <w:spacing w:before="120" w:after="120"/>
        <w:contextualSpacing w:val="0"/>
        <w:outlineLvl w:val="1"/>
        <w:rPr>
          <w:rFonts w:eastAsiaTheme="majorEastAsia" w:cstheme="majorBidi"/>
          <w:b/>
          <w:vanish/>
          <w:color w:val="ED7D31" w:themeColor="accent2"/>
          <w:sz w:val="34"/>
          <w:szCs w:val="26"/>
          <w:lang w:eastAsia="ar-SA"/>
        </w:rPr>
      </w:pPr>
      <w:bookmarkStart w:id="225" w:name="_Toc80523149"/>
      <w:bookmarkStart w:id="226" w:name="_Toc77513995"/>
      <w:bookmarkEnd w:id="225"/>
    </w:p>
    <w:p w14:paraId="5C3E65BE" w14:textId="120D9099" w:rsidR="007873B2" w:rsidRDefault="007873B2" w:rsidP="005B094D">
      <w:pPr>
        <w:pStyle w:val="Nagwek3"/>
        <w:rPr>
          <w:lang w:eastAsia="ar-SA"/>
        </w:rPr>
      </w:pPr>
      <w:bookmarkStart w:id="227" w:name="_Toc80523150"/>
      <w:r w:rsidRPr="007873B2">
        <w:rPr>
          <w:lang w:eastAsia="ar-SA"/>
        </w:rPr>
        <w:t>Aktywność ekonomiczna i warunki bytowe</w:t>
      </w:r>
      <w:bookmarkEnd w:id="226"/>
      <w:bookmarkEnd w:id="227"/>
    </w:p>
    <w:p w14:paraId="2D7103A4" w14:textId="77777777" w:rsidR="000B1B06" w:rsidRPr="000B1B06" w:rsidRDefault="000B1B06" w:rsidP="000B1B06">
      <w:pPr>
        <w:rPr>
          <w:lang w:eastAsia="ar-SA"/>
        </w:rPr>
      </w:pPr>
    </w:p>
    <w:p w14:paraId="60D202D0" w14:textId="77777777" w:rsidR="007873B2" w:rsidRPr="007873B2" w:rsidRDefault="007873B2" w:rsidP="007873B2">
      <w:pPr>
        <w:rPr>
          <w:rFonts w:cs="Times New Roman"/>
          <w:szCs w:val="24"/>
        </w:rPr>
      </w:pPr>
      <w:r w:rsidRPr="007873B2">
        <w:rPr>
          <w:rFonts w:cs="Times New Roman"/>
          <w:szCs w:val="24"/>
        </w:rPr>
        <w:t>W 2020 r. w województwie opolskim przeciętny miesięczny dochód rozporządzalny przypadający na 1 osobę w gospodarstwach domowych wyniósł  1711 zł. Na dochód rozporządzalny gospodarstwa domowego składają się przede wszystkim dochody z pracy najemnej oraz dochody ze świadczeń społecznych. W 2020 r. ich udział w dochodzie rozporządzalnym wyniósł odpowiednio 50,9% i 36,2%. W 2020 r. przeciętne miesięczne wydatki na 1 osobę w gospodarstwach domowych wyniosły 1287 zł.  Na żywność i napoje bezalkoholowe gospodarstwa domowe przeznaczały przeciętnie 26,4% ogólnej kwoty wydatków, na opłaty z tytułu użytkowania mieszkania lub domu i za korzystanie z nośników energii  - 16,6%, a na zdrowie – 4,8%.</w:t>
      </w:r>
    </w:p>
    <w:p w14:paraId="73C2C8C4" w14:textId="77777777" w:rsidR="007873B2" w:rsidRPr="007873B2" w:rsidRDefault="007873B2" w:rsidP="007873B2">
      <w:pPr>
        <w:rPr>
          <w:rFonts w:cs="Times New Roman"/>
          <w:szCs w:val="24"/>
        </w:rPr>
      </w:pPr>
    </w:p>
    <w:p w14:paraId="129CF3ED" w14:textId="77777777" w:rsidR="007873B2" w:rsidRPr="007873B2" w:rsidRDefault="007873B2" w:rsidP="007873B2">
      <w:pPr>
        <w:rPr>
          <w:rFonts w:cs="Times New Roman"/>
          <w:szCs w:val="24"/>
        </w:rPr>
      </w:pPr>
      <w:r w:rsidRPr="007873B2">
        <w:rPr>
          <w:rFonts w:cs="Times New Roman"/>
          <w:szCs w:val="24"/>
        </w:rPr>
        <w:t>W 2020 r. swoją sytuację materialną jako bardzo dobrą i raczej dobrą oceniło 63,3% gospodarstw domowych. Udział gospodarstw określających swoją sytuację materialną jako przeciętną wyniósł 32,7%, a raczej złą i złą ukształtował się na poziomie 4,0%.</w:t>
      </w:r>
    </w:p>
    <w:p w14:paraId="2A469428" w14:textId="77777777" w:rsidR="007873B2" w:rsidRPr="007873B2" w:rsidRDefault="007873B2" w:rsidP="007873B2">
      <w:pPr>
        <w:rPr>
          <w:rFonts w:cs="Times New Roman"/>
          <w:szCs w:val="24"/>
        </w:rPr>
      </w:pPr>
    </w:p>
    <w:p w14:paraId="70AE79D3" w14:textId="77777777" w:rsidR="007873B2" w:rsidRPr="007873B2" w:rsidRDefault="007873B2" w:rsidP="007873B2">
      <w:pPr>
        <w:rPr>
          <w:rFonts w:cs="Times New Roman"/>
          <w:szCs w:val="24"/>
        </w:rPr>
      </w:pPr>
      <w:r w:rsidRPr="007873B2">
        <w:rPr>
          <w:rFonts w:cs="Times New Roman"/>
          <w:szCs w:val="24"/>
        </w:rPr>
        <w:t>W analizowanym roku przeciętna liczba osób w gospodarstwie domowym ukształtowała się na poziomie 2,65. Przeciętna powierzchnia użytkowa mieszkania zajmowana przez gospodarstwo domowe wyniosła 89,85 m</w:t>
      </w:r>
      <w:r w:rsidRPr="007873B2">
        <w:rPr>
          <w:rFonts w:cs="Times New Roman"/>
          <w:szCs w:val="24"/>
          <w:vertAlign w:val="superscript"/>
        </w:rPr>
        <w:t>2</w:t>
      </w:r>
      <w:r w:rsidRPr="007873B2">
        <w:rPr>
          <w:rFonts w:cs="Times New Roman"/>
          <w:szCs w:val="24"/>
        </w:rPr>
        <w:t>.</w:t>
      </w:r>
    </w:p>
    <w:p w14:paraId="708495CD" w14:textId="77777777" w:rsidR="007873B2" w:rsidRPr="007873B2" w:rsidRDefault="007873B2" w:rsidP="007873B2">
      <w:pPr>
        <w:rPr>
          <w:color w:val="FF0000"/>
          <w:lang w:eastAsia="ar-SA"/>
        </w:rPr>
      </w:pPr>
    </w:p>
    <w:p w14:paraId="2973C6F2" w14:textId="179E688E" w:rsidR="007873B2" w:rsidRPr="00C12FD6" w:rsidRDefault="007873B2" w:rsidP="007873B2">
      <w:pPr>
        <w:pStyle w:val="Legenda"/>
        <w:keepNext/>
        <w:rPr>
          <w:rFonts w:cs="Times New Roman"/>
          <w:b/>
          <w:i w:val="0"/>
          <w:color w:val="auto"/>
          <w:sz w:val="24"/>
        </w:rPr>
      </w:pPr>
      <w:r w:rsidRPr="00432294">
        <w:rPr>
          <w:rFonts w:cs="Times New Roman"/>
          <w:b/>
          <w:i w:val="0"/>
          <w:color w:val="auto"/>
          <w:sz w:val="24"/>
        </w:rPr>
        <w:t xml:space="preserve">Tabela </w:t>
      </w:r>
      <w:r w:rsidR="005B094D">
        <w:rPr>
          <w:rFonts w:cs="Times New Roman"/>
          <w:b/>
          <w:i w:val="0"/>
          <w:color w:val="auto"/>
          <w:sz w:val="24"/>
        </w:rPr>
        <w:t>63</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Aktywność ekonomiczna osób starszych w województwie opolski</w:t>
      </w:r>
      <w:r w:rsidR="00865CB7">
        <w:rPr>
          <w:rFonts w:cs="Times New Roman"/>
          <w:b/>
          <w:i w:val="0"/>
          <w:color w:val="auto"/>
          <w:sz w:val="24"/>
        </w:rPr>
        <w:t>m</w:t>
      </w:r>
    </w:p>
    <w:tbl>
      <w:tblPr>
        <w:tblStyle w:val="Tabelasiatki6kolorowaakcent2"/>
        <w:tblpPr w:leftFromText="141" w:rightFromText="141" w:vertAnchor="text" w:tblpXSpec="center" w:tblpY="1"/>
        <w:tblW w:w="9067" w:type="dxa"/>
        <w:tblLayout w:type="fixed"/>
        <w:tblLook w:val="04A0" w:firstRow="1" w:lastRow="0" w:firstColumn="1" w:lastColumn="0" w:noHBand="0" w:noVBand="1"/>
      </w:tblPr>
      <w:tblGrid>
        <w:gridCol w:w="1990"/>
        <w:gridCol w:w="3969"/>
        <w:gridCol w:w="3108"/>
      </w:tblGrid>
      <w:tr w:rsidR="007873B2" w:rsidRPr="007873B2" w14:paraId="01D1A5EA" w14:textId="77777777" w:rsidTr="00EB7DC7">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067" w:type="dxa"/>
            <w:gridSpan w:val="3"/>
          </w:tcPr>
          <w:p w14:paraId="59A3F3ED" w14:textId="77777777" w:rsidR="007873B2" w:rsidRPr="007873B2" w:rsidRDefault="007873B2" w:rsidP="00EB7DC7">
            <w:pPr>
              <w:jc w:val="center"/>
              <w:rPr>
                <w:rFonts w:cs="Times New Roman"/>
                <w:color w:val="auto"/>
                <w:sz w:val="20"/>
                <w:szCs w:val="20"/>
              </w:rPr>
            </w:pPr>
            <w:r w:rsidRPr="007873B2">
              <w:rPr>
                <w:rFonts w:cs="Times New Roman"/>
                <w:color w:val="auto"/>
                <w:sz w:val="20"/>
                <w:szCs w:val="20"/>
                <w:lang w:eastAsia="pl-PL"/>
              </w:rPr>
              <w:t>AKTYWNOŚĆ EKONOMICZNA OSÓB STARSZYCH – DANE ZA 2020 R.</w:t>
            </w:r>
          </w:p>
        </w:tc>
      </w:tr>
      <w:tr w:rsidR="007873B2" w:rsidRPr="007873B2" w14:paraId="04D11DEE" w14:textId="77777777" w:rsidTr="00EB7DC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959" w:type="dxa"/>
            <w:gridSpan w:val="2"/>
          </w:tcPr>
          <w:p w14:paraId="62D6BB2D" w14:textId="77777777" w:rsidR="007873B2" w:rsidRPr="007873B2" w:rsidRDefault="007873B2" w:rsidP="00EB7DC7">
            <w:pPr>
              <w:rPr>
                <w:rFonts w:cs="Times New Roman"/>
                <w:color w:val="auto"/>
                <w:sz w:val="20"/>
                <w:szCs w:val="20"/>
              </w:rPr>
            </w:pPr>
            <w:r w:rsidRPr="007873B2">
              <w:rPr>
                <w:rFonts w:cs="Times New Roman"/>
                <w:color w:val="auto"/>
                <w:sz w:val="20"/>
                <w:szCs w:val="20"/>
              </w:rPr>
              <w:t>Podział</w:t>
            </w:r>
          </w:p>
        </w:tc>
        <w:tc>
          <w:tcPr>
            <w:tcW w:w="3108" w:type="dxa"/>
          </w:tcPr>
          <w:p w14:paraId="62D79DE4" w14:textId="77777777" w:rsidR="007873B2" w:rsidRPr="007873B2" w:rsidRDefault="007873B2"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7873B2">
              <w:rPr>
                <w:rFonts w:cs="Times New Roman"/>
                <w:b/>
                <w:color w:val="auto"/>
                <w:sz w:val="20"/>
                <w:szCs w:val="20"/>
              </w:rPr>
              <w:t>Liczba</w:t>
            </w:r>
          </w:p>
        </w:tc>
      </w:tr>
      <w:tr w:rsidR="007873B2" w:rsidRPr="007873B2" w14:paraId="5CB6D373"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1990" w:type="dxa"/>
            <w:vMerge w:val="restart"/>
          </w:tcPr>
          <w:p w14:paraId="6575EEBA" w14:textId="77777777" w:rsidR="007873B2" w:rsidRPr="007873B2" w:rsidRDefault="007873B2" w:rsidP="00EB7DC7">
            <w:pPr>
              <w:rPr>
                <w:rFonts w:cs="Times New Roman"/>
                <w:b w:val="0"/>
                <w:color w:val="auto"/>
                <w:sz w:val="20"/>
                <w:szCs w:val="20"/>
                <w:lang w:eastAsia="pl-PL"/>
              </w:rPr>
            </w:pPr>
            <w:r w:rsidRPr="007873B2">
              <w:rPr>
                <w:rFonts w:cs="Times New Roman"/>
                <w:color w:val="auto"/>
                <w:sz w:val="20"/>
                <w:szCs w:val="20"/>
                <w:lang w:eastAsia="pl-PL"/>
              </w:rPr>
              <w:t>Osoby aktywne zawodowo razem (w tys.)</w:t>
            </w:r>
          </w:p>
        </w:tc>
        <w:tc>
          <w:tcPr>
            <w:tcW w:w="3969" w:type="dxa"/>
          </w:tcPr>
          <w:p w14:paraId="78544968"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ogółem</w:t>
            </w:r>
          </w:p>
        </w:tc>
        <w:tc>
          <w:tcPr>
            <w:tcW w:w="3108" w:type="dxa"/>
          </w:tcPr>
          <w:p w14:paraId="549113F0"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400</w:t>
            </w:r>
          </w:p>
        </w:tc>
      </w:tr>
      <w:tr w:rsidR="007873B2" w:rsidRPr="007873B2" w14:paraId="7BE22655" w14:textId="77777777" w:rsidTr="00694604">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990" w:type="dxa"/>
            <w:vMerge/>
          </w:tcPr>
          <w:p w14:paraId="6CDAC6E1" w14:textId="77777777" w:rsidR="007873B2" w:rsidRPr="007873B2" w:rsidRDefault="007873B2" w:rsidP="00EB7DC7">
            <w:pPr>
              <w:rPr>
                <w:rFonts w:cs="Times New Roman"/>
                <w:b w:val="0"/>
                <w:color w:val="auto"/>
                <w:sz w:val="20"/>
                <w:szCs w:val="20"/>
                <w:lang w:eastAsia="pl-PL"/>
              </w:rPr>
            </w:pPr>
          </w:p>
        </w:tc>
        <w:tc>
          <w:tcPr>
            <w:tcW w:w="3969" w:type="dxa"/>
          </w:tcPr>
          <w:p w14:paraId="200C995B"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w tym w wieku 60+</w:t>
            </w:r>
          </w:p>
        </w:tc>
        <w:tc>
          <w:tcPr>
            <w:tcW w:w="3108" w:type="dxa"/>
          </w:tcPr>
          <w:p w14:paraId="1E63F607"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32</w:t>
            </w:r>
          </w:p>
        </w:tc>
      </w:tr>
      <w:tr w:rsidR="007873B2" w:rsidRPr="007873B2" w14:paraId="47269FA1"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1990" w:type="dxa"/>
            <w:vMerge w:val="restart"/>
          </w:tcPr>
          <w:p w14:paraId="2DE58922" w14:textId="77777777" w:rsidR="007873B2" w:rsidRPr="007873B2" w:rsidRDefault="007873B2" w:rsidP="00EB7DC7">
            <w:pPr>
              <w:rPr>
                <w:rFonts w:cs="Times New Roman"/>
                <w:b w:val="0"/>
                <w:color w:val="auto"/>
                <w:sz w:val="20"/>
                <w:szCs w:val="20"/>
                <w:lang w:eastAsia="pl-PL"/>
              </w:rPr>
            </w:pPr>
            <w:r w:rsidRPr="007873B2">
              <w:rPr>
                <w:rFonts w:cs="Times New Roman"/>
                <w:color w:val="auto"/>
                <w:sz w:val="20"/>
                <w:szCs w:val="20"/>
                <w:lang w:eastAsia="pl-PL"/>
              </w:rPr>
              <w:t xml:space="preserve">Osoby aktywne zawodowo </w:t>
            </w:r>
            <w:r w:rsidRPr="007873B2">
              <w:rPr>
                <w:rFonts w:cs="Times New Roman"/>
                <w:color w:val="auto"/>
                <w:sz w:val="20"/>
                <w:szCs w:val="20"/>
                <w:lang w:eastAsia="pl-PL"/>
              </w:rPr>
              <w:br/>
              <w:t>– pracujący (w tys.)</w:t>
            </w:r>
          </w:p>
        </w:tc>
        <w:tc>
          <w:tcPr>
            <w:tcW w:w="3969" w:type="dxa"/>
          </w:tcPr>
          <w:p w14:paraId="59CAB9BD"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Ogółem</w:t>
            </w:r>
          </w:p>
        </w:tc>
        <w:tc>
          <w:tcPr>
            <w:tcW w:w="3108" w:type="dxa"/>
          </w:tcPr>
          <w:p w14:paraId="51446013"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388</w:t>
            </w:r>
          </w:p>
        </w:tc>
      </w:tr>
      <w:tr w:rsidR="007873B2" w:rsidRPr="007873B2" w14:paraId="36AD4148" w14:textId="77777777" w:rsidTr="00694604">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990" w:type="dxa"/>
            <w:vMerge/>
          </w:tcPr>
          <w:p w14:paraId="2FC6BE74" w14:textId="77777777" w:rsidR="007873B2" w:rsidRPr="007873B2" w:rsidRDefault="007873B2" w:rsidP="00EB7DC7">
            <w:pPr>
              <w:rPr>
                <w:rFonts w:cs="Times New Roman"/>
                <w:b w:val="0"/>
                <w:color w:val="auto"/>
                <w:sz w:val="20"/>
                <w:szCs w:val="20"/>
                <w:lang w:eastAsia="pl-PL"/>
              </w:rPr>
            </w:pPr>
          </w:p>
        </w:tc>
        <w:tc>
          <w:tcPr>
            <w:tcW w:w="3969" w:type="dxa"/>
          </w:tcPr>
          <w:p w14:paraId="76852F3F"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w tym w wieku 60+</w:t>
            </w:r>
          </w:p>
        </w:tc>
        <w:tc>
          <w:tcPr>
            <w:tcW w:w="3108" w:type="dxa"/>
          </w:tcPr>
          <w:p w14:paraId="6E726C2F"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31</w:t>
            </w:r>
          </w:p>
        </w:tc>
      </w:tr>
      <w:tr w:rsidR="007873B2" w:rsidRPr="007873B2" w14:paraId="20E21359"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1990" w:type="dxa"/>
            <w:vMerge w:val="restart"/>
          </w:tcPr>
          <w:p w14:paraId="2FAE4AE3" w14:textId="77777777" w:rsidR="007873B2" w:rsidRPr="007873B2" w:rsidRDefault="007873B2" w:rsidP="00EB7DC7">
            <w:pPr>
              <w:rPr>
                <w:rFonts w:cs="Times New Roman"/>
                <w:b w:val="0"/>
                <w:color w:val="auto"/>
                <w:sz w:val="20"/>
                <w:szCs w:val="20"/>
                <w:lang w:eastAsia="pl-PL"/>
              </w:rPr>
            </w:pPr>
            <w:r w:rsidRPr="007873B2">
              <w:rPr>
                <w:rFonts w:cs="Times New Roman"/>
                <w:color w:val="auto"/>
                <w:sz w:val="20"/>
                <w:szCs w:val="20"/>
                <w:lang w:eastAsia="pl-PL"/>
              </w:rPr>
              <w:t>Osoby bierne zawodowo (w tys.)</w:t>
            </w:r>
          </w:p>
        </w:tc>
        <w:tc>
          <w:tcPr>
            <w:tcW w:w="3969" w:type="dxa"/>
          </w:tcPr>
          <w:p w14:paraId="4C7BB73D"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ogółem</w:t>
            </w:r>
          </w:p>
        </w:tc>
        <w:tc>
          <w:tcPr>
            <w:tcW w:w="3108" w:type="dxa"/>
          </w:tcPr>
          <w:p w14:paraId="413171A8"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331</w:t>
            </w:r>
          </w:p>
        </w:tc>
      </w:tr>
      <w:tr w:rsidR="007873B2" w:rsidRPr="007873B2" w14:paraId="13DF5D2D" w14:textId="77777777" w:rsidTr="0069460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990" w:type="dxa"/>
            <w:vMerge/>
          </w:tcPr>
          <w:p w14:paraId="1C0D0497" w14:textId="77777777" w:rsidR="007873B2" w:rsidRPr="007873B2" w:rsidRDefault="007873B2" w:rsidP="00EB7DC7">
            <w:pPr>
              <w:rPr>
                <w:rFonts w:cs="Times New Roman"/>
                <w:b w:val="0"/>
                <w:color w:val="auto"/>
                <w:sz w:val="20"/>
                <w:szCs w:val="20"/>
                <w:lang w:eastAsia="pl-PL"/>
              </w:rPr>
            </w:pPr>
          </w:p>
        </w:tc>
        <w:tc>
          <w:tcPr>
            <w:tcW w:w="3969" w:type="dxa"/>
          </w:tcPr>
          <w:p w14:paraId="3A75E4BB"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w tym w wieku 60+</w:t>
            </w:r>
          </w:p>
        </w:tc>
        <w:tc>
          <w:tcPr>
            <w:tcW w:w="3108" w:type="dxa"/>
          </w:tcPr>
          <w:p w14:paraId="57D4A589"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210</w:t>
            </w:r>
          </w:p>
        </w:tc>
      </w:tr>
      <w:tr w:rsidR="007873B2" w:rsidRPr="007873B2" w14:paraId="1BFFE2D4"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1990" w:type="dxa"/>
            <w:vMerge w:val="restart"/>
          </w:tcPr>
          <w:p w14:paraId="7B064A1B" w14:textId="77777777" w:rsidR="007873B2" w:rsidRPr="007873B2" w:rsidRDefault="007873B2" w:rsidP="00EB7DC7">
            <w:pPr>
              <w:rPr>
                <w:rFonts w:cs="Times New Roman"/>
                <w:b w:val="0"/>
                <w:color w:val="auto"/>
                <w:sz w:val="20"/>
                <w:szCs w:val="20"/>
                <w:lang w:eastAsia="pl-PL"/>
              </w:rPr>
            </w:pPr>
            <w:r w:rsidRPr="007873B2">
              <w:rPr>
                <w:rFonts w:cs="Times New Roman"/>
                <w:color w:val="auto"/>
                <w:sz w:val="20"/>
                <w:szCs w:val="20"/>
                <w:lang w:eastAsia="pl-PL"/>
              </w:rPr>
              <w:t>Współczynnik aktywności zawodowej %</w:t>
            </w:r>
          </w:p>
        </w:tc>
        <w:tc>
          <w:tcPr>
            <w:tcW w:w="3969" w:type="dxa"/>
          </w:tcPr>
          <w:p w14:paraId="3B55E7F1"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Ogółem</w:t>
            </w:r>
          </w:p>
        </w:tc>
        <w:tc>
          <w:tcPr>
            <w:tcW w:w="3108" w:type="dxa"/>
          </w:tcPr>
          <w:p w14:paraId="69AFE562"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54,7</w:t>
            </w:r>
          </w:p>
        </w:tc>
      </w:tr>
      <w:tr w:rsidR="007873B2" w:rsidRPr="007873B2" w14:paraId="73646FD6" w14:textId="77777777" w:rsidTr="0069460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990" w:type="dxa"/>
            <w:vMerge/>
          </w:tcPr>
          <w:p w14:paraId="42ADAD04" w14:textId="77777777" w:rsidR="007873B2" w:rsidRPr="007873B2" w:rsidRDefault="007873B2" w:rsidP="00EB7DC7">
            <w:pPr>
              <w:rPr>
                <w:rFonts w:cs="Times New Roman"/>
                <w:b w:val="0"/>
                <w:color w:val="auto"/>
                <w:sz w:val="20"/>
                <w:szCs w:val="20"/>
                <w:lang w:eastAsia="pl-PL"/>
              </w:rPr>
            </w:pPr>
          </w:p>
        </w:tc>
        <w:tc>
          <w:tcPr>
            <w:tcW w:w="3969" w:type="dxa"/>
          </w:tcPr>
          <w:p w14:paraId="1BD34FAB"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w tym w wieku 60+</w:t>
            </w:r>
          </w:p>
        </w:tc>
        <w:tc>
          <w:tcPr>
            <w:tcW w:w="3108" w:type="dxa"/>
          </w:tcPr>
          <w:p w14:paraId="14A4051A"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13,2</w:t>
            </w:r>
          </w:p>
        </w:tc>
      </w:tr>
      <w:tr w:rsidR="007873B2" w:rsidRPr="007873B2" w14:paraId="09587C49" w14:textId="77777777" w:rsidTr="00EB7DC7">
        <w:trPr>
          <w:trHeight w:val="143"/>
        </w:trPr>
        <w:tc>
          <w:tcPr>
            <w:cnfStyle w:val="001000000000" w:firstRow="0" w:lastRow="0" w:firstColumn="1" w:lastColumn="0" w:oddVBand="0" w:evenVBand="0" w:oddHBand="0" w:evenHBand="0" w:firstRowFirstColumn="0" w:firstRowLastColumn="0" w:lastRowFirstColumn="0" w:lastRowLastColumn="0"/>
            <w:tcW w:w="1990" w:type="dxa"/>
            <w:vMerge w:val="restart"/>
          </w:tcPr>
          <w:p w14:paraId="6F236A30" w14:textId="77777777" w:rsidR="007873B2" w:rsidRPr="007873B2" w:rsidRDefault="007873B2" w:rsidP="00EB7DC7">
            <w:pPr>
              <w:rPr>
                <w:rFonts w:cs="Times New Roman"/>
                <w:b w:val="0"/>
                <w:color w:val="auto"/>
                <w:sz w:val="20"/>
                <w:szCs w:val="20"/>
                <w:lang w:eastAsia="pl-PL"/>
              </w:rPr>
            </w:pPr>
            <w:r w:rsidRPr="007873B2">
              <w:rPr>
                <w:rFonts w:cs="Times New Roman"/>
                <w:color w:val="auto"/>
                <w:sz w:val="20"/>
                <w:szCs w:val="20"/>
                <w:lang w:eastAsia="pl-PL"/>
              </w:rPr>
              <w:t>Wskaźnik zatrudnienia %</w:t>
            </w:r>
          </w:p>
        </w:tc>
        <w:tc>
          <w:tcPr>
            <w:tcW w:w="3969" w:type="dxa"/>
          </w:tcPr>
          <w:p w14:paraId="3CADA09C"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ogółem</w:t>
            </w:r>
          </w:p>
        </w:tc>
        <w:tc>
          <w:tcPr>
            <w:tcW w:w="3108" w:type="dxa"/>
          </w:tcPr>
          <w:p w14:paraId="6BF74D2C"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53,1</w:t>
            </w:r>
          </w:p>
        </w:tc>
      </w:tr>
      <w:tr w:rsidR="007873B2" w:rsidRPr="007873B2" w14:paraId="68C26EEF" w14:textId="77777777" w:rsidTr="00694604">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990" w:type="dxa"/>
            <w:vMerge/>
          </w:tcPr>
          <w:p w14:paraId="22A4B432" w14:textId="77777777" w:rsidR="007873B2" w:rsidRPr="007873B2" w:rsidRDefault="007873B2" w:rsidP="00EB7DC7">
            <w:pPr>
              <w:rPr>
                <w:rFonts w:cs="Times New Roman"/>
                <w:b w:val="0"/>
                <w:color w:val="auto"/>
                <w:sz w:val="20"/>
                <w:szCs w:val="20"/>
                <w:lang w:eastAsia="pl-PL"/>
              </w:rPr>
            </w:pPr>
          </w:p>
        </w:tc>
        <w:tc>
          <w:tcPr>
            <w:tcW w:w="3969" w:type="dxa"/>
          </w:tcPr>
          <w:p w14:paraId="23A19412"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w tym w wieku 60+</w:t>
            </w:r>
          </w:p>
        </w:tc>
        <w:tc>
          <w:tcPr>
            <w:tcW w:w="3108" w:type="dxa"/>
          </w:tcPr>
          <w:p w14:paraId="08BA28F8"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12,8</w:t>
            </w:r>
          </w:p>
        </w:tc>
      </w:tr>
      <w:tr w:rsidR="007873B2" w:rsidRPr="007873B2" w14:paraId="45B02204" w14:textId="77777777" w:rsidTr="00EB7DC7">
        <w:trPr>
          <w:trHeight w:val="282"/>
        </w:trPr>
        <w:tc>
          <w:tcPr>
            <w:cnfStyle w:val="001000000000" w:firstRow="0" w:lastRow="0" w:firstColumn="1" w:lastColumn="0" w:oddVBand="0" w:evenVBand="0" w:oddHBand="0" w:evenHBand="0" w:firstRowFirstColumn="0" w:firstRowLastColumn="0" w:lastRowFirstColumn="0" w:lastRowLastColumn="0"/>
            <w:tcW w:w="1990" w:type="dxa"/>
            <w:vMerge w:val="restart"/>
          </w:tcPr>
          <w:p w14:paraId="0626B38D" w14:textId="77777777" w:rsidR="007873B2" w:rsidRPr="007873B2" w:rsidRDefault="007873B2" w:rsidP="00EB7DC7">
            <w:pPr>
              <w:rPr>
                <w:rFonts w:cs="Times New Roman"/>
                <w:b w:val="0"/>
                <w:color w:val="auto"/>
                <w:sz w:val="20"/>
                <w:szCs w:val="20"/>
                <w:lang w:eastAsia="pl-PL"/>
              </w:rPr>
            </w:pPr>
            <w:r w:rsidRPr="007873B2">
              <w:rPr>
                <w:rFonts w:eastAsia="Times New Roman" w:cs="Times New Roman"/>
                <w:color w:val="auto"/>
                <w:sz w:val="20"/>
                <w:szCs w:val="20"/>
                <w:lang w:eastAsia="pl-PL"/>
              </w:rPr>
              <w:t xml:space="preserve">Osoby bierne zawodowo  w wieku 60 lat i więcej według wybranych przyczyn bierności </w:t>
            </w:r>
            <w:r w:rsidRPr="007873B2">
              <w:rPr>
                <w:rFonts w:eastAsia="Times New Roman" w:cs="Times New Roman"/>
                <w:color w:val="auto"/>
                <w:sz w:val="20"/>
                <w:szCs w:val="20"/>
                <w:lang w:eastAsia="pl-PL"/>
              </w:rPr>
              <w:br/>
              <w:t>(w tys.)</w:t>
            </w:r>
          </w:p>
        </w:tc>
        <w:tc>
          <w:tcPr>
            <w:tcW w:w="3969" w:type="dxa"/>
          </w:tcPr>
          <w:p w14:paraId="15C2CAD8"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ogółem</w:t>
            </w:r>
          </w:p>
        </w:tc>
        <w:tc>
          <w:tcPr>
            <w:tcW w:w="3108" w:type="dxa"/>
          </w:tcPr>
          <w:p w14:paraId="6CEC70CC"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210</w:t>
            </w:r>
          </w:p>
        </w:tc>
      </w:tr>
      <w:tr w:rsidR="007873B2" w:rsidRPr="007873B2" w14:paraId="40E1FFC5"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90" w:type="dxa"/>
            <w:vMerge/>
          </w:tcPr>
          <w:p w14:paraId="1115E07A" w14:textId="77777777" w:rsidR="007873B2" w:rsidRPr="007873B2" w:rsidRDefault="007873B2" w:rsidP="00EB7DC7">
            <w:pPr>
              <w:rPr>
                <w:rFonts w:eastAsia="Times New Roman" w:cs="Times New Roman"/>
                <w:b w:val="0"/>
                <w:bCs w:val="0"/>
                <w:color w:val="auto"/>
                <w:sz w:val="20"/>
                <w:szCs w:val="20"/>
                <w:lang w:eastAsia="pl-PL"/>
              </w:rPr>
            </w:pPr>
          </w:p>
        </w:tc>
        <w:tc>
          <w:tcPr>
            <w:tcW w:w="7077" w:type="dxa"/>
            <w:gridSpan w:val="2"/>
          </w:tcPr>
          <w:p w14:paraId="0F5166D0"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w tym:</w:t>
            </w:r>
          </w:p>
        </w:tc>
      </w:tr>
      <w:tr w:rsidR="007873B2" w:rsidRPr="007873B2" w14:paraId="0E782C1D" w14:textId="77777777" w:rsidTr="00EB7DC7">
        <w:trPr>
          <w:trHeight w:val="280"/>
        </w:trPr>
        <w:tc>
          <w:tcPr>
            <w:cnfStyle w:val="001000000000" w:firstRow="0" w:lastRow="0" w:firstColumn="1" w:lastColumn="0" w:oddVBand="0" w:evenVBand="0" w:oddHBand="0" w:evenHBand="0" w:firstRowFirstColumn="0" w:firstRowLastColumn="0" w:lastRowFirstColumn="0" w:lastRowLastColumn="0"/>
            <w:tcW w:w="1990" w:type="dxa"/>
            <w:vMerge/>
          </w:tcPr>
          <w:p w14:paraId="391E09F9"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50717464"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7873B2">
              <w:rPr>
                <w:rFonts w:eastAsia="Times New Roman" w:cs="Times New Roman"/>
                <w:color w:val="auto"/>
                <w:sz w:val="20"/>
                <w:szCs w:val="20"/>
                <w:lang w:eastAsia="pl-PL"/>
              </w:rPr>
              <w:t>osoby nieposzukujące pracy - razem</w:t>
            </w:r>
          </w:p>
        </w:tc>
        <w:tc>
          <w:tcPr>
            <w:tcW w:w="3108" w:type="dxa"/>
          </w:tcPr>
          <w:p w14:paraId="2B8AFF7D"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210</w:t>
            </w:r>
          </w:p>
        </w:tc>
      </w:tr>
      <w:tr w:rsidR="007873B2" w:rsidRPr="007873B2" w14:paraId="4553B12C"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90" w:type="dxa"/>
            <w:vMerge/>
          </w:tcPr>
          <w:p w14:paraId="334115E0"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62F0F4D6"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eastAsia="Times New Roman" w:cs="Times New Roman"/>
                <w:color w:val="auto"/>
                <w:sz w:val="20"/>
                <w:szCs w:val="20"/>
                <w:lang w:eastAsia="pl-PL"/>
              </w:rPr>
              <w:t>osoby nieposzukujące pracy - emerytura</w:t>
            </w:r>
          </w:p>
        </w:tc>
        <w:tc>
          <w:tcPr>
            <w:tcW w:w="3108" w:type="dxa"/>
          </w:tcPr>
          <w:p w14:paraId="50ED9400"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186</w:t>
            </w:r>
          </w:p>
        </w:tc>
      </w:tr>
      <w:tr w:rsidR="007873B2" w:rsidRPr="007873B2" w14:paraId="5A92B96D" w14:textId="77777777" w:rsidTr="00EB7DC7">
        <w:trPr>
          <w:trHeight w:val="280"/>
        </w:trPr>
        <w:tc>
          <w:tcPr>
            <w:cnfStyle w:val="001000000000" w:firstRow="0" w:lastRow="0" w:firstColumn="1" w:lastColumn="0" w:oddVBand="0" w:evenVBand="0" w:oddHBand="0" w:evenHBand="0" w:firstRowFirstColumn="0" w:firstRowLastColumn="0" w:lastRowFirstColumn="0" w:lastRowLastColumn="0"/>
            <w:tcW w:w="1990" w:type="dxa"/>
            <w:vMerge/>
          </w:tcPr>
          <w:p w14:paraId="36C0B16A"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1962ED7A"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eastAsia="Times New Roman" w:cs="Times New Roman"/>
                <w:color w:val="auto"/>
                <w:sz w:val="20"/>
                <w:szCs w:val="20"/>
                <w:lang w:eastAsia="pl-PL"/>
              </w:rPr>
              <w:t>osoby nieposzukujące pracy - choroba, niepełnosprawność</w:t>
            </w:r>
          </w:p>
        </w:tc>
        <w:tc>
          <w:tcPr>
            <w:tcW w:w="3108" w:type="dxa"/>
          </w:tcPr>
          <w:p w14:paraId="033D1D1E"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11*</w:t>
            </w:r>
          </w:p>
        </w:tc>
      </w:tr>
      <w:tr w:rsidR="007873B2" w:rsidRPr="007873B2" w14:paraId="499E04EA" w14:textId="77777777" w:rsidTr="00EB7D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990" w:type="dxa"/>
            <w:vMerge w:val="restart"/>
          </w:tcPr>
          <w:p w14:paraId="49E066E9" w14:textId="77777777" w:rsidR="007873B2" w:rsidRPr="007873B2" w:rsidRDefault="007873B2" w:rsidP="00EB7DC7">
            <w:pPr>
              <w:rPr>
                <w:rFonts w:eastAsia="Times New Roman" w:cs="Times New Roman"/>
                <w:b w:val="0"/>
                <w:bCs w:val="0"/>
                <w:color w:val="auto"/>
                <w:sz w:val="20"/>
                <w:szCs w:val="20"/>
                <w:lang w:eastAsia="pl-PL"/>
              </w:rPr>
            </w:pPr>
            <w:r w:rsidRPr="007873B2">
              <w:rPr>
                <w:rFonts w:eastAsia="Times New Roman" w:cs="Times New Roman"/>
                <w:color w:val="auto"/>
                <w:sz w:val="20"/>
                <w:szCs w:val="20"/>
                <w:lang w:eastAsia="pl-PL"/>
              </w:rPr>
              <w:lastRenderedPageBreak/>
              <w:t>Osoby bezrobotne zarejestrowane w urzędach pracy (w tys.)</w:t>
            </w:r>
          </w:p>
        </w:tc>
        <w:tc>
          <w:tcPr>
            <w:tcW w:w="3969" w:type="dxa"/>
          </w:tcPr>
          <w:p w14:paraId="40D8E118"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ogółem</w:t>
            </w:r>
          </w:p>
        </w:tc>
        <w:tc>
          <w:tcPr>
            <w:tcW w:w="3108" w:type="dxa"/>
          </w:tcPr>
          <w:p w14:paraId="5B403780"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25,0</w:t>
            </w:r>
          </w:p>
        </w:tc>
      </w:tr>
      <w:tr w:rsidR="007873B2" w:rsidRPr="007873B2" w14:paraId="173EB47A" w14:textId="77777777" w:rsidTr="00EB7DC7">
        <w:trPr>
          <w:trHeight w:val="284"/>
        </w:trPr>
        <w:tc>
          <w:tcPr>
            <w:cnfStyle w:val="001000000000" w:firstRow="0" w:lastRow="0" w:firstColumn="1" w:lastColumn="0" w:oddVBand="0" w:evenVBand="0" w:oddHBand="0" w:evenHBand="0" w:firstRowFirstColumn="0" w:firstRowLastColumn="0" w:lastRowFirstColumn="0" w:lastRowLastColumn="0"/>
            <w:tcW w:w="1990" w:type="dxa"/>
            <w:vMerge/>
          </w:tcPr>
          <w:p w14:paraId="4E2F4F90"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080C16E4"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w tym w wieku 60+</w:t>
            </w:r>
          </w:p>
        </w:tc>
        <w:tc>
          <w:tcPr>
            <w:tcW w:w="3108" w:type="dxa"/>
          </w:tcPr>
          <w:p w14:paraId="52D6D88E"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2,0</w:t>
            </w:r>
          </w:p>
        </w:tc>
      </w:tr>
      <w:tr w:rsidR="007873B2" w:rsidRPr="007873B2" w14:paraId="69B77BED" w14:textId="77777777" w:rsidTr="00EB7DC7">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990" w:type="dxa"/>
            <w:vMerge w:val="restart"/>
          </w:tcPr>
          <w:p w14:paraId="5B9E6D95" w14:textId="77777777" w:rsidR="007873B2" w:rsidRPr="007873B2" w:rsidRDefault="007873B2" w:rsidP="00EB7DC7">
            <w:pPr>
              <w:rPr>
                <w:rFonts w:eastAsia="Times New Roman" w:cs="Times New Roman"/>
                <w:b w:val="0"/>
                <w:bCs w:val="0"/>
                <w:color w:val="auto"/>
                <w:sz w:val="20"/>
                <w:szCs w:val="20"/>
                <w:lang w:eastAsia="pl-PL"/>
              </w:rPr>
            </w:pPr>
            <w:r w:rsidRPr="007873B2">
              <w:rPr>
                <w:rFonts w:eastAsia="Times New Roman" w:cs="Times New Roman"/>
                <w:color w:val="auto"/>
                <w:sz w:val="20"/>
                <w:szCs w:val="20"/>
                <w:lang w:eastAsia="pl-PL"/>
              </w:rPr>
              <w:t xml:space="preserve">Osoby pobierające renty </w:t>
            </w:r>
            <w:r w:rsidRPr="007873B2">
              <w:rPr>
                <w:rFonts w:eastAsia="Times New Roman" w:cs="Times New Roman"/>
                <w:color w:val="auto"/>
                <w:sz w:val="20"/>
                <w:szCs w:val="20"/>
                <w:lang w:eastAsia="pl-PL"/>
              </w:rPr>
              <w:br/>
              <w:t xml:space="preserve">i emerytury </w:t>
            </w:r>
          </w:p>
        </w:tc>
        <w:tc>
          <w:tcPr>
            <w:tcW w:w="7077" w:type="dxa"/>
            <w:gridSpan w:val="2"/>
          </w:tcPr>
          <w:p w14:paraId="67DECEFC" w14:textId="77777777" w:rsidR="007873B2" w:rsidRPr="007873B2" w:rsidRDefault="007873B2" w:rsidP="00EB7DC7">
            <w:pPr>
              <w:tabs>
                <w:tab w:val="left" w:pos="1725"/>
                <w:tab w:val="center" w:pos="2363"/>
              </w:tabs>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7873B2">
              <w:rPr>
                <w:rFonts w:cs="Times New Roman"/>
                <w:b/>
                <w:color w:val="auto"/>
                <w:sz w:val="20"/>
                <w:szCs w:val="20"/>
              </w:rPr>
              <w:t>ZUS</w:t>
            </w:r>
          </w:p>
        </w:tc>
      </w:tr>
      <w:tr w:rsidR="007873B2" w:rsidRPr="007873B2" w14:paraId="18063F97" w14:textId="77777777" w:rsidTr="00EB7DC7">
        <w:trPr>
          <w:trHeight w:val="189"/>
        </w:trPr>
        <w:tc>
          <w:tcPr>
            <w:cnfStyle w:val="001000000000" w:firstRow="0" w:lastRow="0" w:firstColumn="1" w:lastColumn="0" w:oddVBand="0" w:evenVBand="0" w:oddHBand="0" w:evenHBand="0" w:firstRowFirstColumn="0" w:firstRowLastColumn="0" w:lastRowFirstColumn="0" w:lastRowLastColumn="0"/>
            <w:tcW w:w="1990" w:type="dxa"/>
            <w:vMerge/>
          </w:tcPr>
          <w:p w14:paraId="3F1A1FE5"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68466423" w14:textId="77777777" w:rsidR="007873B2" w:rsidRPr="007873B2" w:rsidRDefault="007873B2" w:rsidP="00EB7DC7">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7873B2">
              <w:rPr>
                <w:rFonts w:cs="Times New Roman"/>
                <w:b/>
                <w:color w:val="auto"/>
                <w:sz w:val="20"/>
                <w:szCs w:val="20"/>
              </w:rPr>
              <w:t>Rodzaj świadczenia</w:t>
            </w:r>
          </w:p>
        </w:tc>
        <w:tc>
          <w:tcPr>
            <w:tcW w:w="3108" w:type="dxa"/>
          </w:tcPr>
          <w:p w14:paraId="6F7C8BA6" w14:textId="77777777" w:rsidR="007873B2" w:rsidRPr="007873B2" w:rsidRDefault="007873B2" w:rsidP="00EB7DC7">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7873B2">
              <w:rPr>
                <w:rFonts w:cs="Times New Roman"/>
                <w:b/>
                <w:color w:val="auto"/>
                <w:sz w:val="20"/>
                <w:szCs w:val="20"/>
              </w:rPr>
              <w:t>Przeciętna miesięczna liczba emerytów i rencistów (w tys.)</w:t>
            </w:r>
          </w:p>
        </w:tc>
      </w:tr>
      <w:tr w:rsidR="007873B2" w:rsidRPr="007873B2" w14:paraId="2ADB82D8" w14:textId="77777777" w:rsidTr="00EB7DC7">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990" w:type="dxa"/>
            <w:vMerge/>
          </w:tcPr>
          <w:p w14:paraId="42C24711"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322D2E65"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Emerytury</w:t>
            </w:r>
          </w:p>
        </w:tc>
        <w:tc>
          <w:tcPr>
            <w:tcW w:w="3108" w:type="dxa"/>
          </w:tcPr>
          <w:p w14:paraId="0A599CA8"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147,4</w:t>
            </w:r>
          </w:p>
        </w:tc>
      </w:tr>
      <w:tr w:rsidR="007873B2" w:rsidRPr="007873B2" w14:paraId="1D4DCC3C" w14:textId="77777777" w:rsidTr="00EB7DC7">
        <w:trPr>
          <w:trHeight w:val="142"/>
        </w:trPr>
        <w:tc>
          <w:tcPr>
            <w:cnfStyle w:val="001000000000" w:firstRow="0" w:lastRow="0" w:firstColumn="1" w:lastColumn="0" w:oddVBand="0" w:evenVBand="0" w:oddHBand="0" w:evenHBand="0" w:firstRowFirstColumn="0" w:firstRowLastColumn="0" w:lastRowFirstColumn="0" w:lastRowLastColumn="0"/>
            <w:tcW w:w="1990" w:type="dxa"/>
            <w:vMerge/>
          </w:tcPr>
          <w:p w14:paraId="42375995"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60747D0C"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Renty z tytułu niezdolności do pracy</w:t>
            </w:r>
          </w:p>
        </w:tc>
        <w:tc>
          <w:tcPr>
            <w:tcW w:w="3108" w:type="dxa"/>
          </w:tcPr>
          <w:p w14:paraId="6FEE1FFB"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10,2</w:t>
            </w:r>
          </w:p>
        </w:tc>
      </w:tr>
      <w:tr w:rsidR="007873B2" w:rsidRPr="007873B2" w14:paraId="77A6A6AA" w14:textId="77777777" w:rsidTr="00EB7DC7">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990" w:type="dxa"/>
            <w:vMerge/>
          </w:tcPr>
          <w:p w14:paraId="4CA0CA93"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4F884CC2"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Renty rodzinne</w:t>
            </w:r>
          </w:p>
        </w:tc>
        <w:tc>
          <w:tcPr>
            <w:tcW w:w="3108" w:type="dxa"/>
          </w:tcPr>
          <w:p w14:paraId="3AF582C6"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31,8</w:t>
            </w:r>
          </w:p>
        </w:tc>
      </w:tr>
      <w:tr w:rsidR="007873B2" w:rsidRPr="007873B2" w14:paraId="6CC5CE64" w14:textId="77777777" w:rsidTr="00EB7DC7">
        <w:trPr>
          <w:trHeight w:val="284"/>
        </w:trPr>
        <w:tc>
          <w:tcPr>
            <w:cnfStyle w:val="001000000000" w:firstRow="0" w:lastRow="0" w:firstColumn="1" w:lastColumn="0" w:oddVBand="0" w:evenVBand="0" w:oddHBand="0" w:evenHBand="0" w:firstRowFirstColumn="0" w:firstRowLastColumn="0" w:lastRowFirstColumn="0" w:lastRowLastColumn="0"/>
            <w:tcW w:w="1990" w:type="dxa"/>
            <w:vMerge/>
          </w:tcPr>
          <w:p w14:paraId="4F54C590" w14:textId="77777777" w:rsidR="007873B2" w:rsidRPr="007873B2" w:rsidRDefault="007873B2" w:rsidP="00EB7DC7">
            <w:pPr>
              <w:rPr>
                <w:rFonts w:eastAsia="Times New Roman" w:cs="Times New Roman"/>
                <w:b w:val="0"/>
                <w:bCs w:val="0"/>
                <w:color w:val="auto"/>
                <w:sz w:val="20"/>
                <w:szCs w:val="20"/>
                <w:lang w:eastAsia="pl-PL"/>
              </w:rPr>
            </w:pPr>
          </w:p>
        </w:tc>
        <w:tc>
          <w:tcPr>
            <w:tcW w:w="7077" w:type="dxa"/>
            <w:gridSpan w:val="2"/>
          </w:tcPr>
          <w:p w14:paraId="022BFE42" w14:textId="77777777" w:rsidR="007873B2" w:rsidRPr="007873B2" w:rsidRDefault="007873B2" w:rsidP="00EB7DC7">
            <w:pPr>
              <w:tabs>
                <w:tab w:val="left" w:pos="1507"/>
                <w:tab w:val="center" w:pos="2363"/>
              </w:tabs>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7873B2">
              <w:rPr>
                <w:rFonts w:cs="Times New Roman"/>
                <w:b/>
                <w:color w:val="auto"/>
                <w:sz w:val="20"/>
                <w:szCs w:val="20"/>
              </w:rPr>
              <w:t>KRUS</w:t>
            </w:r>
          </w:p>
        </w:tc>
      </w:tr>
      <w:tr w:rsidR="007873B2" w:rsidRPr="007873B2" w14:paraId="5CA28989" w14:textId="77777777" w:rsidTr="00EB7DC7">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990" w:type="dxa"/>
            <w:vMerge/>
          </w:tcPr>
          <w:p w14:paraId="7B8BB6CE"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39F103EF" w14:textId="77777777" w:rsidR="007873B2" w:rsidRPr="007873B2" w:rsidRDefault="007873B2"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7873B2">
              <w:rPr>
                <w:rFonts w:cs="Times New Roman"/>
                <w:b/>
                <w:color w:val="auto"/>
                <w:sz w:val="20"/>
                <w:szCs w:val="20"/>
              </w:rPr>
              <w:t>Rodzaj świadczenia</w:t>
            </w:r>
          </w:p>
        </w:tc>
        <w:tc>
          <w:tcPr>
            <w:tcW w:w="3108" w:type="dxa"/>
          </w:tcPr>
          <w:p w14:paraId="6E30AE7B" w14:textId="77777777" w:rsidR="007873B2" w:rsidRPr="007873B2" w:rsidRDefault="007873B2"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7873B2">
              <w:rPr>
                <w:rFonts w:cs="Times New Roman"/>
                <w:b/>
                <w:color w:val="auto"/>
                <w:sz w:val="20"/>
                <w:szCs w:val="20"/>
              </w:rPr>
              <w:t>Przeciętna miesięczna liczba emerytów i rencistów (w tys.)</w:t>
            </w:r>
          </w:p>
        </w:tc>
      </w:tr>
      <w:tr w:rsidR="007873B2" w:rsidRPr="007873B2" w14:paraId="1A99CFBF"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1990" w:type="dxa"/>
            <w:vMerge/>
          </w:tcPr>
          <w:p w14:paraId="6283397D"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5F415FC1"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Emerytury</w:t>
            </w:r>
          </w:p>
        </w:tc>
        <w:tc>
          <w:tcPr>
            <w:tcW w:w="3108" w:type="dxa"/>
          </w:tcPr>
          <w:p w14:paraId="6A0345CE"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19,0</w:t>
            </w:r>
          </w:p>
        </w:tc>
      </w:tr>
      <w:tr w:rsidR="007873B2" w:rsidRPr="007873B2" w14:paraId="150AB4E7" w14:textId="77777777" w:rsidTr="00EB7DC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990" w:type="dxa"/>
            <w:vMerge/>
          </w:tcPr>
          <w:p w14:paraId="19C3990C"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7FD31FD9"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Renty z tytułu niezdolności do pracy</w:t>
            </w:r>
          </w:p>
        </w:tc>
        <w:tc>
          <w:tcPr>
            <w:tcW w:w="3108" w:type="dxa"/>
          </w:tcPr>
          <w:p w14:paraId="6179B467"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2,3</w:t>
            </w:r>
          </w:p>
        </w:tc>
      </w:tr>
      <w:tr w:rsidR="007873B2" w:rsidRPr="007873B2" w14:paraId="37171F38"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1990" w:type="dxa"/>
            <w:vMerge/>
          </w:tcPr>
          <w:p w14:paraId="56CAC175"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3B6C808B"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Renty rodzinne</w:t>
            </w:r>
          </w:p>
        </w:tc>
        <w:tc>
          <w:tcPr>
            <w:tcW w:w="3108" w:type="dxa"/>
          </w:tcPr>
          <w:p w14:paraId="4C8C2292"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0,7</w:t>
            </w:r>
          </w:p>
        </w:tc>
      </w:tr>
    </w:tbl>
    <w:p w14:paraId="0D157B91" w14:textId="77777777" w:rsidR="00F848D7" w:rsidRPr="007873B2" w:rsidRDefault="007873B2" w:rsidP="007873B2">
      <w:pPr>
        <w:tabs>
          <w:tab w:val="left" w:pos="5400"/>
        </w:tabs>
        <w:rPr>
          <w:rFonts w:eastAsia="Times New Roman" w:cs="Times New Roman"/>
          <w:b/>
          <w:szCs w:val="24"/>
          <w:lang w:eastAsia="pl-PL"/>
        </w:rPr>
      </w:pPr>
      <w:r w:rsidRPr="007873B2">
        <w:rPr>
          <w:rFonts w:eastAsia="Times New Roman" w:cs="Times New Roman"/>
          <w:b/>
          <w:szCs w:val="24"/>
          <w:lang w:eastAsia="pl-PL"/>
        </w:rPr>
        <w:t xml:space="preserve">Źródło: GUS. </w:t>
      </w:r>
    </w:p>
    <w:p w14:paraId="0C322373" w14:textId="330CAFB2" w:rsidR="007873B2" w:rsidRDefault="007873B2" w:rsidP="003C1988">
      <w:pPr>
        <w:rPr>
          <w:color w:val="FF0000"/>
          <w:lang w:eastAsia="ar-SA"/>
        </w:rPr>
      </w:pPr>
    </w:p>
    <w:p w14:paraId="59BED914" w14:textId="27B6C875" w:rsidR="00E51AC8" w:rsidRDefault="00E51AC8" w:rsidP="00E51AC8">
      <w:pPr>
        <w:pStyle w:val="Nagwek3"/>
      </w:pPr>
      <w:bookmarkStart w:id="228" w:name="_Toc77513996"/>
      <w:bookmarkStart w:id="229" w:name="_Toc80523151"/>
      <w:r w:rsidRPr="00E51AC8">
        <w:t>Sytuacja osób niepełnosprawnych i ich opiekunów</w:t>
      </w:r>
      <w:bookmarkEnd w:id="228"/>
      <w:bookmarkEnd w:id="229"/>
    </w:p>
    <w:p w14:paraId="2A34F4B1" w14:textId="77777777" w:rsidR="000B1B06" w:rsidRPr="000B1B06" w:rsidRDefault="000B1B06" w:rsidP="000B1B06"/>
    <w:p w14:paraId="08BD1AEE" w14:textId="548EE745" w:rsidR="00E51AC8" w:rsidRDefault="00E51AC8" w:rsidP="00E51AC8">
      <w:pPr>
        <w:rPr>
          <w:rFonts w:cs="Times New Roman"/>
          <w:szCs w:val="24"/>
        </w:rPr>
      </w:pPr>
      <w:r w:rsidRPr="00E51AC8">
        <w:rPr>
          <w:rFonts w:cs="Times New Roman"/>
          <w:szCs w:val="24"/>
        </w:rPr>
        <w:t>W 2020 r. województwo opolskie zamieszkiwało 980 771 osób, z czego 225 728 osób (23,0%)</w:t>
      </w:r>
      <w:r w:rsidR="00694604">
        <w:rPr>
          <w:rFonts w:cs="Times New Roman"/>
          <w:szCs w:val="24"/>
        </w:rPr>
        <w:t xml:space="preserve"> </w:t>
      </w:r>
      <w:r w:rsidRPr="00E51AC8">
        <w:rPr>
          <w:rFonts w:cs="Times New Roman"/>
          <w:szCs w:val="24"/>
        </w:rPr>
        <w:t>stanowiły osoby w wieku poprodukcyjnym. Region należy do województw, w których od lat</w:t>
      </w:r>
      <w:r w:rsidR="00694604">
        <w:rPr>
          <w:rFonts w:cs="Times New Roman"/>
          <w:szCs w:val="24"/>
        </w:rPr>
        <w:t xml:space="preserve"> </w:t>
      </w:r>
      <w:r w:rsidRPr="00E51AC8">
        <w:rPr>
          <w:rFonts w:cs="Times New Roman"/>
          <w:szCs w:val="24"/>
        </w:rPr>
        <w:t>ubywa mieszkańców (ogółem), a społeczeństwo dotyka proces starzenia się (niekorzystne</w:t>
      </w:r>
      <w:r w:rsidR="00694604">
        <w:rPr>
          <w:rFonts w:cs="Times New Roman"/>
          <w:szCs w:val="24"/>
        </w:rPr>
        <w:t xml:space="preserve"> </w:t>
      </w:r>
      <w:r w:rsidRPr="00E51AC8">
        <w:rPr>
          <w:rFonts w:cs="Times New Roman"/>
          <w:szCs w:val="24"/>
        </w:rPr>
        <w:t>zmiany w strukturze wiekowej ludności), czego dowodzą m.in. wzrastające wartości:</w:t>
      </w:r>
      <w:r w:rsidR="00694604">
        <w:rPr>
          <w:rFonts w:cs="Times New Roman"/>
          <w:szCs w:val="24"/>
        </w:rPr>
        <w:t xml:space="preserve"> </w:t>
      </w:r>
      <w:r w:rsidRPr="00E51AC8">
        <w:rPr>
          <w:rFonts w:cs="Times New Roman"/>
          <w:szCs w:val="24"/>
        </w:rPr>
        <w:t>współczynnika obciążenia demograficznego osobami starszymi (27,8 os.), współczynnika</w:t>
      </w:r>
      <w:r w:rsidR="00694604">
        <w:rPr>
          <w:rFonts w:cs="Times New Roman"/>
          <w:szCs w:val="24"/>
        </w:rPr>
        <w:t xml:space="preserve"> </w:t>
      </w:r>
      <w:r w:rsidRPr="00E51AC8">
        <w:rPr>
          <w:rFonts w:cs="Times New Roman"/>
          <w:szCs w:val="24"/>
        </w:rPr>
        <w:t>starości demograficznej (18,8 %), indeksu starości (140 os.), czy mediany wieku (43,1 Lat).</w:t>
      </w:r>
      <w:r w:rsidR="00694604">
        <w:rPr>
          <w:rFonts w:cs="Times New Roman"/>
          <w:szCs w:val="24"/>
        </w:rPr>
        <w:t xml:space="preserve"> </w:t>
      </w:r>
      <w:r w:rsidRPr="00E51AC8">
        <w:rPr>
          <w:rFonts w:cs="Times New Roman"/>
          <w:szCs w:val="24"/>
        </w:rPr>
        <w:t xml:space="preserve">Niekorzystne trendy demograficzne w regionie wzmacniają także: ujemny przyrost naturalny </w:t>
      </w:r>
      <w:r w:rsidR="00694604">
        <w:rPr>
          <w:rFonts w:cs="Times New Roman"/>
          <w:szCs w:val="24"/>
        </w:rPr>
        <w:t xml:space="preserve">               </w:t>
      </w:r>
      <w:r w:rsidRPr="00E51AC8">
        <w:rPr>
          <w:rFonts w:cs="Times New Roman"/>
          <w:szCs w:val="24"/>
        </w:rPr>
        <w:t>(</w:t>
      </w:r>
      <w:r w:rsidR="00694604">
        <w:rPr>
          <w:rFonts w:cs="Times New Roman"/>
          <w:szCs w:val="24"/>
        </w:rPr>
        <w:t>-</w:t>
      </w:r>
      <w:r w:rsidRPr="00E51AC8">
        <w:rPr>
          <w:rFonts w:cs="Times New Roman"/>
          <w:szCs w:val="24"/>
        </w:rPr>
        <w:t>2,2‰) i ujemne saldo migracji (-1,5‰). W strukturze ludności według płci w końcu grudnia</w:t>
      </w:r>
      <w:r w:rsidR="00694604">
        <w:rPr>
          <w:rFonts w:cs="Times New Roman"/>
          <w:szCs w:val="24"/>
        </w:rPr>
        <w:t> </w:t>
      </w:r>
      <w:r w:rsidRPr="00E51AC8">
        <w:rPr>
          <w:rFonts w:cs="Times New Roman"/>
          <w:szCs w:val="24"/>
        </w:rPr>
        <w:t>2020 r.  w województwie opolskim przeważały, podobnie jak w poprzednich latach,</w:t>
      </w:r>
      <w:r w:rsidR="00694604">
        <w:rPr>
          <w:rFonts w:cs="Times New Roman"/>
          <w:szCs w:val="24"/>
        </w:rPr>
        <w:t xml:space="preserve"> </w:t>
      </w:r>
      <w:r w:rsidRPr="00E51AC8">
        <w:rPr>
          <w:rFonts w:cs="Times New Roman"/>
          <w:szCs w:val="24"/>
        </w:rPr>
        <w:t>kobiety, których udział nie zmienił się w skali roku i wyniósł ponad 51%.</w:t>
      </w:r>
      <w:r w:rsidR="00694604">
        <w:rPr>
          <w:rFonts w:cs="Times New Roman"/>
          <w:szCs w:val="24"/>
        </w:rPr>
        <w:t xml:space="preserve"> </w:t>
      </w:r>
      <w:r w:rsidRPr="00E51AC8">
        <w:rPr>
          <w:rFonts w:cs="Times New Roman"/>
          <w:szCs w:val="24"/>
        </w:rPr>
        <w:t>Przeciętne gospodarstwo domowe liczyło 2,77 osoby (w kraju – 2,64). Liczba osób w gospodarstwie zwiększyła się o 3,7% w porównaniu z 2017 r., natomiast zmniejszyła o 4,5% w relacji do 2010</w:t>
      </w:r>
      <w:r w:rsidR="00694604">
        <w:rPr>
          <w:rFonts w:cs="Times New Roman"/>
          <w:szCs w:val="24"/>
        </w:rPr>
        <w:t> </w:t>
      </w:r>
      <w:r w:rsidRPr="00E51AC8">
        <w:rPr>
          <w:rFonts w:cs="Times New Roman"/>
          <w:szCs w:val="24"/>
        </w:rPr>
        <w:t>r. (w kraju obniżyła się odpowiednio: o 0,8% i o 8,7%).</w:t>
      </w:r>
    </w:p>
    <w:p w14:paraId="186FBD54" w14:textId="11BF0C8C" w:rsidR="00E51AC8" w:rsidRDefault="00E51AC8" w:rsidP="00E51AC8">
      <w:pPr>
        <w:rPr>
          <w:rFonts w:cs="Times New Roman"/>
          <w:szCs w:val="24"/>
        </w:rPr>
      </w:pPr>
    </w:p>
    <w:p w14:paraId="5BA81B52" w14:textId="77777777" w:rsidR="00E51AC8" w:rsidRPr="00E51AC8" w:rsidRDefault="00E51AC8" w:rsidP="00E51AC8">
      <w:pPr>
        <w:rPr>
          <w:rFonts w:cs="Times New Roman"/>
          <w:szCs w:val="24"/>
        </w:rPr>
      </w:pPr>
      <w:r w:rsidRPr="00E51AC8">
        <w:rPr>
          <w:rFonts w:cs="Times New Roman"/>
          <w:szCs w:val="24"/>
        </w:rPr>
        <w:t>W województwie opolskim:</w:t>
      </w:r>
    </w:p>
    <w:p w14:paraId="52E5AE5E" w14:textId="77777777" w:rsidR="00694604" w:rsidRDefault="00E51AC8" w:rsidP="00FE70E3">
      <w:pPr>
        <w:pStyle w:val="Akapitzlist"/>
        <w:numPr>
          <w:ilvl w:val="0"/>
          <w:numId w:val="164"/>
        </w:numPr>
        <w:rPr>
          <w:rFonts w:cs="Times New Roman"/>
          <w:szCs w:val="24"/>
        </w:rPr>
      </w:pPr>
      <w:r w:rsidRPr="00694604">
        <w:rPr>
          <w:rFonts w:cs="Times New Roman"/>
          <w:szCs w:val="24"/>
        </w:rPr>
        <w:t>funkcjonuje 13 zakładów pracy chronionej,</w:t>
      </w:r>
    </w:p>
    <w:p w14:paraId="20D0D0D8" w14:textId="77777777" w:rsidR="00694604" w:rsidRDefault="00E51AC8" w:rsidP="00FE70E3">
      <w:pPr>
        <w:pStyle w:val="Akapitzlist"/>
        <w:numPr>
          <w:ilvl w:val="0"/>
          <w:numId w:val="164"/>
        </w:numPr>
        <w:rPr>
          <w:rFonts w:cs="Times New Roman"/>
          <w:szCs w:val="24"/>
        </w:rPr>
      </w:pPr>
      <w:r w:rsidRPr="00694604">
        <w:rPr>
          <w:rFonts w:cs="Times New Roman"/>
          <w:szCs w:val="24"/>
        </w:rPr>
        <w:t>funkcjonuje 5 zakładów aktywności zawodowej,</w:t>
      </w:r>
    </w:p>
    <w:p w14:paraId="058D2FB3" w14:textId="77777777" w:rsidR="00694604" w:rsidRDefault="00E51AC8" w:rsidP="00FE70E3">
      <w:pPr>
        <w:pStyle w:val="Akapitzlist"/>
        <w:numPr>
          <w:ilvl w:val="0"/>
          <w:numId w:val="164"/>
        </w:numPr>
        <w:rPr>
          <w:rFonts w:cs="Times New Roman"/>
          <w:szCs w:val="24"/>
        </w:rPr>
      </w:pPr>
      <w:r w:rsidRPr="00694604">
        <w:rPr>
          <w:rFonts w:cs="Times New Roman"/>
          <w:szCs w:val="24"/>
        </w:rPr>
        <w:t>funkcjonuje 7 organizatorów turnusów rehabilitacyjnych,</w:t>
      </w:r>
    </w:p>
    <w:p w14:paraId="168D8584" w14:textId="77777777" w:rsidR="00694604" w:rsidRDefault="00E51AC8" w:rsidP="00FE70E3">
      <w:pPr>
        <w:pStyle w:val="Akapitzlist"/>
        <w:numPr>
          <w:ilvl w:val="0"/>
          <w:numId w:val="164"/>
        </w:numPr>
        <w:rPr>
          <w:rFonts w:cs="Times New Roman"/>
          <w:szCs w:val="24"/>
        </w:rPr>
      </w:pPr>
      <w:r w:rsidRPr="00694604">
        <w:rPr>
          <w:rFonts w:cs="Times New Roman"/>
          <w:szCs w:val="24"/>
        </w:rPr>
        <w:t>funkcjonuje 6 ośrodków przyjmujących turnusy rehabilitacyjne,</w:t>
      </w:r>
    </w:p>
    <w:p w14:paraId="71BE3F34" w14:textId="77777777" w:rsidR="00694604" w:rsidRDefault="00E51AC8" w:rsidP="00FE70E3">
      <w:pPr>
        <w:pStyle w:val="Akapitzlist"/>
        <w:numPr>
          <w:ilvl w:val="0"/>
          <w:numId w:val="164"/>
        </w:numPr>
        <w:rPr>
          <w:rFonts w:cs="Times New Roman"/>
          <w:szCs w:val="24"/>
        </w:rPr>
      </w:pPr>
      <w:r w:rsidRPr="00694604">
        <w:rPr>
          <w:rFonts w:cs="Times New Roman"/>
          <w:szCs w:val="24"/>
        </w:rPr>
        <w:t>funkcjonuje 15 warsztatów terapii zajęciowej,</w:t>
      </w:r>
    </w:p>
    <w:p w14:paraId="29BA4624" w14:textId="77777777" w:rsidR="00694604" w:rsidRDefault="00E51AC8" w:rsidP="00FE70E3">
      <w:pPr>
        <w:pStyle w:val="Akapitzlist"/>
        <w:numPr>
          <w:ilvl w:val="0"/>
          <w:numId w:val="164"/>
        </w:numPr>
        <w:rPr>
          <w:rFonts w:cs="Times New Roman"/>
          <w:szCs w:val="24"/>
        </w:rPr>
      </w:pPr>
      <w:r w:rsidRPr="00694604">
        <w:rPr>
          <w:rFonts w:cs="Times New Roman"/>
          <w:szCs w:val="24"/>
        </w:rPr>
        <w:t>funkcjonuje 1 wojewódzki oraz 11 powiatowych zespołów do spraw orzekania o niepełnosprawności,</w:t>
      </w:r>
    </w:p>
    <w:p w14:paraId="254FBA76" w14:textId="77777777" w:rsidR="00694604" w:rsidRDefault="00E51AC8" w:rsidP="00FE70E3">
      <w:pPr>
        <w:pStyle w:val="Akapitzlist"/>
        <w:numPr>
          <w:ilvl w:val="0"/>
          <w:numId w:val="164"/>
        </w:numPr>
        <w:rPr>
          <w:rFonts w:cs="Times New Roman"/>
          <w:szCs w:val="24"/>
        </w:rPr>
      </w:pPr>
      <w:r w:rsidRPr="00694604">
        <w:rPr>
          <w:rFonts w:cs="Times New Roman"/>
          <w:szCs w:val="24"/>
        </w:rPr>
        <w:t>1541 osób niepełnosprawnych zatrudnionych jest w zakładach pracy chronionej,</w:t>
      </w:r>
    </w:p>
    <w:p w14:paraId="33462FF1" w14:textId="77777777" w:rsidR="00694604" w:rsidRDefault="00E51AC8" w:rsidP="00FE70E3">
      <w:pPr>
        <w:pStyle w:val="Akapitzlist"/>
        <w:numPr>
          <w:ilvl w:val="0"/>
          <w:numId w:val="164"/>
        </w:numPr>
        <w:rPr>
          <w:rFonts w:cs="Times New Roman"/>
          <w:szCs w:val="24"/>
        </w:rPr>
      </w:pPr>
      <w:r w:rsidRPr="00694604">
        <w:rPr>
          <w:rFonts w:cs="Times New Roman"/>
          <w:szCs w:val="24"/>
        </w:rPr>
        <w:t>224 osób niepełnosprawnych zatrudnionych jest w zakładach aktywności zawodowej,</w:t>
      </w:r>
    </w:p>
    <w:p w14:paraId="09BE50A3" w14:textId="77777777" w:rsidR="00694604" w:rsidRDefault="00E51AC8" w:rsidP="00FE70E3">
      <w:pPr>
        <w:pStyle w:val="Akapitzlist"/>
        <w:numPr>
          <w:ilvl w:val="0"/>
          <w:numId w:val="164"/>
        </w:numPr>
        <w:rPr>
          <w:rFonts w:cs="Times New Roman"/>
          <w:szCs w:val="24"/>
        </w:rPr>
      </w:pPr>
      <w:r w:rsidRPr="00694604">
        <w:rPr>
          <w:rFonts w:cs="Times New Roman"/>
          <w:szCs w:val="24"/>
        </w:rPr>
        <w:t>1638 osób niepełnosprawnych zarejestrowanych jest w powiatowych urzędach pracy jako bezrobotni,</w:t>
      </w:r>
    </w:p>
    <w:p w14:paraId="286C6F8C" w14:textId="77777777" w:rsidR="00694604" w:rsidRDefault="00E51AC8" w:rsidP="00FE70E3">
      <w:pPr>
        <w:pStyle w:val="Akapitzlist"/>
        <w:numPr>
          <w:ilvl w:val="0"/>
          <w:numId w:val="164"/>
        </w:numPr>
        <w:rPr>
          <w:rFonts w:cs="Times New Roman"/>
          <w:szCs w:val="24"/>
        </w:rPr>
      </w:pPr>
      <w:r w:rsidRPr="00694604">
        <w:rPr>
          <w:rFonts w:cs="Times New Roman"/>
          <w:szCs w:val="24"/>
        </w:rPr>
        <w:lastRenderedPageBreak/>
        <w:t>150 osób niepełnosprawnych zarejestrowanych jest w powiatowych urzędach pracy jako poszukujący pracy niepozostający w zatrudnieniu,</w:t>
      </w:r>
    </w:p>
    <w:p w14:paraId="6D5ED244" w14:textId="77777777" w:rsidR="00694604" w:rsidRDefault="00E51AC8" w:rsidP="00FE70E3">
      <w:pPr>
        <w:pStyle w:val="Akapitzlist"/>
        <w:numPr>
          <w:ilvl w:val="0"/>
          <w:numId w:val="164"/>
        </w:numPr>
        <w:rPr>
          <w:rFonts w:cs="Times New Roman"/>
          <w:szCs w:val="24"/>
        </w:rPr>
      </w:pPr>
      <w:r w:rsidRPr="00694604">
        <w:rPr>
          <w:rFonts w:cs="Times New Roman"/>
          <w:szCs w:val="24"/>
        </w:rPr>
        <w:t>1130 decyzji wydał wojewódzki zespół do spraw orzekania o niepełnosprawności,</w:t>
      </w:r>
    </w:p>
    <w:p w14:paraId="577F0CC2" w14:textId="34D513A1" w:rsidR="00E51AC8" w:rsidRPr="00694604" w:rsidRDefault="00E51AC8" w:rsidP="00FE70E3">
      <w:pPr>
        <w:pStyle w:val="Akapitzlist"/>
        <w:numPr>
          <w:ilvl w:val="0"/>
          <w:numId w:val="164"/>
        </w:numPr>
        <w:rPr>
          <w:rFonts w:cs="Times New Roman"/>
          <w:szCs w:val="24"/>
        </w:rPr>
      </w:pPr>
      <w:r w:rsidRPr="00694604">
        <w:rPr>
          <w:rFonts w:cs="Times New Roman"/>
          <w:szCs w:val="24"/>
        </w:rPr>
        <w:t>12929 decyzji wydały powiatowe zespoły do spraw orzekania o niepełnosprawności.</w:t>
      </w:r>
    </w:p>
    <w:p w14:paraId="6E1157E0" w14:textId="77777777" w:rsidR="00694604" w:rsidRDefault="00694604" w:rsidP="00E51AC8">
      <w:pPr>
        <w:rPr>
          <w:rFonts w:cs="Times New Roman"/>
          <w:szCs w:val="24"/>
        </w:rPr>
      </w:pPr>
    </w:p>
    <w:p w14:paraId="401962FE" w14:textId="69B55F2E" w:rsidR="00E51AC8" w:rsidRPr="00E51AC8" w:rsidRDefault="00E51AC8" w:rsidP="00E51AC8">
      <w:pPr>
        <w:rPr>
          <w:rFonts w:cs="Times New Roman"/>
          <w:szCs w:val="24"/>
        </w:rPr>
      </w:pPr>
      <w:r w:rsidRPr="00E51AC8">
        <w:rPr>
          <w:rFonts w:cs="Times New Roman"/>
          <w:szCs w:val="24"/>
        </w:rPr>
        <w:t>W województwie opolskim w 2020 r.:</w:t>
      </w:r>
    </w:p>
    <w:p w14:paraId="69E4FD54" w14:textId="77777777" w:rsidR="00694604" w:rsidRDefault="00E51AC8" w:rsidP="00FE70E3">
      <w:pPr>
        <w:pStyle w:val="Akapitzlist"/>
        <w:numPr>
          <w:ilvl w:val="0"/>
          <w:numId w:val="165"/>
        </w:numPr>
        <w:rPr>
          <w:rFonts w:cs="Times New Roman"/>
          <w:szCs w:val="24"/>
        </w:rPr>
      </w:pPr>
      <w:r w:rsidRPr="00694604">
        <w:rPr>
          <w:rFonts w:cs="Times New Roman"/>
          <w:szCs w:val="24"/>
        </w:rPr>
        <w:t>z powodu niepełnosprawności pomocą społeczną objęto 7276 rodzin, łącznie ponad 11 tyś. osób,</w:t>
      </w:r>
    </w:p>
    <w:p w14:paraId="4A08CFB1" w14:textId="77777777" w:rsidR="00694604" w:rsidRDefault="00E51AC8" w:rsidP="00FE70E3">
      <w:pPr>
        <w:pStyle w:val="Akapitzlist"/>
        <w:numPr>
          <w:ilvl w:val="0"/>
          <w:numId w:val="165"/>
        </w:numPr>
        <w:rPr>
          <w:rFonts w:cs="Times New Roman"/>
          <w:szCs w:val="24"/>
        </w:rPr>
      </w:pPr>
      <w:r w:rsidRPr="00694604">
        <w:rPr>
          <w:rFonts w:cs="Times New Roman"/>
          <w:szCs w:val="24"/>
        </w:rPr>
        <w:t>przyznano 2246 zasiłków dla opiekuna osoby niepełnosprawnej w łącznej kwocie 1.380 863 zł,</w:t>
      </w:r>
    </w:p>
    <w:p w14:paraId="6950FFD8" w14:textId="3DC2FCF5" w:rsidR="00E51AC8" w:rsidRPr="00694604" w:rsidRDefault="00E51AC8" w:rsidP="00FE70E3">
      <w:pPr>
        <w:pStyle w:val="Akapitzlist"/>
        <w:numPr>
          <w:ilvl w:val="0"/>
          <w:numId w:val="165"/>
        </w:numPr>
        <w:rPr>
          <w:rFonts w:cs="Times New Roman"/>
          <w:szCs w:val="24"/>
        </w:rPr>
      </w:pPr>
      <w:r w:rsidRPr="00694604">
        <w:rPr>
          <w:rFonts w:cs="Times New Roman"/>
          <w:szCs w:val="24"/>
        </w:rPr>
        <w:t>opłacono 1 190 składek na ubezpieczenia emerytalne i rentowe opłacane za osoby pobierające zasiłek dla opiekuna, w łącznej kwocie 199 087 zł</w:t>
      </w:r>
      <w:r w:rsidR="002816BF">
        <w:rPr>
          <w:rFonts w:cs="Times New Roman"/>
          <w:szCs w:val="24"/>
        </w:rPr>
        <w:t>.</w:t>
      </w:r>
    </w:p>
    <w:p w14:paraId="5E890406" w14:textId="496C44A7" w:rsidR="00E51AC8" w:rsidRDefault="00E51AC8" w:rsidP="00E51AC8">
      <w:pPr>
        <w:rPr>
          <w:rFonts w:cs="Times New Roman"/>
          <w:szCs w:val="24"/>
        </w:rPr>
      </w:pPr>
    </w:p>
    <w:p w14:paraId="38E26E8D" w14:textId="4C9BE904" w:rsidR="00E51AC8" w:rsidRDefault="00E51AC8" w:rsidP="00E51AC8">
      <w:pPr>
        <w:pStyle w:val="Nagwek3"/>
      </w:pPr>
      <w:bookmarkStart w:id="230" w:name="_Toc77513997"/>
      <w:bookmarkStart w:id="231" w:name="_Toc80523152"/>
      <w:r w:rsidRPr="00E51AC8">
        <w:t xml:space="preserve">Działania i inicjatywy realizowane na rzecz osób starszych w województwie </w:t>
      </w:r>
      <w:r>
        <w:t>opolskim</w:t>
      </w:r>
      <w:bookmarkEnd w:id="230"/>
      <w:bookmarkEnd w:id="231"/>
    </w:p>
    <w:p w14:paraId="14471992" w14:textId="77777777" w:rsidR="000B1B06" w:rsidRPr="000B1B06" w:rsidRDefault="000B1B06" w:rsidP="000B1B06"/>
    <w:p w14:paraId="5083DCE2" w14:textId="0BEC938B" w:rsidR="00E51AC8" w:rsidRPr="00A93399" w:rsidRDefault="00E51AC8" w:rsidP="00E51AC8">
      <w:pPr>
        <w:rPr>
          <w:rFonts w:cs="Times New Roman"/>
          <w:b/>
          <w:bCs/>
          <w:szCs w:val="24"/>
        </w:rPr>
      </w:pPr>
      <w:r w:rsidRPr="00A93399">
        <w:rPr>
          <w:rFonts w:cs="Times New Roman"/>
          <w:b/>
          <w:bCs/>
          <w:szCs w:val="24"/>
        </w:rPr>
        <w:t>Dokumenty i strategie na poziomie wojewódzkim.</w:t>
      </w:r>
    </w:p>
    <w:p w14:paraId="6DBDB087" w14:textId="77777777" w:rsidR="00E51AC8" w:rsidRPr="00E51AC8" w:rsidRDefault="00E51AC8" w:rsidP="00E51AC8">
      <w:pPr>
        <w:rPr>
          <w:rFonts w:cs="Times New Roman"/>
          <w:szCs w:val="24"/>
        </w:rPr>
      </w:pPr>
      <w:r w:rsidRPr="00E51AC8">
        <w:rPr>
          <w:rFonts w:cs="Times New Roman"/>
          <w:szCs w:val="24"/>
        </w:rPr>
        <w:t xml:space="preserve">Wojewódzka Strategia w Zakresie Polityki Społecznej na lata 2016-2025  </w:t>
      </w:r>
    </w:p>
    <w:p w14:paraId="38B3191D" w14:textId="69B02980" w:rsidR="00E51AC8" w:rsidRPr="00E51AC8" w:rsidRDefault="00E51AC8" w:rsidP="00E51AC8">
      <w:pPr>
        <w:rPr>
          <w:rFonts w:cs="Times New Roman"/>
          <w:szCs w:val="24"/>
        </w:rPr>
      </w:pPr>
      <w:r w:rsidRPr="00E51AC8">
        <w:rPr>
          <w:rFonts w:cs="Times New Roman"/>
          <w:szCs w:val="24"/>
        </w:rPr>
        <w:t>W  Wojewódzkiej Strategii w Zakresie Polityki Społecznej na lata 2016-2025, w ramach Celu strategicznego 2 - zapisany jest Opolski model wsparcia i aktywizacji seniorów, który szczegółowo określa działania wspierające i aktywizujące osoby starsze. Jednocześnie w</w:t>
      </w:r>
      <w:r w:rsidR="00A93399">
        <w:rPr>
          <w:rFonts w:cs="Times New Roman"/>
          <w:szCs w:val="24"/>
        </w:rPr>
        <w:t> </w:t>
      </w:r>
      <w:r w:rsidRPr="00E51AC8">
        <w:rPr>
          <w:rFonts w:cs="Times New Roman"/>
          <w:szCs w:val="24"/>
        </w:rPr>
        <w:t xml:space="preserve">ramach tego celu Strategia zakłada m. in. rozwój usług i form wsparcia taki jak np. mieszkania wspomagane, </w:t>
      </w:r>
      <w:proofErr w:type="spellStart"/>
      <w:r w:rsidRPr="00E51AC8">
        <w:rPr>
          <w:rFonts w:cs="Times New Roman"/>
          <w:szCs w:val="24"/>
        </w:rPr>
        <w:t>teleopieka</w:t>
      </w:r>
      <w:proofErr w:type="spellEnd"/>
      <w:r w:rsidRPr="00E51AC8">
        <w:rPr>
          <w:rFonts w:cs="Times New Roman"/>
          <w:szCs w:val="24"/>
        </w:rPr>
        <w:t xml:space="preserve">, usługi edukacyjne, kulturalne i rekreacyjne, zwiększenie aktywności seniorów i ich udziału w życiu społeczności lokalnych, w tym utworzenie regionalnego centrum wolontariatu seniorów. W ramach realizacji założeń Wojewódzkiej Strategii wprowadzono m. in. dwa programy z zakresu wsparcia społecznego osób z zaburzeniami psychicznymi, wchodzące w skład Regionalnego Programu Zdrowia Psychicznego na lata 2018 – 2022: </w:t>
      </w:r>
    </w:p>
    <w:p w14:paraId="7865D53A" w14:textId="77777777" w:rsidR="00A93399" w:rsidRDefault="00E51AC8" w:rsidP="00FE70E3">
      <w:pPr>
        <w:pStyle w:val="Akapitzlist"/>
        <w:numPr>
          <w:ilvl w:val="0"/>
          <w:numId w:val="166"/>
        </w:numPr>
        <w:rPr>
          <w:rFonts w:cs="Times New Roman"/>
          <w:szCs w:val="24"/>
        </w:rPr>
      </w:pPr>
      <w:r w:rsidRPr="00A93399">
        <w:rPr>
          <w:rFonts w:cs="Times New Roman"/>
          <w:szCs w:val="24"/>
        </w:rPr>
        <w:t xml:space="preserve">Wojewódzki program poszerzania, zróżnicowania i unowocześniania pomocy </w:t>
      </w:r>
      <w:r w:rsidR="00A93399">
        <w:rPr>
          <w:rFonts w:cs="Times New Roman"/>
          <w:szCs w:val="24"/>
        </w:rPr>
        <w:t xml:space="preserve"> </w:t>
      </w:r>
      <w:r w:rsidRPr="00A93399">
        <w:rPr>
          <w:rFonts w:cs="Times New Roman"/>
          <w:szCs w:val="24"/>
        </w:rPr>
        <w:t xml:space="preserve">i oparcia społecznego dla osób z zaburzeniami psychicznymi w zakresie pomocy </w:t>
      </w:r>
      <w:r w:rsidR="00A93399">
        <w:rPr>
          <w:rFonts w:cs="Times New Roman"/>
          <w:szCs w:val="24"/>
        </w:rPr>
        <w:t xml:space="preserve"> </w:t>
      </w:r>
      <w:r w:rsidRPr="00A93399">
        <w:rPr>
          <w:rFonts w:cs="Times New Roman"/>
          <w:szCs w:val="24"/>
        </w:rPr>
        <w:t>i oparcia społecznego,</w:t>
      </w:r>
    </w:p>
    <w:p w14:paraId="44AC0012" w14:textId="4AC48124" w:rsidR="00E51AC8" w:rsidRPr="00A93399" w:rsidRDefault="00E51AC8" w:rsidP="00FE70E3">
      <w:pPr>
        <w:pStyle w:val="Akapitzlist"/>
        <w:numPr>
          <w:ilvl w:val="0"/>
          <w:numId w:val="166"/>
        </w:numPr>
        <w:rPr>
          <w:rFonts w:cs="Times New Roman"/>
          <w:szCs w:val="24"/>
        </w:rPr>
      </w:pPr>
      <w:r w:rsidRPr="00A93399">
        <w:rPr>
          <w:rFonts w:cs="Times New Roman"/>
          <w:szCs w:val="24"/>
        </w:rPr>
        <w:t>Wojewódzki program rozwoju zróżnicowanych form wspieranego i wspomaganego zatrudnienia oraz przedsiębiorczości społecznej dostosowanej do potrzeb osób</w:t>
      </w:r>
      <w:r w:rsidR="00A93399">
        <w:rPr>
          <w:rFonts w:cs="Times New Roman"/>
          <w:szCs w:val="24"/>
        </w:rPr>
        <w:t xml:space="preserve"> </w:t>
      </w:r>
      <w:r w:rsidRPr="00A93399">
        <w:rPr>
          <w:rFonts w:cs="Times New Roman"/>
          <w:szCs w:val="24"/>
        </w:rPr>
        <w:t>niepełnosprawnych, w tym z zaburzeniami psychicznymi.</w:t>
      </w:r>
    </w:p>
    <w:p w14:paraId="571C5985" w14:textId="77777777" w:rsidR="00A93399" w:rsidRDefault="00E51AC8" w:rsidP="00E51AC8">
      <w:pPr>
        <w:rPr>
          <w:rFonts w:cs="Times New Roman"/>
          <w:szCs w:val="24"/>
        </w:rPr>
      </w:pPr>
      <w:r w:rsidRPr="00E51AC8">
        <w:rPr>
          <w:rFonts w:cs="Times New Roman"/>
          <w:szCs w:val="24"/>
        </w:rPr>
        <w:tab/>
      </w:r>
    </w:p>
    <w:p w14:paraId="24870312" w14:textId="309B7676" w:rsidR="00E51AC8" w:rsidRPr="00A93399" w:rsidRDefault="00E51AC8" w:rsidP="00E51AC8">
      <w:pPr>
        <w:rPr>
          <w:rFonts w:cs="Times New Roman"/>
          <w:b/>
          <w:bCs/>
          <w:szCs w:val="24"/>
        </w:rPr>
      </w:pPr>
      <w:r w:rsidRPr="00A93399">
        <w:rPr>
          <w:rFonts w:cs="Times New Roman"/>
          <w:b/>
          <w:bCs/>
          <w:szCs w:val="24"/>
        </w:rPr>
        <w:t xml:space="preserve">Programy Województwa Opolskiego </w:t>
      </w:r>
    </w:p>
    <w:p w14:paraId="137D5B87" w14:textId="7A00799B" w:rsidR="00A93399" w:rsidRDefault="00E51AC8" w:rsidP="00FE70E3">
      <w:pPr>
        <w:pStyle w:val="Akapitzlist"/>
        <w:numPr>
          <w:ilvl w:val="0"/>
          <w:numId w:val="167"/>
        </w:numPr>
        <w:rPr>
          <w:rFonts w:cs="Times New Roman"/>
          <w:szCs w:val="24"/>
        </w:rPr>
      </w:pPr>
      <w:r w:rsidRPr="00A93399">
        <w:rPr>
          <w:rFonts w:cs="Times New Roman"/>
          <w:szCs w:val="24"/>
        </w:rPr>
        <w:t>Program Specjalnej Strefy Demograficznej w województwie opolskim do 2020 r</w:t>
      </w:r>
      <w:r w:rsidR="00A931B5">
        <w:rPr>
          <w:rFonts w:cs="Times New Roman"/>
          <w:szCs w:val="24"/>
        </w:rPr>
        <w:t>.</w:t>
      </w:r>
      <w:r w:rsidRPr="00A93399">
        <w:rPr>
          <w:rFonts w:cs="Times New Roman"/>
          <w:szCs w:val="24"/>
        </w:rPr>
        <w:t xml:space="preserve"> „Opolskie dla rodziny”.</w:t>
      </w:r>
      <w:r w:rsidR="00A93399">
        <w:rPr>
          <w:rFonts w:cs="Times New Roman"/>
          <w:szCs w:val="24"/>
        </w:rPr>
        <w:t xml:space="preserve"> </w:t>
      </w:r>
      <w:r w:rsidRPr="00A93399">
        <w:rPr>
          <w:rFonts w:cs="Times New Roman"/>
          <w:szCs w:val="24"/>
        </w:rPr>
        <w:t xml:space="preserve">Program tworzą 4 pakiety działań w obszarach: dla lepszej pracy, dla uczących się, dla rodziców, dla seniorów. Dotychczas wygenerował on wiele cennych inicjatyw, przedsięwzięć </w:t>
      </w:r>
      <w:r w:rsidR="00A93399">
        <w:rPr>
          <w:rFonts w:cs="Times New Roman"/>
          <w:szCs w:val="24"/>
        </w:rPr>
        <w:t xml:space="preserve"> </w:t>
      </w:r>
      <w:r w:rsidRPr="00A93399">
        <w:rPr>
          <w:rFonts w:cs="Times New Roman"/>
          <w:szCs w:val="24"/>
        </w:rPr>
        <w:t>i projektów. Jego najważniejszym efektem jest konsekwentna realizacja aktywnej polityki prorodzinnej i pro senioralnej w regionie.</w:t>
      </w:r>
      <w:r w:rsidR="00A93399">
        <w:rPr>
          <w:rFonts w:cs="Times New Roman"/>
          <w:szCs w:val="24"/>
        </w:rPr>
        <w:t xml:space="preserve"> </w:t>
      </w:r>
      <w:r w:rsidRPr="00A93399">
        <w:rPr>
          <w:rFonts w:cs="Times New Roman"/>
          <w:szCs w:val="24"/>
        </w:rPr>
        <w:t xml:space="preserve">W ramach Programu </w:t>
      </w:r>
      <w:proofErr w:type="spellStart"/>
      <w:r w:rsidRPr="00A93399">
        <w:rPr>
          <w:rFonts w:cs="Times New Roman"/>
          <w:szCs w:val="24"/>
        </w:rPr>
        <w:t>OdR</w:t>
      </w:r>
      <w:proofErr w:type="spellEnd"/>
      <w:r w:rsidRPr="00A93399">
        <w:rPr>
          <w:rFonts w:cs="Times New Roman"/>
          <w:szCs w:val="24"/>
        </w:rPr>
        <w:t xml:space="preserve"> w obszarze dedykowanym m.in. seniorom wydatkowano dotąd 425 mln zł (wkład UE 325,5 mln zł) na usługi zdrowotne i społeczne:</w:t>
      </w:r>
    </w:p>
    <w:p w14:paraId="010FCCAF" w14:textId="77777777" w:rsidR="00A93399" w:rsidRDefault="00E51AC8" w:rsidP="00FE70E3">
      <w:pPr>
        <w:pStyle w:val="Akapitzlist"/>
        <w:numPr>
          <w:ilvl w:val="1"/>
          <w:numId w:val="167"/>
        </w:numPr>
        <w:rPr>
          <w:rFonts w:cs="Times New Roman"/>
          <w:szCs w:val="24"/>
        </w:rPr>
      </w:pPr>
      <w:r w:rsidRPr="00A93399">
        <w:rPr>
          <w:rFonts w:cs="Times New Roman"/>
          <w:szCs w:val="24"/>
        </w:rPr>
        <w:t>7,5 tys. osób objęto bezpłatnym programem profilaktyki nowotworu jelita grubego;</w:t>
      </w:r>
    </w:p>
    <w:p w14:paraId="43718851" w14:textId="77777777" w:rsidR="00A93399" w:rsidRDefault="00E51AC8" w:rsidP="00FE70E3">
      <w:pPr>
        <w:pStyle w:val="Akapitzlist"/>
        <w:numPr>
          <w:ilvl w:val="1"/>
          <w:numId w:val="167"/>
        </w:numPr>
        <w:rPr>
          <w:rFonts w:cs="Times New Roman"/>
          <w:szCs w:val="24"/>
        </w:rPr>
      </w:pPr>
      <w:r w:rsidRPr="00A93399">
        <w:rPr>
          <w:rFonts w:cs="Times New Roman"/>
          <w:szCs w:val="24"/>
        </w:rPr>
        <w:lastRenderedPageBreak/>
        <w:t>100,6 tys. osób objęto bezpłatną pomocą zdrowotną mającą na celu zmniejszenie nadwagi i otyłości oraz ryzyka zagrożenia cukrzycą;</w:t>
      </w:r>
    </w:p>
    <w:p w14:paraId="2CE83E23" w14:textId="77777777" w:rsidR="00A93399" w:rsidRDefault="00E51AC8" w:rsidP="00FE70E3">
      <w:pPr>
        <w:pStyle w:val="Akapitzlist"/>
        <w:numPr>
          <w:ilvl w:val="1"/>
          <w:numId w:val="167"/>
        </w:numPr>
        <w:rPr>
          <w:rFonts w:cs="Times New Roman"/>
          <w:szCs w:val="24"/>
        </w:rPr>
      </w:pPr>
      <w:r w:rsidRPr="00A93399">
        <w:rPr>
          <w:rFonts w:cs="Times New Roman"/>
          <w:szCs w:val="24"/>
        </w:rPr>
        <w:t xml:space="preserve">7,8 tys. osób starszych objęto wsparciem w zakresie opieki zdrowotnej, w tym </w:t>
      </w:r>
      <w:proofErr w:type="spellStart"/>
      <w:r w:rsidRPr="00A93399">
        <w:rPr>
          <w:rFonts w:cs="Times New Roman"/>
          <w:szCs w:val="24"/>
        </w:rPr>
        <w:t>teleopieką</w:t>
      </w:r>
      <w:proofErr w:type="spellEnd"/>
      <w:r w:rsidRPr="00A93399">
        <w:rPr>
          <w:rFonts w:cs="Times New Roman"/>
          <w:szCs w:val="24"/>
        </w:rPr>
        <w:t xml:space="preserve"> medyczną: 4,4 tys. osób;</w:t>
      </w:r>
    </w:p>
    <w:p w14:paraId="526614B6" w14:textId="77777777" w:rsidR="00A93399" w:rsidRDefault="00E51AC8" w:rsidP="00FE70E3">
      <w:pPr>
        <w:pStyle w:val="Akapitzlist"/>
        <w:numPr>
          <w:ilvl w:val="1"/>
          <w:numId w:val="167"/>
        </w:numPr>
        <w:rPr>
          <w:rFonts w:cs="Times New Roman"/>
          <w:szCs w:val="24"/>
        </w:rPr>
      </w:pPr>
      <w:r w:rsidRPr="00A93399">
        <w:rPr>
          <w:rFonts w:cs="Times New Roman"/>
          <w:szCs w:val="24"/>
        </w:rPr>
        <w:t>656 opiekunów osób starszych i niesamodzielnych przygotowano do pracy;</w:t>
      </w:r>
    </w:p>
    <w:p w14:paraId="6C20A7D6" w14:textId="77777777" w:rsidR="00A93399" w:rsidRDefault="00E51AC8" w:rsidP="00FE70E3">
      <w:pPr>
        <w:pStyle w:val="Akapitzlist"/>
        <w:numPr>
          <w:ilvl w:val="1"/>
          <w:numId w:val="167"/>
        </w:numPr>
        <w:rPr>
          <w:rFonts w:cs="Times New Roman"/>
          <w:szCs w:val="24"/>
        </w:rPr>
      </w:pPr>
      <w:r w:rsidRPr="00A93399">
        <w:rPr>
          <w:rFonts w:cs="Times New Roman"/>
          <w:szCs w:val="24"/>
        </w:rPr>
        <w:t xml:space="preserve">657 miejsc opieki zapewniono osobom starszych i zależnych, </w:t>
      </w:r>
      <w:r w:rsidR="00A93399">
        <w:rPr>
          <w:rFonts w:cs="Times New Roman"/>
          <w:szCs w:val="24"/>
        </w:rPr>
        <w:t>(</w:t>
      </w:r>
      <w:r w:rsidRPr="00A93399">
        <w:rPr>
          <w:rFonts w:cs="Times New Roman"/>
          <w:szCs w:val="24"/>
        </w:rPr>
        <w:t>czyli</w:t>
      </w:r>
      <w:r w:rsidR="00A93399">
        <w:rPr>
          <w:rFonts w:cs="Times New Roman"/>
          <w:szCs w:val="24"/>
        </w:rPr>
        <w:t xml:space="preserve"> </w:t>
      </w:r>
      <w:r w:rsidRPr="00A93399">
        <w:rPr>
          <w:rFonts w:cs="Times New Roman"/>
          <w:szCs w:val="24"/>
        </w:rPr>
        <w:t>286 miejsc w całodobowych domach opieki,</w:t>
      </w:r>
      <w:r w:rsidR="00A93399">
        <w:rPr>
          <w:rFonts w:cs="Times New Roman"/>
          <w:szCs w:val="24"/>
        </w:rPr>
        <w:t xml:space="preserve"> </w:t>
      </w:r>
      <w:r w:rsidRPr="00A93399">
        <w:rPr>
          <w:rFonts w:cs="Times New Roman"/>
          <w:szCs w:val="24"/>
        </w:rPr>
        <w:t>214 miejsc w dziennych domach opieki,</w:t>
      </w:r>
      <w:r w:rsidR="00A93399">
        <w:rPr>
          <w:rFonts w:cs="Times New Roman"/>
          <w:szCs w:val="24"/>
        </w:rPr>
        <w:t xml:space="preserve"> </w:t>
      </w:r>
      <w:r w:rsidRPr="00A93399">
        <w:rPr>
          <w:rFonts w:cs="Times New Roman"/>
          <w:szCs w:val="24"/>
        </w:rPr>
        <w:t>157 miejsc w mieszkaniach wspieranych</w:t>
      </w:r>
      <w:r w:rsidR="00A93399">
        <w:rPr>
          <w:rFonts w:cs="Times New Roman"/>
          <w:szCs w:val="24"/>
        </w:rPr>
        <w:t>).</w:t>
      </w:r>
    </w:p>
    <w:p w14:paraId="0AA755D9" w14:textId="2E7D7ECB" w:rsidR="00A93399" w:rsidRDefault="00E51AC8" w:rsidP="00FE70E3">
      <w:pPr>
        <w:pStyle w:val="Akapitzlist"/>
        <w:numPr>
          <w:ilvl w:val="0"/>
          <w:numId w:val="167"/>
        </w:numPr>
        <w:rPr>
          <w:rFonts w:cs="Times New Roman"/>
          <w:szCs w:val="24"/>
        </w:rPr>
      </w:pPr>
      <w:r w:rsidRPr="00A93399">
        <w:rPr>
          <w:rFonts w:cs="Times New Roman"/>
          <w:szCs w:val="24"/>
        </w:rPr>
        <w:t>Opolska Karta Rodziny i Seniora.</w:t>
      </w:r>
      <w:r w:rsidR="00A93399">
        <w:rPr>
          <w:rFonts w:cs="Times New Roman"/>
          <w:szCs w:val="24"/>
        </w:rPr>
        <w:t xml:space="preserve"> </w:t>
      </w:r>
      <w:r w:rsidRPr="00A93399">
        <w:rPr>
          <w:rFonts w:cs="Times New Roman"/>
          <w:szCs w:val="24"/>
        </w:rPr>
        <w:t>Ważną inicjatywą realizowaną w regionie z myślą o osobach starszych jest Opolska Karta Rodziny i Seniora (OKRIS). To jedno z najbardziej rozpoznawalnych narzędzi Programu Opolskie dla Rodziny. Działa od maja 2014 r. bezpośrednio wspierając opolskie rodziny, osoby sprawujące opiekę nad osobą zależną oraz osoby powyżej 60 roku życia. Celem wprowadzenia inicjatywy jest przede wszystkim chęć wspólnego działania na rzecz budowy przyjaznego klimatu dla rodzin i seniorów w regionie poprzez wprowadzenie systemu powszechnych zniżek oraz ulg zarówno w instytucjach podległych jednostkom samorządowym, jak również w podmiotach prywatnych. W</w:t>
      </w:r>
      <w:r w:rsidR="00A93399">
        <w:rPr>
          <w:rFonts w:cs="Times New Roman"/>
          <w:szCs w:val="24"/>
        </w:rPr>
        <w:t> </w:t>
      </w:r>
      <w:r w:rsidRPr="00A93399">
        <w:rPr>
          <w:rFonts w:cs="Times New Roman"/>
          <w:szCs w:val="24"/>
        </w:rPr>
        <w:t>inicjatywie uczestniczą niemal wszystkie gminy z terenu województwa opolskiego (68 gmin na 71). W 2020 r</w:t>
      </w:r>
      <w:r w:rsidR="00A931B5">
        <w:rPr>
          <w:rFonts w:cs="Times New Roman"/>
          <w:szCs w:val="24"/>
        </w:rPr>
        <w:t>.</w:t>
      </w:r>
      <w:r w:rsidRPr="00A93399">
        <w:rPr>
          <w:rFonts w:cs="Times New Roman"/>
          <w:szCs w:val="24"/>
        </w:rPr>
        <w:t xml:space="preserve"> do </w:t>
      </w:r>
      <w:proofErr w:type="spellStart"/>
      <w:r w:rsidRPr="00A93399">
        <w:rPr>
          <w:rFonts w:cs="Times New Roman"/>
          <w:szCs w:val="24"/>
        </w:rPr>
        <w:t>OKRiS</w:t>
      </w:r>
      <w:proofErr w:type="spellEnd"/>
      <w:r w:rsidRPr="00A93399">
        <w:rPr>
          <w:rFonts w:cs="Times New Roman"/>
          <w:szCs w:val="24"/>
        </w:rPr>
        <w:t xml:space="preserve"> przyłączyło się kolejnych 9 partnerów, co w sumie daje liczbę 216 partnerów, głównie prywatnych firm oferujących posiadaczom karty atrakcyjne zniżki na usługi i produkty. Wysokość zniżki to najczęściej 10-20 %.</w:t>
      </w:r>
      <w:r w:rsidR="00A93399">
        <w:rPr>
          <w:rFonts w:cs="Times New Roman"/>
          <w:szCs w:val="24"/>
        </w:rPr>
        <w:t xml:space="preserve"> </w:t>
      </w:r>
      <w:r w:rsidRPr="00A93399">
        <w:rPr>
          <w:rFonts w:cs="Times New Roman"/>
          <w:szCs w:val="24"/>
        </w:rPr>
        <w:t>Na dzień 31 grudnia 2020 r</w:t>
      </w:r>
      <w:r w:rsidR="00A931B5">
        <w:rPr>
          <w:rFonts w:cs="Times New Roman"/>
          <w:szCs w:val="24"/>
        </w:rPr>
        <w:t>.</w:t>
      </w:r>
      <w:r w:rsidRPr="00A93399">
        <w:rPr>
          <w:rFonts w:cs="Times New Roman"/>
          <w:szCs w:val="24"/>
        </w:rPr>
        <w:t xml:space="preserve"> rozpatrzono w sumie, począwszy od 2014 r</w:t>
      </w:r>
      <w:r w:rsidR="00A931B5">
        <w:rPr>
          <w:rFonts w:cs="Times New Roman"/>
          <w:szCs w:val="24"/>
        </w:rPr>
        <w:t>.</w:t>
      </w:r>
      <w:r w:rsidRPr="00A93399">
        <w:rPr>
          <w:rFonts w:cs="Times New Roman"/>
          <w:szCs w:val="24"/>
        </w:rPr>
        <w:t>, ponad 42 tyś. wniosków, w efekcie wydając uprawnionym mieszkańcom województwa ponad 90 tyś. sztuk kart. Seniorzy w tym okresie złożyli ponad 23 tyś. wniosków. Stanowią oni prawie 55% wszystkich użytkowników Karty. W samym 2020 r</w:t>
      </w:r>
      <w:r w:rsidR="00A931B5">
        <w:rPr>
          <w:rFonts w:cs="Times New Roman"/>
          <w:szCs w:val="24"/>
        </w:rPr>
        <w:t>.</w:t>
      </w:r>
      <w:r w:rsidRPr="00A93399">
        <w:rPr>
          <w:rFonts w:cs="Times New Roman"/>
          <w:szCs w:val="24"/>
        </w:rPr>
        <w:t xml:space="preserve"> rozpatrzono 2973 wniosków i wydano 4829 kart. Ponad 2 tyś. były to wnioski złożone przez seniorów.</w:t>
      </w:r>
    </w:p>
    <w:p w14:paraId="10A70C6B" w14:textId="77777777" w:rsidR="00A93399" w:rsidRDefault="00E51AC8" w:rsidP="00FE70E3">
      <w:pPr>
        <w:pStyle w:val="Akapitzlist"/>
        <w:numPr>
          <w:ilvl w:val="0"/>
          <w:numId w:val="167"/>
        </w:numPr>
        <w:rPr>
          <w:rFonts w:cs="Times New Roman"/>
          <w:szCs w:val="24"/>
        </w:rPr>
      </w:pPr>
      <w:r w:rsidRPr="00A93399">
        <w:rPr>
          <w:rFonts w:cs="Times New Roman"/>
          <w:szCs w:val="24"/>
        </w:rPr>
        <w:t xml:space="preserve">Regionalny Program Operacyjny Województwa Opolskiego – projekt partnerski: </w:t>
      </w:r>
      <w:r w:rsidR="00A93399">
        <w:rPr>
          <w:rFonts w:cs="Times New Roman"/>
          <w:szCs w:val="24"/>
        </w:rPr>
        <w:t xml:space="preserve"> </w:t>
      </w:r>
      <w:r w:rsidRPr="00A93399">
        <w:rPr>
          <w:rFonts w:cs="Times New Roman"/>
          <w:szCs w:val="24"/>
        </w:rPr>
        <w:t xml:space="preserve">Nie-Sami-Dzielni – rozwój usług społecznych oraz wspierających osoby niesamodzielne (okres realizacji: grudzień 2016 – styczeń 2020 r.). </w:t>
      </w:r>
      <w:r w:rsidR="00A93399">
        <w:rPr>
          <w:rFonts w:cs="Times New Roman"/>
          <w:szCs w:val="24"/>
        </w:rPr>
        <w:t xml:space="preserve"> </w:t>
      </w:r>
      <w:r w:rsidRPr="00A93399">
        <w:rPr>
          <w:rFonts w:cs="Times New Roman"/>
          <w:szCs w:val="24"/>
        </w:rPr>
        <w:t xml:space="preserve">Projekt przewiduje przede wszystkim działania w obszarze rozwoju i wsparcia usług społecznych dla osób niesamodzielnych, starszych i niepełnosprawnych oraz działania wspierające i uzupełniające w tym zakresie. Realizowane są w jego ramach m.in. aktywizacja kulturalna seniorów w formie warsztatów, rozwój usług asystenckich i opiekuńczych w formie </w:t>
      </w:r>
      <w:proofErr w:type="spellStart"/>
      <w:r w:rsidRPr="00A93399">
        <w:rPr>
          <w:rFonts w:cs="Times New Roman"/>
          <w:szCs w:val="24"/>
        </w:rPr>
        <w:t>teleopieki</w:t>
      </w:r>
      <w:proofErr w:type="spellEnd"/>
      <w:r w:rsidRPr="00A93399">
        <w:rPr>
          <w:rFonts w:cs="Times New Roman"/>
          <w:szCs w:val="24"/>
        </w:rPr>
        <w:t xml:space="preserve"> oraz wsparcia opiekunów faktycznych, świadczenie opieki nad osobami starszymi, utworzenie mieszkań wspomaganych. W związku z pandemią COVID-19 zorganizowano przede wszystkim usługę Marszałkowskiego Kuriera Społecznego oraz zakupiono środki ochrony osobistej, m.in. dla domów pomocy społecznej.</w:t>
      </w:r>
    </w:p>
    <w:p w14:paraId="10231FAF" w14:textId="77777777" w:rsidR="00A93399" w:rsidRDefault="00E51AC8" w:rsidP="00FE70E3">
      <w:pPr>
        <w:pStyle w:val="Akapitzlist"/>
        <w:numPr>
          <w:ilvl w:val="0"/>
          <w:numId w:val="167"/>
        </w:numPr>
        <w:rPr>
          <w:rFonts w:cs="Times New Roman"/>
          <w:szCs w:val="24"/>
        </w:rPr>
      </w:pPr>
      <w:r w:rsidRPr="00A93399">
        <w:rPr>
          <w:rFonts w:cs="Times New Roman"/>
          <w:szCs w:val="24"/>
        </w:rPr>
        <w:t>„Centrum Pomocy" - wsparcie osób niesamodzielnych oraz opiekunów faktycznych w Opolu.</w:t>
      </w:r>
      <w:r w:rsidR="00A93399">
        <w:rPr>
          <w:rFonts w:cs="Times New Roman"/>
          <w:szCs w:val="24"/>
        </w:rPr>
        <w:t xml:space="preserve"> </w:t>
      </w:r>
      <w:r w:rsidRPr="00A93399">
        <w:rPr>
          <w:rFonts w:cs="Times New Roman"/>
          <w:szCs w:val="24"/>
        </w:rPr>
        <w:t xml:space="preserve">Projekt realizowany przez Miasto Opole wspiera rozwój usług opiekuńczych </w:t>
      </w:r>
      <w:r w:rsidR="00A93399">
        <w:rPr>
          <w:rFonts w:cs="Times New Roman"/>
          <w:szCs w:val="24"/>
        </w:rPr>
        <w:t xml:space="preserve"> </w:t>
      </w:r>
      <w:r w:rsidRPr="00A93399">
        <w:rPr>
          <w:rFonts w:cs="Times New Roman"/>
          <w:szCs w:val="24"/>
        </w:rPr>
        <w:t xml:space="preserve">i specjalistycznych dla osób niesamodzielnych mieszkających w Opolu oraz działań wspierających opiekunów faktycznych w opiece nad osobami niesamodzielnymi. Przedmiotem projektu jest zwiększenie liczby miejsc świadczenia usług opiekuńczych w społeczności lokalnej oraz rozszerzenie oferty w zakresie tych usług dla osób i rodzin zagrożonych ubóstwem lub wykluczeniem społecznym. Realizacja projektu pozwoli na zmniejszenie liczby osób pozostających bez opieki, w sytuacji braku wsparcia dla osób niesamodzielnych, głównie starszych lub niepełnosprawnych mieszkańców Opola. W </w:t>
      </w:r>
      <w:r w:rsidRPr="00A93399">
        <w:rPr>
          <w:rFonts w:cs="Times New Roman"/>
          <w:szCs w:val="24"/>
        </w:rPr>
        <w:lastRenderedPageBreak/>
        <w:t>związku z pandemią COVID-19 podjęto w projekcie dodatkowe działania w formie dowozu zakupów dla osób potrzebujących, oddelegowanie psychologów do pełnienia dyżurów telefonicznych, zapewnienie ciepłych posiłków oraz zakup środków ochrony osobistej.</w:t>
      </w:r>
    </w:p>
    <w:p w14:paraId="7E5A1662" w14:textId="77777777" w:rsidR="00A93399" w:rsidRDefault="00E51AC8" w:rsidP="00FE70E3">
      <w:pPr>
        <w:pStyle w:val="Akapitzlist"/>
        <w:numPr>
          <w:ilvl w:val="0"/>
          <w:numId w:val="167"/>
        </w:numPr>
        <w:rPr>
          <w:rFonts w:cs="Times New Roman"/>
          <w:szCs w:val="24"/>
        </w:rPr>
      </w:pPr>
      <w:r w:rsidRPr="00A93399">
        <w:rPr>
          <w:rFonts w:cs="Times New Roman"/>
          <w:szCs w:val="24"/>
        </w:rPr>
        <w:t>Projekt partnerski „Opolski senior – zapewnienie wsparcia osobom niesamodzielnym oraz ich opiekunom”.</w:t>
      </w:r>
      <w:r w:rsidR="00A93399">
        <w:rPr>
          <w:rFonts w:cs="Times New Roman"/>
          <w:szCs w:val="24"/>
        </w:rPr>
        <w:t xml:space="preserve"> </w:t>
      </w:r>
      <w:r w:rsidRPr="00A93399">
        <w:rPr>
          <w:rFonts w:cs="Times New Roman"/>
          <w:szCs w:val="24"/>
        </w:rPr>
        <w:t xml:space="preserve">Partnerami projektu są Regionalny Ośrodek Polityki Społecznej w Opolu oraz Towarzystwo Dobroczynne Niemców na Śląsku. Realizacja projektu w okresie kwiecień </w:t>
      </w:r>
      <w:r w:rsidR="00A93399">
        <w:rPr>
          <w:rFonts w:cs="Times New Roman"/>
          <w:szCs w:val="24"/>
        </w:rPr>
        <w:t xml:space="preserve"> </w:t>
      </w:r>
      <w:r w:rsidRPr="00A93399">
        <w:rPr>
          <w:rFonts w:cs="Times New Roman"/>
          <w:szCs w:val="24"/>
        </w:rPr>
        <w:t>2019 r. – październik 2023 r. Głównym celem realizacji projektu jest zwiększenie dostępu do usług społecznych świadczonych w województwie opolskim na rzecz osób niesamodzielnych, starszych lub niepełnosprawnych oraz do usług wspierających ww. osoby, które pozwolą przeciwdziałać ich marginalizacji i wykluczeniu społecznemu.</w:t>
      </w:r>
      <w:r w:rsidR="00A93399">
        <w:rPr>
          <w:rFonts w:cs="Times New Roman"/>
          <w:szCs w:val="24"/>
        </w:rPr>
        <w:t xml:space="preserve"> </w:t>
      </w:r>
      <w:r w:rsidRPr="00A93399">
        <w:rPr>
          <w:rFonts w:cs="Times New Roman"/>
          <w:szCs w:val="24"/>
        </w:rPr>
        <w:t xml:space="preserve">Działania podejmowane </w:t>
      </w:r>
      <w:r w:rsidR="00A93399">
        <w:rPr>
          <w:rFonts w:cs="Times New Roman"/>
          <w:szCs w:val="24"/>
        </w:rPr>
        <w:t xml:space="preserve"> </w:t>
      </w:r>
      <w:r w:rsidRPr="00A93399">
        <w:rPr>
          <w:rFonts w:cs="Times New Roman"/>
          <w:szCs w:val="24"/>
        </w:rPr>
        <w:t xml:space="preserve">w projekcie to m.in. zapewnienie wsparcia w formie sąsiedzkich usług opiekuńczych, stworzenie klubów seniora, aktywizacja kulturalna i społeczna seniorów w formie zajęć oraz warsztatów, a także organizacja szkoleń dla personelu służb świadczących usługi </w:t>
      </w:r>
      <w:r w:rsidR="00A93399">
        <w:rPr>
          <w:rFonts w:cs="Times New Roman"/>
          <w:szCs w:val="24"/>
        </w:rPr>
        <w:t xml:space="preserve"> </w:t>
      </w:r>
      <w:r w:rsidRPr="00A93399">
        <w:rPr>
          <w:rFonts w:cs="Times New Roman"/>
          <w:szCs w:val="24"/>
        </w:rPr>
        <w:t>w społeczności lokalnej.</w:t>
      </w:r>
    </w:p>
    <w:p w14:paraId="2EA6A310" w14:textId="77777777" w:rsidR="00A93399" w:rsidRDefault="00E51AC8" w:rsidP="00FE70E3">
      <w:pPr>
        <w:pStyle w:val="Akapitzlist"/>
        <w:numPr>
          <w:ilvl w:val="0"/>
          <w:numId w:val="167"/>
        </w:numPr>
        <w:rPr>
          <w:rFonts w:cs="Times New Roman"/>
          <w:szCs w:val="24"/>
        </w:rPr>
      </w:pPr>
      <w:r w:rsidRPr="00A93399">
        <w:rPr>
          <w:rFonts w:cs="Times New Roman"/>
          <w:szCs w:val="24"/>
        </w:rPr>
        <w:t xml:space="preserve">„Niezależne życie – wypracowanie standardu i przeprowadzenie pilotażu w zakresie usług mieszkalnictwa wspomaganego dla osób z chorobami neurologicznymi, w tym z chorobą Alzheimera i chorobą Parkinsona oraz osób starszych”. </w:t>
      </w:r>
      <w:r w:rsidR="00A93399">
        <w:rPr>
          <w:rFonts w:cs="Times New Roman"/>
          <w:szCs w:val="24"/>
        </w:rPr>
        <w:t xml:space="preserve"> </w:t>
      </w:r>
      <w:r w:rsidRPr="00A93399">
        <w:rPr>
          <w:rFonts w:cs="Times New Roman"/>
          <w:szCs w:val="24"/>
        </w:rPr>
        <w:t xml:space="preserve">Jest to partnerski projekt Samorządu Województwa Opolskiego i Samorządu Województwa Łódzkiego, bezpośrednio dedykowany osobom niesamodzielnym, (Działanie 2.8 Rozwój usług społecznych świadczonych w środowisku lokalnym, Oś priorytetowa Efektywne polityki publiczne dla rynku pracy, gospodarki i edukacji PO WER 2014-2020). </w:t>
      </w:r>
      <w:r w:rsidR="00A93399">
        <w:rPr>
          <w:rFonts w:cs="Times New Roman"/>
          <w:szCs w:val="24"/>
        </w:rPr>
        <w:t xml:space="preserve"> </w:t>
      </w:r>
      <w:r w:rsidRPr="00A93399">
        <w:rPr>
          <w:rFonts w:cs="Times New Roman"/>
          <w:szCs w:val="24"/>
        </w:rPr>
        <w:t xml:space="preserve">Celem projektu jest wypracowanie rozwiązań umożliwiających niezależne życie osobom z chorobami neurologicznymi, w tym z chorobą Alzheimera i chorobą Parkinsona. Zakłada opracowanie modelowego rozwiązania z zakresu mieszkalnictwa wspomaganego dla osób </w:t>
      </w:r>
      <w:r w:rsidR="00A93399">
        <w:rPr>
          <w:rFonts w:cs="Times New Roman"/>
          <w:szCs w:val="24"/>
        </w:rPr>
        <w:t xml:space="preserve"> </w:t>
      </w:r>
      <w:r w:rsidRPr="00A93399">
        <w:rPr>
          <w:rFonts w:cs="Times New Roman"/>
          <w:szCs w:val="24"/>
        </w:rPr>
        <w:t xml:space="preserve">z chorobami neurologicznymi, przeprowadzenie pilotażu oraz wdrożenie wypracowanego standardu na terenie 5 gmin (2 w woj. łódzkim i 3 w woj. opolskim). Projekt realizowany jest </w:t>
      </w:r>
      <w:r w:rsidR="00A93399">
        <w:rPr>
          <w:rFonts w:cs="Times New Roman"/>
          <w:szCs w:val="24"/>
        </w:rPr>
        <w:t xml:space="preserve"> </w:t>
      </w:r>
      <w:r w:rsidRPr="00A93399">
        <w:rPr>
          <w:rFonts w:cs="Times New Roman"/>
          <w:szCs w:val="24"/>
        </w:rPr>
        <w:t xml:space="preserve">w okresie od kwietnia 2018 r. do marca 2022 r., a jego łączna wartość wynosi 3 272 tys. zł. </w:t>
      </w:r>
      <w:r w:rsidR="00A93399">
        <w:rPr>
          <w:rFonts w:cs="Times New Roman"/>
          <w:szCs w:val="24"/>
        </w:rPr>
        <w:t xml:space="preserve"> </w:t>
      </w:r>
      <w:r w:rsidRPr="00A93399">
        <w:rPr>
          <w:rFonts w:cs="Times New Roman"/>
          <w:szCs w:val="24"/>
        </w:rPr>
        <w:t>W 2018</w:t>
      </w:r>
      <w:r w:rsidR="00A93399">
        <w:rPr>
          <w:rFonts w:cs="Times New Roman"/>
          <w:szCs w:val="24"/>
        </w:rPr>
        <w:t> </w:t>
      </w:r>
      <w:r w:rsidRPr="00A93399">
        <w:rPr>
          <w:rFonts w:cs="Times New Roman"/>
          <w:szCs w:val="24"/>
        </w:rPr>
        <w:t>r. wydatkowano na jego realizację 126 tys. zł.</w:t>
      </w:r>
    </w:p>
    <w:p w14:paraId="2AE7B34A" w14:textId="03A4470A" w:rsidR="00E51AC8" w:rsidRPr="00A93399" w:rsidRDefault="00E51AC8" w:rsidP="00FE70E3">
      <w:pPr>
        <w:pStyle w:val="Akapitzlist"/>
        <w:numPr>
          <w:ilvl w:val="0"/>
          <w:numId w:val="167"/>
        </w:numPr>
        <w:rPr>
          <w:rFonts w:cs="Times New Roman"/>
          <w:szCs w:val="24"/>
        </w:rPr>
      </w:pPr>
      <w:r w:rsidRPr="00A93399">
        <w:rPr>
          <w:rFonts w:cs="Times New Roman"/>
          <w:szCs w:val="24"/>
        </w:rPr>
        <w:t>Projekt partnerski „KOOPERACJE 3D - model wielosektorowej współpracy na rzecz wsparcia osób i rodzin”, realizowany w ramach Programu Operacyjnego Wiedza Edukacja Rozwój, Oś priorytetowa II. Efektywne polityki publiczne dla rynku pracy, gospodarki i edukacji. Działanie 2.5  Skuteczna pomoc społeczna.</w:t>
      </w:r>
      <w:r w:rsidR="00A93399">
        <w:rPr>
          <w:rFonts w:cs="Times New Roman"/>
          <w:szCs w:val="24"/>
        </w:rPr>
        <w:t xml:space="preserve"> </w:t>
      </w:r>
      <w:r w:rsidRPr="00A93399">
        <w:rPr>
          <w:rFonts w:cs="Times New Roman"/>
          <w:szCs w:val="24"/>
        </w:rPr>
        <w:t xml:space="preserve">Celem głównym projektu jest zwiększenie kooperacji oraz poprawa współpracy pomiędzy instytucjami pomocy i integracji społecznej a podmiotami innych polityk sektorowych istotnych z punku widzenia włączenia społ. i zwalczania ubóstwa m.in. pomocy społecznej, edukacji, zdrowia, sądownictwa, policji. Model będzie wypracowany i testowany na terenie 4 województw: śląskie, opolskie, łódzkie, małopolskie (łącznie w 30 powiatach i 20 gminach powyżej 20 tys. mieszkańców). </w:t>
      </w:r>
      <w:r w:rsidR="00A93399">
        <w:rPr>
          <w:rFonts w:cs="Times New Roman"/>
          <w:szCs w:val="24"/>
        </w:rPr>
        <w:t xml:space="preserve"> </w:t>
      </w:r>
      <w:r w:rsidRPr="00A93399">
        <w:rPr>
          <w:rFonts w:cs="Times New Roman"/>
          <w:szCs w:val="24"/>
        </w:rPr>
        <w:t xml:space="preserve">Projekt jest realizowany od kwietnia 2018 r. do marca 2021 r., a jego łączna wartość wynosi 9 967 tys. zł. </w:t>
      </w:r>
    </w:p>
    <w:p w14:paraId="70600B14" w14:textId="2F95DEB3" w:rsidR="00A93399" w:rsidRDefault="00E51AC8" w:rsidP="00E51AC8">
      <w:pPr>
        <w:rPr>
          <w:rFonts w:cs="Times New Roman"/>
          <w:szCs w:val="24"/>
        </w:rPr>
      </w:pPr>
      <w:r w:rsidRPr="00E51AC8">
        <w:rPr>
          <w:rFonts w:cs="Times New Roman"/>
          <w:szCs w:val="24"/>
        </w:rPr>
        <w:tab/>
      </w:r>
    </w:p>
    <w:p w14:paraId="50C038FB" w14:textId="08EB3A4F" w:rsidR="00E51AC8" w:rsidRPr="00A93399" w:rsidRDefault="00A93399" w:rsidP="00E51AC8">
      <w:pPr>
        <w:rPr>
          <w:rFonts w:cs="Times New Roman"/>
          <w:b/>
          <w:bCs/>
          <w:szCs w:val="24"/>
        </w:rPr>
      </w:pPr>
      <w:r w:rsidRPr="00A93399">
        <w:rPr>
          <w:rFonts w:cs="Times New Roman"/>
          <w:b/>
          <w:bCs/>
          <w:szCs w:val="24"/>
        </w:rPr>
        <w:t>Przykłady dobrych praktyk na poziomie powiatu, gminy.</w:t>
      </w:r>
    </w:p>
    <w:p w14:paraId="1CD57040" w14:textId="77777777" w:rsidR="00A93399" w:rsidRDefault="00E51AC8" w:rsidP="00E51AC8">
      <w:pPr>
        <w:rPr>
          <w:rFonts w:cs="Times New Roman"/>
          <w:szCs w:val="24"/>
        </w:rPr>
      </w:pPr>
      <w:r w:rsidRPr="00E51AC8">
        <w:rPr>
          <w:rFonts w:cs="Times New Roman"/>
          <w:szCs w:val="24"/>
        </w:rPr>
        <w:t>Powiat opolski:</w:t>
      </w:r>
    </w:p>
    <w:p w14:paraId="158B1E2E" w14:textId="77777777" w:rsidR="00A93399" w:rsidRDefault="00E51AC8" w:rsidP="00FE70E3">
      <w:pPr>
        <w:pStyle w:val="Akapitzlist"/>
        <w:numPr>
          <w:ilvl w:val="0"/>
          <w:numId w:val="169"/>
        </w:numPr>
        <w:rPr>
          <w:rFonts w:cs="Times New Roman"/>
          <w:szCs w:val="24"/>
        </w:rPr>
      </w:pPr>
      <w:r w:rsidRPr="00A93399">
        <w:rPr>
          <w:rFonts w:cs="Times New Roman"/>
          <w:szCs w:val="24"/>
        </w:rPr>
        <w:t xml:space="preserve">pilotażowy program ,,Aktywny Samorząd”. W 2020 r. powiat opolski realizował pilotażowy program ,,Aktywny Samorząd”, którego celem głównym było wyeliminowanie lub </w:t>
      </w:r>
      <w:r w:rsidRPr="00A93399">
        <w:rPr>
          <w:rFonts w:cs="Times New Roman"/>
          <w:szCs w:val="24"/>
        </w:rPr>
        <w:lastRenderedPageBreak/>
        <w:t>zmniejszenie barier ograniczających uczestnictwo osób niepełnosprawnych, w tym osób starszych, w życiu społecznym, zawodowym  i dostępie do edukacji,</w:t>
      </w:r>
    </w:p>
    <w:p w14:paraId="6402625A" w14:textId="3D46B775" w:rsidR="00A93399" w:rsidRDefault="00E51AC8" w:rsidP="00FE70E3">
      <w:pPr>
        <w:pStyle w:val="Akapitzlist"/>
        <w:numPr>
          <w:ilvl w:val="0"/>
          <w:numId w:val="169"/>
        </w:numPr>
        <w:rPr>
          <w:rFonts w:cs="Times New Roman"/>
          <w:szCs w:val="24"/>
        </w:rPr>
      </w:pPr>
      <w:r w:rsidRPr="00A93399">
        <w:rPr>
          <w:rFonts w:cs="Times New Roman"/>
          <w:szCs w:val="24"/>
        </w:rPr>
        <w:t>w 2020 r</w:t>
      </w:r>
      <w:r w:rsidR="00A931B5">
        <w:rPr>
          <w:rFonts w:cs="Times New Roman"/>
          <w:szCs w:val="24"/>
        </w:rPr>
        <w:t>.</w:t>
      </w:r>
      <w:r w:rsidRPr="00A93399">
        <w:rPr>
          <w:rFonts w:cs="Times New Roman"/>
          <w:szCs w:val="24"/>
        </w:rPr>
        <w:t xml:space="preserve"> Powiatowe Centrum Pomocy Rodzinie w Opolu realizowało „Program wyrównywania różnic między regionami III”, finansowany ze środków PFRON. W ramach programu w 2020 </w:t>
      </w:r>
      <w:r w:rsidR="00A931B5">
        <w:rPr>
          <w:rFonts w:cs="Times New Roman"/>
          <w:szCs w:val="24"/>
        </w:rPr>
        <w:t xml:space="preserve">r. </w:t>
      </w:r>
      <w:r w:rsidRPr="00A93399">
        <w:rPr>
          <w:rFonts w:cs="Times New Roman"/>
          <w:szCs w:val="24"/>
        </w:rPr>
        <w:t>zostały zawarte dwie umowy. Pierwsza umowa realizowana jest przez Gminę Niemodlin która w ramach obszaru B (likwidacja barier w urzędach, placówkach edukacyjnych lub środowiskowych domach samopomocy w zakresie umożliwienia osobom niepełnosprawnym poruszania się i komunikowania) wystąpiła z wnioskiem o budowę i montaż szybu windowego w Urzędzie Miejskim w Niemodlinie. Projekt jest w trakcie realizacji. Druga umowa natomiast to projekt własny, w którym Powiat Opolski wystąpił z wnioskiem na rzecz Domu Pomocy Społecznej w Prószkowie (46 –060 Prószków, ul. Zamkowa 8) w ramach obszaru D (likwidacja barier transportowych). Wniosek dotyczył zakupu samochodu 9 osobowego do przewozu osób niepełnosprawnych, w tym osób starszych, poruszających się na wózkach inwalidzkich. Dofinansowanie ze środków PFRON wyniosło 74.753,25 zł, natomiast udział własny wyniósł 61.161,75 zł,</w:t>
      </w:r>
    </w:p>
    <w:p w14:paraId="5068053D" w14:textId="77777777" w:rsidR="00A93399" w:rsidRDefault="00E51AC8" w:rsidP="00FE70E3">
      <w:pPr>
        <w:pStyle w:val="Akapitzlist"/>
        <w:numPr>
          <w:ilvl w:val="0"/>
          <w:numId w:val="169"/>
        </w:numPr>
        <w:rPr>
          <w:rFonts w:cs="Times New Roman"/>
          <w:szCs w:val="24"/>
        </w:rPr>
      </w:pPr>
      <w:r w:rsidRPr="00A93399">
        <w:rPr>
          <w:rFonts w:cs="Times New Roman"/>
          <w:szCs w:val="24"/>
        </w:rPr>
        <w:t>Powiatowy Program na Rzecz Osób Niepełnosprawnych. Cele i zadania do realizacji, zawarte w przedmiotowym programie opierają się na merytorycznych danych zgromadzonych przez PCPR w Opolu, diagnozie i charakterystyce środowiska osób niepełnosprawnych Powiatu Opolskiego. Celem programu jest zwiększenie udziału osób niepełnosprawnych w życiu społecznym, poprzez wyrównywanie ich szans w korzystaniu z przysługujących im praw i obowiązków,</w:t>
      </w:r>
    </w:p>
    <w:p w14:paraId="4BD023A9" w14:textId="5042424E" w:rsidR="00E51AC8" w:rsidRPr="00A93399" w:rsidRDefault="00E51AC8" w:rsidP="00FE70E3">
      <w:pPr>
        <w:pStyle w:val="Akapitzlist"/>
        <w:numPr>
          <w:ilvl w:val="0"/>
          <w:numId w:val="169"/>
        </w:numPr>
        <w:rPr>
          <w:rFonts w:cs="Times New Roman"/>
          <w:szCs w:val="24"/>
        </w:rPr>
      </w:pPr>
      <w:r w:rsidRPr="00A93399">
        <w:rPr>
          <w:rFonts w:cs="Times New Roman"/>
          <w:szCs w:val="24"/>
        </w:rPr>
        <w:t>Powiatowa Społeczna Rada do Spraw Osób Niepełnosprawnych. Zgodnie z zarządzeniem nr OR.120.2.2020 z dnia 7 stycznia 2020 r. Starosty Opolskiego powołano Powiatową Społeczną Radę ds. Osób Niepełnosprawnych na lata 2020 – 2023, zwaną dalej „Radą”, w składzie 5 członków. Rada jest organem opiniodawczo – doradczym. Do zakresu jej działania należy inspirowanie przedsięwzięć, zmierzających do integracji zawodowej i społecznej osób niepełnosprawnych, realizacji praw osób niepełnosprawnych, opiniowanie projektów powiatowych programów działań na rzecz osób niepełnosprawnych, ocena realizacji programów, opiniowanie projektów uchwał i programów przyjmowanych przez Radę Powiatu opolskiego, pod kątem ich skutków dla osób niepełnosprawnych. W 2020 r</w:t>
      </w:r>
      <w:r w:rsidR="00A931B5">
        <w:rPr>
          <w:rFonts w:cs="Times New Roman"/>
          <w:szCs w:val="24"/>
        </w:rPr>
        <w:t>.</w:t>
      </w:r>
      <w:r w:rsidRPr="00A93399">
        <w:rPr>
          <w:rFonts w:cs="Times New Roman"/>
          <w:szCs w:val="24"/>
        </w:rPr>
        <w:t xml:space="preserve"> odbyło się 6 posiedzeń Rady;</w:t>
      </w:r>
    </w:p>
    <w:p w14:paraId="7D0C0C17" w14:textId="2E9742EF" w:rsidR="00A93399" w:rsidRDefault="00A93399" w:rsidP="00E51AC8">
      <w:pPr>
        <w:rPr>
          <w:rFonts w:cs="Times New Roman"/>
          <w:szCs w:val="24"/>
        </w:rPr>
      </w:pPr>
    </w:p>
    <w:p w14:paraId="0AF4E13D" w14:textId="4335ABC9" w:rsidR="00E51AC8" w:rsidRPr="00E51AC8" w:rsidRDefault="00E51AC8" w:rsidP="00E51AC8">
      <w:pPr>
        <w:rPr>
          <w:rFonts w:cs="Times New Roman"/>
          <w:szCs w:val="24"/>
        </w:rPr>
      </w:pPr>
      <w:r w:rsidRPr="00E51AC8">
        <w:rPr>
          <w:rFonts w:cs="Times New Roman"/>
          <w:szCs w:val="24"/>
        </w:rPr>
        <w:t>Powiat prudnicki:</w:t>
      </w:r>
    </w:p>
    <w:p w14:paraId="0FE4FF34" w14:textId="77777777" w:rsidR="00A93399" w:rsidRDefault="00E51AC8" w:rsidP="00FE70E3">
      <w:pPr>
        <w:pStyle w:val="Akapitzlist"/>
        <w:numPr>
          <w:ilvl w:val="0"/>
          <w:numId w:val="170"/>
        </w:numPr>
        <w:rPr>
          <w:rFonts w:cs="Times New Roman"/>
          <w:szCs w:val="24"/>
        </w:rPr>
      </w:pPr>
      <w:r w:rsidRPr="00A93399">
        <w:rPr>
          <w:rFonts w:cs="Times New Roman"/>
          <w:szCs w:val="24"/>
        </w:rPr>
        <w:t xml:space="preserve">Opieka </w:t>
      </w:r>
      <w:proofErr w:type="spellStart"/>
      <w:r w:rsidRPr="00A93399">
        <w:rPr>
          <w:rFonts w:cs="Times New Roman"/>
          <w:szCs w:val="24"/>
        </w:rPr>
        <w:t>wytchnieniowa</w:t>
      </w:r>
      <w:proofErr w:type="spellEnd"/>
      <w:r w:rsidRPr="00A93399">
        <w:rPr>
          <w:rFonts w:cs="Times New Roman"/>
          <w:szCs w:val="24"/>
        </w:rPr>
        <w:t>, edycja 2020 – z programu skorzystało 5 osób starszych. W ramach programu skorzystać można było ze specjalistycznego poradnictwa psychologicznego, dietetycznego oraz nauki pielęgnacji i rehabilitacji w zakresie opieki dla członków rodzin lub opiekunów sprawujących bezpośrednią opiekę nad osobami posiadającymi orzeczenie o niepełnosprawności oraz dla osób zależnych z orzeczeniem o znacznym stopniu niepełnosprawności,</w:t>
      </w:r>
    </w:p>
    <w:p w14:paraId="4A2FBF3B" w14:textId="77777777" w:rsidR="00A93399" w:rsidRDefault="00E51AC8" w:rsidP="00FE70E3">
      <w:pPr>
        <w:pStyle w:val="Akapitzlist"/>
        <w:numPr>
          <w:ilvl w:val="0"/>
          <w:numId w:val="170"/>
        </w:numPr>
        <w:rPr>
          <w:rFonts w:cs="Times New Roman"/>
          <w:szCs w:val="24"/>
        </w:rPr>
      </w:pPr>
      <w:r w:rsidRPr="00A93399">
        <w:rPr>
          <w:rFonts w:cs="Times New Roman"/>
          <w:szCs w:val="24"/>
        </w:rPr>
        <w:t xml:space="preserve">Asystent Osobisty Osoby Niepełnosprawnej edycja 2020 – w ramach realizacji programu skorzystało 7 osób starszych pełniących funkcję asystenta osoby niepełnosprawnej oraz 42 osób które były uczestnikami programu. Celem Programu było wprowadzenie usługi asystenta jako formy ogólnodostępnego wsparcia dla osób niepełnosprawnych posiadających orzeczenie o znacznym lub umiarkowanym stopniu niepełnosprawności. Osoby te miały możliwość skorzystania z pomocy asystenta m.in. przy wykonywaniu </w:t>
      </w:r>
      <w:r w:rsidRPr="00A93399">
        <w:rPr>
          <w:rFonts w:cs="Times New Roman"/>
          <w:szCs w:val="24"/>
        </w:rPr>
        <w:lastRenderedPageBreak/>
        <w:t>codziennych czynności, załatwieniu spraw urzędowych czy podejmowaniu aktywności społecznej. Program ma na celu również przeciwdziałanie dyskryminacji i wykluczeniu społecznemu osób niepełnosprawnych poprzez umożliwienie im uczestnictwa w wydarzeniach społecznych, kulturalnych czy sportowych,</w:t>
      </w:r>
    </w:p>
    <w:p w14:paraId="567800DE" w14:textId="47F0F936" w:rsidR="00E51AC8" w:rsidRPr="00A93399" w:rsidRDefault="00E51AC8" w:rsidP="00FE70E3">
      <w:pPr>
        <w:pStyle w:val="Akapitzlist"/>
        <w:numPr>
          <w:ilvl w:val="0"/>
          <w:numId w:val="170"/>
        </w:numPr>
        <w:rPr>
          <w:rFonts w:cs="Times New Roman"/>
          <w:szCs w:val="24"/>
        </w:rPr>
      </w:pPr>
      <w:r w:rsidRPr="00A93399">
        <w:rPr>
          <w:rFonts w:cs="Times New Roman"/>
          <w:szCs w:val="24"/>
        </w:rPr>
        <w:t>Powiatowy Ośrodek Interwencji Kryzysowej w 2020 r</w:t>
      </w:r>
      <w:r w:rsidR="00A931B5">
        <w:rPr>
          <w:rFonts w:cs="Times New Roman"/>
          <w:szCs w:val="24"/>
        </w:rPr>
        <w:t>.</w:t>
      </w:r>
      <w:r w:rsidRPr="00A93399">
        <w:rPr>
          <w:rFonts w:cs="Times New Roman"/>
          <w:szCs w:val="24"/>
        </w:rPr>
        <w:t xml:space="preserve"> udzielił specjalistycznego poradnictwa psychologicznego i terapeutycznego dla 37 osób starszych w ramach środków finansowych Państwowego Funduszu Rehabilitacji Osób Niepełnosprawnych z dofinansowania do:</w:t>
      </w:r>
    </w:p>
    <w:p w14:paraId="6571ED13" w14:textId="77777777" w:rsidR="00A93399" w:rsidRDefault="00E51AC8" w:rsidP="00FE70E3">
      <w:pPr>
        <w:pStyle w:val="Akapitzlist"/>
        <w:numPr>
          <w:ilvl w:val="1"/>
          <w:numId w:val="170"/>
        </w:numPr>
        <w:rPr>
          <w:rFonts w:cs="Times New Roman"/>
          <w:szCs w:val="24"/>
        </w:rPr>
      </w:pPr>
      <w:r w:rsidRPr="00A93399">
        <w:rPr>
          <w:rFonts w:cs="Times New Roman"/>
          <w:szCs w:val="24"/>
        </w:rPr>
        <w:t>turnusów rehabilitacyjnych skorzystało 51 osób starszych,</w:t>
      </w:r>
    </w:p>
    <w:p w14:paraId="34DD6DBB" w14:textId="77777777" w:rsidR="00A93399" w:rsidRDefault="00E51AC8" w:rsidP="00FE70E3">
      <w:pPr>
        <w:pStyle w:val="Akapitzlist"/>
        <w:numPr>
          <w:ilvl w:val="1"/>
          <w:numId w:val="170"/>
        </w:numPr>
        <w:rPr>
          <w:rFonts w:cs="Times New Roman"/>
          <w:szCs w:val="24"/>
        </w:rPr>
      </w:pPr>
      <w:r w:rsidRPr="00A93399">
        <w:rPr>
          <w:rFonts w:cs="Times New Roman"/>
          <w:szCs w:val="24"/>
        </w:rPr>
        <w:t>likwidacji barier architektonicznych skorzystało 5 osób starszych,</w:t>
      </w:r>
    </w:p>
    <w:p w14:paraId="11F78615" w14:textId="77777777" w:rsidR="00A93399" w:rsidRDefault="00E51AC8" w:rsidP="00FE70E3">
      <w:pPr>
        <w:pStyle w:val="Akapitzlist"/>
        <w:numPr>
          <w:ilvl w:val="1"/>
          <w:numId w:val="170"/>
        </w:numPr>
        <w:rPr>
          <w:rFonts w:cs="Times New Roman"/>
          <w:szCs w:val="24"/>
        </w:rPr>
      </w:pPr>
      <w:r w:rsidRPr="00A93399">
        <w:rPr>
          <w:rFonts w:cs="Times New Roman"/>
          <w:szCs w:val="24"/>
        </w:rPr>
        <w:t>likwidacja barier technicznych skorzystało 2 osób starszych,</w:t>
      </w:r>
    </w:p>
    <w:p w14:paraId="788F1F4D" w14:textId="77777777" w:rsidR="00A93399" w:rsidRDefault="00E51AC8" w:rsidP="00FE70E3">
      <w:pPr>
        <w:pStyle w:val="Akapitzlist"/>
        <w:numPr>
          <w:ilvl w:val="1"/>
          <w:numId w:val="170"/>
        </w:numPr>
        <w:rPr>
          <w:rFonts w:cs="Times New Roman"/>
          <w:szCs w:val="24"/>
        </w:rPr>
      </w:pPr>
      <w:r w:rsidRPr="00A93399">
        <w:rPr>
          <w:rFonts w:cs="Times New Roman"/>
          <w:szCs w:val="24"/>
        </w:rPr>
        <w:t>zaopatrzenia w przedmioty ortopedyczne i środków pomocniczych skorzystało 240 osób starszych,</w:t>
      </w:r>
    </w:p>
    <w:p w14:paraId="6FEC7604" w14:textId="44E0A10C" w:rsidR="00E51AC8" w:rsidRPr="00A93399" w:rsidRDefault="00E51AC8" w:rsidP="00FE70E3">
      <w:pPr>
        <w:pStyle w:val="Akapitzlist"/>
        <w:numPr>
          <w:ilvl w:val="1"/>
          <w:numId w:val="170"/>
        </w:numPr>
        <w:rPr>
          <w:rFonts w:cs="Times New Roman"/>
          <w:szCs w:val="24"/>
        </w:rPr>
      </w:pPr>
      <w:r w:rsidRPr="00A93399">
        <w:rPr>
          <w:rFonts w:cs="Times New Roman"/>
          <w:szCs w:val="24"/>
        </w:rPr>
        <w:t>zakupu sprzętu rehabilitacyjnego skorzystało 5 osób starszych;</w:t>
      </w:r>
    </w:p>
    <w:p w14:paraId="291AE5FC" w14:textId="77777777" w:rsidR="00A93399" w:rsidRPr="00E51AC8" w:rsidRDefault="00A93399" w:rsidP="00E51AC8">
      <w:pPr>
        <w:rPr>
          <w:rFonts w:cs="Times New Roman"/>
          <w:szCs w:val="24"/>
        </w:rPr>
      </w:pPr>
    </w:p>
    <w:p w14:paraId="5D786047" w14:textId="400738CB" w:rsidR="00E51AC8" w:rsidRPr="00E51AC8" w:rsidRDefault="00E51AC8" w:rsidP="00E51AC8">
      <w:pPr>
        <w:rPr>
          <w:rFonts w:cs="Times New Roman"/>
          <w:szCs w:val="24"/>
        </w:rPr>
      </w:pPr>
      <w:r w:rsidRPr="00E51AC8">
        <w:rPr>
          <w:rFonts w:cs="Times New Roman"/>
          <w:szCs w:val="24"/>
        </w:rPr>
        <w:t>Powiat krapkowicki:</w:t>
      </w:r>
    </w:p>
    <w:p w14:paraId="5BD5F9C8" w14:textId="6273F7B3" w:rsidR="00A93399" w:rsidRDefault="00E51AC8" w:rsidP="00FE70E3">
      <w:pPr>
        <w:pStyle w:val="Akapitzlist"/>
        <w:numPr>
          <w:ilvl w:val="0"/>
          <w:numId w:val="171"/>
        </w:numPr>
        <w:rPr>
          <w:rFonts w:cs="Times New Roman"/>
          <w:szCs w:val="24"/>
        </w:rPr>
      </w:pPr>
      <w:r w:rsidRPr="00A93399">
        <w:rPr>
          <w:rFonts w:cs="Times New Roman"/>
          <w:szCs w:val="24"/>
        </w:rPr>
        <w:t>kontynuacja projektu realizowanego przez Dom Pomocy Społecznej „Anna” w Krapkowicach, pn. „Usługi zdrowotne dla osób starszych w Powiecie Krapkowickim” dofinansowany w ramach Regionalnego Programu Operacyjnego  Województwa Opolskiego na lata 2014-2020. W ramach projektu realizowano zaplanowane na 2020 r. działania z modyfikacjami wynikającymi z obostrzeń sanitarno-epidemiologicznych. Przez pierwszy kwartał 2020 r</w:t>
      </w:r>
      <w:r w:rsidR="00A931B5">
        <w:rPr>
          <w:rFonts w:cs="Times New Roman"/>
          <w:szCs w:val="24"/>
        </w:rPr>
        <w:t>.</w:t>
      </w:r>
      <w:r w:rsidRPr="00A93399">
        <w:rPr>
          <w:rFonts w:cs="Times New Roman"/>
          <w:szCs w:val="24"/>
        </w:rPr>
        <w:t xml:space="preserve"> projekt był realizowany jak w latach ubiegłych tj. zgodnie z założeniami, które przewidywały udział w projekcie mieszkańców powiatu nie zamieszkujących na stałe DPS. W czasie pandemii w ramach zadania nr 1 – Mobilne usługi rehabilitacyjne - w trosce o bezpieczeństwo uczestników a przede wszystkim mieszkańców DPS, zawieszono wyjazdy bezpośrednio do domów osób rehabilitowanych, ponadto osoby z zewnątrz nie mogły być rehabilitowane w siedzibie DPS „ANNA”. Usługą nadal objęci byli zrekrutowani do projektu mieszkańcy DPS-u. Od kwietnia 2020 r</w:t>
      </w:r>
      <w:r w:rsidR="00A931B5">
        <w:rPr>
          <w:rFonts w:cs="Times New Roman"/>
          <w:szCs w:val="24"/>
        </w:rPr>
        <w:t>.</w:t>
      </w:r>
      <w:r w:rsidRPr="00A93399">
        <w:rPr>
          <w:rFonts w:cs="Times New Roman"/>
          <w:szCs w:val="24"/>
        </w:rPr>
        <w:t xml:space="preserve"> fizjoterapeuci pracowali w składzie dwuosobowym, co z uwagi na sytuację pandemiczną było wystarczające. Sala doświadczenia świata przewidziana również w realizacji projektu była wykorzystywana przez zewnętrznych i wewnętrznych uczestników projektu. Z tej sali w pierwszym kwartale korzystali wszyscy zrekrutowani wcześniej uczestnicy, natomiast w kolejnych miesiącach przez wzgląd na panującą pandemię korzystali jedynie mieszkańcy Domu,</w:t>
      </w:r>
    </w:p>
    <w:p w14:paraId="414A4A44" w14:textId="77777777" w:rsidR="00A93399" w:rsidRDefault="00E51AC8" w:rsidP="00FE70E3">
      <w:pPr>
        <w:pStyle w:val="Akapitzlist"/>
        <w:numPr>
          <w:ilvl w:val="0"/>
          <w:numId w:val="171"/>
        </w:numPr>
        <w:rPr>
          <w:rFonts w:cs="Times New Roman"/>
          <w:szCs w:val="24"/>
        </w:rPr>
      </w:pPr>
      <w:r w:rsidRPr="00A93399">
        <w:rPr>
          <w:rFonts w:cs="Times New Roman"/>
          <w:szCs w:val="24"/>
        </w:rPr>
        <w:t>Dom Pomocy Społecznej „ANNA” w Krapkowicach otrzymał pomoc w ramach projektu „Wspieramy DPS” realizowanego przez Powiat Krapkowicki przy wsparciu Regionalnego Ośrodka Polityki Społecznej w Opolu w ramach Programu Operacyjnego Wiedza Edukacja Rozwój, Działanie 2.8 Rozwój usług społecznych świadczonych w środowisku lokalnym. Grant otrzymany przez powiat przeznaczony był na wsparcie osób znajdujących się w stanie zagrożenia zdrowia i życia w warunkach rozprzestrzeniania się epidemii COVID-19,</w:t>
      </w:r>
    </w:p>
    <w:p w14:paraId="60FA2E68" w14:textId="10287A15" w:rsidR="00A93399" w:rsidRDefault="00E51AC8" w:rsidP="00FE70E3">
      <w:pPr>
        <w:pStyle w:val="Akapitzlist"/>
        <w:numPr>
          <w:ilvl w:val="0"/>
          <w:numId w:val="171"/>
        </w:numPr>
        <w:rPr>
          <w:rFonts w:cs="Times New Roman"/>
          <w:szCs w:val="24"/>
        </w:rPr>
      </w:pPr>
      <w:r w:rsidRPr="00A93399">
        <w:rPr>
          <w:rFonts w:cs="Times New Roman"/>
          <w:szCs w:val="24"/>
        </w:rPr>
        <w:t>w 2020 r</w:t>
      </w:r>
      <w:r w:rsidR="00A931B5">
        <w:rPr>
          <w:rFonts w:cs="Times New Roman"/>
          <w:szCs w:val="24"/>
        </w:rPr>
        <w:t>.</w:t>
      </w:r>
      <w:r w:rsidRPr="00A93399">
        <w:rPr>
          <w:rFonts w:cs="Times New Roman"/>
          <w:szCs w:val="24"/>
        </w:rPr>
        <w:t xml:space="preserve"> Powiat Krapkowicki przystąpił do realizacji Programu „Asystent osobisty osoby niepełnosprawnej”. Program adresowany był do pełnoletnich osób niepełnosprawnych posiadających orzeczenie o znacznym lub umiarkowanym stopniu niepełnosprawności lub orzeczenie równoważne do wyżej wymienionych, które wymagają usługi asystenta w wykonywaniu codziennych czynności oraz w funkcjonowaniu w życiu społecznym. W </w:t>
      </w:r>
      <w:r w:rsidRPr="00A93399">
        <w:rPr>
          <w:rFonts w:cs="Times New Roman"/>
          <w:szCs w:val="24"/>
        </w:rPr>
        <w:lastRenderedPageBreak/>
        <w:t>ramach programu objętych wsparciem zostało 15 osób niepełnosprawnych (w tym 10 osób posiadających orzeczenie o znacznym stopniu niepełnosprawności oraz 5 osób posiadających orzeczenie o umiarkowanym stopniu niepełnosprawności).</w:t>
      </w:r>
    </w:p>
    <w:p w14:paraId="77CFF263" w14:textId="16394B09" w:rsidR="00E51AC8" w:rsidRPr="00A93399" w:rsidRDefault="00E51AC8" w:rsidP="00FE70E3">
      <w:pPr>
        <w:pStyle w:val="Akapitzlist"/>
        <w:numPr>
          <w:ilvl w:val="0"/>
          <w:numId w:val="171"/>
        </w:numPr>
        <w:rPr>
          <w:rFonts w:cs="Times New Roman"/>
          <w:szCs w:val="24"/>
        </w:rPr>
      </w:pPr>
      <w:r w:rsidRPr="00A93399">
        <w:rPr>
          <w:rFonts w:cs="Times New Roman"/>
          <w:szCs w:val="24"/>
        </w:rPr>
        <w:t>w 2020 r. Powiat Krapkowicki podpisał umowę partnerską na realizację projektu pn. „Nie-Sami-Dzielni II” w ramach działania Rozwój usług społecznych oraz wspierających osoby niesamodzielne – II edycja, programu współfinansowanego z Europejskiego Funduszu Społecznego w ramach RPO WO 2014-2020. W ramach projektu Powiat Krapkowicki będzie realizował jedno zadanie polegające na usługach skierowanych do osób starszych, niesamodzielnych</w:t>
      </w:r>
      <w:r w:rsidR="00A93399">
        <w:rPr>
          <w:rFonts w:cs="Times New Roman"/>
          <w:szCs w:val="24"/>
        </w:rPr>
        <w:t xml:space="preserve"> </w:t>
      </w:r>
      <w:r w:rsidRPr="00A93399">
        <w:rPr>
          <w:rFonts w:cs="Times New Roman"/>
          <w:szCs w:val="24"/>
        </w:rPr>
        <w:t xml:space="preserve">i niepełnosprawnych w ich miejscu zamieszkania w formie tzw. </w:t>
      </w:r>
      <w:proofErr w:type="spellStart"/>
      <w:r w:rsidRPr="00A93399">
        <w:rPr>
          <w:rFonts w:cs="Times New Roman"/>
          <w:szCs w:val="24"/>
        </w:rPr>
        <w:t>teleopieki</w:t>
      </w:r>
      <w:proofErr w:type="spellEnd"/>
      <w:r w:rsidRPr="00A93399">
        <w:rPr>
          <w:rFonts w:cs="Times New Roman"/>
          <w:szCs w:val="24"/>
        </w:rPr>
        <w:t>, tj. udostępnienie sprzętów teleinformatycznych do domu osoby niesamodzielnej. Projekt zakłada uruchomienie ww. usługi dla 80 osób;</w:t>
      </w:r>
    </w:p>
    <w:p w14:paraId="22A6031E" w14:textId="77777777" w:rsidR="00A93399" w:rsidRDefault="00A93399" w:rsidP="00E51AC8">
      <w:pPr>
        <w:rPr>
          <w:rFonts w:cs="Times New Roman"/>
          <w:szCs w:val="24"/>
        </w:rPr>
      </w:pPr>
    </w:p>
    <w:p w14:paraId="7F92C1AA" w14:textId="3FAE7407" w:rsidR="00E51AC8" w:rsidRPr="00E51AC8" w:rsidRDefault="00E51AC8" w:rsidP="00E51AC8">
      <w:pPr>
        <w:rPr>
          <w:rFonts w:cs="Times New Roman"/>
          <w:szCs w:val="24"/>
        </w:rPr>
      </w:pPr>
      <w:r w:rsidRPr="00E51AC8">
        <w:rPr>
          <w:rFonts w:cs="Times New Roman"/>
          <w:szCs w:val="24"/>
        </w:rPr>
        <w:t>Gmina Opole:</w:t>
      </w:r>
    </w:p>
    <w:p w14:paraId="2C20B38D" w14:textId="77777777" w:rsidR="001716AE" w:rsidRDefault="00E51AC8" w:rsidP="00FE70E3">
      <w:pPr>
        <w:pStyle w:val="Akapitzlist"/>
        <w:numPr>
          <w:ilvl w:val="0"/>
          <w:numId w:val="172"/>
        </w:numPr>
        <w:rPr>
          <w:rFonts w:cs="Times New Roman"/>
          <w:szCs w:val="24"/>
        </w:rPr>
      </w:pPr>
      <w:r w:rsidRPr="00A93399">
        <w:rPr>
          <w:rFonts w:cs="Times New Roman"/>
          <w:szCs w:val="24"/>
        </w:rPr>
        <w:t>Certyfikat Światowej Organizacji Zdrowia (WHO) ,,Miasto przyjazne starzeniu". Miasto Opole otrzymało certyfikat Światowej Organizacji Zdrowia (WHO) ,,Miasto przyjazne starzeniu". Inicjatywa w sprawie przystąpienia Miasta Opola do Sieci Miast i Gmin Przyjaznych Starzeniu była inicjatywą oddolną. Na stronie Internetowej WHO znajduje się profil Miasta Opola na którym zamieszczane są informacje dot. działań na rzecz seniorów w Mieście Opolu. Wśród dobrych praktyk realizowanych przez Miasto Opole, które zostały docenione przez światowych ekspertów WHO znalazły się:</w:t>
      </w:r>
    </w:p>
    <w:p w14:paraId="1A36C442" w14:textId="77777777" w:rsidR="001716AE" w:rsidRDefault="00E51AC8" w:rsidP="00FE70E3">
      <w:pPr>
        <w:pStyle w:val="Akapitzlist"/>
        <w:numPr>
          <w:ilvl w:val="1"/>
          <w:numId w:val="172"/>
        </w:numPr>
        <w:rPr>
          <w:rFonts w:cs="Times New Roman"/>
          <w:szCs w:val="24"/>
        </w:rPr>
      </w:pPr>
      <w:r w:rsidRPr="001716AE">
        <w:rPr>
          <w:rFonts w:cs="Times New Roman"/>
          <w:szCs w:val="24"/>
        </w:rPr>
        <w:t>wprowadzenie Karty ,,Opolski Senior";</w:t>
      </w:r>
    </w:p>
    <w:p w14:paraId="40C8ACB4" w14:textId="77777777" w:rsidR="001716AE" w:rsidRDefault="00E51AC8" w:rsidP="00FE70E3">
      <w:pPr>
        <w:pStyle w:val="Akapitzlist"/>
        <w:numPr>
          <w:ilvl w:val="1"/>
          <w:numId w:val="172"/>
        </w:numPr>
        <w:rPr>
          <w:rFonts w:cs="Times New Roman"/>
          <w:szCs w:val="24"/>
        </w:rPr>
      </w:pPr>
      <w:r w:rsidRPr="001716AE">
        <w:rPr>
          <w:rFonts w:cs="Times New Roman"/>
          <w:szCs w:val="24"/>
        </w:rPr>
        <w:t xml:space="preserve">utworzenie Centrum </w:t>
      </w:r>
      <w:proofErr w:type="spellStart"/>
      <w:r w:rsidRPr="001716AE">
        <w:rPr>
          <w:rFonts w:cs="Times New Roman"/>
          <w:szCs w:val="24"/>
        </w:rPr>
        <w:t>Informacyjno</w:t>
      </w:r>
      <w:proofErr w:type="spellEnd"/>
      <w:r w:rsidRPr="001716AE">
        <w:rPr>
          <w:rFonts w:cs="Times New Roman"/>
          <w:szCs w:val="24"/>
        </w:rPr>
        <w:t xml:space="preserve"> - Edukacyjnego ,,Senior w Opolu";</w:t>
      </w:r>
    </w:p>
    <w:p w14:paraId="390EB354" w14:textId="08493984" w:rsidR="001716AE" w:rsidRDefault="00E51AC8" w:rsidP="00FE70E3">
      <w:pPr>
        <w:pStyle w:val="Akapitzlist"/>
        <w:numPr>
          <w:ilvl w:val="1"/>
          <w:numId w:val="172"/>
        </w:numPr>
        <w:rPr>
          <w:rFonts w:cs="Times New Roman"/>
          <w:szCs w:val="24"/>
        </w:rPr>
      </w:pPr>
      <w:r w:rsidRPr="001716AE">
        <w:rPr>
          <w:rFonts w:cs="Times New Roman"/>
          <w:szCs w:val="24"/>
        </w:rPr>
        <w:t xml:space="preserve">utworzenie strony internetowej dedykowanej seniorom: </w:t>
      </w:r>
      <w:r w:rsidR="001716AE" w:rsidRPr="001716AE">
        <w:rPr>
          <w:rFonts w:cs="Times New Roman"/>
          <w:szCs w:val="24"/>
        </w:rPr>
        <w:t>www.seniorwopolu.pl</w:t>
      </w:r>
    </w:p>
    <w:p w14:paraId="46758248" w14:textId="77777777" w:rsidR="001716AE" w:rsidRDefault="00E51AC8" w:rsidP="00FE70E3">
      <w:pPr>
        <w:pStyle w:val="Akapitzlist"/>
        <w:numPr>
          <w:ilvl w:val="1"/>
          <w:numId w:val="172"/>
        </w:numPr>
        <w:rPr>
          <w:rFonts w:cs="Times New Roman"/>
          <w:szCs w:val="24"/>
        </w:rPr>
      </w:pPr>
      <w:r w:rsidRPr="001716AE">
        <w:rPr>
          <w:rFonts w:cs="Times New Roman"/>
          <w:szCs w:val="24"/>
        </w:rPr>
        <w:t>powstanie programu dedykowanego osobom starszym (Program Polityki Senioralnej Miasta Opola na lata 2018-2022 „Opole Seniorom”);</w:t>
      </w:r>
    </w:p>
    <w:p w14:paraId="556F8028" w14:textId="77777777" w:rsidR="001716AE" w:rsidRDefault="00E51AC8" w:rsidP="00FE70E3">
      <w:pPr>
        <w:pStyle w:val="Akapitzlist"/>
        <w:numPr>
          <w:ilvl w:val="1"/>
          <w:numId w:val="172"/>
        </w:numPr>
        <w:rPr>
          <w:rFonts w:cs="Times New Roman"/>
          <w:szCs w:val="24"/>
        </w:rPr>
      </w:pPr>
      <w:r w:rsidRPr="001716AE">
        <w:rPr>
          <w:rFonts w:cs="Times New Roman"/>
          <w:szCs w:val="24"/>
        </w:rPr>
        <w:t>utworzenie Rady Seniorów Miasta Opola;</w:t>
      </w:r>
    </w:p>
    <w:p w14:paraId="408FE7B8" w14:textId="77777777" w:rsidR="001716AE" w:rsidRDefault="00E51AC8" w:rsidP="00FE70E3">
      <w:pPr>
        <w:pStyle w:val="Akapitzlist"/>
        <w:numPr>
          <w:ilvl w:val="1"/>
          <w:numId w:val="172"/>
        </w:numPr>
        <w:rPr>
          <w:rFonts w:cs="Times New Roman"/>
          <w:szCs w:val="24"/>
        </w:rPr>
      </w:pPr>
      <w:r w:rsidRPr="001716AE">
        <w:rPr>
          <w:rFonts w:cs="Times New Roman"/>
          <w:szCs w:val="24"/>
        </w:rPr>
        <w:t xml:space="preserve">działania kulturalne dedykowane seniorom m.in. Opolskie Dni Seniora; Andrzejkowy Bal Seniora, Bal na Dzień Babci i Dziadka, Wybory Miss i </w:t>
      </w:r>
      <w:proofErr w:type="spellStart"/>
      <w:r w:rsidRPr="001716AE">
        <w:rPr>
          <w:rFonts w:cs="Times New Roman"/>
          <w:szCs w:val="24"/>
        </w:rPr>
        <w:t>Mistera</w:t>
      </w:r>
      <w:proofErr w:type="spellEnd"/>
      <w:r w:rsidRPr="001716AE">
        <w:rPr>
          <w:rFonts w:cs="Times New Roman"/>
          <w:szCs w:val="24"/>
        </w:rPr>
        <w:t xml:space="preserve"> 60+"</w:t>
      </w:r>
      <w:r w:rsidR="001716AE">
        <w:rPr>
          <w:rFonts w:cs="Times New Roman"/>
          <w:szCs w:val="24"/>
        </w:rPr>
        <w:t>;</w:t>
      </w:r>
      <w:r w:rsidRPr="001716AE">
        <w:rPr>
          <w:rFonts w:cs="Times New Roman"/>
          <w:szCs w:val="24"/>
        </w:rPr>
        <w:t xml:space="preserve"> </w:t>
      </w:r>
    </w:p>
    <w:p w14:paraId="32D3CAA5" w14:textId="77777777" w:rsidR="001716AE" w:rsidRDefault="00E51AC8" w:rsidP="00FE70E3">
      <w:pPr>
        <w:pStyle w:val="Akapitzlist"/>
        <w:numPr>
          <w:ilvl w:val="1"/>
          <w:numId w:val="172"/>
        </w:numPr>
        <w:rPr>
          <w:rFonts w:cs="Times New Roman"/>
          <w:szCs w:val="24"/>
        </w:rPr>
      </w:pPr>
      <w:r w:rsidRPr="001716AE">
        <w:rPr>
          <w:rFonts w:cs="Times New Roman"/>
          <w:szCs w:val="24"/>
        </w:rPr>
        <w:t>działalność Klubów Seniora;</w:t>
      </w:r>
    </w:p>
    <w:p w14:paraId="33BEF75B" w14:textId="77777777" w:rsidR="001716AE" w:rsidRDefault="00E51AC8" w:rsidP="00FE70E3">
      <w:pPr>
        <w:pStyle w:val="Akapitzlist"/>
        <w:numPr>
          <w:ilvl w:val="1"/>
          <w:numId w:val="172"/>
        </w:numPr>
        <w:rPr>
          <w:rFonts w:cs="Times New Roman"/>
          <w:szCs w:val="24"/>
        </w:rPr>
      </w:pPr>
      <w:r w:rsidRPr="001716AE">
        <w:rPr>
          <w:rFonts w:cs="Times New Roman"/>
          <w:szCs w:val="24"/>
        </w:rPr>
        <w:t>działalność Domów Dziennego Pobytu;</w:t>
      </w:r>
    </w:p>
    <w:p w14:paraId="707E7639" w14:textId="77777777" w:rsidR="001716AE" w:rsidRDefault="00E51AC8" w:rsidP="00FE70E3">
      <w:pPr>
        <w:pStyle w:val="Akapitzlist"/>
        <w:numPr>
          <w:ilvl w:val="1"/>
          <w:numId w:val="172"/>
        </w:numPr>
        <w:rPr>
          <w:rFonts w:cs="Times New Roman"/>
          <w:szCs w:val="24"/>
        </w:rPr>
      </w:pPr>
      <w:r w:rsidRPr="001716AE">
        <w:rPr>
          <w:rFonts w:cs="Times New Roman"/>
          <w:szCs w:val="24"/>
        </w:rPr>
        <w:t>działalność Uniwersytetów III Wieku;</w:t>
      </w:r>
    </w:p>
    <w:p w14:paraId="2AB12B46" w14:textId="77777777" w:rsidR="001716AE" w:rsidRDefault="00E51AC8" w:rsidP="00FE70E3">
      <w:pPr>
        <w:pStyle w:val="Akapitzlist"/>
        <w:numPr>
          <w:ilvl w:val="1"/>
          <w:numId w:val="172"/>
        </w:numPr>
        <w:rPr>
          <w:rFonts w:cs="Times New Roman"/>
          <w:szCs w:val="24"/>
        </w:rPr>
      </w:pPr>
      <w:r w:rsidRPr="001716AE">
        <w:rPr>
          <w:rFonts w:cs="Times New Roman"/>
          <w:szCs w:val="24"/>
        </w:rPr>
        <w:t>uruchomienie ,,Telefonu  Życzliwości 60+";</w:t>
      </w:r>
    </w:p>
    <w:p w14:paraId="2227C04E" w14:textId="77777777" w:rsidR="001716AE" w:rsidRDefault="00E51AC8" w:rsidP="00FE70E3">
      <w:pPr>
        <w:pStyle w:val="Akapitzlist"/>
        <w:numPr>
          <w:ilvl w:val="1"/>
          <w:numId w:val="172"/>
        </w:numPr>
        <w:rPr>
          <w:rFonts w:cs="Times New Roman"/>
          <w:szCs w:val="24"/>
        </w:rPr>
      </w:pPr>
      <w:r w:rsidRPr="001716AE">
        <w:rPr>
          <w:rFonts w:cs="Times New Roman"/>
          <w:szCs w:val="24"/>
        </w:rPr>
        <w:t>wprowadzenie ,,Koperty Życia";</w:t>
      </w:r>
    </w:p>
    <w:p w14:paraId="4D0437DA" w14:textId="77777777" w:rsidR="001716AE" w:rsidRDefault="00E51AC8" w:rsidP="00FE70E3">
      <w:pPr>
        <w:pStyle w:val="Akapitzlist"/>
        <w:numPr>
          <w:ilvl w:val="1"/>
          <w:numId w:val="172"/>
        </w:numPr>
        <w:rPr>
          <w:rFonts w:cs="Times New Roman"/>
          <w:szCs w:val="24"/>
        </w:rPr>
      </w:pPr>
      <w:r w:rsidRPr="001716AE">
        <w:rPr>
          <w:rFonts w:cs="Times New Roman"/>
          <w:szCs w:val="24"/>
        </w:rPr>
        <w:t>powstanie gazety dedykowanej seniorom ,,Senior w Opolu";</w:t>
      </w:r>
    </w:p>
    <w:p w14:paraId="239632FB" w14:textId="77777777" w:rsidR="001716AE" w:rsidRDefault="00E51AC8" w:rsidP="00FE70E3">
      <w:pPr>
        <w:pStyle w:val="Akapitzlist"/>
        <w:numPr>
          <w:ilvl w:val="1"/>
          <w:numId w:val="172"/>
        </w:numPr>
        <w:rPr>
          <w:rFonts w:cs="Times New Roman"/>
          <w:szCs w:val="24"/>
        </w:rPr>
      </w:pPr>
      <w:r w:rsidRPr="001716AE">
        <w:rPr>
          <w:rFonts w:cs="Times New Roman"/>
          <w:szCs w:val="24"/>
        </w:rPr>
        <w:t>projekt ,,Kuchnia na kółkach";</w:t>
      </w:r>
    </w:p>
    <w:p w14:paraId="1C19A0AD" w14:textId="77777777" w:rsidR="001716AE" w:rsidRDefault="00E51AC8" w:rsidP="00FE70E3">
      <w:pPr>
        <w:pStyle w:val="Akapitzlist"/>
        <w:numPr>
          <w:ilvl w:val="1"/>
          <w:numId w:val="172"/>
        </w:numPr>
        <w:rPr>
          <w:rFonts w:cs="Times New Roman"/>
          <w:szCs w:val="24"/>
        </w:rPr>
      </w:pPr>
      <w:r w:rsidRPr="001716AE">
        <w:rPr>
          <w:rFonts w:cs="Times New Roman"/>
          <w:szCs w:val="24"/>
        </w:rPr>
        <w:t>powstanie Poradni Geriatrycznej;</w:t>
      </w:r>
    </w:p>
    <w:p w14:paraId="2918961D" w14:textId="77777777" w:rsidR="001716AE" w:rsidRDefault="00E51AC8" w:rsidP="00FE70E3">
      <w:pPr>
        <w:pStyle w:val="Akapitzlist"/>
        <w:numPr>
          <w:ilvl w:val="1"/>
          <w:numId w:val="172"/>
        </w:numPr>
        <w:rPr>
          <w:rFonts w:cs="Times New Roman"/>
          <w:szCs w:val="24"/>
        </w:rPr>
      </w:pPr>
      <w:r w:rsidRPr="001716AE">
        <w:rPr>
          <w:rFonts w:cs="Times New Roman"/>
          <w:szCs w:val="24"/>
        </w:rPr>
        <w:t>usługa specjalistycznego transport dla osób niepełnosprawnych mających trudności w poruszaniu  się;</w:t>
      </w:r>
    </w:p>
    <w:p w14:paraId="524A0A26" w14:textId="77777777" w:rsidR="001716AE" w:rsidRDefault="00E51AC8" w:rsidP="00FE70E3">
      <w:pPr>
        <w:pStyle w:val="Akapitzlist"/>
        <w:numPr>
          <w:ilvl w:val="1"/>
          <w:numId w:val="172"/>
        </w:numPr>
        <w:rPr>
          <w:rFonts w:cs="Times New Roman"/>
          <w:szCs w:val="24"/>
        </w:rPr>
      </w:pPr>
      <w:r w:rsidRPr="001716AE">
        <w:rPr>
          <w:rFonts w:cs="Times New Roman"/>
          <w:szCs w:val="24"/>
        </w:rPr>
        <w:t>realizacja miejskich programów zdrowotnych skierowanych do osób starszych tj.: program profilaktyki i wczesnego wykrywania osteoporozy,</w:t>
      </w:r>
    </w:p>
    <w:p w14:paraId="727E7B5F" w14:textId="77777777" w:rsidR="001716AE" w:rsidRDefault="00E51AC8" w:rsidP="00FE70E3">
      <w:pPr>
        <w:pStyle w:val="Akapitzlist"/>
        <w:numPr>
          <w:ilvl w:val="1"/>
          <w:numId w:val="172"/>
        </w:numPr>
        <w:rPr>
          <w:rFonts w:cs="Times New Roman"/>
          <w:szCs w:val="24"/>
        </w:rPr>
      </w:pPr>
      <w:r w:rsidRPr="001716AE">
        <w:rPr>
          <w:rFonts w:cs="Times New Roman"/>
          <w:szCs w:val="24"/>
        </w:rPr>
        <w:t>badania densytometryczne, program bezpłatnych szczepień profilaktycznych przeciwko grypie czy program „Zdrowy Kręgosłup”,</w:t>
      </w:r>
    </w:p>
    <w:p w14:paraId="36389B35" w14:textId="77777777" w:rsidR="001716AE" w:rsidRDefault="00E51AC8" w:rsidP="00FE70E3">
      <w:pPr>
        <w:pStyle w:val="Akapitzlist"/>
        <w:numPr>
          <w:ilvl w:val="0"/>
          <w:numId w:val="172"/>
        </w:numPr>
        <w:rPr>
          <w:rFonts w:cs="Times New Roman"/>
          <w:szCs w:val="24"/>
        </w:rPr>
      </w:pPr>
      <w:r w:rsidRPr="001716AE">
        <w:rPr>
          <w:rFonts w:cs="Times New Roman"/>
          <w:szCs w:val="24"/>
        </w:rPr>
        <w:t xml:space="preserve">Strategia rozwiązywania problemów społecznych Miasta Opola na lata 2016 – 2020, która zakłada m.in. działania zmierzające na rzecz osób starszych , w tym  likwidację barier </w:t>
      </w:r>
      <w:r w:rsidRPr="001716AE">
        <w:rPr>
          <w:rFonts w:cs="Times New Roman"/>
          <w:szCs w:val="24"/>
        </w:rPr>
        <w:lastRenderedPageBreak/>
        <w:t>architektonicznych, opanowanie przez seniorów podstawowych umiejętności w zakresie korzystania ze sprzętu komputerowego i oprogramowania oraz różnego rodzaju aplikacji zwiększających ich bezpieczeństwo i komfort życia oraz  działania służące rozwojowi nowoczesnych, specjalistycznych usług i placówek dedykowanych osobom starszym,</w:t>
      </w:r>
    </w:p>
    <w:p w14:paraId="2F85C5C5" w14:textId="77777777" w:rsidR="001716AE" w:rsidRDefault="00E51AC8" w:rsidP="00FE70E3">
      <w:pPr>
        <w:pStyle w:val="Akapitzlist"/>
        <w:numPr>
          <w:ilvl w:val="0"/>
          <w:numId w:val="172"/>
        </w:numPr>
        <w:rPr>
          <w:rFonts w:cs="Times New Roman"/>
          <w:szCs w:val="24"/>
        </w:rPr>
      </w:pPr>
      <w:r w:rsidRPr="001716AE">
        <w:rPr>
          <w:rFonts w:cs="Times New Roman"/>
          <w:szCs w:val="24"/>
        </w:rPr>
        <w:t>,,Strategia działania Rady Seniorów Miasta Opola“ w której wskazano, że do głównych celów działalności Rady zalicza się zaistnienie w powszechnej świadomości społeczności Miasta Opola Rady Seniorów, jej roli i zakresu działalności, zwiększenie ilości seniorów korzystających z rozwiązań podnoszących bezpieczeństwo w sytuacjach zagrożenia życia, a także zintegrowanie działań organizacji i instytucji na rzecz środowiska senioralnego w Opolu,</w:t>
      </w:r>
    </w:p>
    <w:p w14:paraId="3576B319" w14:textId="77777777" w:rsidR="001716AE" w:rsidRDefault="00E51AC8" w:rsidP="00FE70E3">
      <w:pPr>
        <w:pStyle w:val="Akapitzlist"/>
        <w:numPr>
          <w:ilvl w:val="0"/>
          <w:numId w:val="172"/>
        </w:numPr>
        <w:rPr>
          <w:rFonts w:cs="Times New Roman"/>
          <w:szCs w:val="24"/>
        </w:rPr>
      </w:pPr>
      <w:r w:rsidRPr="001716AE">
        <w:rPr>
          <w:rFonts w:cs="Times New Roman"/>
          <w:szCs w:val="24"/>
        </w:rPr>
        <w:t>Program Polityki Senioralnej Miasta Opola na lata 2018-2022 „Opole Seniorom”, to skoordynowany system działań, realizowanych we współpracy ze środowiskiem lokalnym, którego celem jest samodzielne i godne życie starszych mieszkańców miasta. Bezpośrednim adresatem Programu są seniorzy - osoby które ukończyły 60 lat i zamieszkują w Opolu. Cele szczegółowe:</w:t>
      </w:r>
    </w:p>
    <w:p w14:paraId="68835B0A" w14:textId="77777777" w:rsidR="001716AE" w:rsidRDefault="00E51AC8" w:rsidP="00FE70E3">
      <w:pPr>
        <w:pStyle w:val="Akapitzlist"/>
        <w:numPr>
          <w:ilvl w:val="1"/>
          <w:numId w:val="172"/>
        </w:numPr>
        <w:rPr>
          <w:rFonts w:cs="Times New Roman"/>
          <w:szCs w:val="24"/>
        </w:rPr>
      </w:pPr>
      <w:r w:rsidRPr="001716AE">
        <w:rPr>
          <w:rFonts w:cs="Times New Roman"/>
          <w:szCs w:val="24"/>
        </w:rPr>
        <w:t>aktywizacja i integracja środowiska senioralnego Miasta Opola,</w:t>
      </w:r>
    </w:p>
    <w:p w14:paraId="6BE2570C" w14:textId="77777777" w:rsidR="001716AE" w:rsidRDefault="00E51AC8" w:rsidP="00FE70E3">
      <w:pPr>
        <w:pStyle w:val="Akapitzlist"/>
        <w:numPr>
          <w:ilvl w:val="1"/>
          <w:numId w:val="172"/>
        </w:numPr>
        <w:rPr>
          <w:rFonts w:cs="Times New Roman"/>
          <w:szCs w:val="24"/>
        </w:rPr>
      </w:pPr>
      <w:r w:rsidRPr="001716AE">
        <w:rPr>
          <w:rFonts w:cs="Times New Roman"/>
          <w:szCs w:val="24"/>
        </w:rPr>
        <w:t>prowadzenie Centrum Informacyjno- Edukacyjnego „Senior w Opolu”,</w:t>
      </w:r>
    </w:p>
    <w:p w14:paraId="7793AE8C" w14:textId="77777777" w:rsidR="001716AE" w:rsidRDefault="00E51AC8" w:rsidP="00FE70E3">
      <w:pPr>
        <w:pStyle w:val="Akapitzlist"/>
        <w:numPr>
          <w:ilvl w:val="1"/>
          <w:numId w:val="172"/>
        </w:numPr>
        <w:rPr>
          <w:rFonts w:cs="Times New Roman"/>
          <w:szCs w:val="24"/>
        </w:rPr>
      </w:pPr>
      <w:r w:rsidRPr="001716AE">
        <w:rPr>
          <w:rFonts w:cs="Times New Roman"/>
          <w:szCs w:val="24"/>
        </w:rPr>
        <w:t>utrzymanie samodzielności seniorów w środowisku zamieszkania,</w:t>
      </w:r>
    </w:p>
    <w:p w14:paraId="7AD21575" w14:textId="77777777" w:rsidR="001716AE" w:rsidRDefault="00E51AC8" w:rsidP="00FE70E3">
      <w:pPr>
        <w:pStyle w:val="Akapitzlist"/>
        <w:numPr>
          <w:ilvl w:val="1"/>
          <w:numId w:val="172"/>
        </w:numPr>
        <w:rPr>
          <w:rFonts w:cs="Times New Roman"/>
          <w:szCs w:val="24"/>
        </w:rPr>
      </w:pPr>
      <w:r w:rsidRPr="001716AE">
        <w:rPr>
          <w:rFonts w:cs="Times New Roman"/>
          <w:szCs w:val="24"/>
        </w:rPr>
        <w:t>zwiększenie dostępności osób starszych do systemu opieki zdrowotnej, rehabilitacji i profilaktyki,</w:t>
      </w:r>
    </w:p>
    <w:p w14:paraId="4A6FCC2A" w14:textId="77777777" w:rsidR="001716AE" w:rsidRDefault="00E51AC8" w:rsidP="00FE70E3">
      <w:pPr>
        <w:pStyle w:val="Akapitzlist"/>
        <w:numPr>
          <w:ilvl w:val="1"/>
          <w:numId w:val="172"/>
        </w:numPr>
        <w:rPr>
          <w:rFonts w:cs="Times New Roman"/>
          <w:szCs w:val="24"/>
        </w:rPr>
      </w:pPr>
      <w:r w:rsidRPr="001716AE">
        <w:rPr>
          <w:rFonts w:cs="Times New Roman"/>
          <w:szCs w:val="24"/>
        </w:rPr>
        <w:t>przełamywanie stereotypowego postrzegania osób starszych i wzmocnienie pozytywnego wizerunku seniorów,</w:t>
      </w:r>
    </w:p>
    <w:p w14:paraId="33F97FBF" w14:textId="5D4A1EB0" w:rsidR="00E51AC8" w:rsidRPr="001716AE" w:rsidRDefault="00E51AC8" w:rsidP="00FE70E3">
      <w:pPr>
        <w:pStyle w:val="Akapitzlist"/>
        <w:numPr>
          <w:ilvl w:val="0"/>
          <w:numId w:val="172"/>
        </w:numPr>
        <w:rPr>
          <w:rFonts w:cs="Times New Roman"/>
          <w:szCs w:val="24"/>
        </w:rPr>
      </w:pPr>
      <w:r w:rsidRPr="001716AE">
        <w:rPr>
          <w:rFonts w:cs="Times New Roman"/>
          <w:szCs w:val="24"/>
        </w:rPr>
        <w:t xml:space="preserve">Program „Opolska Rodzina”, którego celem jest promowanie wartości rodzinnych w społeczności lokalnej oraz kształtowanie wśród mieszkańców Miasta Opola właściwych postaw i </w:t>
      </w:r>
      <w:proofErr w:type="spellStart"/>
      <w:r w:rsidRPr="001716AE">
        <w:rPr>
          <w:rFonts w:cs="Times New Roman"/>
          <w:szCs w:val="24"/>
        </w:rPr>
        <w:t>zachowań</w:t>
      </w:r>
      <w:proofErr w:type="spellEnd"/>
      <w:r w:rsidRPr="001716AE">
        <w:rPr>
          <w:rFonts w:cs="Times New Roman"/>
          <w:szCs w:val="24"/>
        </w:rPr>
        <w:t xml:space="preserve">, sprzyjających szeroko rozumianej integracji </w:t>
      </w:r>
      <w:r w:rsidR="001716AE">
        <w:rPr>
          <w:rFonts w:cs="Times New Roman"/>
          <w:szCs w:val="24"/>
        </w:rPr>
        <w:t xml:space="preserve"> </w:t>
      </w:r>
      <w:r w:rsidRPr="001716AE">
        <w:rPr>
          <w:rFonts w:cs="Times New Roman"/>
          <w:szCs w:val="24"/>
        </w:rPr>
        <w:t>z osobami niepełnosprawnymi. Partnerami programu są firmy, instytucje i organizacje, które podpisały porozumienie z Miastem Opole na świadczenie usług dla uczestników programu „Opolska Rodzina” oferując zniżki dla posiadaczy Karty ,,Opolska Rodzina" oraz Karty ,,Opolski Senior";</w:t>
      </w:r>
    </w:p>
    <w:p w14:paraId="62903E31" w14:textId="77777777" w:rsidR="00A93399" w:rsidRDefault="00A93399" w:rsidP="00E51AC8">
      <w:pPr>
        <w:rPr>
          <w:rFonts w:cs="Times New Roman"/>
          <w:szCs w:val="24"/>
        </w:rPr>
      </w:pPr>
    </w:p>
    <w:p w14:paraId="05A68D78" w14:textId="625E9BEA" w:rsidR="00E51AC8" w:rsidRPr="00E51AC8" w:rsidRDefault="00E51AC8" w:rsidP="00E51AC8">
      <w:pPr>
        <w:rPr>
          <w:rFonts w:cs="Times New Roman"/>
          <w:szCs w:val="24"/>
        </w:rPr>
      </w:pPr>
      <w:r w:rsidRPr="00E51AC8">
        <w:rPr>
          <w:rFonts w:cs="Times New Roman"/>
          <w:szCs w:val="24"/>
        </w:rPr>
        <w:t>Gmina Prudnik:</w:t>
      </w:r>
    </w:p>
    <w:p w14:paraId="4CA54F4F" w14:textId="77777777" w:rsidR="001716AE" w:rsidRDefault="00E51AC8" w:rsidP="00FE70E3">
      <w:pPr>
        <w:pStyle w:val="Akapitzlist"/>
        <w:numPr>
          <w:ilvl w:val="0"/>
          <w:numId w:val="173"/>
        </w:numPr>
        <w:rPr>
          <w:rFonts w:cs="Times New Roman"/>
          <w:szCs w:val="24"/>
        </w:rPr>
      </w:pPr>
      <w:r w:rsidRPr="001716AE">
        <w:rPr>
          <w:rFonts w:cs="Times New Roman"/>
          <w:szCs w:val="24"/>
        </w:rPr>
        <w:t>Program „Wspieraj seniora”, Gmina przystąpiła do realizacji tego programu od listopada 2020 r. Usługi realizowane były poprzez pracowników Ośrodka Pomocy Społecznej, to oni dokonywali zakupów i dostarczali je do seniorów. Do akcji zostali włączeni też pracownicy klubu seniora i placówki wsparcia dziennego, gdyż działalność tych placówek była zawieszona. Ogólna liczba zgłoszeń to 231, w tym 189 to zgłoszenia osób po 70 roku życia i 37 zgłoszeń osób przed 70 rokiem życia. Liczba osób objętych wparciem to 36 osób,</w:t>
      </w:r>
    </w:p>
    <w:p w14:paraId="18D9B235" w14:textId="77777777" w:rsidR="001716AE" w:rsidRDefault="00E51AC8" w:rsidP="00FE70E3">
      <w:pPr>
        <w:pStyle w:val="Akapitzlist"/>
        <w:numPr>
          <w:ilvl w:val="0"/>
          <w:numId w:val="173"/>
        </w:numPr>
        <w:rPr>
          <w:rFonts w:cs="Times New Roman"/>
          <w:szCs w:val="24"/>
        </w:rPr>
      </w:pPr>
      <w:r w:rsidRPr="001716AE">
        <w:rPr>
          <w:rFonts w:cs="Times New Roman"/>
          <w:szCs w:val="24"/>
        </w:rPr>
        <w:t xml:space="preserve">realizacja programu Marszałkowskiego Kuriera Społecznego, polegającego na zaspokajaniu codziennych potrzeb życiowych, opiece higienicznej, zapewnieniu kontaktów z otoczeniem. Usługi te skierowane były do między innymi osób starszych, samotnych, niesamodzielnych. Wsparcie polegało na robieniu zakupów, dowożeniu artykułów spożywczych, dowożeniu leków, doraźnej pomocy wg potrzeb, również dostarczeniu ciepłego posiłku. W okresie kwiecień 2020r – czerwiec 2020r usługa świadczona była przez 4 kurierów, którzy łącznie wypracowali 1 800 godzin. Natomiast w okresie grudnia 2020 r. zaangażowanych było 5 </w:t>
      </w:r>
      <w:r w:rsidRPr="001716AE">
        <w:rPr>
          <w:rFonts w:cs="Times New Roman"/>
          <w:szCs w:val="24"/>
        </w:rPr>
        <w:lastRenderedPageBreak/>
        <w:t>„marszałkowskich kurierów społecznych”, którzy wypracowali 1 020 godzin. Pomocą objęto 60 osób. Działania były koordynowane przez Ośrodek Pomocy Społecznej,</w:t>
      </w:r>
    </w:p>
    <w:p w14:paraId="2D46AEEF" w14:textId="77777777" w:rsidR="001716AE" w:rsidRDefault="00E51AC8" w:rsidP="00FE70E3">
      <w:pPr>
        <w:pStyle w:val="Akapitzlist"/>
        <w:numPr>
          <w:ilvl w:val="0"/>
          <w:numId w:val="173"/>
        </w:numPr>
        <w:rPr>
          <w:rFonts w:cs="Times New Roman"/>
          <w:szCs w:val="24"/>
        </w:rPr>
      </w:pPr>
      <w:r w:rsidRPr="001716AE">
        <w:rPr>
          <w:rFonts w:cs="Times New Roman"/>
          <w:szCs w:val="24"/>
        </w:rPr>
        <w:t>„Pudełko życia”, „Koperta życia” – akcja społeczna skierowana do ludzi starszych, samotnych i chorych. Celem projektu było przygotowanie informacji dla służb ratunkowych o stanie zdrowia chorego. Akcja zakłada umieszczenie w domowej lodówce specjalnego, oklejonego pudełka z kartą informacyjną zawierającą istotne dla życia chorego informacje jak: numer telefonu do bliskich, leki, które przyjmuje, schorzenia na jakie cierpi itp.,</w:t>
      </w:r>
    </w:p>
    <w:p w14:paraId="260FB222" w14:textId="12644F66" w:rsidR="00E51AC8" w:rsidRPr="001716AE" w:rsidRDefault="00E51AC8" w:rsidP="00FE70E3">
      <w:pPr>
        <w:pStyle w:val="Akapitzlist"/>
        <w:numPr>
          <w:ilvl w:val="0"/>
          <w:numId w:val="173"/>
        </w:numPr>
        <w:rPr>
          <w:rFonts w:cs="Times New Roman"/>
          <w:szCs w:val="24"/>
        </w:rPr>
      </w:pPr>
      <w:r w:rsidRPr="001716AE">
        <w:rPr>
          <w:rFonts w:cs="Times New Roman"/>
          <w:szCs w:val="24"/>
        </w:rPr>
        <w:t>„Miejsce przyjazne seniorom” – celem akcji jest wyróżnienie oraz promowanie specjalnym certyfikatem tych miejsc w Prudniku, które z uwagi na oferowane usługi, stosowane zniżki oraz dostępność architektoniczną, wychodzą naprzeciw oczekiwaniom osób starszych,</w:t>
      </w:r>
    </w:p>
    <w:p w14:paraId="59060779" w14:textId="77777777" w:rsidR="00A93399" w:rsidRDefault="00A93399" w:rsidP="00E51AC8">
      <w:pPr>
        <w:rPr>
          <w:rFonts w:cs="Times New Roman"/>
          <w:szCs w:val="24"/>
        </w:rPr>
      </w:pPr>
    </w:p>
    <w:p w14:paraId="43318B7B" w14:textId="1F6AA343" w:rsidR="00E51AC8" w:rsidRPr="00E51AC8" w:rsidRDefault="00E51AC8" w:rsidP="00E51AC8">
      <w:pPr>
        <w:rPr>
          <w:rFonts w:cs="Times New Roman"/>
          <w:szCs w:val="24"/>
        </w:rPr>
      </w:pPr>
      <w:r w:rsidRPr="00E51AC8">
        <w:rPr>
          <w:rFonts w:cs="Times New Roman"/>
          <w:szCs w:val="24"/>
        </w:rPr>
        <w:t>Gmina Kędzierzyn – Koźle:</w:t>
      </w:r>
    </w:p>
    <w:p w14:paraId="031F7A33" w14:textId="77777777" w:rsidR="001716AE" w:rsidRDefault="00E51AC8" w:rsidP="00FE70E3">
      <w:pPr>
        <w:pStyle w:val="Akapitzlist"/>
        <w:numPr>
          <w:ilvl w:val="0"/>
          <w:numId w:val="174"/>
        </w:numPr>
        <w:rPr>
          <w:rFonts w:cs="Times New Roman"/>
          <w:szCs w:val="24"/>
        </w:rPr>
      </w:pPr>
      <w:r w:rsidRPr="001716AE">
        <w:rPr>
          <w:rFonts w:cs="Times New Roman"/>
          <w:szCs w:val="24"/>
        </w:rPr>
        <w:t>Strategia „Polityka senioralna w Gminie Kędzierzyn-Koźle na lata 2019-2023”, która w sposób całościowy odnosi się do sytuacji seniorów oraz do wyzwania, jakim jest nieuchronne starzenie się populacji Gminy. Strategia kreuje miejską politykę o charakterze horyzontalnym, łączącą różnego typu działania w sferze pomocy społecznej, edukacji, kultury, sportu i rekreacji, ochrony zdrowia, aktywizacji społecznej i samoorganizacji adresowane do jasno sprecyzowanego beneficjenta czy adresata – seniora. Realizując zadania w różnych obszarach polityki społecznej ma zapewnić mu możliwość godnego i aktywnego starzenia się,</w:t>
      </w:r>
    </w:p>
    <w:p w14:paraId="01FE0219" w14:textId="004FC84B" w:rsidR="001716AE" w:rsidRDefault="00E51AC8" w:rsidP="00FE70E3">
      <w:pPr>
        <w:pStyle w:val="Akapitzlist"/>
        <w:numPr>
          <w:ilvl w:val="0"/>
          <w:numId w:val="174"/>
        </w:numPr>
        <w:rPr>
          <w:rFonts w:cs="Times New Roman"/>
          <w:szCs w:val="24"/>
        </w:rPr>
      </w:pPr>
      <w:r w:rsidRPr="001716AE">
        <w:rPr>
          <w:rFonts w:cs="Times New Roman"/>
          <w:szCs w:val="24"/>
        </w:rPr>
        <w:t xml:space="preserve">projekt „Model tworzenia lokalnych programów opieki </w:t>
      </w:r>
      <w:proofErr w:type="spellStart"/>
      <w:r w:rsidRPr="001716AE">
        <w:rPr>
          <w:rFonts w:cs="Times New Roman"/>
          <w:szCs w:val="24"/>
        </w:rPr>
        <w:t>wytchnieniowej</w:t>
      </w:r>
      <w:proofErr w:type="spellEnd"/>
      <w:r w:rsidRPr="001716AE">
        <w:rPr>
          <w:rFonts w:cs="Times New Roman"/>
          <w:szCs w:val="24"/>
        </w:rPr>
        <w:t>”. Planowanym efektem projektu będzie wdrożenie wypracowanego rozwiązania do praktyki przez 10 instytucji biorących udział w projekcie. Działania w 2020 r obejmowały 2 etapy: etap II – Testowanie rozwiązania (</w:t>
      </w:r>
      <w:r w:rsidR="002816BF">
        <w:rPr>
          <w:rFonts w:cs="Times New Roman"/>
          <w:szCs w:val="24"/>
        </w:rPr>
        <w:t>czerwiec</w:t>
      </w:r>
      <w:r w:rsidRPr="001716AE">
        <w:rPr>
          <w:rFonts w:cs="Times New Roman"/>
          <w:szCs w:val="24"/>
        </w:rPr>
        <w:t xml:space="preserve"> 2019 – </w:t>
      </w:r>
      <w:r w:rsidR="002816BF">
        <w:rPr>
          <w:rFonts w:cs="Times New Roman"/>
          <w:szCs w:val="24"/>
        </w:rPr>
        <w:t xml:space="preserve">wrzesień </w:t>
      </w:r>
      <w:r w:rsidRPr="001716AE">
        <w:rPr>
          <w:rFonts w:cs="Times New Roman"/>
          <w:szCs w:val="24"/>
        </w:rPr>
        <w:t xml:space="preserve"> 2020 r.) oraz etap III – Analiza efektów testowanego rozwiązania (</w:t>
      </w:r>
      <w:r w:rsidR="002816BF">
        <w:rPr>
          <w:rFonts w:cs="Times New Roman"/>
          <w:szCs w:val="24"/>
        </w:rPr>
        <w:t xml:space="preserve">październik </w:t>
      </w:r>
      <w:r w:rsidRPr="001716AE">
        <w:rPr>
          <w:rFonts w:cs="Times New Roman"/>
          <w:szCs w:val="24"/>
        </w:rPr>
        <w:t xml:space="preserve">– </w:t>
      </w:r>
      <w:r w:rsidR="002816BF">
        <w:rPr>
          <w:rFonts w:cs="Times New Roman"/>
          <w:szCs w:val="24"/>
        </w:rPr>
        <w:t>grudzień</w:t>
      </w:r>
      <w:r w:rsidRPr="001716AE">
        <w:rPr>
          <w:rFonts w:cs="Times New Roman"/>
          <w:szCs w:val="24"/>
        </w:rPr>
        <w:t xml:space="preserve"> 2020 r.). W 2020 r. w ramach udziału w projekcie podjęto działania związane z opracowaniem Gminnego Programu Opieki </w:t>
      </w:r>
      <w:proofErr w:type="spellStart"/>
      <w:r w:rsidRPr="001716AE">
        <w:rPr>
          <w:rFonts w:cs="Times New Roman"/>
          <w:szCs w:val="24"/>
        </w:rPr>
        <w:t>Wytchnieniowej</w:t>
      </w:r>
      <w:proofErr w:type="spellEnd"/>
      <w:r w:rsidRPr="001716AE">
        <w:rPr>
          <w:rFonts w:cs="Times New Roman"/>
          <w:szCs w:val="24"/>
        </w:rPr>
        <w:t xml:space="preserve"> w Kędzierzynie-Koźlu,</w:t>
      </w:r>
    </w:p>
    <w:p w14:paraId="1195582F" w14:textId="77777777" w:rsidR="001716AE" w:rsidRDefault="00E51AC8" w:rsidP="00FE70E3">
      <w:pPr>
        <w:pStyle w:val="Akapitzlist"/>
        <w:numPr>
          <w:ilvl w:val="0"/>
          <w:numId w:val="174"/>
        </w:numPr>
        <w:rPr>
          <w:rFonts w:cs="Times New Roman"/>
          <w:szCs w:val="24"/>
        </w:rPr>
      </w:pPr>
      <w:r w:rsidRPr="001716AE">
        <w:rPr>
          <w:rFonts w:cs="Times New Roman"/>
          <w:szCs w:val="24"/>
        </w:rPr>
        <w:t>„Gmina Kędzierzyn-Koźle dla Seniora” – w ramach którego osobom po 60-tym roku życia oferowane są zniżki na korzystanie z kręgielni oraz basenu na krytej pływalni,</w:t>
      </w:r>
    </w:p>
    <w:p w14:paraId="3434A551" w14:textId="77777777" w:rsidR="001716AE" w:rsidRDefault="00E51AC8" w:rsidP="00FE70E3">
      <w:pPr>
        <w:pStyle w:val="Akapitzlist"/>
        <w:numPr>
          <w:ilvl w:val="0"/>
          <w:numId w:val="174"/>
        </w:numPr>
        <w:rPr>
          <w:rFonts w:cs="Times New Roman"/>
          <w:szCs w:val="24"/>
        </w:rPr>
      </w:pPr>
      <w:r w:rsidRPr="001716AE">
        <w:rPr>
          <w:rFonts w:cs="Times New Roman"/>
          <w:szCs w:val="24"/>
        </w:rPr>
        <w:t xml:space="preserve">projekt „Transgraniczna integracja międzypokoleniowa”, współfinasowany przez Unię Europejską ze środków Europejskiego Funduszu Rozwoju Regionalnego w ramach Programu Współpracy Transgranicznej </w:t>
      </w:r>
      <w:proofErr w:type="spellStart"/>
      <w:r w:rsidRPr="001716AE">
        <w:rPr>
          <w:rFonts w:cs="Times New Roman"/>
          <w:szCs w:val="24"/>
        </w:rPr>
        <w:t>Interreg</w:t>
      </w:r>
      <w:proofErr w:type="spellEnd"/>
      <w:r w:rsidRPr="001716AE">
        <w:rPr>
          <w:rFonts w:cs="Times New Roman"/>
          <w:szCs w:val="24"/>
        </w:rPr>
        <w:t xml:space="preserve"> V-A Republika Czeska-Polska. Jego celem jest utworzenie transgranicznej i międzypokoleniowej współpracy juniorów i seniorów, rozwój transgranicznej sieci współpracy samorządów lokalnych, ich jednostek oraz organizacji pozarządowych pracujących na rzecz seniorów. To projekt realizowany w partnerstwie z 6 innymi gminami- miastami oprócz Kędzierzyna-Koźle,</w:t>
      </w:r>
    </w:p>
    <w:p w14:paraId="219C5591" w14:textId="23FF5A66" w:rsidR="00E51AC8" w:rsidRPr="001716AE" w:rsidRDefault="00E51AC8" w:rsidP="00FE70E3">
      <w:pPr>
        <w:pStyle w:val="Akapitzlist"/>
        <w:numPr>
          <w:ilvl w:val="0"/>
          <w:numId w:val="174"/>
        </w:numPr>
        <w:rPr>
          <w:rFonts w:cs="Times New Roman"/>
          <w:szCs w:val="24"/>
        </w:rPr>
      </w:pPr>
      <w:r w:rsidRPr="001716AE">
        <w:rPr>
          <w:rFonts w:cs="Times New Roman"/>
          <w:szCs w:val="24"/>
        </w:rPr>
        <w:t>publikacja  „Dodatku senioralnego”, w 2020 r., raz w miesiącu na łamach tygodnika Nowa Gazeta Lokalna ukazywał się jednostronicowy „Dodatek Senioralny” traktujący o sprawach ważnych z punktu widzenia osób starszych, jak relacje z wydarzeń, których beneficjentami byli seniorzy – mieszkańcy Kędzierzyna-Koźla, informacje o podmiotach działających na rzecz seniorów w mieście, a w związku z wystąpieniem stanu epidemicznego – artykuły informacyjne i wspierające w okresie pozostawania w izolacji społecznej.</w:t>
      </w:r>
    </w:p>
    <w:p w14:paraId="2815A71E" w14:textId="163BB367" w:rsidR="00A93399" w:rsidRDefault="00A93399" w:rsidP="00E51AC8">
      <w:pPr>
        <w:rPr>
          <w:rFonts w:cs="Times New Roman"/>
          <w:szCs w:val="24"/>
        </w:rPr>
      </w:pPr>
    </w:p>
    <w:p w14:paraId="0B5E40AD" w14:textId="77777777" w:rsidR="001716AE" w:rsidRDefault="001716AE" w:rsidP="00E51AC8">
      <w:pPr>
        <w:rPr>
          <w:rFonts w:cs="Times New Roman"/>
          <w:szCs w:val="24"/>
        </w:rPr>
      </w:pPr>
    </w:p>
    <w:p w14:paraId="058B63D6" w14:textId="0A2E2A33" w:rsidR="00E51AC8" w:rsidRPr="00E51AC8" w:rsidRDefault="00E51AC8" w:rsidP="00E51AC8">
      <w:pPr>
        <w:rPr>
          <w:rFonts w:cs="Times New Roman"/>
          <w:szCs w:val="24"/>
        </w:rPr>
      </w:pPr>
      <w:r w:rsidRPr="00A93399">
        <w:rPr>
          <w:rFonts w:cs="Times New Roman"/>
          <w:b/>
          <w:bCs/>
          <w:szCs w:val="24"/>
        </w:rPr>
        <w:lastRenderedPageBreak/>
        <w:t>Przykłady innowacyjnych rozwiązań</w:t>
      </w:r>
      <w:r w:rsidRPr="00E51AC8">
        <w:rPr>
          <w:rFonts w:cs="Times New Roman"/>
          <w:szCs w:val="24"/>
        </w:rPr>
        <w:t>.</w:t>
      </w:r>
    </w:p>
    <w:p w14:paraId="4F81B925" w14:textId="420A008F" w:rsidR="00E51AC8" w:rsidRPr="00E51AC8" w:rsidRDefault="00A93399" w:rsidP="00E51AC8">
      <w:pPr>
        <w:rPr>
          <w:rFonts w:cs="Times New Roman"/>
          <w:szCs w:val="24"/>
        </w:rPr>
      </w:pPr>
      <w:r>
        <w:rPr>
          <w:rFonts w:cs="Times New Roman"/>
          <w:szCs w:val="24"/>
        </w:rPr>
        <w:t>I</w:t>
      </w:r>
      <w:r w:rsidR="00E51AC8" w:rsidRPr="00E51AC8">
        <w:rPr>
          <w:rFonts w:cs="Times New Roman"/>
          <w:szCs w:val="24"/>
        </w:rPr>
        <w:t xml:space="preserve">nicjatywa lokalna pn. ,,Wiek to tylko cyfra”, realizowana przez Miasto Opole. Projekt miał na celu przeprowadzenie innowacyjnych zajęć gimnastycznych z wykorzystaniem przyrządu </w:t>
      </w:r>
      <w:proofErr w:type="spellStart"/>
      <w:r w:rsidR="00E51AC8" w:rsidRPr="00E51AC8">
        <w:rPr>
          <w:rFonts w:cs="Times New Roman"/>
          <w:szCs w:val="24"/>
        </w:rPr>
        <w:t>Smoovey</w:t>
      </w:r>
      <w:proofErr w:type="spellEnd"/>
      <w:r w:rsidR="00E51AC8" w:rsidRPr="00E51AC8">
        <w:rPr>
          <w:rFonts w:cs="Times New Roman"/>
          <w:szCs w:val="24"/>
        </w:rPr>
        <w:t xml:space="preserve"> dla osób w wieku 60+ z terenu miasta Opole.  </w:t>
      </w:r>
      <w:proofErr w:type="spellStart"/>
      <w:r w:rsidR="00E51AC8" w:rsidRPr="00E51AC8">
        <w:rPr>
          <w:rFonts w:cs="Times New Roman"/>
          <w:szCs w:val="24"/>
        </w:rPr>
        <w:t>Smovey</w:t>
      </w:r>
      <w:proofErr w:type="spellEnd"/>
      <w:r w:rsidR="00E51AC8" w:rsidRPr="00E51AC8">
        <w:rPr>
          <w:rFonts w:cs="Times New Roman"/>
          <w:szCs w:val="24"/>
        </w:rPr>
        <w:t xml:space="preserve"> to system pierścienia wibracyjnego, składający się z węża spiralnego, 4 kulek stalowych </w:t>
      </w:r>
    </w:p>
    <w:p w14:paraId="3EA8A751" w14:textId="18177588" w:rsidR="00E51AC8" w:rsidRPr="00E51AC8" w:rsidRDefault="00E51AC8" w:rsidP="00E51AC8">
      <w:pPr>
        <w:rPr>
          <w:rFonts w:cs="Times New Roman"/>
          <w:szCs w:val="24"/>
        </w:rPr>
      </w:pPr>
      <w:r w:rsidRPr="00E51AC8">
        <w:rPr>
          <w:rFonts w:cs="Times New Roman"/>
          <w:szCs w:val="24"/>
        </w:rPr>
        <w:t xml:space="preserve"> uchwytu z elementem tłumienia drgań. Poprzez ruch do przodu a następnie ruch przeciwny 4 ruchome kule stalowe rozpoczynają się swobodnie poruszać. Uderzają przy tym w sposób pulsujący w rowki i szyjkę spirali z częstotliwością ok. 60 </w:t>
      </w:r>
      <w:proofErr w:type="spellStart"/>
      <w:r w:rsidRPr="00E51AC8">
        <w:rPr>
          <w:rFonts w:cs="Times New Roman"/>
          <w:szCs w:val="24"/>
        </w:rPr>
        <w:t>Hz</w:t>
      </w:r>
      <w:proofErr w:type="spellEnd"/>
      <w:r w:rsidRPr="00E51AC8">
        <w:rPr>
          <w:rFonts w:cs="Times New Roman"/>
          <w:szCs w:val="24"/>
        </w:rPr>
        <w:t>. Odpowiada ona częstotliwości zdrowego człowieka i powoduje u użytkownika odczuwalne wibracje na powierzchni dłoni, na których znajduje się duża ilość receptorów, które następnie przenoszą wibrację na inne części ciała</w:t>
      </w:r>
      <w:r w:rsidR="00A93399">
        <w:rPr>
          <w:rFonts w:cs="Times New Roman"/>
          <w:szCs w:val="24"/>
        </w:rPr>
        <w:t>.</w:t>
      </w:r>
    </w:p>
    <w:p w14:paraId="490117B1" w14:textId="77777777" w:rsidR="00A93399" w:rsidRDefault="00A93399" w:rsidP="00E51AC8">
      <w:pPr>
        <w:rPr>
          <w:rFonts w:cs="Times New Roman"/>
          <w:szCs w:val="24"/>
        </w:rPr>
      </w:pPr>
    </w:p>
    <w:p w14:paraId="6727B753" w14:textId="72733690" w:rsidR="00E51AC8" w:rsidRPr="00E51AC8" w:rsidRDefault="00E51AC8" w:rsidP="00E51AC8">
      <w:pPr>
        <w:rPr>
          <w:rFonts w:cs="Times New Roman"/>
          <w:szCs w:val="24"/>
        </w:rPr>
      </w:pPr>
      <w:r w:rsidRPr="00E51AC8">
        <w:rPr>
          <w:rFonts w:cs="Times New Roman"/>
          <w:szCs w:val="24"/>
        </w:rPr>
        <w:t xml:space="preserve">„E - porada dla seniorów i ich opiekunów”. Na stronie internetowej www.mops-kkozle.pl znajduje się zakładka „E-PORADA dla seniorów i ich opiekunów”. Za pomocą tejże zakładki i znajdującego się formularza kontaktowego seniorzy mogą uzyskać porady </w:t>
      </w:r>
    </w:p>
    <w:p w14:paraId="79B0D061" w14:textId="77777777" w:rsidR="00E51AC8" w:rsidRPr="00E51AC8" w:rsidRDefault="00E51AC8" w:rsidP="00E51AC8">
      <w:pPr>
        <w:rPr>
          <w:rFonts w:cs="Times New Roman"/>
          <w:szCs w:val="24"/>
        </w:rPr>
      </w:pPr>
      <w:r w:rsidRPr="00E51AC8">
        <w:rPr>
          <w:rFonts w:cs="Times New Roman"/>
          <w:szCs w:val="24"/>
        </w:rPr>
        <w:t>w zakresie pomocy społecznej. Odpowiedzi są udzielane przez specjalistów pracy socjalnej drogą elektroniczną.</w:t>
      </w:r>
    </w:p>
    <w:p w14:paraId="35CFCEDD" w14:textId="003FCF07" w:rsidR="00E51AC8" w:rsidRDefault="00E51AC8" w:rsidP="00E51AC8">
      <w:pPr>
        <w:rPr>
          <w:rFonts w:cs="Times New Roman"/>
          <w:szCs w:val="24"/>
        </w:rPr>
      </w:pPr>
    </w:p>
    <w:p w14:paraId="13DC2F4E" w14:textId="06ACA4B9" w:rsidR="00E51AC8" w:rsidRDefault="00E51AC8" w:rsidP="00E51AC8">
      <w:pPr>
        <w:pStyle w:val="Nagwek3"/>
      </w:pPr>
      <w:bookmarkStart w:id="232" w:name="_Toc77513998"/>
      <w:bookmarkStart w:id="233" w:name="_Toc80523153"/>
      <w:r w:rsidRPr="00E51AC8">
        <w:t xml:space="preserve">Działania związane z ochroną seniorów przed negatywnymi skutkami pandemii COVID-19, które zostały podjęte w 2020 r w województwie </w:t>
      </w:r>
      <w:r>
        <w:t>opolskim</w:t>
      </w:r>
      <w:bookmarkEnd w:id="232"/>
      <w:bookmarkEnd w:id="233"/>
    </w:p>
    <w:p w14:paraId="283806E7" w14:textId="77777777" w:rsidR="000B1B06" w:rsidRPr="000B1B06" w:rsidRDefault="000B1B06" w:rsidP="000B1B06"/>
    <w:p w14:paraId="0A82D35C" w14:textId="6268680E" w:rsidR="00E51AC8" w:rsidRDefault="00E51AC8" w:rsidP="00E51AC8">
      <w:pPr>
        <w:rPr>
          <w:lang w:eastAsia="ar-SA"/>
        </w:rPr>
      </w:pPr>
      <w:r w:rsidRPr="00E51AC8">
        <w:rPr>
          <w:lang w:eastAsia="ar-SA"/>
        </w:rPr>
        <w:t>Pandemia COVID-19 ograniczyła lub wstrzymała w 2020 r. część realizowanych lub planowanych działań w zakresie rozwoju usług społecznych i infrastruktury, przeznaczonej dla osób niesamodzielnych (w tym osób starszych, niepełnosprawnych i chorych). Opóźnieniu lub przełożeniu nastąpiło otwarcie kilku instytucji wsparcia (np. Środowiskowy dom samopomocy w Grodkowie otworzono w marcu 2021 r., a uruchomienie ŚDS-u w Białej jest opóźnione). Czasowemu zahamowaniu uległ rozwój części usług świadczonych w ośrodkach pomocy społecznej (np. po kilkuletnim wzroście liczby świadczonych w województwie usług opiekuńczych w 2020 r. zanotowano ich minimalny spadek). Dodatkowo trudno było uruchomić tworzone w lokalnych środowiskach placówki wsparcia dziennego, kierowane do wybranych grup społecznych.</w:t>
      </w:r>
    </w:p>
    <w:p w14:paraId="5A6CBA2D" w14:textId="77777777" w:rsidR="00A93399" w:rsidRPr="00E51AC8" w:rsidRDefault="00A93399" w:rsidP="00E51AC8">
      <w:pPr>
        <w:rPr>
          <w:lang w:eastAsia="ar-SA"/>
        </w:rPr>
      </w:pPr>
    </w:p>
    <w:p w14:paraId="57F32A6A" w14:textId="77777777" w:rsidR="00E51AC8" w:rsidRPr="00E51AC8" w:rsidRDefault="00E51AC8" w:rsidP="00E51AC8">
      <w:pPr>
        <w:rPr>
          <w:lang w:eastAsia="ar-SA"/>
        </w:rPr>
      </w:pPr>
      <w:r w:rsidRPr="00E51AC8">
        <w:rPr>
          <w:lang w:eastAsia="ar-SA"/>
        </w:rPr>
        <w:t xml:space="preserve">Jednocześnie pandemia spowodowała (w ramach działań </w:t>
      </w:r>
      <w:proofErr w:type="spellStart"/>
      <w:r w:rsidRPr="00E51AC8">
        <w:rPr>
          <w:lang w:eastAsia="ar-SA"/>
        </w:rPr>
        <w:t>antycovidowych</w:t>
      </w:r>
      <w:proofErr w:type="spellEnd"/>
      <w:r w:rsidRPr="00E51AC8">
        <w:rPr>
          <w:lang w:eastAsia="ar-SA"/>
        </w:rPr>
        <w:t>) uruchomienie licznych, niekonwencjonalnych i innowacyjnych form wsparcia, realizowanych przez samorząd terytorialny, w tym szczególnie samorząd wojewódzki. W ramach projektów Samorządu Województwa Opolskiego, współfinansowanych ze środków Europejskiego Funduszu Społecznego, ROPS w Opolu zorganizował m. in.:</w:t>
      </w:r>
    </w:p>
    <w:p w14:paraId="67FCBBB6" w14:textId="77777777" w:rsidR="00A93399" w:rsidRDefault="00E51AC8" w:rsidP="00FE70E3">
      <w:pPr>
        <w:pStyle w:val="Akapitzlist"/>
        <w:numPr>
          <w:ilvl w:val="0"/>
          <w:numId w:val="168"/>
        </w:numPr>
        <w:rPr>
          <w:lang w:eastAsia="ar-SA"/>
        </w:rPr>
      </w:pPr>
      <w:r w:rsidRPr="00E51AC8">
        <w:rPr>
          <w:lang w:eastAsia="ar-SA"/>
        </w:rPr>
        <w:t xml:space="preserve">wsparcie dla najbardziej potrzebujących osób i rodzin, w formie dowożenia do miejsca ich zamieszkania posiłków, żywności, leków i innych artykułów pierwszej potrzeby. Usługę pomocy przeprowadzono w ramach tzw. Marszałkowskiego kuriera społecznego i akcji dostarczania posiłków dla osób niesamodzielnych (głównie seniorów, niepełnosprawnych i chorych), w których wzięło udział łącznie 58 gmin woj. opolskiego. Akcję sfinansowano ze środków RPO WO 2014-2020 (projekt Nie–Sami–Dzielni - rozwój usług społecznych oraz wspierających osoby niesamodzielne), a łączny koszt udzielonej pomocy wyniósł 5 600 328 zł (I oraz II edycja wsparcia). Zatrudniono 153 kurierów społecznych, którzy przepracowali </w:t>
      </w:r>
      <w:r w:rsidRPr="00E51AC8">
        <w:rPr>
          <w:lang w:eastAsia="ar-SA"/>
        </w:rPr>
        <w:lastRenderedPageBreak/>
        <w:t>łącznie ponad 31,5 tys. godzin (w tym dostarczyli ok. 2 100 gospodarstwom domowym ponad 265 tys. posiłków),</w:t>
      </w:r>
    </w:p>
    <w:p w14:paraId="66A9B8A3" w14:textId="77777777" w:rsidR="00A93399" w:rsidRDefault="00E51AC8" w:rsidP="00FE70E3">
      <w:pPr>
        <w:pStyle w:val="Akapitzlist"/>
        <w:numPr>
          <w:ilvl w:val="0"/>
          <w:numId w:val="168"/>
        </w:numPr>
        <w:rPr>
          <w:lang w:eastAsia="ar-SA"/>
        </w:rPr>
      </w:pPr>
      <w:r w:rsidRPr="00E51AC8">
        <w:rPr>
          <w:lang w:eastAsia="ar-SA"/>
        </w:rPr>
        <w:t xml:space="preserve">utworzono 37 izolatek (za ponad 500 tys. zł) w placówkach całodobowej opieki (głównie w domach pomocy społecznej – projekt Kooperacje 3D, model wielosektorowej współpracy na rzecz wsparcia osób i rodzin), </w:t>
      </w:r>
    </w:p>
    <w:p w14:paraId="595CD3FD" w14:textId="77777777" w:rsidR="00A93399" w:rsidRDefault="00E51AC8" w:rsidP="00FE70E3">
      <w:pPr>
        <w:pStyle w:val="Akapitzlist"/>
        <w:numPr>
          <w:ilvl w:val="0"/>
          <w:numId w:val="168"/>
        </w:numPr>
        <w:rPr>
          <w:lang w:eastAsia="ar-SA"/>
        </w:rPr>
      </w:pPr>
      <w:r w:rsidRPr="00E51AC8">
        <w:rPr>
          <w:lang w:eastAsia="ar-SA"/>
        </w:rPr>
        <w:t>zorganizowano spotkania online #</w:t>
      </w:r>
      <w:proofErr w:type="spellStart"/>
      <w:r w:rsidRPr="00E51AC8">
        <w:rPr>
          <w:lang w:eastAsia="ar-SA"/>
        </w:rPr>
        <w:t>SeniorSamWdomu</w:t>
      </w:r>
      <w:proofErr w:type="spellEnd"/>
      <w:r w:rsidRPr="00E51AC8">
        <w:rPr>
          <w:lang w:eastAsia="ar-SA"/>
        </w:rPr>
        <w:t xml:space="preserve"> jako wsparcie dla seniorów oraz opiekunów osób z zespołami demencyjnymi (z 20 spotkań na żywo i późniejszych </w:t>
      </w:r>
      <w:proofErr w:type="spellStart"/>
      <w:r w:rsidRPr="00E51AC8">
        <w:rPr>
          <w:lang w:eastAsia="ar-SA"/>
        </w:rPr>
        <w:t>odtworzeń</w:t>
      </w:r>
      <w:proofErr w:type="spellEnd"/>
      <w:r w:rsidRPr="00E51AC8">
        <w:rPr>
          <w:lang w:eastAsia="ar-SA"/>
        </w:rPr>
        <w:t xml:space="preserve"> materiału skorzystało łącznie ok. 10 tys. osób – projekt Niezależne życie - wypracowanie standardu i przeprowadzenie pilotażu w zakresie usług mieszkalnictwa wspomaganego dla osób z chorobami neurologicznymi, w tym z chorobą Alzheimera </w:t>
      </w:r>
      <w:r w:rsidR="00A93399">
        <w:rPr>
          <w:lang w:eastAsia="ar-SA"/>
        </w:rPr>
        <w:t xml:space="preserve"> </w:t>
      </w:r>
      <w:r w:rsidRPr="00E51AC8">
        <w:rPr>
          <w:lang w:eastAsia="ar-SA"/>
        </w:rPr>
        <w:t>i chorobą Parkinsona oraz osób starszych),</w:t>
      </w:r>
    </w:p>
    <w:p w14:paraId="124D76E4" w14:textId="16E7E585" w:rsidR="00E51AC8" w:rsidRPr="00E51AC8" w:rsidRDefault="00E51AC8" w:rsidP="00FE70E3">
      <w:pPr>
        <w:pStyle w:val="Akapitzlist"/>
        <w:numPr>
          <w:ilvl w:val="0"/>
          <w:numId w:val="168"/>
        </w:numPr>
        <w:rPr>
          <w:lang w:eastAsia="ar-SA"/>
        </w:rPr>
      </w:pPr>
      <w:r w:rsidRPr="00E51AC8">
        <w:rPr>
          <w:lang w:eastAsia="ar-SA"/>
        </w:rPr>
        <w:t>przygotowano oraz rozdysponowano 31 000 bezpłatnych pakietów dla mieszkańców województwa, w tym dla osób starszych, składających się z ulotki o ekonomii społecznej i profilaktyce COVID-19 oraz maseczki ochronnej (projekt Wsparcie dla opolskiego modelu promocji, upowszechniania oraz rozwoju sektora ekonomii społecznej).</w:t>
      </w:r>
    </w:p>
    <w:p w14:paraId="28318B83" w14:textId="77777777" w:rsidR="00A93399" w:rsidRDefault="00A93399" w:rsidP="00E51AC8">
      <w:pPr>
        <w:rPr>
          <w:lang w:eastAsia="ar-SA"/>
        </w:rPr>
      </w:pPr>
    </w:p>
    <w:p w14:paraId="0019534C" w14:textId="1ED98956" w:rsidR="00E51AC8" w:rsidRPr="00E51AC8" w:rsidRDefault="00E51AC8" w:rsidP="00E51AC8">
      <w:pPr>
        <w:rPr>
          <w:lang w:eastAsia="ar-SA"/>
        </w:rPr>
      </w:pPr>
      <w:r w:rsidRPr="00E51AC8">
        <w:rPr>
          <w:lang w:eastAsia="ar-SA"/>
        </w:rPr>
        <w:t xml:space="preserve">Na uwagę zasługują również działania Centrum </w:t>
      </w:r>
      <w:proofErr w:type="spellStart"/>
      <w:r w:rsidRPr="00E51AC8">
        <w:rPr>
          <w:lang w:eastAsia="ar-SA"/>
        </w:rPr>
        <w:t>Informacyjno</w:t>
      </w:r>
      <w:proofErr w:type="spellEnd"/>
      <w:r w:rsidRPr="00E51AC8">
        <w:rPr>
          <w:lang w:eastAsia="ar-SA"/>
        </w:rPr>
        <w:t xml:space="preserve"> – Edukacyjnego ,,Senior w Opolu” w trakcie pandemii COVID -19. W tym czasie w Centrum Seniora przygotowywano ulotki dotyczące postępowania w czasie pandemii, przyjmowano zgłoszenia zapotrzebowania na maseczki ochronne, które następnie  pakowano i dystrybuowano Seniorom. W okresie tym przyjęto kilkanaście tysięcy zgłoszeń dotyczących zapotrzebowania na maseczki oraz innych form pomocy np. dostarczenia żywności. Pracownicy Centrum i wolontariusze dostarczyli Seniorom 34211 sztuk maseczek. Ponadto on-line prowadzone były zajęcia z języka angielskiego oraz z języka hiszpańskiego, natomiast w wersji papierowej przed siedzibą wystawiane były zadania z języka angielskiego i niemieckiego. Na stronie Centrum oraz  na Facebooku umieszczane były zadania aktywizujące umysł i wspierające pamięć, materiały te można było w formie papierowej odebrać również przed siedzibą Centrum/CAS. Codziennie w godzinach od 7.30 do 17.00 Seniorzy mogli skorzystać z Telefonu Życzliwości </w:t>
      </w:r>
      <w:r w:rsidR="00A93399">
        <w:rPr>
          <w:lang w:eastAsia="ar-SA"/>
        </w:rPr>
        <w:t xml:space="preserve"> </w:t>
      </w:r>
      <w:r w:rsidRPr="00E51AC8">
        <w:rPr>
          <w:lang w:eastAsia="ar-SA"/>
        </w:rPr>
        <w:t>(przeprowadzono kilkaset rozmów). Na prośbę Seniorów sprawdzano i weryfikowano różne informacje zamieszczane w Internecie, do których docierali  zdezorientowani Seniorzy, udzielano informacji dotyczących możliwości otrzymania wsparcia, udostępniano informacje na temat miejsc i usług skierowanych dla Seniorów.</w:t>
      </w:r>
    </w:p>
    <w:p w14:paraId="7A86A7F9" w14:textId="77777777" w:rsidR="007873B2" w:rsidRPr="0092226B" w:rsidRDefault="007873B2" w:rsidP="003C1988">
      <w:pPr>
        <w:rPr>
          <w:color w:val="FF0000"/>
          <w:lang w:eastAsia="ar-SA"/>
        </w:rPr>
      </w:pPr>
    </w:p>
    <w:p w14:paraId="700690CE" w14:textId="086DA084" w:rsidR="00AC180B" w:rsidRDefault="00AC180B" w:rsidP="00AC180B">
      <w:pPr>
        <w:pStyle w:val="Nagwek3"/>
      </w:pPr>
      <w:bookmarkStart w:id="234" w:name="_Toc77513999"/>
      <w:bookmarkStart w:id="235" w:name="_Toc80523154"/>
      <w:r>
        <w:t>Infrastruktura społeczna oraz usługi świadczone osobom starszym w 2020 r.</w:t>
      </w:r>
      <w:bookmarkEnd w:id="234"/>
      <w:bookmarkEnd w:id="235"/>
    </w:p>
    <w:p w14:paraId="70B39E33" w14:textId="77777777" w:rsidR="000B1B06" w:rsidRPr="000B1B06" w:rsidRDefault="000B1B06" w:rsidP="000B1B06"/>
    <w:p w14:paraId="46EE2646" w14:textId="240E2356" w:rsidR="00AC180B" w:rsidRDefault="00AC180B" w:rsidP="00AC180B">
      <w:pPr>
        <w:rPr>
          <w:rFonts w:cs="Times New Roman"/>
          <w:szCs w:val="24"/>
        </w:rPr>
      </w:pPr>
      <w:r w:rsidRPr="00D96C8C">
        <w:rPr>
          <w:rFonts w:cs="Times New Roman"/>
          <w:szCs w:val="24"/>
        </w:rPr>
        <w:t xml:space="preserve">Szczegółowe informacje dotyczące usług oraz infrastruktury społecznej dostępnej dla osób starszych w województwie </w:t>
      </w:r>
      <w:r w:rsidR="00E51AC8">
        <w:rPr>
          <w:rFonts w:cs="Times New Roman"/>
          <w:szCs w:val="24"/>
        </w:rPr>
        <w:t>opolskim</w:t>
      </w:r>
      <w:r>
        <w:rPr>
          <w:rFonts w:cs="Times New Roman"/>
          <w:szCs w:val="24"/>
        </w:rPr>
        <w:t xml:space="preserve"> w 2020 r. przedstawia poniższa tabela</w:t>
      </w:r>
    </w:p>
    <w:p w14:paraId="393F1396" w14:textId="77777777" w:rsidR="00AC180B" w:rsidRDefault="00AC180B" w:rsidP="00E7359C">
      <w:pPr>
        <w:rPr>
          <w:rFonts w:eastAsia="Calibri" w:cs="Times New Roman"/>
          <w:color w:val="FF0000"/>
          <w:szCs w:val="24"/>
        </w:rPr>
      </w:pPr>
    </w:p>
    <w:p w14:paraId="43DF3842" w14:textId="77777777" w:rsidR="00AC180B" w:rsidRPr="0092226B" w:rsidRDefault="00AC180B" w:rsidP="00E7359C">
      <w:pPr>
        <w:rPr>
          <w:rFonts w:eastAsia="Calibri" w:cs="Times New Roman"/>
          <w:color w:val="FF0000"/>
          <w:szCs w:val="24"/>
        </w:rPr>
      </w:pPr>
    </w:p>
    <w:p w14:paraId="657E22DA" w14:textId="77777777" w:rsidR="00F31DCC" w:rsidRPr="0092226B" w:rsidRDefault="00F31DCC" w:rsidP="00E7359C">
      <w:pPr>
        <w:rPr>
          <w:color w:val="FF0000"/>
          <w:lang w:eastAsia="ar-SA"/>
        </w:rPr>
      </w:pPr>
    </w:p>
    <w:p w14:paraId="330BEE19" w14:textId="77777777" w:rsidR="004854E3" w:rsidRPr="0092226B" w:rsidRDefault="004854E3" w:rsidP="00CB509F">
      <w:pPr>
        <w:pStyle w:val="Nagwek2"/>
        <w:rPr>
          <w:rFonts w:eastAsia="Times New Roman"/>
          <w:color w:val="FF0000"/>
          <w:lang w:eastAsia="ar-SA"/>
        </w:rPr>
        <w:sectPr w:rsidR="004854E3" w:rsidRPr="0092226B" w:rsidSect="00080A38">
          <w:pgSz w:w="11900" w:h="16838"/>
          <w:pgMar w:top="1384" w:right="1386" w:bottom="1038" w:left="1380" w:header="0" w:footer="567" w:gutter="0"/>
          <w:cols w:space="0" w:equalWidth="0">
            <w:col w:w="9140"/>
          </w:cols>
          <w:docGrid w:linePitch="360"/>
        </w:sectPr>
      </w:pPr>
    </w:p>
    <w:p w14:paraId="6BB9F3F2" w14:textId="2902691F" w:rsidR="005F20F3" w:rsidRPr="00E51AC8" w:rsidRDefault="005F20F3" w:rsidP="005F20F3">
      <w:pPr>
        <w:pStyle w:val="Legenda"/>
        <w:keepNext/>
        <w:rPr>
          <w:rFonts w:cs="Times New Roman"/>
          <w:b/>
          <w:i w:val="0"/>
          <w:color w:val="auto"/>
          <w:sz w:val="24"/>
        </w:rPr>
      </w:pPr>
      <w:bookmarkStart w:id="236" w:name="_Toc49171437"/>
      <w:r w:rsidRPr="00E51AC8">
        <w:rPr>
          <w:rFonts w:cs="Times New Roman"/>
          <w:b/>
          <w:i w:val="0"/>
          <w:color w:val="auto"/>
          <w:sz w:val="24"/>
        </w:rPr>
        <w:lastRenderedPageBreak/>
        <w:t xml:space="preserve">Tabela </w:t>
      </w:r>
      <w:r w:rsidR="005B094D">
        <w:rPr>
          <w:rFonts w:cs="Times New Roman"/>
          <w:b/>
          <w:i w:val="0"/>
          <w:color w:val="auto"/>
          <w:sz w:val="24"/>
        </w:rPr>
        <w:t>64</w:t>
      </w:r>
      <w:r w:rsidR="00054E88">
        <w:rPr>
          <w:rFonts w:cs="Times New Roman"/>
          <w:b/>
          <w:i w:val="0"/>
          <w:color w:val="auto"/>
          <w:sz w:val="24"/>
        </w:rPr>
        <w:t>.</w:t>
      </w:r>
      <w:r w:rsidRPr="00E51AC8">
        <w:rPr>
          <w:rFonts w:cs="Times New Roman"/>
          <w:b/>
          <w:i w:val="0"/>
          <w:color w:val="auto"/>
          <w:sz w:val="24"/>
        </w:rPr>
        <w:t xml:space="preserve"> Karta województwa opolskiego</w:t>
      </w:r>
      <w:bookmarkEnd w:id="236"/>
    </w:p>
    <w:tbl>
      <w:tblPr>
        <w:tblStyle w:val="Tabelasiatki5ciemnaakcent2"/>
        <w:tblpPr w:leftFromText="142" w:rightFromText="142" w:vertAnchor="text" w:horzAnchor="margin" w:tblpXSpec="center" w:tblpY="1"/>
        <w:tblW w:w="14741" w:type="dxa"/>
        <w:tblLayout w:type="fixed"/>
        <w:tblLook w:val="04A0" w:firstRow="1" w:lastRow="0" w:firstColumn="1" w:lastColumn="0" w:noHBand="0" w:noVBand="1"/>
      </w:tblPr>
      <w:tblGrid>
        <w:gridCol w:w="2830"/>
        <w:gridCol w:w="3066"/>
        <w:gridCol w:w="53"/>
        <w:gridCol w:w="2895"/>
        <w:gridCol w:w="790"/>
        <w:gridCol w:w="2158"/>
        <w:gridCol w:w="2949"/>
      </w:tblGrid>
      <w:tr w:rsidR="00E51AC8" w:rsidRPr="0092226B" w14:paraId="733CFBB6" w14:textId="77777777" w:rsidTr="00E51AC8">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1F6B5232" w14:textId="5F24240A" w:rsidR="00E51AC8" w:rsidRPr="00DE642C" w:rsidRDefault="00E51AC8" w:rsidP="00E51AC8">
            <w:pPr>
              <w:spacing w:line="240" w:lineRule="auto"/>
              <w:jc w:val="center"/>
              <w:rPr>
                <w:rFonts w:cs="Times New Roman"/>
                <w:color w:val="auto"/>
                <w:sz w:val="20"/>
                <w:szCs w:val="20"/>
              </w:rPr>
            </w:pPr>
            <w:r w:rsidRPr="00DE642C">
              <w:rPr>
                <w:rFonts w:cs="Times New Roman"/>
                <w:color w:val="auto"/>
                <w:sz w:val="20"/>
                <w:szCs w:val="20"/>
              </w:rPr>
              <w:t>WOJEWÓDZTWO OPOLSKIE</w:t>
            </w:r>
          </w:p>
        </w:tc>
      </w:tr>
      <w:tr w:rsidR="0092226B" w:rsidRPr="0092226B" w14:paraId="72FD97AE" w14:textId="77777777" w:rsidTr="00E51AC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57D073F6" w14:textId="07D1829E" w:rsidR="004854E3" w:rsidRPr="00DE642C" w:rsidRDefault="004854E3" w:rsidP="00E86509">
            <w:pPr>
              <w:spacing w:line="240" w:lineRule="auto"/>
              <w:jc w:val="center"/>
              <w:rPr>
                <w:rFonts w:cs="Times New Roman"/>
                <w:color w:val="auto"/>
                <w:sz w:val="20"/>
                <w:szCs w:val="20"/>
              </w:rPr>
            </w:pPr>
            <w:r w:rsidRPr="00DE642C">
              <w:rPr>
                <w:rFonts w:cs="Times New Roman"/>
                <w:color w:val="auto"/>
                <w:sz w:val="20"/>
                <w:szCs w:val="20"/>
              </w:rPr>
              <w:t>USŁUGI SPOŁECZNE DLA OSÓB STARSZYCH / INFRASTRUKTURA POMOCY SPOLECZNEJ – DANE ZA 20</w:t>
            </w:r>
            <w:r w:rsidR="00E51AC8" w:rsidRPr="00DE642C">
              <w:rPr>
                <w:rFonts w:cs="Times New Roman"/>
                <w:color w:val="auto"/>
                <w:sz w:val="20"/>
                <w:szCs w:val="20"/>
              </w:rPr>
              <w:t>20</w:t>
            </w:r>
            <w:r w:rsidRPr="00DE642C">
              <w:rPr>
                <w:rFonts w:cs="Times New Roman"/>
                <w:color w:val="auto"/>
                <w:sz w:val="20"/>
                <w:szCs w:val="20"/>
              </w:rPr>
              <w:t xml:space="preserve"> R.</w:t>
            </w:r>
          </w:p>
        </w:tc>
      </w:tr>
      <w:tr w:rsidR="0092226B" w:rsidRPr="0092226B" w14:paraId="0C063975" w14:textId="77777777" w:rsidTr="00E51AC8">
        <w:trPr>
          <w:trHeight w:val="7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05B0DCF5" w14:textId="3E738395" w:rsidR="004854E3" w:rsidRPr="00DE642C" w:rsidRDefault="004854E3" w:rsidP="00E86509">
            <w:pPr>
              <w:spacing w:line="240" w:lineRule="auto"/>
              <w:rPr>
                <w:rFonts w:eastAsia="Times New Roman" w:cs="Times New Roman"/>
                <w:b w:val="0"/>
                <w:bCs w:val="0"/>
                <w:color w:val="auto"/>
                <w:sz w:val="20"/>
                <w:szCs w:val="20"/>
                <w:lang w:eastAsia="pl-PL"/>
              </w:rPr>
            </w:pPr>
            <w:r w:rsidRPr="00DE642C">
              <w:rPr>
                <w:rFonts w:eastAsia="Times New Roman" w:cs="Times New Roman"/>
                <w:color w:val="auto"/>
                <w:sz w:val="20"/>
                <w:szCs w:val="20"/>
                <w:lang w:eastAsia="pl-PL"/>
              </w:rPr>
              <w:t xml:space="preserve">Instytucje pomocy społecznej, w </w:t>
            </w:r>
            <w:proofErr w:type="spellStart"/>
            <w:r w:rsidRPr="00DE642C">
              <w:rPr>
                <w:rFonts w:eastAsia="Times New Roman" w:cs="Times New Roman"/>
                <w:color w:val="auto"/>
                <w:sz w:val="20"/>
                <w:szCs w:val="20"/>
                <w:lang w:eastAsia="pl-PL"/>
              </w:rPr>
              <w:t>tym:</w:t>
            </w:r>
            <w:r w:rsidR="00E51AC8" w:rsidRPr="00DE642C">
              <w:rPr>
                <w:rFonts w:eastAsia="Times New Roman" w:cs="Times New Roman"/>
                <w:color w:val="auto"/>
                <w:sz w:val="20"/>
                <w:szCs w:val="20"/>
                <w:lang w:eastAsia="pl-PL"/>
              </w:rPr>
              <w:t>Pla</w:t>
            </w:r>
            <w:proofErr w:type="spellEnd"/>
          </w:p>
        </w:tc>
        <w:tc>
          <w:tcPr>
            <w:tcW w:w="3066" w:type="dxa"/>
          </w:tcPr>
          <w:p w14:paraId="6D196876" w14:textId="77777777" w:rsidR="004854E3" w:rsidRPr="00DE642C" w:rsidRDefault="004854E3"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E642C">
              <w:rPr>
                <w:rFonts w:cs="Times New Roman"/>
                <w:b/>
                <w:sz w:val="20"/>
                <w:szCs w:val="20"/>
              </w:rPr>
              <w:t>Rodzaj placówki</w:t>
            </w:r>
          </w:p>
        </w:tc>
        <w:tc>
          <w:tcPr>
            <w:tcW w:w="2948" w:type="dxa"/>
            <w:gridSpan w:val="2"/>
          </w:tcPr>
          <w:p w14:paraId="02C95F52" w14:textId="77777777" w:rsidR="004854E3" w:rsidRPr="00DE642C" w:rsidRDefault="004854E3"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E642C">
              <w:rPr>
                <w:rFonts w:cs="Times New Roman"/>
                <w:b/>
                <w:sz w:val="20"/>
                <w:szCs w:val="20"/>
              </w:rPr>
              <w:t>Liczba placówek</w:t>
            </w:r>
          </w:p>
        </w:tc>
        <w:tc>
          <w:tcPr>
            <w:tcW w:w="2948" w:type="dxa"/>
            <w:gridSpan w:val="2"/>
          </w:tcPr>
          <w:p w14:paraId="025A885C" w14:textId="77777777" w:rsidR="004854E3" w:rsidRPr="00DE642C" w:rsidRDefault="004854E3"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E642C">
              <w:rPr>
                <w:rFonts w:cs="Times New Roman"/>
                <w:b/>
                <w:sz w:val="20"/>
                <w:szCs w:val="20"/>
              </w:rPr>
              <w:t>Liczba miejsc dla osób starszych</w:t>
            </w:r>
          </w:p>
        </w:tc>
        <w:tc>
          <w:tcPr>
            <w:tcW w:w="2949" w:type="dxa"/>
          </w:tcPr>
          <w:p w14:paraId="662DF468" w14:textId="77777777" w:rsidR="004854E3" w:rsidRPr="00DE642C" w:rsidRDefault="004854E3"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Liczba korzystających osób starszych</w:t>
            </w:r>
          </w:p>
        </w:tc>
      </w:tr>
      <w:tr w:rsidR="00E51AC8" w:rsidRPr="0092226B" w14:paraId="3C0CAAD0" w14:textId="77777777" w:rsidTr="00E51AC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313F210" w14:textId="77777777" w:rsidR="00E51AC8" w:rsidRPr="00DE642C" w:rsidRDefault="00E51AC8" w:rsidP="00E51AC8">
            <w:pPr>
              <w:spacing w:line="240" w:lineRule="auto"/>
              <w:rPr>
                <w:rFonts w:eastAsia="Times New Roman" w:cs="Times New Roman"/>
                <w:color w:val="auto"/>
                <w:sz w:val="20"/>
                <w:szCs w:val="20"/>
                <w:lang w:eastAsia="pl-PL"/>
              </w:rPr>
            </w:pPr>
          </w:p>
        </w:tc>
        <w:tc>
          <w:tcPr>
            <w:tcW w:w="3066" w:type="dxa"/>
          </w:tcPr>
          <w:p w14:paraId="6F3A363D" w14:textId="77777777" w:rsidR="00E51AC8" w:rsidRPr="00DE642C" w:rsidRDefault="00E51AC8" w:rsidP="00E51AC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Środowiskowe Domy Samopomocy</w:t>
            </w:r>
          </w:p>
        </w:tc>
        <w:tc>
          <w:tcPr>
            <w:tcW w:w="2948" w:type="dxa"/>
            <w:gridSpan w:val="2"/>
          </w:tcPr>
          <w:p w14:paraId="273FA79D" w14:textId="3C256723"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13</w:t>
            </w:r>
          </w:p>
        </w:tc>
        <w:tc>
          <w:tcPr>
            <w:tcW w:w="2948" w:type="dxa"/>
            <w:gridSpan w:val="2"/>
          </w:tcPr>
          <w:p w14:paraId="500E09C7" w14:textId="4D0A2EA6"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Wg potrzeb z ogólnej liczby miejsc</w:t>
            </w:r>
          </w:p>
        </w:tc>
        <w:tc>
          <w:tcPr>
            <w:tcW w:w="2949" w:type="dxa"/>
          </w:tcPr>
          <w:p w14:paraId="4599E5AB" w14:textId="65AD34B9"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235</w:t>
            </w:r>
          </w:p>
        </w:tc>
      </w:tr>
      <w:tr w:rsidR="00E51AC8" w:rsidRPr="0092226B" w14:paraId="379C19F6" w14:textId="77777777" w:rsidTr="00E51AC8">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D01B14C" w14:textId="77777777" w:rsidR="00E51AC8" w:rsidRPr="00DE642C" w:rsidRDefault="00E51AC8" w:rsidP="00E51AC8">
            <w:pPr>
              <w:spacing w:line="240" w:lineRule="auto"/>
              <w:rPr>
                <w:rFonts w:eastAsia="Times New Roman" w:cs="Times New Roman"/>
                <w:color w:val="auto"/>
                <w:sz w:val="20"/>
                <w:szCs w:val="20"/>
                <w:lang w:eastAsia="pl-PL"/>
              </w:rPr>
            </w:pPr>
          </w:p>
        </w:tc>
        <w:tc>
          <w:tcPr>
            <w:tcW w:w="3066" w:type="dxa"/>
          </w:tcPr>
          <w:p w14:paraId="54FB923D" w14:textId="77777777" w:rsidR="00E51AC8" w:rsidRPr="00DE642C" w:rsidRDefault="00E51AC8" w:rsidP="00E51AC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Dzienne Domy Pomocy</w:t>
            </w:r>
          </w:p>
        </w:tc>
        <w:tc>
          <w:tcPr>
            <w:tcW w:w="2948" w:type="dxa"/>
            <w:gridSpan w:val="2"/>
          </w:tcPr>
          <w:p w14:paraId="52262200" w14:textId="049198E4"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22</w:t>
            </w:r>
          </w:p>
        </w:tc>
        <w:tc>
          <w:tcPr>
            <w:tcW w:w="2948" w:type="dxa"/>
            <w:gridSpan w:val="2"/>
          </w:tcPr>
          <w:p w14:paraId="1BF32CCC" w14:textId="60A30B10"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Wg potrzeb z ogólnej liczby miejsc</w:t>
            </w:r>
          </w:p>
        </w:tc>
        <w:tc>
          <w:tcPr>
            <w:tcW w:w="2949" w:type="dxa"/>
          </w:tcPr>
          <w:p w14:paraId="5B0A5CEF" w14:textId="2A489A85"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424</w:t>
            </w:r>
          </w:p>
        </w:tc>
      </w:tr>
      <w:tr w:rsidR="00E51AC8" w:rsidRPr="0092226B" w14:paraId="43F11FBD" w14:textId="77777777" w:rsidTr="00E51AC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A9CC3BC" w14:textId="77777777" w:rsidR="00E51AC8" w:rsidRPr="00DE642C" w:rsidRDefault="00E51AC8" w:rsidP="00E51AC8">
            <w:pPr>
              <w:spacing w:line="240" w:lineRule="auto"/>
              <w:rPr>
                <w:rFonts w:eastAsia="Times New Roman" w:cs="Times New Roman"/>
                <w:color w:val="auto"/>
                <w:sz w:val="20"/>
                <w:szCs w:val="20"/>
                <w:lang w:eastAsia="pl-PL"/>
              </w:rPr>
            </w:pPr>
          </w:p>
        </w:tc>
        <w:tc>
          <w:tcPr>
            <w:tcW w:w="3066" w:type="dxa"/>
          </w:tcPr>
          <w:p w14:paraId="6B0E0D8A" w14:textId="77777777" w:rsidR="00E51AC8" w:rsidRPr="00DE642C" w:rsidRDefault="00E51AC8" w:rsidP="00E51AC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Noclegownie, schroniska i domy dla osób bezdomnych</w:t>
            </w:r>
          </w:p>
        </w:tc>
        <w:tc>
          <w:tcPr>
            <w:tcW w:w="2948" w:type="dxa"/>
            <w:gridSpan w:val="2"/>
          </w:tcPr>
          <w:p w14:paraId="152A45EC" w14:textId="01F4B508"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14</w:t>
            </w:r>
          </w:p>
        </w:tc>
        <w:tc>
          <w:tcPr>
            <w:tcW w:w="2948" w:type="dxa"/>
            <w:gridSpan w:val="2"/>
          </w:tcPr>
          <w:p w14:paraId="11C919AC" w14:textId="3E3CFEB2"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Wg potrzeb z ogólnej liczby miejsc</w:t>
            </w:r>
          </w:p>
        </w:tc>
        <w:tc>
          <w:tcPr>
            <w:tcW w:w="2949" w:type="dxa"/>
          </w:tcPr>
          <w:p w14:paraId="6AEA9208" w14:textId="3F8F6E1A"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53</w:t>
            </w:r>
          </w:p>
        </w:tc>
      </w:tr>
      <w:tr w:rsidR="00E51AC8" w:rsidRPr="0092226B" w14:paraId="3034C657" w14:textId="77777777" w:rsidTr="00E51AC8">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45B5F9E" w14:textId="77777777" w:rsidR="00E51AC8" w:rsidRPr="00DE642C" w:rsidRDefault="00E51AC8" w:rsidP="00E51AC8">
            <w:pPr>
              <w:spacing w:line="240" w:lineRule="auto"/>
              <w:rPr>
                <w:rFonts w:eastAsia="Times New Roman" w:cs="Times New Roman"/>
                <w:color w:val="auto"/>
                <w:sz w:val="20"/>
                <w:szCs w:val="20"/>
                <w:lang w:eastAsia="pl-PL"/>
              </w:rPr>
            </w:pPr>
          </w:p>
        </w:tc>
        <w:tc>
          <w:tcPr>
            <w:tcW w:w="3066" w:type="dxa"/>
          </w:tcPr>
          <w:p w14:paraId="106FEE98" w14:textId="77777777" w:rsidR="00E51AC8" w:rsidRPr="00DE642C" w:rsidRDefault="00E51AC8" w:rsidP="00E51AC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Ogrzewalnie</w:t>
            </w:r>
          </w:p>
        </w:tc>
        <w:tc>
          <w:tcPr>
            <w:tcW w:w="2948" w:type="dxa"/>
            <w:gridSpan w:val="2"/>
          </w:tcPr>
          <w:p w14:paraId="3120E78E" w14:textId="4A718228"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3</w:t>
            </w:r>
          </w:p>
        </w:tc>
        <w:tc>
          <w:tcPr>
            <w:tcW w:w="2948" w:type="dxa"/>
            <w:gridSpan w:val="2"/>
          </w:tcPr>
          <w:p w14:paraId="565FFE1D" w14:textId="7BE00F63"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Wg potrzeb z ogólnej liczby miejsc</w:t>
            </w:r>
          </w:p>
        </w:tc>
        <w:tc>
          <w:tcPr>
            <w:tcW w:w="2949" w:type="dxa"/>
          </w:tcPr>
          <w:p w14:paraId="3BA47BF9" w14:textId="7326DD0F"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102</w:t>
            </w:r>
          </w:p>
        </w:tc>
      </w:tr>
      <w:tr w:rsidR="00E51AC8" w:rsidRPr="0092226B" w14:paraId="2289D955" w14:textId="77777777" w:rsidTr="00E51AC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3A9CAFF" w14:textId="77777777" w:rsidR="00E51AC8" w:rsidRPr="00DE642C" w:rsidRDefault="00E51AC8" w:rsidP="00E51AC8">
            <w:pPr>
              <w:spacing w:line="240" w:lineRule="auto"/>
              <w:rPr>
                <w:rFonts w:eastAsia="Times New Roman" w:cs="Times New Roman"/>
                <w:color w:val="auto"/>
                <w:sz w:val="20"/>
                <w:szCs w:val="20"/>
                <w:lang w:eastAsia="pl-PL"/>
              </w:rPr>
            </w:pPr>
          </w:p>
        </w:tc>
        <w:tc>
          <w:tcPr>
            <w:tcW w:w="3066" w:type="dxa"/>
          </w:tcPr>
          <w:p w14:paraId="53DD9F35" w14:textId="77777777" w:rsidR="00E51AC8" w:rsidRPr="00DE642C" w:rsidRDefault="00E51AC8" w:rsidP="00E51AC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Kluby Samopomocy</w:t>
            </w:r>
          </w:p>
        </w:tc>
        <w:tc>
          <w:tcPr>
            <w:tcW w:w="2948" w:type="dxa"/>
            <w:gridSpan w:val="2"/>
          </w:tcPr>
          <w:p w14:paraId="783196C8" w14:textId="2D048B0A"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2</w:t>
            </w:r>
          </w:p>
        </w:tc>
        <w:tc>
          <w:tcPr>
            <w:tcW w:w="2948" w:type="dxa"/>
            <w:gridSpan w:val="2"/>
          </w:tcPr>
          <w:p w14:paraId="21727164" w14:textId="76F81FEE"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Wg potrzeb z ogólnej liczby miejsc</w:t>
            </w:r>
          </w:p>
        </w:tc>
        <w:tc>
          <w:tcPr>
            <w:tcW w:w="2949" w:type="dxa"/>
          </w:tcPr>
          <w:p w14:paraId="3E74D12F" w14:textId="6CEBCE20"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23</w:t>
            </w:r>
          </w:p>
        </w:tc>
      </w:tr>
      <w:tr w:rsidR="00E51AC8" w:rsidRPr="0092226B" w14:paraId="2574B735" w14:textId="77777777" w:rsidTr="00E51AC8">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D6362E1" w14:textId="77777777" w:rsidR="00E51AC8" w:rsidRPr="00DE642C" w:rsidRDefault="00E51AC8" w:rsidP="00E51AC8">
            <w:pPr>
              <w:spacing w:line="240" w:lineRule="auto"/>
              <w:rPr>
                <w:rFonts w:eastAsia="Times New Roman" w:cs="Times New Roman"/>
                <w:color w:val="auto"/>
                <w:sz w:val="20"/>
                <w:szCs w:val="20"/>
                <w:lang w:eastAsia="pl-PL"/>
              </w:rPr>
            </w:pPr>
          </w:p>
        </w:tc>
        <w:tc>
          <w:tcPr>
            <w:tcW w:w="3066" w:type="dxa"/>
          </w:tcPr>
          <w:p w14:paraId="08D512C8" w14:textId="77777777" w:rsidR="00E51AC8" w:rsidRPr="00DE642C" w:rsidRDefault="00E51AC8" w:rsidP="00E51AC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eastAsia="Calibri" w:cs="Times New Roman"/>
                <w:sz w:val="20"/>
                <w:szCs w:val="20"/>
              </w:rPr>
              <w:t>Placówki zapewniające całodobową opiekę osobom niepełnosprawnym, przewlekle chorym lub osobom w podeszłym wieku</w:t>
            </w:r>
          </w:p>
        </w:tc>
        <w:tc>
          <w:tcPr>
            <w:tcW w:w="2948" w:type="dxa"/>
            <w:gridSpan w:val="2"/>
          </w:tcPr>
          <w:p w14:paraId="713E293E" w14:textId="634230DC"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31</w:t>
            </w:r>
          </w:p>
        </w:tc>
        <w:tc>
          <w:tcPr>
            <w:tcW w:w="2948" w:type="dxa"/>
            <w:gridSpan w:val="2"/>
          </w:tcPr>
          <w:p w14:paraId="78C11E44" w14:textId="694D0D2F"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Wg potrzeb z ogólnej liczby miejsc</w:t>
            </w:r>
          </w:p>
        </w:tc>
        <w:tc>
          <w:tcPr>
            <w:tcW w:w="2949" w:type="dxa"/>
          </w:tcPr>
          <w:p w14:paraId="23B30287" w14:textId="2B7907BB"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798</w:t>
            </w:r>
          </w:p>
        </w:tc>
      </w:tr>
      <w:tr w:rsidR="00E51AC8" w:rsidRPr="0092226B" w14:paraId="621FAB82" w14:textId="77777777" w:rsidTr="00E51AC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9A52EA5" w14:textId="77777777" w:rsidR="00E51AC8" w:rsidRPr="00DE642C" w:rsidRDefault="00E51AC8" w:rsidP="00E51AC8">
            <w:pPr>
              <w:spacing w:line="240" w:lineRule="auto"/>
              <w:rPr>
                <w:rFonts w:eastAsia="Times New Roman" w:cs="Times New Roman"/>
                <w:color w:val="auto"/>
                <w:sz w:val="20"/>
                <w:szCs w:val="20"/>
                <w:lang w:eastAsia="pl-PL"/>
              </w:rPr>
            </w:pPr>
          </w:p>
        </w:tc>
        <w:tc>
          <w:tcPr>
            <w:tcW w:w="3066" w:type="dxa"/>
          </w:tcPr>
          <w:p w14:paraId="20FB20DF" w14:textId="77777777" w:rsidR="00E51AC8" w:rsidRPr="00DE642C" w:rsidRDefault="00E51AC8" w:rsidP="00E51AC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Domy Pomocy Społecznej</w:t>
            </w:r>
          </w:p>
        </w:tc>
        <w:tc>
          <w:tcPr>
            <w:tcW w:w="2948" w:type="dxa"/>
            <w:gridSpan w:val="2"/>
          </w:tcPr>
          <w:p w14:paraId="5D28D5F0" w14:textId="3A47398A"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29</w:t>
            </w:r>
          </w:p>
        </w:tc>
        <w:tc>
          <w:tcPr>
            <w:tcW w:w="2948" w:type="dxa"/>
            <w:gridSpan w:val="2"/>
          </w:tcPr>
          <w:p w14:paraId="02A44A9B" w14:textId="4F11A6A1"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742 miejsc w typie domu dla osób w podeszłym wieku</w:t>
            </w:r>
          </w:p>
        </w:tc>
        <w:tc>
          <w:tcPr>
            <w:tcW w:w="2949" w:type="dxa"/>
          </w:tcPr>
          <w:p w14:paraId="73CEDDCB" w14:textId="65E29FB1"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w:t>
            </w:r>
            <w:r w:rsidR="00DE642C" w:rsidRPr="00DE642C">
              <w:rPr>
                <w:sz w:val="20"/>
                <w:szCs w:val="20"/>
              </w:rPr>
              <w:t xml:space="preserve"> </w:t>
            </w:r>
            <w:r w:rsidRPr="00DE642C">
              <w:rPr>
                <w:sz w:val="20"/>
                <w:szCs w:val="20"/>
              </w:rPr>
              <w:t>434</w:t>
            </w:r>
          </w:p>
        </w:tc>
      </w:tr>
      <w:tr w:rsidR="00E51AC8" w:rsidRPr="0092226B" w14:paraId="6F346D32" w14:textId="77777777" w:rsidTr="00E51AC8">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403873F" w14:textId="77777777" w:rsidR="00E51AC8" w:rsidRPr="00DE642C" w:rsidRDefault="00E51AC8" w:rsidP="00E51AC8">
            <w:pPr>
              <w:spacing w:line="240" w:lineRule="auto"/>
              <w:rPr>
                <w:rFonts w:eastAsia="Times New Roman" w:cs="Times New Roman"/>
                <w:color w:val="auto"/>
                <w:sz w:val="20"/>
                <w:szCs w:val="20"/>
                <w:lang w:eastAsia="pl-PL"/>
              </w:rPr>
            </w:pPr>
          </w:p>
        </w:tc>
        <w:tc>
          <w:tcPr>
            <w:tcW w:w="3066" w:type="dxa"/>
          </w:tcPr>
          <w:p w14:paraId="466860BD" w14:textId="77777777" w:rsidR="00E51AC8" w:rsidRPr="00DE642C" w:rsidRDefault="00E51AC8" w:rsidP="00E51AC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Mieszkania chronione ogółem</w:t>
            </w:r>
          </w:p>
        </w:tc>
        <w:tc>
          <w:tcPr>
            <w:tcW w:w="2948" w:type="dxa"/>
            <w:gridSpan w:val="2"/>
          </w:tcPr>
          <w:p w14:paraId="2D541F62" w14:textId="1846108A"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948" w:type="dxa"/>
            <w:gridSpan w:val="2"/>
          </w:tcPr>
          <w:p w14:paraId="0F44BB96" w14:textId="52F52BD7"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2949" w:type="dxa"/>
          </w:tcPr>
          <w:p w14:paraId="5ADD19D2" w14:textId="229FA94E"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E51AC8" w:rsidRPr="0092226B" w14:paraId="74128E58" w14:textId="77777777" w:rsidTr="00E51AC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94E042F" w14:textId="77777777" w:rsidR="00E51AC8" w:rsidRPr="00DE642C" w:rsidRDefault="00E51AC8" w:rsidP="00E51AC8">
            <w:pPr>
              <w:spacing w:line="240" w:lineRule="auto"/>
              <w:rPr>
                <w:rFonts w:eastAsia="Times New Roman" w:cs="Times New Roman"/>
                <w:color w:val="auto"/>
                <w:sz w:val="20"/>
                <w:szCs w:val="20"/>
                <w:lang w:eastAsia="pl-PL"/>
              </w:rPr>
            </w:pPr>
          </w:p>
        </w:tc>
        <w:tc>
          <w:tcPr>
            <w:tcW w:w="3066" w:type="dxa"/>
          </w:tcPr>
          <w:p w14:paraId="51036400" w14:textId="77777777" w:rsidR="00E51AC8" w:rsidRPr="00DE642C" w:rsidRDefault="00E51AC8" w:rsidP="00E51AC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Ośrodki Interwencji Kryzysowej ogółem</w:t>
            </w:r>
          </w:p>
        </w:tc>
        <w:tc>
          <w:tcPr>
            <w:tcW w:w="2948" w:type="dxa"/>
            <w:gridSpan w:val="2"/>
          </w:tcPr>
          <w:p w14:paraId="0A20478B" w14:textId="3958F409"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151</w:t>
            </w:r>
          </w:p>
        </w:tc>
        <w:tc>
          <w:tcPr>
            <w:tcW w:w="2948" w:type="dxa"/>
            <w:gridSpan w:val="2"/>
          </w:tcPr>
          <w:p w14:paraId="1365566C" w14:textId="480F52A1"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Wg potrzeb z ogólnej liczby miejsc</w:t>
            </w:r>
          </w:p>
        </w:tc>
        <w:tc>
          <w:tcPr>
            <w:tcW w:w="2949" w:type="dxa"/>
          </w:tcPr>
          <w:p w14:paraId="31B1262E" w14:textId="08A56021"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92</w:t>
            </w:r>
          </w:p>
        </w:tc>
      </w:tr>
      <w:tr w:rsidR="00E51AC8" w:rsidRPr="0092226B" w14:paraId="0C4A0477" w14:textId="77777777" w:rsidTr="00E51AC8">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6EBCBCB" w14:textId="77777777" w:rsidR="00E51AC8" w:rsidRPr="00DE642C" w:rsidRDefault="00E51AC8" w:rsidP="00E51AC8">
            <w:pPr>
              <w:spacing w:line="240" w:lineRule="auto"/>
              <w:rPr>
                <w:rFonts w:eastAsia="Times New Roman" w:cs="Times New Roman"/>
                <w:color w:val="auto"/>
                <w:sz w:val="20"/>
                <w:szCs w:val="20"/>
                <w:lang w:eastAsia="pl-PL"/>
              </w:rPr>
            </w:pPr>
          </w:p>
        </w:tc>
        <w:tc>
          <w:tcPr>
            <w:tcW w:w="3066" w:type="dxa"/>
          </w:tcPr>
          <w:p w14:paraId="1EF5EE1C" w14:textId="77777777" w:rsidR="00E51AC8" w:rsidRPr="00DE642C" w:rsidRDefault="00E51AC8" w:rsidP="00E51AC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Jednostki specjalistycznego poradnictwa</w:t>
            </w:r>
          </w:p>
        </w:tc>
        <w:tc>
          <w:tcPr>
            <w:tcW w:w="2948" w:type="dxa"/>
            <w:gridSpan w:val="2"/>
          </w:tcPr>
          <w:p w14:paraId="5BBC66F6" w14:textId="0EE3AD3F"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6</w:t>
            </w:r>
          </w:p>
        </w:tc>
        <w:tc>
          <w:tcPr>
            <w:tcW w:w="2948" w:type="dxa"/>
            <w:gridSpan w:val="2"/>
          </w:tcPr>
          <w:p w14:paraId="65C6CD72" w14:textId="57795C9C" w:rsidR="00E51AC8" w:rsidRPr="00DE642C" w:rsidRDefault="00DE642C"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w:t>
            </w:r>
          </w:p>
        </w:tc>
        <w:tc>
          <w:tcPr>
            <w:tcW w:w="2949" w:type="dxa"/>
          </w:tcPr>
          <w:p w14:paraId="16C485B4" w14:textId="7C54C89B"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475</w:t>
            </w:r>
          </w:p>
        </w:tc>
      </w:tr>
      <w:tr w:rsidR="00E51AC8" w:rsidRPr="0092226B" w14:paraId="558DEF2F" w14:textId="77777777" w:rsidTr="00E51AC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BD9115B" w14:textId="77777777" w:rsidR="00E51AC8" w:rsidRPr="00DE642C" w:rsidRDefault="00E51AC8" w:rsidP="00E86509">
            <w:pPr>
              <w:spacing w:line="240" w:lineRule="auto"/>
              <w:rPr>
                <w:rFonts w:eastAsia="Times New Roman" w:cs="Times New Roman"/>
                <w:sz w:val="20"/>
                <w:szCs w:val="20"/>
                <w:lang w:eastAsia="pl-PL"/>
              </w:rPr>
            </w:pPr>
          </w:p>
        </w:tc>
        <w:tc>
          <w:tcPr>
            <w:tcW w:w="3066" w:type="dxa"/>
          </w:tcPr>
          <w:p w14:paraId="417BAD7F" w14:textId="3320DFCA" w:rsidR="00E51AC8" w:rsidRPr="00DE642C" w:rsidRDefault="00E51AC8" w:rsidP="00E8650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Placówki wsparcia dziennego</w:t>
            </w:r>
          </w:p>
        </w:tc>
        <w:tc>
          <w:tcPr>
            <w:tcW w:w="2948" w:type="dxa"/>
            <w:gridSpan w:val="2"/>
          </w:tcPr>
          <w:p w14:paraId="40BBA805" w14:textId="53887DBB" w:rsidR="00E51AC8" w:rsidRPr="00DE642C" w:rsidRDefault="00E51AC8"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b.d.</w:t>
            </w:r>
          </w:p>
        </w:tc>
        <w:tc>
          <w:tcPr>
            <w:tcW w:w="2948" w:type="dxa"/>
            <w:gridSpan w:val="2"/>
          </w:tcPr>
          <w:p w14:paraId="7A299B35" w14:textId="265473D4" w:rsidR="00E51AC8" w:rsidRPr="00DE642C" w:rsidRDefault="00E51AC8"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b.d.</w:t>
            </w:r>
          </w:p>
        </w:tc>
        <w:tc>
          <w:tcPr>
            <w:tcW w:w="2949" w:type="dxa"/>
          </w:tcPr>
          <w:p w14:paraId="293446D4" w14:textId="10EC5E5D" w:rsidR="00E51AC8" w:rsidRPr="00DE642C" w:rsidRDefault="00E51AC8"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b.d.</w:t>
            </w:r>
          </w:p>
        </w:tc>
      </w:tr>
      <w:tr w:rsidR="0092226B" w:rsidRPr="0092226B" w14:paraId="2FEAEB6A" w14:textId="77777777" w:rsidTr="00E51AC8">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E99F3F1" w14:textId="77777777" w:rsidR="004854E3" w:rsidRPr="00DE642C" w:rsidRDefault="004854E3" w:rsidP="00E86509">
            <w:pPr>
              <w:spacing w:line="240" w:lineRule="auto"/>
              <w:rPr>
                <w:rFonts w:eastAsia="Times New Roman" w:cs="Times New Roman"/>
                <w:color w:val="auto"/>
                <w:sz w:val="20"/>
                <w:szCs w:val="20"/>
                <w:lang w:eastAsia="pl-PL"/>
              </w:rPr>
            </w:pPr>
          </w:p>
        </w:tc>
        <w:tc>
          <w:tcPr>
            <w:tcW w:w="3066" w:type="dxa"/>
          </w:tcPr>
          <w:p w14:paraId="43302C8F" w14:textId="77777777" w:rsidR="004854E3" w:rsidRPr="00DE642C" w:rsidRDefault="004854E3" w:rsidP="00E8650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Placówki Senior+, w tym:</w:t>
            </w:r>
          </w:p>
        </w:tc>
        <w:tc>
          <w:tcPr>
            <w:tcW w:w="8845" w:type="dxa"/>
            <w:gridSpan w:val="5"/>
          </w:tcPr>
          <w:p w14:paraId="2A2A32C8" w14:textId="77777777" w:rsidR="004854E3" w:rsidRPr="00DE642C" w:rsidRDefault="004854E3" w:rsidP="00E86509">
            <w:pPr>
              <w:tabs>
                <w:tab w:val="left" w:pos="1545"/>
              </w:tabs>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064E07" w:rsidRPr="0092226B" w14:paraId="0A6F9D4E" w14:textId="77777777" w:rsidTr="00064E0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256034B" w14:textId="77777777" w:rsidR="00064E07" w:rsidRPr="00DE642C" w:rsidRDefault="00064E07" w:rsidP="00E51AC8">
            <w:pPr>
              <w:spacing w:line="240" w:lineRule="auto"/>
              <w:rPr>
                <w:rFonts w:eastAsia="Times New Roman" w:cs="Times New Roman"/>
                <w:color w:val="auto"/>
                <w:sz w:val="20"/>
                <w:szCs w:val="20"/>
                <w:lang w:eastAsia="pl-PL"/>
              </w:rPr>
            </w:pPr>
          </w:p>
        </w:tc>
        <w:tc>
          <w:tcPr>
            <w:tcW w:w="3066" w:type="dxa"/>
          </w:tcPr>
          <w:p w14:paraId="18C94085" w14:textId="77777777" w:rsidR="00064E07" w:rsidRPr="00DE642C" w:rsidRDefault="00064E07" w:rsidP="00E51AC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Domy Dziennego Pobytu</w:t>
            </w:r>
          </w:p>
        </w:tc>
        <w:tc>
          <w:tcPr>
            <w:tcW w:w="2948" w:type="dxa"/>
            <w:gridSpan w:val="2"/>
          </w:tcPr>
          <w:p w14:paraId="7BBCF3D9" w14:textId="2FA9BD1A" w:rsidR="00064E07" w:rsidRPr="00DE642C" w:rsidRDefault="00064E07"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sz w:val="20"/>
                <w:szCs w:val="20"/>
              </w:rPr>
              <w:t>36</w:t>
            </w:r>
          </w:p>
        </w:tc>
        <w:tc>
          <w:tcPr>
            <w:tcW w:w="2948" w:type="dxa"/>
            <w:gridSpan w:val="2"/>
          </w:tcPr>
          <w:p w14:paraId="1AE3BB41" w14:textId="7620BE29" w:rsidR="00064E07" w:rsidRPr="00DE642C" w:rsidRDefault="00064E07"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sz w:val="20"/>
                <w:szCs w:val="20"/>
              </w:rPr>
              <w:t>896</w:t>
            </w:r>
          </w:p>
        </w:tc>
        <w:tc>
          <w:tcPr>
            <w:tcW w:w="2949" w:type="dxa"/>
            <w:vMerge w:val="restart"/>
            <w:vAlign w:val="center"/>
          </w:tcPr>
          <w:p w14:paraId="2D9363FD" w14:textId="6BF05CBD" w:rsidR="00064E07" w:rsidRPr="00DE642C" w:rsidRDefault="00064E07" w:rsidP="00064E0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sz w:val="20"/>
                <w:szCs w:val="20"/>
              </w:rPr>
              <w:t>3 297</w:t>
            </w:r>
          </w:p>
        </w:tc>
      </w:tr>
      <w:tr w:rsidR="00064E07" w:rsidRPr="0092226B" w14:paraId="0B5D484C" w14:textId="77777777" w:rsidTr="00E51AC8">
        <w:trPr>
          <w:trHeight w:val="85"/>
        </w:trPr>
        <w:tc>
          <w:tcPr>
            <w:cnfStyle w:val="001000000000" w:firstRow="0" w:lastRow="0" w:firstColumn="1" w:lastColumn="0" w:oddVBand="0" w:evenVBand="0" w:oddHBand="0" w:evenHBand="0" w:firstRowFirstColumn="0" w:firstRowLastColumn="0" w:lastRowFirstColumn="0" w:lastRowLastColumn="0"/>
            <w:tcW w:w="2830" w:type="dxa"/>
            <w:vMerge/>
          </w:tcPr>
          <w:p w14:paraId="76F27C3E" w14:textId="77777777" w:rsidR="00064E07" w:rsidRPr="00DE642C" w:rsidRDefault="00064E07" w:rsidP="00E51AC8">
            <w:pPr>
              <w:spacing w:line="240" w:lineRule="auto"/>
              <w:rPr>
                <w:rFonts w:eastAsia="Times New Roman" w:cs="Times New Roman"/>
                <w:color w:val="auto"/>
                <w:sz w:val="20"/>
                <w:szCs w:val="20"/>
                <w:lang w:eastAsia="pl-PL"/>
              </w:rPr>
            </w:pPr>
          </w:p>
        </w:tc>
        <w:tc>
          <w:tcPr>
            <w:tcW w:w="3066" w:type="dxa"/>
          </w:tcPr>
          <w:p w14:paraId="4F955E98" w14:textId="77777777" w:rsidR="00064E07" w:rsidRPr="00DE642C" w:rsidRDefault="00064E07" w:rsidP="00E51AC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Kluby Senior+</w:t>
            </w:r>
          </w:p>
        </w:tc>
        <w:tc>
          <w:tcPr>
            <w:tcW w:w="2948" w:type="dxa"/>
            <w:gridSpan w:val="2"/>
          </w:tcPr>
          <w:p w14:paraId="305AC1AA" w14:textId="06883D37" w:rsidR="00064E07" w:rsidRPr="00DE642C" w:rsidRDefault="00064E07"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sz w:val="20"/>
                <w:szCs w:val="20"/>
              </w:rPr>
              <w:t>96</w:t>
            </w:r>
          </w:p>
        </w:tc>
        <w:tc>
          <w:tcPr>
            <w:tcW w:w="2948" w:type="dxa"/>
            <w:gridSpan w:val="2"/>
          </w:tcPr>
          <w:p w14:paraId="24C4656F" w14:textId="402961FE" w:rsidR="00064E07" w:rsidRPr="00DE642C" w:rsidRDefault="00064E07"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sz w:val="20"/>
                <w:szCs w:val="20"/>
              </w:rPr>
              <w:t>2 266</w:t>
            </w:r>
          </w:p>
        </w:tc>
        <w:tc>
          <w:tcPr>
            <w:tcW w:w="2949" w:type="dxa"/>
            <w:vMerge/>
          </w:tcPr>
          <w:p w14:paraId="1D742287" w14:textId="16BE825B" w:rsidR="00064E07" w:rsidRPr="00DE642C" w:rsidRDefault="00064E07"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92226B" w:rsidRPr="0092226B" w14:paraId="4AB5ECC5" w14:textId="77777777" w:rsidTr="00E51AC8">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4AB4861" w14:textId="77777777" w:rsidR="004854E3" w:rsidRPr="00DE642C" w:rsidRDefault="004854E3" w:rsidP="00E86509">
            <w:pPr>
              <w:spacing w:line="240" w:lineRule="auto"/>
              <w:rPr>
                <w:rFonts w:eastAsia="Times New Roman" w:cs="Times New Roman"/>
                <w:color w:val="auto"/>
                <w:sz w:val="20"/>
                <w:szCs w:val="20"/>
                <w:lang w:eastAsia="pl-PL"/>
              </w:rPr>
            </w:pPr>
          </w:p>
        </w:tc>
        <w:tc>
          <w:tcPr>
            <w:tcW w:w="3066" w:type="dxa"/>
          </w:tcPr>
          <w:p w14:paraId="0A0470A2" w14:textId="77777777" w:rsidR="004854E3" w:rsidRPr="00DE642C" w:rsidRDefault="004854E3" w:rsidP="00E8650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Hospicja stacjonarne</w:t>
            </w:r>
          </w:p>
        </w:tc>
        <w:tc>
          <w:tcPr>
            <w:tcW w:w="2948" w:type="dxa"/>
            <w:gridSpan w:val="2"/>
          </w:tcPr>
          <w:p w14:paraId="67619D96" w14:textId="77777777" w:rsidR="004854E3" w:rsidRPr="00DE642C" w:rsidRDefault="004854E3"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4</w:t>
            </w:r>
          </w:p>
        </w:tc>
        <w:tc>
          <w:tcPr>
            <w:tcW w:w="2948" w:type="dxa"/>
            <w:gridSpan w:val="2"/>
          </w:tcPr>
          <w:p w14:paraId="26E7802D" w14:textId="77777777" w:rsidR="004854E3" w:rsidRPr="00DE642C" w:rsidRDefault="004854E3"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Wg potrzeb z ogólnej liczby miejsc</w:t>
            </w:r>
          </w:p>
        </w:tc>
        <w:tc>
          <w:tcPr>
            <w:tcW w:w="2949" w:type="dxa"/>
          </w:tcPr>
          <w:p w14:paraId="1A2CFB6B" w14:textId="174EA410" w:rsidR="004854E3"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b.d.</w:t>
            </w:r>
          </w:p>
        </w:tc>
      </w:tr>
      <w:tr w:rsidR="0092226B" w:rsidRPr="0092226B" w14:paraId="0FB129A0" w14:textId="77777777" w:rsidTr="00E51AC8">
        <w:trPr>
          <w:trHeight w:val="11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4049248C" w14:textId="77777777" w:rsidR="004854E3" w:rsidRPr="00DE642C" w:rsidRDefault="004854E3" w:rsidP="00E86509">
            <w:pPr>
              <w:spacing w:line="240" w:lineRule="auto"/>
              <w:rPr>
                <w:rFonts w:eastAsia="Times New Roman" w:cs="Times New Roman"/>
                <w:b w:val="0"/>
                <w:bCs w:val="0"/>
                <w:color w:val="auto"/>
                <w:sz w:val="20"/>
                <w:szCs w:val="20"/>
                <w:lang w:eastAsia="pl-PL"/>
              </w:rPr>
            </w:pPr>
            <w:r w:rsidRPr="00DE642C">
              <w:rPr>
                <w:rFonts w:eastAsia="Times New Roman" w:cs="Times New Roman"/>
                <w:color w:val="auto"/>
                <w:sz w:val="20"/>
                <w:szCs w:val="20"/>
                <w:lang w:eastAsia="pl-PL"/>
              </w:rPr>
              <w:t>Usługi świadczone osobom starszym</w:t>
            </w:r>
          </w:p>
        </w:tc>
        <w:tc>
          <w:tcPr>
            <w:tcW w:w="3119" w:type="dxa"/>
            <w:gridSpan w:val="2"/>
          </w:tcPr>
          <w:p w14:paraId="510BE6AD" w14:textId="77777777" w:rsidR="004854E3" w:rsidRPr="00DE642C" w:rsidRDefault="004854E3"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Rodzaj usług</w:t>
            </w:r>
          </w:p>
        </w:tc>
        <w:tc>
          <w:tcPr>
            <w:tcW w:w="3685" w:type="dxa"/>
            <w:gridSpan w:val="2"/>
          </w:tcPr>
          <w:p w14:paraId="509D5031" w14:textId="77777777" w:rsidR="004854E3" w:rsidRPr="00DE642C" w:rsidRDefault="004854E3"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Liczba osób starszych objętych pomocą</w:t>
            </w:r>
          </w:p>
        </w:tc>
        <w:tc>
          <w:tcPr>
            <w:tcW w:w="5107" w:type="dxa"/>
            <w:gridSpan w:val="2"/>
          </w:tcPr>
          <w:p w14:paraId="3E1A3D5F" w14:textId="77777777" w:rsidR="004854E3" w:rsidRPr="00DE642C" w:rsidRDefault="004854E3"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Wysokość środków przeznaczonych na usługi</w:t>
            </w:r>
          </w:p>
        </w:tc>
      </w:tr>
      <w:tr w:rsidR="00E51AC8" w:rsidRPr="0092226B" w14:paraId="744DE874" w14:textId="77777777" w:rsidTr="00E51AC8">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1A9696E0" w14:textId="77777777" w:rsidR="00E51AC8" w:rsidRPr="00DE642C" w:rsidRDefault="00E51AC8" w:rsidP="00E51AC8">
            <w:pPr>
              <w:spacing w:line="240" w:lineRule="auto"/>
              <w:rPr>
                <w:rFonts w:eastAsia="Times New Roman" w:cs="Times New Roman"/>
                <w:b w:val="0"/>
                <w:bCs w:val="0"/>
                <w:color w:val="auto"/>
                <w:sz w:val="20"/>
                <w:szCs w:val="20"/>
                <w:lang w:eastAsia="pl-PL"/>
              </w:rPr>
            </w:pPr>
          </w:p>
        </w:tc>
        <w:tc>
          <w:tcPr>
            <w:tcW w:w="3119" w:type="dxa"/>
            <w:gridSpan w:val="2"/>
          </w:tcPr>
          <w:p w14:paraId="1E26C83F" w14:textId="77777777" w:rsidR="00E51AC8" w:rsidRPr="00DE642C" w:rsidRDefault="00E51AC8" w:rsidP="00E51AC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Usługi opiekuńcze ogółem</w:t>
            </w:r>
          </w:p>
        </w:tc>
        <w:tc>
          <w:tcPr>
            <w:tcW w:w="3685" w:type="dxa"/>
            <w:gridSpan w:val="2"/>
          </w:tcPr>
          <w:p w14:paraId="50DCED8E" w14:textId="42152D08"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2</w:t>
            </w:r>
            <w:r w:rsidR="00DE642C" w:rsidRPr="00DE642C">
              <w:rPr>
                <w:sz w:val="20"/>
                <w:szCs w:val="20"/>
              </w:rPr>
              <w:t xml:space="preserve"> </w:t>
            </w:r>
            <w:r w:rsidRPr="00DE642C">
              <w:rPr>
                <w:sz w:val="20"/>
                <w:szCs w:val="20"/>
              </w:rPr>
              <w:t>965</w:t>
            </w:r>
          </w:p>
        </w:tc>
        <w:tc>
          <w:tcPr>
            <w:tcW w:w="5107" w:type="dxa"/>
            <w:gridSpan w:val="2"/>
          </w:tcPr>
          <w:p w14:paraId="4692442A" w14:textId="2DC6D02B"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15</w:t>
            </w:r>
            <w:r w:rsidR="00DE642C" w:rsidRPr="00DE642C">
              <w:rPr>
                <w:sz w:val="20"/>
                <w:szCs w:val="20"/>
              </w:rPr>
              <w:t xml:space="preserve"> </w:t>
            </w:r>
            <w:r w:rsidRPr="00DE642C">
              <w:rPr>
                <w:sz w:val="20"/>
                <w:szCs w:val="20"/>
              </w:rPr>
              <w:t>731</w:t>
            </w:r>
            <w:r w:rsidR="00DE642C" w:rsidRPr="00DE642C">
              <w:rPr>
                <w:sz w:val="20"/>
                <w:szCs w:val="20"/>
              </w:rPr>
              <w:t xml:space="preserve"> </w:t>
            </w:r>
            <w:r w:rsidRPr="00DE642C">
              <w:rPr>
                <w:sz w:val="20"/>
                <w:szCs w:val="20"/>
              </w:rPr>
              <w:t>705,67</w:t>
            </w:r>
            <w:r w:rsidR="00DE642C" w:rsidRPr="00DE642C">
              <w:rPr>
                <w:sz w:val="20"/>
                <w:szCs w:val="20"/>
              </w:rPr>
              <w:t xml:space="preserve"> zł</w:t>
            </w:r>
          </w:p>
        </w:tc>
      </w:tr>
      <w:tr w:rsidR="0092226B" w:rsidRPr="0092226B" w14:paraId="2D081A9A" w14:textId="77777777" w:rsidTr="00E51AC8">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6BDBAB3D" w14:textId="77777777" w:rsidR="001539E9" w:rsidRPr="00DE642C" w:rsidRDefault="001539E9" w:rsidP="00E86509">
            <w:pPr>
              <w:spacing w:line="240" w:lineRule="auto"/>
              <w:rPr>
                <w:rFonts w:eastAsia="Times New Roman" w:cs="Times New Roman"/>
                <w:b w:val="0"/>
                <w:bCs w:val="0"/>
                <w:color w:val="auto"/>
                <w:sz w:val="20"/>
                <w:szCs w:val="20"/>
                <w:lang w:eastAsia="pl-PL"/>
              </w:rPr>
            </w:pPr>
          </w:p>
        </w:tc>
        <w:tc>
          <w:tcPr>
            <w:tcW w:w="11911" w:type="dxa"/>
            <w:gridSpan w:val="6"/>
          </w:tcPr>
          <w:p w14:paraId="65454229" w14:textId="77777777" w:rsidR="001539E9" w:rsidRPr="00DE642C" w:rsidRDefault="001539E9" w:rsidP="00E8650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w tym:</w:t>
            </w:r>
          </w:p>
        </w:tc>
      </w:tr>
      <w:tr w:rsidR="00E51AC8" w:rsidRPr="0092226B" w14:paraId="08BD6CC4" w14:textId="77777777" w:rsidTr="00E51AC8">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2AF15B84" w14:textId="77777777" w:rsidR="00E51AC8" w:rsidRPr="00DE642C" w:rsidRDefault="00E51AC8" w:rsidP="00E51AC8">
            <w:pPr>
              <w:spacing w:line="240" w:lineRule="auto"/>
              <w:rPr>
                <w:rFonts w:eastAsia="Times New Roman" w:cs="Times New Roman"/>
                <w:b w:val="0"/>
                <w:bCs w:val="0"/>
                <w:color w:val="auto"/>
                <w:sz w:val="20"/>
                <w:szCs w:val="20"/>
                <w:lang w:eastAsia="pl-PL"/>
              </w:rPr>
            </w:pPr>
          </w:p>
        </w:tc>
        <w:tc>
          <w:tcPr>
            <w:tcW w:w="3119" w:type="dxa"/>
            <w:gridSpan w:val="2"/>
          </w:tcPr>
          <w:p w14:paraId="08509B11" w14:textId="77777777" w:rsidR="00E51AC8" w:rsidRPr="00DE642C" w:rsidRDefault="00E51AC8" w:rsidP="00E51AC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specjalistyczne usługi opiekuńcze</w:t>
            </w:r>
          </w:p>
        </w:tc>
        <w:tc>
          <w:tcPr>
            <w:tcW w:w="3685" w:type="dxa"/>
            <w:gridSpan w:val="2"/>
          </w:tcPr>
          <w:p w14:paraId="175992ED" w14:textId="5F65695B"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143</w:t>
            </w:r>
          </w:p>
        </w:tc>
        <w:tc>
          <w:tcPr>
            <w:tcW w:w="5107" w:type="dxa"/>
            <w:gridSpan w:val="2"/>
          </w:tcPr>
          <w:p w14:paraId="626646F7" w14:textId="65BCC105"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435</w:t>
            </w:r>
            <w:r w:rsidR="00DE642C" w:rsidRPr="00DE642C">
              <w:rPr>
                <w:sz w:val="20"/>
                <w:szCs w:val="20"/>
              </w:rPr>
              <w:t> </w:t>
            </w:r>
            <w:r w:rsidRPr="00DE642C">
              <w:rPr>
                <w:sz w:val="20"/>
                <w:szCs w:val="20"/>
              </w:rPr>
              <w:t>552</w:t>
            </w:r>
            <w:r w:rsidR="00DE642C" w:rsidRPr="00DE642C">
              <w:rPr>
                <w:sz w:val="20"/>
                <w:szCs w:val="20"/>
              </w:rPr>
              <w:t xml:space="preserve"> zł</w:t>
            </w:r>
          </w:p>
        </w:tc>
      </w:tr>
      <w:tr w:rsidR="00E51AC8" w:rsidRPr="0092226B" w14:paraId="304C01BA" w14:textId="77777777" w:rsidTr="00E51AC8">
        <w:trPr>
          <w:trHeight w:val="284"/>
        </w:trPr>
        <w:tc>
          <w:tcPr>
            <w:cnfStyle w:val="001000000000" w:firstRow="0" w:lastRow="0" w:firstColumn="1" w:lastColumn="0" w:oddVBand="0" w:evenVBand="0" w:oddHBand="0" w:evenHBand="0" w:firstRowFirstColumn="0" w:firstRowLastColumn="0" w:lastRowFirstColumn="0" w:lastRowLastColumn="0"/>
            <w:tcW w:w="2830" w:type="dxa"/>
            <w:vMerge/>
          </w:tcPr>
          <w:p w14:paraId="6602586B" w14:textId="77777777" w:rsidR="00E51AC8" w:rsidRPr="00DE642C" w:rsidRDefault="00E51AC8" w:rsidP="00E51AC8">
            <w:pPr>
              <w:spacing w:line="240" w:lineRule="auto"/>
              <w:rPr>
                <w:rFonts w:eastAsia="Times New Roman" w:cs="Times New Roman"/>
                <w:b w:val="0"/>
                <w:bCs w:val="0"/>
                <w:color w:val="auto"/>
                <w:sz w:val="20"/>
                <w:szCs w:val="20"/>
                <w:lang w:eastAsia="pl-PL"/>
              </w:rPr>
            </w:pPr>
          </w:p>
        </w:tc>
        <w:tc>
          <w:tcPr>
            <w:tcW w:w="3119" w:type="dxa"/>
            <w:gridSpan w:val="2"/>
          </w:tcPr>
          <w:p w14:paraId="0306EA13" w14:textId="77777777" w:rsidR="00E51AC8" w:rsidRPr="00DE642C" w:rsidRDefault="00E51AC8" w:rsidP="00E51AC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specjalistyczne usługi opiekuńcze w miejscu zamieszkania dla osób z zaburzeniami psychicznymi</w:t>
            </w:r>
          </w:p>
        </w:tc>
        <w:tc>
          <w:tcPr>
            <w:tcW w:w="3685" w:type="dxa"/>
            <w:gridSpan w:val="2"/>
          </w:tcPr>
          <w:p w14:paraId="3B4E8F47" w14:textId="0557A3C5"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127</w:t>
            </w:r>
          </w:p>
        </w:tc>
        <w:tc>
          <w:tcPr>
            <w:tcW w:w="5107" w:type="dxa"/>
            <w:gridSpan w:val="2"/>
          </w:tcPr>
          <w:p w14:paraId="4FDB6F5C" w14:textId="35B9FA23"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w:t>
            </w:r>
            <w:r w:rsidR="00DE642C" w:rsidRPr="00DE642C">
              <w:rPr>
                <w:sz w:val="20"/>
                <w:szCs w:val="20"/>
              </w:rPr>
              <w:t xml:space="preserve"> </w:t>
            </w:r>
            <w:r w:rsidRPr="00DE642C">
              <w:rPr>
                <w:sz w:val="20"/>
                <w:szCs w:val="20"/>
              </w:rPr>
              <w:t>029</w:t>
            </w:r>
            <w:r w:rsidR="00DE642C" w:rsidRPr="00DE642C">
              <w:rPr>
                <w:sz w:val="20"/>
                <w:szCs w:val="20"/>
              </w:rPr>
              <w:t> </w:t>
            </w:r>
            <w:r w:rsidRPr="00DE642C">
              <w:rPr>
                <w:sz w:val="20"/>
                <w:szCs w:val="20"/>
              </w:rPr>
              <w:t>477</w:t>
            </w:r>
            <w:r w:rsidR="00DE642C" w:rsidRPr="00DE642C">
              <w:rPr>
                <w:sz w:val="20"/>
                <w:szCs w:val="20"/>
              </w:rPr>
              <w:t xml:space="preserve"> zł</w:t>
            </w:r>
          </w:p>
        </w:tc>
      </w:tr>
      <w:tr w:rsidR="0092226B" w:rsidRPr="0092226B" w14:paraId="62BCF57F" w14:textId="77777777" w:rsidTr="00E51AC8">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6EEB0639" w14:textId="77777777" w:rsidR="004854E3" w:rsidRPr="00DE642C" w:rsidRDefault="004854E3" w:rsidP="00E86509">
            <w:pPr>
              <w:spacing w:line="240" w:lineRule="auto"/>
              <w:rPr>
                <w:rFonts w:eastAsia="Times New Roman" w:cs="Times New Roman"/>
                <w:b w:val="0"/>
                <w:bCs w:val="0"/>
                <w:color w:val="auto"/>
                <w:sz w:val="20"/>
                <w:szCs w:val="20"/>
                <w:lang w:eastAsia="pl-PL"/>
              </w:rPr>
            </w:pPr>
            <w:r w:rsidRPr="00DE642C">
              <w:rPr>
                <w:rFonts w:eastAsia="Times New Roman" w:cs="Times New Roman"/>
                <w:color w:val="auto"/>
                <w:sz w:val="20"/>
                <w:szCs w:val="20"/>
                <w:lang w:eastAsia="pl-PL"/>
              </w:rPr>
              <w:t>Świadczenia pieniężne przyznane osobom starszym</w:t>
            </w:r>
          </w:p>
        </w:tc>
        <w:tc>
          <w:tcPr>
            <w:tcW w:w="3119" w:type="dxa"/>
            <w:gridSpan w:val="2"/>
          </w:tcPr>
          <w:p w14:paraId="495AA7C0" w14:textId="77777777" w:rsidR="004854E3" w:rsidRPr="00DE642C" w:rsidRDefault="004854E3"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Nazwa świadczenia</w:t>
            </w:r>
          </w:p>
        </w:tc>
        <w:tc>
          <w:tcPr>
            <w:tcW w:w="3685" w:type="dxa"/>
            <w:gridSpan w:val="2"/>
          </w:tcPr>
          <w:p w14:paraId="35E25215" w14:textId="77777777" w:rsidR="004854E3" w:rsidRPr="00DE642C" w:rsidRDefault="004854E3"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Liczba osób starszych</w:t>
            </w:r>
          </w:p>
        </w:tc>
        <w:tc>
          <w:tcPr>
            <w:tcW w:w="5107" w:type="dxa"/>
            <w:gridSpan w:val="2"/>
          </w:tcPr>
          <w:p w14:paraId="4673C798" w14:textId="77777777" w:rsidR="004854E3" w:rsidRPr="00DE642C" w:rsidRDefault="004854E3"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Kwota świadczenia</w:t>
            </w:r>
          </w:p>
        </w:tc>
      </w:tr>
      <w:tr w:rsidR="00E51AC8" w:rsidRPr="0092226B" w14:paraId="6724711A" w14:textId="77777777" w:rsidTr="00E51AC8">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0622FCD4" w14:textId="77777777" w:rsidR="00E51AC8" w:rsidRPr="00DE642C" w:rsidRDefault="00E51AC8" w:rsidP="00E51AC8">
            <w:pPr>
              <w:spacing w:line="240" w:lineRule="auto"/>
              <w:rPr>
                <w:rFonts w:eastAsia="Times New Roman" w:cs="Times New Roman"/>
                <w:b w:val="0"/>
                <w:bCs w:val="0"/>
                <w:color w:val="auto"/>
                <w:sz w:val="20"/>
                <w:szCs w:val="20"/>
                <w:lang w:eastAsia="pl-PL"/>
              </w:rPr>
            </w:pPr>
          </w:p>
        </w:tc>
        <w:tc>
          <w:tcPr>
            <w:tcW w:w="3119" w:type="dxa"/>
            <w:gridSpan w:val="2"/>
          </w:tcPr>
          <w:p w14:paraId="074A15E1" w14:textId="77777777" w:rsidR="00E51AC8" w:rsidRPr="00DE642C" w:rsidRDefault="00E51AC8" w:rsidP="00E51AC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Zasiłek stały</w:t>
            </w:r>
          </w:p>
        </w:tc>
        <w:tc>
          <w:tcPr>
            <w:tcW w:w="3685" w:type="dxa"/>
            <w:gridSpan w:val="2"/>
          </w:tcPr>
          <w:p w14:paraId="40360971" w14:textId="416D5CAE"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w:t>
            </w:r>
            <w:r w:rsidR="00DE642C" w:rsidRPr="00DE642C">
              <w:rPr>
                <w:sz w:val="20"/>
                <w:szCs w:val="20"/>
              </w:rPr>
              <w:t xml:space="preserve"> </w:t>
            </w:r>
            <w:r w:rsidRPr="00DE642C">
              <w:rPr>
                <w:sz w:val="20"/>
                <w:szCs w:val="20"/>
              </w:rPr>
              <w:t>272</w:t>
            </w:r>
          </w:p>
        </w:tc>
        <w:tc>
          <w:tcPr>
            <w:tcW w:w="5107" w:type="dxa"/>
            <w:gridSpan w:val="2"/>
          </w:tcPr>
          <w:p w14:paraId="7415106F" w14:textId="2367CBAF"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7</w:t>
            </w:r>
            <w:r w:rsidR="00DE642C" w:rsidRPr="00DE642C">
              <w:rPr>
                <w:sz w:val="20"/>
                <w:szCs w:val="20"/>
              </w:rPr>
              <w:t xml:space="preserve"> </w:t>
            </w:r>
            <w:r w:rsidRPr="00DE642C">
              <w:rPr>
                <w:sz w:val="20"/>
                <w:szCs w:val="20"/>
              </w:rPr>
              <w:t>126</w:t>
            </w:r>
            <w:r w:rsidR="00DE642C" w:rsidRPr="00DE642C">
              <w:rPr>
                <w:sz w:val="20"/>
                <w:szCs w:val="20"/>
              </w:rPr>
              <w:t xml:space="preserve"> </w:t>
            </w:r>
            <w:r w:rsidRPr="00DE642C">
              <w:rPr>
                <w:sz w:val="20"/>
                <w:szCs w:val="20"/>
              </w:rPr>
              <w:t>961,73</w:t>
            </w:r>
            <w:r w:rsidR="00DE642C" w:rsidRPr="00DE642C">
              <w:rPr>
                <w:sz w:val="20"/>
                <w:szCs w:val="20"/>
              </w:rPr>
              <w:t xml:space="preserve"> zł</w:t>
            </w:r>
          </w:p>
        </w:tc>
      </w:tr>
      <w:tr w:rsidR="00E51AC8" w:rsidRPr="0092226B" w14:paraId="39ECFC8B" w14:textId="77777777" w:rsidTr="00E51AC8">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7C13D92B" w14:textId="77777777" w:rsidR="00E51AC8" w:rsidRPr="00DE642C" w:rsidRDefault="00E51AC8" w:rsidP="00E51AC8">
            <w:pPr>
              <w:spacing w:line="240" w:lineRule="auto"/>
              <w:rPr>
                <w:rFonts w:eastAsia="Times New Roman" w:cs="Times New Roman"/>
                <w:b w:val="0"/>
                <w:bCs w:val="0"/>
                <w:color w:val="auto"/>
                <w:sz w:val="20"/>
                <w:szCs w:val="20"/>
                <w:lang w:eastAsia="pl-PL"/>
              </w:rPr>
            </w:pPr>
          </w:p>
        </w:tc>
        <w:tc>
          <w:tcPr>
            <w:tcW w:w="3119" w:type="dxa"/>
            <w:gridSpan w:val="2"/>
          </w:tcPr>
          <w:p w14:paraId="207F47F3" w14:textId="77777777" w:rsidR="00E51AC8" w:rsidRPr="00DE642C" w:rsidRDefault="00E51AC8" w:rsidP="00E51AC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Zasiłek okresowy</w:t>
            </w:r>
          </w:p>
        </w:tc>
        <w:tc>
          <w:tcPr>
            <w:tcW w:w="3685" w:type="dxa"/>
            <w:gridSpan w:val="2"/>
          </w:tcPr>
          <w:p w14:paraId="4DF7FC89" w14:textId="21889E4B"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976</w:t>
            </w:r>
          </w:p>
        </w:tc>
        <w:tc>
          <w:tcPr>
            <w:tcW w:w="5107" w:type="dxa"/>
            <w:gridSpan w:val="2"/>
          </w:tcPr>
          <w:p w14:paraId="3D9FE3A5" w14:textId="0EB85DE6"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2</w:t>
            </w:r>
            <w:r w:rsidR="00DE642C" w:rsidRPr="00DE642C">
              <w:rPr>
                <w:sz w:val="20"/>
                <w:szCs w:val="20"/>
              </w:rPr>
              <w:t xml:space="preserve"> </w:t>
            </w:r>
            <w:r w:rsidRPr="00DE642C">
              <w:rPr>
                <w:sz w:val="20"/>
                <w:szCs w:val="20"/>
              </w:rPr>
              <w:t>243</w:t>
            </w:r>
            <w:r w:rsidR="00DE642C" w:rsidRPr="00DE642C">
              <w:rPr>
                <w:sz w:val="20"/>
                <w:szCs w:val="20"/>
              </w:rPr>
              <w:t xml:space="preserve"> </w:t>
            </w:r>
            <w:r w:rsidRPr="00DE642C">
              <w:rPr>
                <w:sz w:val="20"/>
                <w:szCs w:val="20"/>
              </w:rPr>
              <w:t>852,24</w:t>
            </w:r>
            <w:r w:rsidR="00DE642C" w:rsidRPr="00DE642C">
              <w:rPr>
                <w:sz w:val="20"/>
                <w:szCs w:val="20"/>
              </w:rPr>
              <w:t xml:space="preserve"> zł</w:t>
            </w:r>
          </w:p>
        </w:tc>
      </w:tr>
      <w:tr w:rsidR="00E51AC8" w:rsidRPr="0092226B" w14:paraId="71C9E7C0" w14:textId="77777777" w:rsidTr="00E51AC8">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53A144E6" w14:textId="77777777" w:rsidR="00E51AC8" w:rsidRPr="00DE642C" w:rsidRDefault="00E51AC8" w:rsidP="00E51AC8">
            <w:pPr>
              <w:spacing w:line="240" w:lineRule="auto"/>
              <w:rPr>
                <w:rFonts w:eastAsia="Times New Roman" w:cs="Times New Roman"/>
                <w:b w:val="0"/>
                <w:bCs w:val="0"/>
                <w:color w:val="auto"/>
                <w:sz w:val="20"/>
                <w:szCs w:val="20"/>
                <w:lang w:eastAsia="pl-PL"/>
              </w:rPr>
            </w:pPr>
          </w:p>
        </w:tc>
        <w:tc>
          <w:tcPr>
            <w:tcW w:w="3119" w:type="dxa"/>
            <w:gridSpan w:val="2"/>
          </w:tcPr>
          <w:p w14:paraId="6CDD14AD" w14:textId="77777777" w:rsidR="00E51AC8" w:rsidRPr="00DE642C" w:rsidRDefault="00E51AC8" w:rsidP="00E51AC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Zasiłek celowy</w:t>
            </w:r>
          </w:p>
        </w:tc>
        <w:tc>
          <w:tcPr>
            <w:tcW w:w="3685" w:type="dxa"/>
            <w:gridSpan w:val="2"/>
          </w:tcPr>
          <w:p w14:paraId="786F2AFA" w14:textId="1B8951B6"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w:t>
            </w:r>
            <w:r w:rsidR="00DE642C" w:rsidRPr="00DE642C">
              <w:rPr>
                <w:sz w:val="20"/>
                <w:szCs w:val="20"/>
              </w:rPr>
              <w:t xml:space="preserve"> </w:t>
            </w:r>
            <w:r w:rsidRPr="00DE642C">
              <w:rPr>
                <w:sz w:val="20"/>
                <w:szCs w:val="20"/>
              </w:rPr>
              <w:t>623</w:t>
            </w:r>
          </w:p>
        </w:tc>
        <w:tc>
          <w:tcPr>
            <w:tcW w:w="5107" w:type="dxa"/>
            <w:gridSpan w:val="2"/>
          </w:tcPr>
          <w:p w14:paraId="5BD0BC05" w14:textId="019B56CB" w:rsidR="00E51AC8" w:rsidRPr="00DE642C" w:rsidRDefault="00E51AC8" w:rsidP="00E51AC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w:t>
            </w:r>
            <w:r w:rsidR="00DE642C" w:rsidRPr="00DE642C">
              <w:rPr>
                <w:sz w:val="20"/>
                <w:szCs w:val="20"/>
              </w:rPr>
              <w:t xml:space="preserve"> </w:t>
            </w:r>
            <w:r w:rsidRPr="00DE642C">
              <w:rPr>
                <w:sz w:val="20"/>
                <w:szCs w:val="20"/>
              </w:rPr>
              <w:t>455</w:t>
            </w:r>
            <w:r w:rsidR="00DE642C" w:rsidRPr="00DE642C">
              <w:rPr>
                <w:sz w:val="20"/>
                <w:szCs w:val="20"/>
              </w:rPr>
              <w:t xml:space="preserve"> </w:t>
            </w:r>
            <w:r w:rsidRPr="00DE642C">
              <w:rPr>
                <w:sz w:val="20"/>
                <w:szCs w:val="20"/>
              </w:rPr>
              <w:t>483,41</w:t>
            </w:r>
            <w:r w:rsidR="00DE642C" w:rsidRPr="00DE642C">
              <w:rPr>
                <w:sz w:val="20"/>
                <w:szCs w:val="20"/>
              </w:rPr>
              <w:t xml:space="preserve"> zł</w:t>
            </w:r>
          </w:p>
        </w:tc>
      </w:tr>
      <w:tr w:rsidR="00E51AC8" w:rsidRPr="0092226B" w14:paraId="2BEAA311" w14:textId="77777777" w:rsidTr="00E51AC8">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69CCAC14" w14:textId="77777777" w:rsidR="00E51AC8" w:rsidRPr="00DE642C" w:rsidRDefault="00E51AC8" w:rsidP="00E51AC8">
            <w:pPr>
              <w:spacing w:line="240" w:lineRule="auto"/>
              <w:rPr>
                <w:rFonts w:eastAsia="Times New Roman" w:cs="Times New Roman"/>
                <w:b w:val="0"/>
                <w:bCs w:val="0"/>
                <w:color w:val="auto"/>
                <w:sz w:val="20"/>
                <w:szCs w:val="20"/>
                <w:lang w:eastAsia="pl-PL"/>
              </w:rPr>
            </w:pPr>
          </w:p>
        </w:tc>
        <w:tc>
          <w:tcPr>
            <w:tcW w:w="3119" w:type="dxa"/>
            <w:gridSpan w:val="2"/>
          </w:tcPr>
          <w:p w14:paraId="6BF27ADE" w14:textId="77777777" w:rsidR="00E51AC8" w:rsidRPr="00DE642C" w:rsidRDefault="00E51AC8" w:rsidP="00E51AC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Specjalny zasiłek celowy</w:t>
            </w:r>
          </w:p>
        </w:tc>
        <w:tc>
          <w:tcPr>
            <w:tcW w:w="3685" w:type="dxa"/>
            <w:gridSpan w:val="2"/>
          </w:tcPr>
          <w:p w14:paraId="50607D4D" w14:textId="7E106611"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w:t>
            </w:r>
            <w:r w:rsidR="00DE642C" w:rsidRPr="00DE642C">
              <w:rPr>
                <w:sz w:val="20"/>
                <w:szCs w:val="20"/>
              </w:rPr>
              <w:t xml:space="preserve"> </w:t>
            </w:r>
            <w:r w:rsidRPr="00DE642C">
              <w:rPr>
                <w:sz w:val="20"/>
                <w:szCs w:val="20"/>
              </w:rPr>
              <w:t>402</w:t>
            </w:r>
          </w:p>
        </w:tc>
        <w:tc>
          <w:tcPr>
            <w:tcW w:w="5107" w:type="dxa"/>
            <w:gridSpan w:val="2"/>
          </w:tcPr>
          <w:p w14:paraId="20B3C71F" w14:textId="165886A1" w:rsidR="00E51AC8" w:rsidRPr="00DE642C" w:rsidRDefault="00E51AC8" w:rsidP="00E51AC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846</w:t>
            </w:r>
            <w:r w:rsidR="00DE642C" w:rsidRPr="00DE642C">
              <w:rPr>
                <w:sz w:val="20"/>
                <w:szCs w:val="20"/>
              </w:rPr>
              <w:t xml:space="preserve"> </w:t>
            </w:r>
            <w:r w:rsidRPr="00DE642C">
              <w:rPr>
                <w:sz w:val="20"/>
                <w:szCs w:val="20"/>
              </w:rPr>
              <w:t>051,35</w:t>
            </w:r>
            <w:r w:rsidR="00DE642C" w:rsidRPr="00DE642C">
              <w:rPr>
                <w:sz w:val="20"/>
                <w:szCs w:val="20"/>
              </w:rPr>
              <w:t xml:space="preserve"> zł</w:t>
            </w:r>
          </w:p>
        </w:tc>
      </w:tr>
      <w:tr w:rsidR="0092226B" w:rsidRPr="0092226B" w14:paraId="34C64478" w14:textId="77777777" w:rsidTr="00E51AC8">
        <w:trPr>
          <w:trHeight w:val="44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637E7C7E" w14:textId="77777777" w:rsidR="004854E3" w:rsidRPr="00DE642C" w:rsidRDefault="004854E3" w:rsidP="00E86509">
            <w:pPr>
              <w:spacing w:line="240" w:lineRule="auto"/>
              <w:rPr>
                <w:rFonts w:cs="Times New Roman"/>
                <w:b w:val="0"/>
                <w:color w:val="auto"/>
                <w:sz w:val="20"/>
                <w:szCs w:val="20"/>
                <w:lang w:eastAsia="pl-PL"/>
              </w:rPr>
            </w:pPr>
            <w:r w:rsidRPr="00DE642C">
              <w:rPr>
                <w:rFonts w:cs="Times New Roman"/>
                <w:color w:val="auto"/>
                <w:sz w:val="20"/>
                <w:szCs w:val="20"/>
                <w:lang w:eastAsia="pl-PL"/>
              </w:rPr>
              <w:t>Największe problemy/niedogodności w świadczeniu opieki nad osobami starszymi (np. zasoby kadrowe, rzeczowe, finansowe itp.)</w:t>
            </w:r>
          </w:p>
        </w:tc>
        <w:tc>
          <w:tcPr>
            <w:tcW w:w="11911" w:type="dxa"/>
            <w:gridSpan w:val="6"/>
          </w:tcPr>
          <w:p w14:paraId="067AEC42" w14:textId="74618ED6" w:rsidR="004854E3" w:rsidRPr="00DE642C" w:rsidRDefault="004854E3" w:rsidP="00E8650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b/>
                <w:sz w:val="20"/>
                <w:szCs w:val="20"/>
              </w:rPr>
              <w:t>1.</w:t>
            </w:r>
            <w:r w:rsidRPr="00DE642C">
              <w:rPr>
                <w:rFonts w:cs="Times New Roman"/>
                <w:sz w:val="20"/>
                <w:szCs w:val="20"/>
              </w:rPr>
              <w:t xml:space="preserve"> </w:t>
            </w:r>
            <w:r w:rsidR="00E51AC8" w:rsidRPr="00DE642C">
              <w:rPr>
                <w:rFonts w:cs="Times New Roman"/>
                <w:sz w:val="20"/>
                <w:szCs w:val="20"/>
              </w:rPr>
              <w:t>Zasoby kadrowe - szczególnie brak pracowników socjalnych, opiekunek, dodatkowo pielęgniarek i opiekunów w Domach Pomocy Społecznej m.in. z powodu niskich płac.</w:t>
            </w:r>
          </w:p>
        </w:tc>
      </w:tr>
      <w:tr w:rsidR="0092226B" w:rsidRPr="0092226B" w14:paraId="743CD44F" w14:textId="77777777" w:rsidTr="00E51AC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353D74AE" w14:textId="77777777" w:rsidR="004854E3" w:rsidRPr="00DE642C" w:rsidRDefault="004854E3" w:rsidP="00E86509">
            <w:pPr>
              <w:spacing w:line="240" w:lineRule="auto"/>
              <w:rPr>
                <w:rFonts w:cs="Times New Roman"/>
                <w:color w:val="auto"/>
                <w:sz w:val="20"/>
                <w:szCs w:val="20"/>
                <w:lang w:eastAsia="pl-PL"/>
              </w:rPr>
            </w:pPr>
          </w:p>
        </w:tc>
        <w:tc>
          <w:tcPr>
            <w:tcW w:w="11911" w:type="dxa"/>
            <w:gridSpan w:val="6"/>
          </w:tcPr>
          <w:p w14:paraId="11B1FCD3" w14:textId="49523DB3" w:rsidR="004854E3" w:rsidRPr="00DE642C" w:rsidRDefault="004854E3" w:rsidP="00E8650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b/>
                <w:sz w:val="20"/>
                <w:szCs w:val="20"/>
              </w:rPr>
              <w:t>2</w:t>
            </w:r>
            <w:r w:rsidRPr="00DE642C">
              <w:rPr>
                <w:rFonts w:cs="Times New Roman"/>
                <w:sz w:val="20"/>
                <w:szCs w:val="20"/>
              </w:rPr>
              <w:t xml:space="preserve">. </w:t>
            </w:r>
            <w:r w:rsidR="00E51AC8" w:rsidRPr="00DE642C">
              <w:rPr>
                <w:rFonts w:cs="Times New Roman"/>
                <w:sz w:val="20"/>
                <w:szCs w:val="20"/>
              </w:rPr>
              <w:t>Coraz cięższe stany zdrowia podopiecznych objętych opieką zmuszają o wykonywania usługi przez dwie opiekunki jednocześnie, co powoduje konieczność poniesienia podwójnej opłaty przez podopiecznego, na które Ci nie wyrażają zgody. W efekcie czego następuje przeciążenie opiekunki a także zagrożenie nie wykonania usługi w sposób należyty. Ograniczone zasoby finansowe Gminy i rosnące koszty zatrudnienia uniemożliwiają zwiększanie ilości personelu</w:t>
            </w:r>
          </w:p>
        </w:tc>
      </w:tr>
      <w:tr w:rsidR="0092226B" w:rsidRPr="0092226B" w14:paraId="1A102F8E" w14:textId="77777777" w:rsidTr="00E51AC8">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5CA9DA9A" w14:textId="77777777" w:rsidR="004854E3" w:rsidRPr="00DE642C" w:rsidRDefault="004854E3" w:rsidP="00E86509">
            <w:pPr>
              <w:spacing w:line="240" w:lineRule="auto"/>
              <w:rPr>
                <w:rFonts w:cs="Times New Roman"/>
                <w:color w:val="auto"/>
                <w:sz w:val="20"/>
                <w:szCs w:val="20"/>
                <w:lang w:eastAsia="pl-PL"/>
              </w:rPr>
            </w:pPr>
          </w:p>
        </w:tc>
        <w:tc>
          <w:tcPr>
            <w:tcW w:w="11911" w:type="dxa"/>
            <w:gridSpan w:val="6"/>
          </w:tcPr>
          <w:p w14:paraId="12F98518" w14:textId="62E3C85D" w:rsidR="00E51AC8" w:rsidRPr="00DE642C" w:rsidRDefault="004854E3" w:rsidP="00E51AC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b/>
                <w:sz w:val="20"/>
                <w:szCs w:val="20"/>
              </w:rPr>
              <w:t>3.</w:t>
            </w:r>
            <w:r w:rsidRPr="00DE642C">
              <w:rPr>
                <w:rFonts w:cs="Times New Roman"/>
                <w:sz w:val="20"/>
                <w:szCs w:val="20"/>
              </w:rPr>
              <w:t xml:space="preserve"> </w:t>
            </w:r>
            <w:r w:rsidR="00E51AC8" w:rsidRPr="00DE642C">
              <w:rPr>
                <w:rFonts w:cs="Times New Roman"/>
                <w:sz w:val="20"/>
                <w:szCs w:val="20"/>
              </w:rPr>
              <w:t xml:space="preserve">Brak kompatybilności w zapisach ustawowych - niespójność przepisów prawnych w granicach potrąceń tj.: na podstawie  art. 61 ust. 2 ustawy o pomocy społecznej mieszkaniec DPS wnosi opłatę za pobyt w domu nie więcej niż 70% swojego dochodu, natomiast ZUS dokonuje potrąceń (na wniosek dyrektora placówki ) ze świadczeń emerytalno-rentowych dla osób przebywających w domach pomocy społecznej w wysokości  określonej kwotowo we wniosku jednak maksymalnie do 65% miesięcznej kwoty świadczenia brutto, zgodnie z art. 139 ust. 1 pkt 10 w związku z art. 140 ust. 4 pkt 3 i ust. 7 ustawy </w:t>
            </w:r>
          </w:p>
          <w:p w14:paraId="7B34222E" w14:textId="09739DB9" w:rsidR="004854E3" w:rsidRPr="00DE642C" w:rsidRDefault="00E51AC8" w:rsidP="00E51AC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o emeryturach i rentach z Funduszu Ubezpieczeń Społecznych.</w:t>
            </w:r>
          </w:p>
        </w:tc>
      </w:tr>
      <w:tr w:rsidR="0092226B" w:rsidRPr="0092226B" w14:paraId="14F3E08A" w14:textId="77777777" w:rsidTr="00E51AC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79FD2357" w14:textId="77777777" w:rsidR="004854E3" w:rsidRPr="00DE642C" w:rsidRDefault="004854E3" w:rsidP="00E86509">
            <w:pPr>
              <w:spacing w:line="240" w:lineRule="auto"/>
              <w:rPr>
                <w:rFonts w:cs="Times New Roman"/>
                <w:color w:val="auto"/>
                <w:sz w:val="20"/>
                <w:szCs w:val="20"/>
                <w:lang w:eastAsia="pl-PL"/>
              </w:rPr>
            </w:pPr>
          </w:p>
        </w:tc>
        <w:tc>
          <w:tcPr>
            <w:tcW w:w="11911" w:type="dxa"/>
            <w:gridSpan w:val="6"/>
          </w:tcPr>
          <w:p w14:paraId="12EEB483" w14:textId="2A2B2B47" w:rsidR="00E51AC8" w:rsidRPr="00DE642C" w:rsidRDefault="004854E3" w:rsidP="00E51AC8">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DE642C">
              <w:rPr>
                <w:rFonts w:cs="Times New Roman"/>
                <w:b/>
                <w:sz w:val="20"/>
                <w:szCs w:val="20"/>
              </w:rPr>
              <w:t>4.</w:t>
            </w:r>
            <w:r w:rsidRPr="00DE642C">
              <w:rPr>
                <w:rFonts w:cs="Times New Roman"/>
                <w:sz w:val="20"/>
                <w:szCs w:val="20"/>
              </w:rPr>
              <w:t xml:space="preserve"> </w:t>
            </w:r>
            <w:r w:rsidR="00E51AC8" w:rsidRPr="00DE642C">
              <w:rPr>
                <w:sz w:val="20"/>
                <w:szCs w:val="20"/>
              </w:rPr>
              <w:t xml:space="preserve"> </w:t>
            </w:r>
            <w:r w:rsidR="00E51AC8" w:rsidRPr="00DE642C">
              <w:rPr>
                <w:rFonts w:eastAsia="Calibri" w:cs="Times New Roman"/>
                <w:sz w:val="20"/>
                <w:szCs w:val="20"/>
              </w:rPr>
              <w:t xml:space="preserve">Dużym problemem dla świadczenia usług opiekuńczych były ,,godziny dla seniora’’ oraz fakt, iż w tym czasie opiekunki </w:t>
            </w:r>
          </w:p>
          <w:p w14:paraId="7F41A8C1" w14:textId="6A8FCFFE" w:rsidR="004854E3" w:rsidRPr="00DE642C" w:rsidRDefault="00E51AC8" w:rsidP="00E51AC8">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DE642C">
              <w:rPr>
                <w:rFonts w:eastAsia="Calibri" w:cs="Times New Roman"/>
                <w:sz w:val="20"/>
                <w:szCs w:val="20"/>
              </w:rPr>
              <w:t>z OPS nie były w stanie zrobić zakupów dla swoich podopiecznych. W ramach wprowadzonych ograniczeń, nikt nie wziął pod uwagę faktu, iż usługi opiekuńcze świadczone są często w godzinach porannych. Wyłączenie możliwości zrobienia zakupów przez 2 godzony (z 8 godzin pracy) stanowiło duże utrudnienie w tworzeniu grafików pracy.</w:t>
            </w:r>
          </w:p>
        </w:tc>
      </w:tr>
      <w:tr w:rsidR="0092226B" w:rsidRPr="0092226B" w14:paraId="49D56EB1" w14:textId="77777777" w:rsidTr="00E51AC8">
        <w:trPr>
          <w:trHeight w:val="442"/>
        </w:trPr>
        <w:tc>
          <w:tcPr>
            <w:cnfStyle w:val="001000000000" w:firstRow="0" w:lastRow="0" w:firstColumn="1" w:lastColumn="0" w:oddVBand="0" w:evenVBand="0" w:oddHBand="0" w:evenHBand="0" w:firstRowFirstColumn="0" w:firstRowLastColumn="0" w:lastRowFirstColumn="0" w:lastRowLastColumn="0"/>
            <w:tcW w:w="2830" w:type="dxa"/>
          </w:tcPr>
          <w:p w14:paraId="5ADF525B" w14:textId="77777777" w:rsidR="004854E3" w:rsidRPr="00DE642C" w:rsidRDefault="004854E3" w:rsidP="00E86509">
            <w:pPr>
              <w:spacing w:line="240" w:lineRule="auto"/>
              <w:rPr>
                <w:rFonts w:cs="Times New Roman"/>
                <w:color w:val="auto"/>
                <w:sz w:val="20"/>
                <w:szCs w:val="20"/>
                <w:lang w:eastAsia="pl-PL"/>
              </w:rPr>
            </w:pPr>
            <w:r w:rsidRPr="00DE642C">
              <w:rPr>
                <w:rFonts w:cs="Times New Roman"/>
                <w:color w:val="auto"/>
                <w:sz w:val="20"/>
                <w:szCs w:val="20"/>
                <w:lang w:eastAsia="pl-PL"/>
              </w:rPr>
              <w:t>Stopień zaspokojenia potrzeb w zakresie usług opiekuńczych</w:t>
            </w:r>
          </w:p>
        </w:tc>
        <w:tc>
          <w:tcPr>
            <w:tcW w:w="11911" w:type="dxa"/>
            <w:gridSpan w:val="6"/>
          </w:tcPr>
          <w:p w14:paraId="0D227D6A" w14:textId="1D7E39B2" w:rsidR="00E51AC8" w:rsidRPr="00DE642C" w:rsidRDefault="00E51AC8" w:rsidP="00E51AC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Usługi opiekuńcze zaspakajane są na bieżąco wg zgłaszanych potrzeb. Usługi opiekuńcze dla osób starszych nie były świadczone w 10 gminach województwa z powodu  braku zapotrzebowania na tego typu usługi. W wielu gminach województwa funkcjonują Stacje Caritas, które świadczą usługi pielęgniarskie, pielęgnacyjne w domach, jak również wypożyczają sprzęt rehabilitacyjny osobom potrzebującym.</w:t>
            </w:r>
          </w:p>
          <w:p w14:paraId="7F3211F0" w14:textId="77777777" w:rsidR="00E51AC8" w:rsidRPr="00DE642C" w:rsidRDefault="00E51AC8" w:rsidP="00E51AC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W 2020 r. wskaźnik liczby osób objętych usługami na 10 tys. mieszkańców województwa minimalnie zmniejszył się z 37,5 do 36,7 (o 0,8 pkt.). Spadek odnotowano w 8 powiatach, w tym najbardziej w powiecie brzeskim (o 5,5 pkt.) i powiecie krapkowickim (o 4,4 pkt.). Natomiast wzrost wystąpił w 4 powiatach (prudnickim – najwięcej o 5,8 pkt., oraz nyskim, strzeleckim i Mieście Opolu).</w:t>
            </w:r>
          </w:p>
          <w:p w14:paraId="44674BD8" w14:textId="3EE71A80" w:rsidR="004854E3" w:rsidRPr="00DE642C" w:rsidRDefault="00E51AC8" w:rsidP="00E51AC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Najwięcej osób objętych wsparciem w odniesieniu do liczby ludności miały powiaty: krapkowicki (50,3 - tj. ponad 50 osób na 10 tys. ludności), nyski (49,9) i prudnicki (45,6). Natomiast najmniej pomocy w formie usług opiekuńczych udzielał powiat namysłowski (16-17 osób na 10 tys. mieszkańców).</w:t>
            </w:r>
          </w:p>
        </w:tc>
      </w:tr>
    </w:tbl>
    <w:p w14:paraId="1C04523F" w14:textId="77777777" w:rsidR="005C6286" w:rsidRDefault="005C6286" w:rsidP="005C6286">
      <w:pPr>
        <w:tabs>
          <w:tab w:val="left" w:pos="5400"/>
        </w:tabs>
        <w:rPr>
          <w:rFonts w:eastAsia="Times New Roman" w:cs="Times New Roman"/>
          <w:b/>
          <w:szCs w:val="24"/>
          <w:lang w:eastAsia="pl-PL"/>
        </w:rPr>
      </w:pPr>
      <w:r w:rsidRPr="00432294">
        <w:rPr>
          <w:rFonts w:eastAsia="Times New Roman" w:cs="Times New Roman"/>
          <w:b/>
          <w:szCs w:val="24"/>
          <w:lang w:eastAsia="pl-PL"/>
        </w:rPr>
        <w:t xml:space="preserve">Źródło: </w:t>
      </w:r>
      <w:r>
        <w:rPr>
          <w:rFonts w:eastAsia="Times New Roman" w:cs="Times New Roman"/>
          <w:b/>
          <w:szCs w:val="24"/>
          <w:lang w:eastAsia="pl-PL"/>
        </w:rPr>
        <w:t>Dane Wojewody Opolskiego</w:t>
      </w:r>
      <w:r w:rsidRPr="00432294">
        <w:rPr>
          <w:rFonts w:eastAsia="Times New Roman" w:cs="Times New Roman"/>
          <w:b/>
          <w:szCs w:val="24"/>
          <w:lang w:eastAsia="pl-PL"/>
        </w:rPr>
        <w:t xml:space="preserve">. </w:t>
      </w:r>
    </w:p>
    <w:p w14:paraId="6CD3FB79" w14:textId="77777777" w:rsidR="004854E3" w:rsidRPr="0092226B" w:rsidRDefault="004854E3" w:rsidP="00CB509F">
      <w:pPr>
        <w:pStyle w:val="Nagwek2"/>
        <w:rPr>
          <w:rFonts w:eastAsia="Times New Roman"/>
          <w:color w:val="FF0000"/>
          <w:lang w:eastAsia="ar-SA"/>
        </w:rPr>
        <w:sectPr w:rsidR="004854E3" w:rsidRPr="0092226B" w:rsidSect="00DB6308">
          <w:pgSz w:w="16838" w:h="11900" w:orient="landscape"/>
          <w:pgMar w:top="1380" w:right="1384" w:bottom="1386" w:left="1038" w:header="0" w:footer="567" w:gutter="0"/>
          <w:cols w:space="0" w:equalWidth="0">
            <w:col w:w="9140"/>
          </w:cols>
          <w:docGrid w:linePitch="360"/>
        </w:sectPr>
      </w:pPr>
    </w:p>
    <w:p w14:paraId="1B6340D4" w14:textId="7FFB54AB" w:rsidR="004854E3" w:rsidRPr="0012413B" w:rsidRDefault="00B25D75" w:rsidP="00FE70E3">
      <w:pPr>
        <w:pStyle w:val="Nagwek2"/>
        <w:numPr>
          <w:ilvl w:val="1"/>
          <w:numId w:val="12"/>
        </w:numPr>
        <w:spacing w:before="240" w:after="240"/>
        <w:rPr>
          <w:rFonts w:eastAsia="Times New Roman" w:cs="Times New Roman"/>
          <w:sz w:val="40"/>
          <w:lang w:eastAsia="ar-SA"/>
        </w:rPr>
      </w:pPr>
      <w:bookmarkStart w:id="237" w:name="_Toc80523155"/>
      <w:r w:rsidRPr="0012413B">
        <w:rPr>
          <w:rFonts w:eastAsia="Times New Roman" w:cs="Times New Roman"/>
          <w:sz w:val="40"/>
          <w:lang w:eastAsia="ar-SA"/>
        </w:rPr>
        <w:lastRenderedPageBreak/>
        <w:t xml:space="preserve">Województwo </w:t>
      </w:r>
      <w:r w:rsidR="005F0A32" w:rsidRPr="0012413B">
        <w:rPr>
          <w:rFonts w:eastAsia="Times New Roman" w:cs="Times New Roman"/>
          <w:sz w:val="40"/>
          <w:lang w:eastAsia="ar-SA"/>
        </w:rPr>
        <w:t>p</w:t>
      </w:r>
      <w:r w:rsidR="00475EFA" w:rsidRPr="0012413B">
        <w:rPr>
          <w:rFonts w:eastAsia="Times New Roman" w:cs="Times New Roman"/>
          <w:sz w:val="40"/>
          <w:lang w:eastAsia="ar-SA"/>
        </w:rPr>
        <w:t>odkarpackie</w:t>
      </w:r>
      <w:bookmarkEnd w:id="237"/>
    </w:p>
    <w:p w14:paraId="4CEB5A11" w14:textId="77777777" w:rsidR="005B094D" w:rsidRPr="005B094D" w:rsidRDefault="005B094D" w:rsidP="005B094D">
      <w:pPr>
        <w:pStyle w:val="Akapitzlist"/>
        <w:keepNext/>
        <w:keepLines/>
        <w:numPr>
          <w:ilvl w:val="1"/>
          <w:numId w:val="1"/>
        </w:numPr>
        <w:spacing w:before="120" w:after="120"/>
        <w:contextualSpacing w:val="0"/>
        <w:outlineLvl w:val="1"/>
        <w:rPr>
          <w:rFonts w:eastAsiaTheme="majorEastAsia" w:cstheme="majorBidi"/>
          <w:b/>
          <w:vanish/>
          <w:color w:val="ED7D31" w:themeColor="accent2"/>
          <w:sz w:val="34"/>
          <w:szCs w:val="26"/>
          <w:lang w:eastAsia="ar-SA"/>
        </w:rPr>
      </w:pPr>
      <w:bookmarkStart w:id="238" w:name="_Toc80523156"/>
      <w:bookmarkStart w:id="239" w:name="_Toc77514001"/>
      <w:bookmarkEnd w:id="238"/>
    </w:p>
    <w:p w14:paraId="49BABFD6" w14:textId="35C8F7D9" w:rsidR="007873B2" w:rsidRDefault="007873B2" w:rsidP="005B094D">
      <w:pPr>
        <w:pStyle w:val="Nagwek3"/>
        <w:rPr>
          <w:lang w:eastAsia="ar-SA"/>
        </w:rPr>
      </w:pPr>
      <w:bookmarkStart w:id="240" w:name="_Toc80523157"/>
      <w:r w:rsidRPr="007873B2">
        <w:rPr>
          <w:lang w:eastAsia="ar-SA"/>
        </w:rPr>
        <w:t>Aktywność ekonomiczna i warunki bytowe</w:t>
      </w:r>
      <w:bookmarkEnd w:id="239"/>
      <w:bookmarkEnd w:id="240"/>
    </w:p>
    <w:p w14:paraId="79D91A44" w14:textId="77777777" w:rsidR="000B1B06" w:rsidRPr="000B1B06" w:rsidRDefault="000B1B06" w:rsidP="000B1B06">
      <w:pPr>
        <w:rPr>
          <w:lang w:eastAsia="ar-SA"/>
        </w:rPr>
      </w:pPr>
    </w:p>
    <w:p w14:paraId="1C5E3EC6" w14:textId="77777777" w:rsidR="007873B2" w:rsidRPr="007873B2" w:rsidRDefault="007873B2" w:rsidP="007873B2">
      <w:pPr>
        <w:rPr>
          <w:rFonts w:cs="Times New Roman"/>
          <w:szCs w:val="24"/>
        </w:rPr>
      </w:pPr>
      <w:r w:rsidRPr="007873B2">
        <w:rPr>
          <w:rFonts w:cs="Times New Roman"/>
          <w:szCs w:val="24"/>
        </w:rPr>
        <w:t>W 2020 r. w województwie podkarpackim przeciętny miesięczny dochód rozporządzalny przypadający na 1 osobę w gospodarstwach domowych wyniósł  1589 zł. Na dochód rozporządzalny gospodarstwa domowego składają się przede wszystkim dochody z pracy najemnej oraz dochody ze świadczeń społecznych. W 2020 r. ich udział w dochodzie rozporządzalnym wyniósł odpowiednio 56,3% i 35,4%. W 2020 r. przeciętne miesięczne wydatki na 1 osobę w gospodarstwach domowych wyniosły 931 zł.  Na żywność i napoje bezalkoholowe gospodarstwa domowe przeznaczały przeciętnie 32,9% ogólnej kwoty wydatków, na opłaty z tytułu użytkowania mieszkania lub domu i za korzystanie z nośników energii  - 16,9%, a na zdrowie – 4,7%.</w:t>
      </w:r>
    </w:p>
    <w:p w14:paraId="669AF716" w14:textId="77777777" w:rsidR="007873B2" w:rsidRPr="007873B2" w:rsidRDefault="007873B2" w:rsidP="007873B2">
      <w:pPr>
        <w:rPr>
          <w:rFonts w:cs="Times New Roman"/>
          <w:szCs w:val="24"/>
        </w:rPr>
      </w:pPr>
    </w:p>
    <w:p w14:paraId="6205F9EE" w14:textId="77777777" w:rsidR="007873B2" w:rsidRPr="007873B2" w:rsidRDefault="007873B2" w:rsidP="007873B2">
      <w:pPr>
        <w:rPr>
          <w:rFonts w:cs="Times New Roman"/>
          <w:szCs w:val="24"/>
        </w:rPr>
      </w:pPr>
      <w:r w:rsidRPr="007873B2">
        <w:rPr>
          <w:rFonts w:cs="Times New Roman"/>
          <w:szCs w:val="24"/>
        </w:rPr>
        <w:t>W 2020 r. swoją sytuację materialną jako bardzo dobrą i raczej dobrą oceniło 51,8% gospodarstw domowych. Udział gospodarstw określających swoją sytuację materialną jako przeciętną wyniósł 42,8%, a raczej złą i złą ukształtował się na poziomie 5,4%.</w:t>
      </w:r>
    </w:p>
    <w:p w14:paraId="1A5211BB" w14:textId="77777777" w:rsidR="007873B2" w:rsidRPr="007873B2" w:rsidRDefault="007873B2" w:rsidP="007873B2">
      <w:pPr>
        <w:rPr>
          <w:rFonts w:cs="Times New Roman"/>
          <w:szCs w:val="24"/>
        </w:rPr>
      </w:pPr>
    </w:p>
    <w:p w14:paraId="597EE67C" w14:textId="77777777" w:rsidR="007873B2" w:rsidRPr="007873B2" w:rsidRDefault="007873B2" w:rsidP="007873B2">
      <w:pPr>
        <w:rPr>
          <w:rFonts w:cs="Times New Roman"/>
          <w:szCs w:val="24"/>
        </w:rPr>
      </w:pPr>
      <w:r w:rsidRPr="007873B2">
        <w:rPr>
          <w:rFonts w:cs="Times New Roman"/>
          <w:szCs w:val="24"/>
        </w:rPr>
        <w:t>W analizowanym roku przeciętna liczba osób w gospodarstwie domowym ukształtowała się na poziomie 3,03. Przeciętna powierzchnia użytkowa mieszkania zajmowana przez gospodarstwo domowe wyniosła 99,79 m</w:t>
      </w:r>
      <w:r w:rsidRPr="000171DD">
        <w:rPr>
          <w:rFonts w:cs="Times New Roman"/>
          <w:szCs w:val="24"/>
          <w:vertAlign w:val="superscript"/>
        </w:rPr>
        <w:t>2</w:t>
      </w:r>
      <w:r w:rsidRPr="007873B2">
        <w:rPr>
          <w:rFonts w:cs="Times New Roman"/>
          <w:szCs w:val="24"/>
        </w:rPr>
        <w:t>.</w:t>
      </w:r>
    </w:p>
    <w:p w14:paraId="745CFBAF" w14:textId="77777777" w:rsidR="007873B2" w:rsidRPr="007873B2" w:rsidRDefault="007873B2" w:rsidP="007873B2">
      <w:pPr>
        <w:rPr>
          <w:rFonts w:cs="Times New Roman"/>
          <w:b/>
          <w:szCs w:val="24"/>
          <w:lang w:eastAsia="ar-SA"/>
        </w:rPr>
      </w:pPr>
    </w:p>
    <w:p w14:paraId="2E306435" w14:textId="492E39BB" w:rsidR="007873B2" w:rsidRPr="007873B2" w:rsidRDefault="007873B2" w:rsidP="007873B2">
      <w:pPr>
        <w:pStyle w:val="Legenda"/>
        <w:keepNext/>
        <w:rPr>
          <w:rFonts w:cs="Times New Roman"/>
          <w:b/>
          <w:i w:val="0"/>
          <w:color w:val="auto"/>
          <w:sz w:val="24"/>
        </w:rPr>
      </w:pPr>
      <w:r w:rsidRPr="007873B2">
        <w:rPr>
          <w:rFonts w:cs="Times New Roman"/>
          <w:b/>
          <w:i w:val="0"/>
          <w:color w:val="auto"/>
          <w:sz w:val="24"/>
        </w:rPr>
        <w:t xml:space="preserve">Tabela </w:t>
      </w:r>
      <w:r w:rsidR="005B094D">
        <w:rPr>
          <w:rFonts w:cs="Times New Roman"/>
          <w:b/>
          <w:i w:val="0"/>
          <w:color w:val="auto"/>
          <w:sz w:val="24"/>
        </w:rPr>
        <w:t>65</w:t>
      </w:r>
      <w:r w:rsidR="00054E88">
        <w:rPr>
          <w:rFonts w:cs="Times New Roman"/>
          <w:b/>
          <w:i w:val="0"/>
          <w:color w:val="auto"/>
          <w:sz w:val="24"/>
        </w:rPr>
        <w:t>.</w:t>
      </w:r>
      <w:r w:rsidRPr="007873B2">
        <w:rPr>
          <w:rFonts w:cs="Times New Roman"/>
          <w:b/>
          <w:i w:val="0"/>
          <w:color w:val="auto"/>
          <w:sz w:val="24"/>
        </w:rPr>
        <w:t xml:space="preserve"> Aktywność ekonomiczna osób starszych w województwie podkarpackim </w:t>
      </w:r>
    </w:p>
    <w:tbl>
      <w:tblPr>
        <w:tblStyle w:val="Tabelasiatki6kolorowaakcent2"/>
        <w:tblpPr w:leftFromText="141" w:rightFromText="141" w:vertAnchor="text" w:tblpXSpec="center" w:tblpY="1"/>
        <w:tblW w:w="9209" w:type="dxa"/>
        <w:tblLayout w:type="fixed"/>
        <w:tblLook w:val="04A0" w:firstRow="1" w:lastRow="0" w:firstColumn="1" w:lastColumn="0" w:noHBand="0" w:noVBand="1"/>
      </w:tblPr>
      <w:tblGrid>
        <w:gridCol w:w="2414"/>
        <w:gridCol w:w="3969"/>
        <w:gridCol w:w="2826"/>
      </w:tblGrid>
      <w:tr w:rsidR="007873B2" w:rsidRPr="007873B2" w14:paraId="1FE94088" w14:textId="77777777" w:rsidTr="00EB7DC7">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209" w:type="dxa"/>
            <w:gridSpan w:val="3"/>
          </w:tcPr>
          <w:p w14:paraId="11811402" w14:textId="77777777" w:rsidR="007873B2" w:rsidRPr="007873B2" w:rsidRDefault="007873B2" w:rsidP="00EB7DC7">
            <w:pPr>
              <w:jc w:val="center"/>
              <w:rPr>
                <w:rFonts w:cs="Times New Roman"/>
                <w:color w:val="auto"/>
                <w:sz w:val="20"/>
                <w:szCs w:val="20"/>
              </w:rPr>
            </w:pPr>
            <w:r w:rsidRPr="007873B2">
              <w:rPr>
                <w:rFonts w:cs="Times New Roman"/>
                <w:color w:val="auto"/>
                <w:sz w:val="20"/>
                <w:szCs w:val="20"/>
                <w:lang w:eastAsia="pl-PL"/>
              </w:rPr>
              <w:t>AKTYWNOŚĆ EKONOMICZNA OSÓB STARSZYCH – DANE ZA 2020 R.</w:t>
            </w:r>
          </w:p>
        </w:tc>
      </w:tr>
      <w:tr w:rsidR="007873B2" w:rsidRPr="007873B2" w14:paraId="3844D6AE" w14:textId="77777777" w:rsidTr="00EB7DC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383" w:type="dxa"/>
            <w:gridSpan w:val="2"/>
          </w:tcPr>
          <w:p w14:paraId="525D76E6" w14:textId="77777777" w:rsidR="007873B2" w:rsidRPr="007873B2" w:rsidRDefault="007873B2" w:rsidP="00EB7DC7">
            <w:pPr>
              <w:rPr>
                <w:rFonts w:cs="Times New Roman"/>
                <w:color w:val="auto"/>
                <w:sz w:val="20"/>
                <w:szCs w:val="20"/>
              </w:rPr>
            </w:pPr>
            <w:r w:rsidRPr="007873B2">
              <w:rPr>
                <w:rFonts w:cs="Times New Roman"/>
                <w:color w:val="auto"/>
                <w:sz w:val="20"/>
                <w:szCs w:val="20"/>
              </w:rPr>
              <w:t>Podział</w:t>
            </w:r>
          </w:p>
        </w:tc>
        <w:tc>
          <w:tcPr>
            <w:tcW w:w="2826" w:type="dxa"/>
          </w:tcPr>
          <w:p w14:paraId="66A7390F" w14:textId="77777777" w:rsidR="007873B2" w:rsidRPr="007873B2" w:rsidRDefault="007873B2"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7873B2">
              <w:rPr>
                <w:rFonts w:cs="Times New Roman"/>
                <w:b/>
                <w:color w:val="auto"/>
                <w:sz w:val="20"/>
                <w:szCs w:val="20"/>
              </w:rPr>
              <w:t>Liczba</w:t>
            </w:r>
          </w:p>
        </w:tc>
      </w:tr>
      <w:tr w:rsidR="007873B2" w:rsidRPr="007873B2" w14:paraId="041EB872"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2414" w:type="dxa"/>
            <w:vMerge w:val="restart"/>
          </w:tcPr>
          <w:p w14:paraId="43ECB012" w14:textId="77777777" w:rsidR="007873B2" w:rsidRPr="007873B2" w:rsidRDefault="007873B2" w:rsidP="00EB7DC7">
            <w:pPr>
              <w:rPr>
                <w:rFonts w:cs="Times New Roman"/>
                <w:b w:val="0"/>
                <w:color w:val="auto"/>
                <w:sz w:val="20"/>
                <w:szCs w:val="20"/>
                <w:lang w:eastAsia="pl-PL"/>
              </w:rPr>
            </w:pPr>
            <w:r w:rsidRPr="007873B2">
              <w:rPr>
                <w:rFonts w:cs="Times New Roman"/>
                <w:color w:val="auto"/>
                <w:sz w:val="20"/>
                <w:szCs w:val="20"/>
                <w:lang w:eastAsia="pl-PL"/>
              </w:rPr>
              <w:t>Osoby aktywne zawodowo razem (w tys.)</w:t>
            </w:r>
          </w:p>
        </w:tc>
        <w:tc>
          <w:tcPr>
            <w:tcW w:w="3969" w:type="dxa"/>
          </w:tcPr>
          <w:p w14:paraId="6A2B7ABA"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ogółem</w:t>
            </w:r>
          </w:p>
        </w:tc>
        <w:tc>
          <w:tcPr>
            <w:tcW w:w="2826" w:type="dxa"/>
          </w:tcPr>
          <w:p w14:paraId="211029C2"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875</w:t>
            </w:r>
          </w:p>
        </w:tc>
      </w:tr>
      <w:tr w:rsidR="007873B2" w:rsidRPr="007873B2" w14:paraId="35BD7A52" w14:textId="77777777" w:rsidTr="001F11AE">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414" w:type="dxa"/>
            <w:vMerge/>
          </w:tcPr>
          <w:p w14:paraId="29968D09" w14:textId="77777777" w:rsidR="007873B2" w:rsidRPr="007873B2" w:rsidRDefault="007873B2" w:rsidP="00EB7DC7">
            <w:pPr>
              <w:rPr>
                <w:rFonts w:cs="Times New Roman"/>
                <w:b w:val="0"/>
                <w:color w:val="auto"/>
                <w:sz w:val="20"/>
                <w:szCs w:val="20"/>
                <w:lang w:eastAsia="pl-PL"/>
              </w:rPr>
            </w:pPr>
          </w:p>
        </w:tc>
        <w:tc>
          <w:tcPr>
            <w:tcW w:w="3969" w:type="dxa"/>
          </w:tcPr>
          <w:p w14:paraId="0FAD5EC6"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w tym w wieku 60+</w:t>
            </w:r>
          </w:p>
        </w:tc>
        <w:tc>
          <w:tcPr>
            <w:tcW w:w="2826" w:type="dxa"/>
          </w:tcPr>
          <w:p w14:paraId="091996DE"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63</w:t>
            </w:r>
          </w:p>
        </w:tc>
      </w:tr>
      <w:tr w:rsidR="007873B2" w:rsidRPr="007873B2" w14:paraId="01B7BB7E"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2414" w:type="dxa"/>
            <w:vMerge w:val="restart"/>
          </w:tcPr>
          <w:p w14:paraId="410A740E" w14:textId="77777777" w:rsidR="007873B2" w:rsidRPr="007873B2" w:rsidRDefault="007873B2" w:rsidP="00EB7DC7">
            <w:pPr>
              <w:rPr>
                <w:rFonts w:cs="Times New Roman"/>
                <w:b w:val="0"/>
                <w:color w:val="auto"/>
                <w:sz w:val="20"/>
                <w:szCs w:val="20"/>
                <w:lang w:eastAsia="pl-PL"/>
              </w:rPr>
            </w:pPr>
            <w:r w:rsidRPr="007873B2">
              <w:rPr>
                <w:rFonts w:cs="Times New Roman"/>
                <w:color w:val="auto"/>
                <w:sz w:val="20"/>
                <w:szCs w:val="20"/>
                <w:lang w:eastAsia="pl-PL"/>
              </w:rPr>
              <w:t xml:space="preserve">Osoby aktywne zawodowo </w:t>
            </w:r>
            <w:r w:rsidRPr="007873B2">
              <w:rPr>
                <w:rFonts w:cs="Times New Roman"/>
                <w:color w:val="auto"/>
                <w:sz w:val="20"/>
                <w:szCs w:val="20"/>
                <w:lang w:eastAsia="pl-PL"/>
              </w:rPr>
              <w:br/>
              <w:t>– pracujący (w tys.)</w:t>
            </w:r>
          </w:p>
        </w:tc>
        <w:tc>
          <w:tcPr>
            <w:tcW w:w="3969" w:type="dxa"/>
          </w:tcPr>
          <w:p w14:paraId="491315E0"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Ogółem</w:t>
            </w:r>
          </w:p>
        </w:tc>
        <w:tc>
          <w:tcPr>
            <w:tcW w:w="2826" w:type="dxa"/>
          </w:tcPr>
          <w:p w14:paraId="7C3B1594"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837</w:t>
            </w:r>
          </w:p>
        </w:tc>
      </w:tr>
      <w:tr w:rsidR="007873B2" w:rsidRPr="007873B2" w14:paraId="620DE238" w14:textId="77777777" w:rsidTr="001F11AE">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414" w:type="dxa"/>
            <w:vMerge/>
          </w:tcPr>
          <w:p w14:paraId="00A07378" w14:textId="77777777" w:rsidR="007873B2" w:rsidRPr="007873B2" w:rsidRDefault="007873B2" w:rsidP="00EB7DC7">
            <w:pPr>
              <w:rPr>
                <w:rFonts w:cs="Times New Roman"/>
                <w:b w:val="0"/>
                <w:color w:val="auto"/>
                <w:sz w:val="20"/>
                <w:szCs w:val="20"/>
                <w:lang w:eastAsia="pl-PL"/>
              </w:rPr>
            </w:pPr>
          </w:p>
        </w:tc>
        <w:tc>
          <w:tcPr>
            <w:tcW w:w="3969" w:type="dxa"/>
          </w:tcPr>
          <w:p w14:paraId="267A79E5"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w tym w wieku 60+</w:t>
            </w:r>
          </w:p>
        </w:tc>
        <w:tc>
          <w:tcPr>
            <w:tcW w:w="2826" w:type="dxa"/>
          </w:tcPr>
          <w:p w14:paraId="43A3129D"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61</w:t>
            </w:r>
          </w:p>
        </w:tc>
      </w:tr>
      <w:tr w:rsidR="007873B2" w:rsidRPr="007873B2" w14:paraId="53F9DC80"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2414" w:type="dxa"/>
            <w:vMerge w:val="restart"/>
          </w:tcPr>
          <w:p w14:paraId="49AC63F2" w14:textId="77777777" w:rsidR="007873B2" w:rsidRPr="007873B2" w:rsidRDefault="007873B2" w:rsidP="00EB7DC7">
            <w:pPr>
              <w:rPr>
                <w:rFonts w:cs="Times New Roman"/>
                <w:b w:val="0"/>
                <w:color w:val="auto"/>
                <w:sz w:val="20"/>
                <w:szCs w:val="20"/>
                <w:lang w:eastAsia="pl-PL"/>
              </w:rPr>
            </w:pPr>
            <w:r w:rsidRPr="007873B2">
              <w:rPr>
                <w:rFonts w:cs="Times New Roman"/>
                <w:color w:val="auto"/>
                <w:sz w:val="20"/>
                <w:szCs w:val="20"/>
                <w:lang w:eastAsia="pl-PL"/>
              </w:rPr>
              <w:t>Osoby bierne zawodowo (w tys.)</w:t>
            </w:r>
          </w:p>
        </w:tc>
        <w:tc>
          <w:tcPr>
            <w:tcW w:w="3969" w:type="dxa"/>
          </w:tcPr>
          <w:p w14:paraId="75832070"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ogółem</w:t>
            </w:r>
          </w:p>
        </w:tc>
        <w:tc>
          <w:tcPr>
            <w:tcW w:w="2826" w:type="dxa"/>
          </w:tcPr>
          <w:p w14:paraId="42806D9C"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747</w:t>
            </w:r>
          </w:p>
        </w:tc>
      </w:tr>
      <w:tr w:rsidR="007873B2" w:rsidRPr="007873B2" w14:paraId="48A8A5ED" w14:textId="77777777" w:rsidTr="001F11A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4" w:type="dxa"/>
            <w:vMerge/>
          </w:tcPr>
          <w:p w14:paraId="338D0ABE" w14:textId="77777777" w:rsidR="007873B2" w:rsidRPr="007873B2" w:rsidRDefault="007873B2" w:rsidP="00EB7DC7">
            <w:pPr>
              <w:rPr>
                <w:rFonts w:cs="Times New Roman"/>
                <w:b w:val="0"/>
                <w:color w:val="auto"/>
                <w:sz w:val="20"/>
                <w:szCs w:val="20"/>
                <w:lang w:eastAsia="pl-PL"/>
              </w:rPr>
            </w:pPr>
          </w:p>
        </w:tc>
        <w:tc>
          <w:tcPr>
            <w:tcW w:w="3969" w:type="dxa"/>
          </w:tcPr>
          <w:p w14:paraId="44E1F89C"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w tym w wieku 60+</w:t>
            </w:r>
          </w:p>
        </w:tc>
        <w:tc>
          <w:tcPr>
            <w:tcW w:w="2826" w:type="dxa"/>
          </w:tcPr>
          <w:p w14:paraId="2C0B4D7E"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422</w:t>
            </w:r>
          </w:p>
        </w:tc>
      </w:tr>
      <w:tr w:rsidR="007873B2" w:rsidRPr="007873B2" w14:paraId="59B6098D"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2414" w:type="dxa"/>
            <w:vMerge w:val="restart"/>
          </w:tcPr>
          <w:p w14:paraId="08F2560F" w14:textId="77777777" w:rsidR="007873B2" w:rsidRPr="007873B2" w:rsidRDefault="007873B2" w:rsidP="00EB7DC7">
            <w:pPr>
              <w:rPr>
                <w:rFonts w:cs="Times New Roman"/>
                <w:b w:val="0"/>
                <w:color w:val="auto"/>
                <w:sz w:val="20"/>
                <w:szCs w:val="20"/>
                <w:lang w:eastAsia="pl-PL"/>
              </w:rPr>
            </w:pPr>
            <w:r w:rsidRPr="007873B2">
              <w:rPr>
                <w:rFonts w:cs="Times New Roman"/>
                <w:color w:val="auto"/>
                <w:sz w:val="20"/>
                <w:szCs w:val="20"/>
                <w:lang w:eastAsia="pl-PL"/>
              </w:rPr>
              <w:t>Współczynnik aktywności zawodowej %</w:t>
            </w:r>
          </w:p>
        </w:tc>
        <w:tc>
          <w:tcPr>
            <w:tcW w:w="3969" w:type="dxa"/>
          </w:tcPr>
          <w:p w14:paraId="53DC3293"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Ogółem</w:t>
            </w:r>
          </w:p>
        </w:tc>
        <w:tc>
          <w:tcPr>
            <w:tcW w:w="2826" w:type="dxa"/>
          </w:tcPr>
          <w:p w14:paraId="418D02ED"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53,9</w:t>
            </w:r>
          </w:p>
        </w:tc>
      </w:tr>
      <w:tr w:rsidR="007873B2" w:rsidRPr="007873B2" w14:paraId="1EFDE2CA" w14:textId="77777777" w:rsidTr="001F11A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414" w:type="dxa"/>
            <w:vMerge/>
          </w:tcPr>
          <w:p w14:paraId="37993CB1" w14:textId="77777777" w:rsidR="007873B2" w:rsidRPr="007873B2" w:rsidRDefault="007873B2" w:rsidP="00EB7DC7">
            <w:pPr>
              <w:rPr>
                <w:rFonts w:cs="Times New Roman"/>
                <w:b w:val="0"/>
                <w:color w:val="auto"/>
                <w:sz w:val="20"/>
                <w:szCs w:val="20"/>
                <w:lang w:eastAsia="pl-PL"/>
              </w:rPr>
            </w:pPr>
          </w:p>
        </w:tc>
        <w:tc>
          <w:tcPr>
            <w:tcW w:w="3969" w:type="dxa"/>
          </w:tcPr>
          <w:p w14:paraId="0CBA1D4F"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w tym w wieku 60+</w:t>
            </w:r>
          </w:p>
        </w:tc>
        <w:tc>
          <w:tcPr>
            <w:tcW w:w="2826" w:type="dxa"/>
          </w:tcPr>
          <w:p w14:paraId="5B030C5B"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13,0</w:t>
            </w:r>
          </w:p>
        </w:tc>
      </w:tr>
      <w:tr w:rsidR="007873B2" w:rsidRPr="007873B2" w14:paraId="1A85F92E" w14:textId="77777777" w:rsidTr="00EB7DC7">
        <w:trPr>
          <w:trHeight w:val="143"/>
        </w:trPr>
        <w:tc>
          <w:tcPr>
            <w:cnfStyle w:val="001000000000" w:firstRow="0" w:lastRow="0" w:firstColumn="1" w:lastColumn="0" w:oddVBand="0" w:evenVBand="0" w:oddHBand="0" w:evenHBand="0" w:firstRowFirstColumn="0" w:firstRowLastColumn="0" w:lastRowFirstColumn="0" w:lastRowLastColumn="0"/>
            <w:tcW w:w="2414" w:type="dxa"/>
            <w:vMerge w:val="restart"/>
          </w:tcPr>
          <w:p w14:paraId="0CF23029" w14:textId="77777777" w:rsidR="007873B2" w:rsidRPr="007873B2" w:rsidRDefault="007873B2" w:rsidP="00EB7DC7">
            <w:pPr>
              <w:rPr>
                <w:rFonts w:cs="Times New Roman"/>
                <w:b w:val="0"/>
                <w:color w:val="auto"/>
                <w:sz w:val="20"/>
                <w:szCs w:val="20"/>
                <w:lang w:eastAsia="pl-PL"/>
              </w:rPr>
            </w:pPr>
            <w:r w:rsidRPr="007873B2">
              <w:rPr>
                <w:rFonts w:cs="Times New Roman"/>
                <w:color w:val="auto"/>
                <w:sz w:val="20"/>
                <w:szCs w:val="20"/>
                <w:lang w:eastAsia="pl-PL"/>
              </w:rPr>
              <w:t>Wskaźnik zatrudnienia %</w:t>
            </w:r>
          </w:p>
        </w:tc>
        <w:tc>
          <w:tcPr>
            <w:tcW w:w="3969" w:type="dxa"/>
          </w:tcPr>
          <w:p w14:paraId="422E4107"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ogółem</w:t>
            </w:r>
          </w:p>
        </w:tc>
        <w:tc>
          <w:tcPr>
            <w:tcW w:w="2826" w:type="dxa"/>
          </w:tcPr>
          <w:p w14:paraId="038182DD"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51,6</w:t>
            </w:r>
          </w:p>
        </w:tc>
      </w:tr>
      <w:tr w:rsidR="007873B2" w:rsidRPr="007873B2" w14:paraId="6C8EBA62" w14:textId="77777777" w:rsidTr="001F11A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414" w:type="dxa"/>
            <w:vMerge/>
          </w:tcPr>
          <w:p w14:paraId="20B52996" w14:textId="77777777" w:rsidR="007873B2" w:rsidRPr="007873B2" w:rsidRDefault="007873B2" w:rsidP="00EB7DC7">
            <w:pPr>
              <w:rPr>
                <w:rFonts w:cs="Times New Roman"/>
                <w:b w:val="0"/>
                <w:color w:val="auto"/>
                <w:sz w:val="20"/>
                <w:szCs w:val="20"/>
                <w:lang w:eastAsia="pl-PL"/>
              </w:rPr>
            </w:pPr>
          </w:p>
        </w:tc>
        <w:tc>
          <w:tcPr>
            <w:tcW w:w="3969" w:type="dxa"/>
          </w:tcPr>
          <w:p w14:paraId="61092B18"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w tym w wieku 60+</w:t>
            </w:r>
          </w:p>
        </w:tc>
        <w:tc>
          <w:tcPr>
            <w:tcW w:w="2826" w:type="dxa"/>
          </w:tcPr>
          <w:p w14:paraId="37C71C20"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12,6</w:t>
            </w:r>
          </w:p>
        </w:tc>
      </w:tr>
      <w:tr w:rsidR="007873B2" w:rsidRPr="007873B2" w14:paraId="2C9DE822" w14:textId="77777777" w:rsidTr="00EB7DC7">
        <w:trPr>
          <w:trHeight w:val="282"/>
        </w:trPr>
        <w:tc>
          <w:tcPr>
            <w:cnfStyle w:val="001000000000" w:firstRow="0" w:lastRow="0" w:firstColumn="1" w:lastColumn="0" w:oddVBand="0" w:evenVBand="0" w:oddHBand="0" w:evenHBand="0" w:firstRowFirstColumn="0" w:firstRowLastColumn="0" w:lastRowFirstColumn="0" w:lastRowLastColumn="0"/>
            <w:tcW w:w="2414" w:type="dxa"/>
            <w:vMerge w:val="restart"/>
          </w:tcPr>
          <w:p w14:paraId="3A913BBC" w14:textId="77777777" w:rsidR="007873B2" w:rsidRPr="007873B2" w:rsidRDefault="007873B2" w:rsidP="00EB7DC7">
            <w:pPr>
              <w:rPr>
                <w:rFonts w:cs="Times New Roman"/>
                <w:b w:val="0"/>
                <w:color w:val="auto"/>
                <w:sz w:val="20"/>
                <w:szCs w:val="20"/>
                <w:lang w:eastAsia="pl-PL"/>
              </w:rPr>
            </w:pPr>
            <w:r w:rsidRPr="007873B2">
              <w:rPr>
                <w:rFonts w:eastAsia="Times New Roman" w:cs="Times New Roman"/>
                <w:color w:val="auto"/>
                <w:sz w:val="20"/>
                <w:szCs w:val="20"/>
                <w:lang w:eastAsia="pl-PL"/>
              </w:rPr>
              <w:t xml:space="preserve">Osoby bierne zawodowo  w wieku 60 lat i więcej według wybranych przyczyn bierności </w:t>
            </w:r>
            <w:r w:rsidRPr="007873B2">
              <w:rPr>
                <w:rFonts w:eastAsia="Times New Roman" w:cs="Times New Roman"/>
                <w:color w:val="auto"/>
                <w:sz w:val="20"/>
                <w:szCs w:val="20"/>
                <w:lang w:eastAsia="pl-PL"/>
              </w:rPr>
              <w:br/>
              <w:t>(w tys.)</w:t>
            </w:r>
          </w:p>
        </w:tc>
        <w:tc>
          <w:tcPr>
            <w:tcW w:w="3969" w:type="dxa"/>
          </w:tcPr>
          <w:p w14:paraId="70AD7821"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ogółem</w:t>
            </w:r>
          </w:p>
        </w:tc>
        <w:tc>
          <w:tcPr>
            <w:tcW w:w="2826" w:type="dxa"/>
          </w:tcPr>
          <w:p w14:paraId="49E68C37"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422</w:t>
            </w:r>
          </w:p>
        </w:tc>
      </w:tr>
      <w:tr w:rsidR="007873B2" w:rsidRPr="007873B2" w14:paraId="67542F11"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14" w:type="dxa"/>
            <w:vMerge/>
          </w:tcPr>
          <w:p w14:paraId="40DF2523" w14:textId="77777777" w:rsidR="007873B2" w:rsidRPr="007873B2" w:rsidRDefault="007873B2" w:rsidP="00EB7DC7">
            <w:pPr>
              <w:rPr>
                <w:rFonts w:eastAsia="Times New Roman" w:cs="Times New Roman"/>
                <w:b w:val="0"/>
                <w:bCs w:val="0"/>
                <w:color w:val="auto"/>
                <w:sz w:val="20"/>
                <w:szCs w:val="20"/>
                <w:lang w:eastAsia="pl-PL"/>
              </w:rPr>
            </w:pPr>
          </w:p>
        </w:tc>
        <w:tc>
          <w:tcPr>
            <w:tcW w:w="6795" w:type="dxa"/>
            <w:gridSpan w:val="2"/>
          </w:tcPr>
          <w:p w14:paraId="4BA07FD0"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w tym:</w:t>
            </w:r>
          </w:p>
        </w:tc>
      </w:tr>
      <w:tr w:rsidR="007873B2" w:rsidRPr="007873B2" w14:paraId="0E959BA2" w14:textId="77777777" w:rsidTr="00EB7DC7">
        <w:trPr>
          <w:trHeight w:val="280"/>
        </w:trPr>
        <w:tc>
          <w:tcPr>
            <w:cnfStyle w:val="001000000000" w:firstRow="0" w:lastRow="0" w:firstColumn="1" w:lastColumn="0" w:oddVBand="0" w:evenVBand="0" w:oddHBand="0" w:evenHBand="0" w:firstRowFirstColumn="0" w:firstRowLastColumn="0" w:lastRowFirstColumn="0" w:lastRowLastColumn="0"/>
            <w:tcW w:w="2414" w:type="dxa"/>
            <w:vMerge/>
          </w:tcPr>
          <w:p w14:paraId="239E9D95"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17102104"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7873B2">
              <w:rPr>
                <w:rFonts w:eastAsia="Times New Roman" w:cs="Times New Roman"/>
                <w:color w:val="auto"/>
                <w:sz w:val="20"/>
                <w:szCs w:val="20"/>
                <w:lang w:eastAsia="pl-PL"/>
              </w:rPr>
              <w:t>osoby nieposzukujące pracy - razem</w:t>
            </w:r>
          </w:p>
        </w:tc>
        <w:tc>
          <w:tcPr>
            <w:tcW w:w="2826" w:type="dxa"/>
          </w:tcPr>
          <w:p w14:paraId="60CF5FA8"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422</w:t>
            </w:r>
          </w:p>
        </w:tc>
      </w:tr>
      <w:tr w:rsidR="007873B2" w:rsidRPr="007873B2" w14:paraId="6929F948"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14" w:type="dxa"/>
            <w:vMerge/>
          </w:tcPr>
          <w:p w14:paraId="1C804309"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7F98780C"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eastAsia="Times New Roman" w:cs="Times New Roman"/>
                <w:color w:val="auto"/>
                <w:sz w:val="20"/>
                <w:szCs w:val="20"/>
                <w:lang w:eastAsia="pl-PL"/>
              </w:rPr>
              <w:t>osoby nieposzukujące pracy - emerytura</w:t>
            </w:r>
          </w:p>
        </w:tc>
        <w:tc>
          <w:tcPr>
            <w:tcW w:w="2826" w:type="dxa"/>
          </w:tcPr>
          <w:p w14:paraId="17426504"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381</w:t>
            </w:r>
          </w:p>
        </w:tc>
      </w:tr>
      <w:tr w:rsidR="007873B2" w:rsidRPr="007873B2" w14:paraId="4A933720" w14:textId="77777777" w:rsidTr="00EB7DC7">
        <w:trPr>
          <w:trHeight w:val="280"/>
        </w:trPr>
        <w:tc>
          <w:tcPr>
            <w:cnfStyle w:val="001000000000" w:firstRow="0" w:lastRow="0" w:firstColumn="1" w:lastColumn="0" w:oddVBand="0" w:evenVBand="0" w:oddHBand="0" w:evenHBand="0" w:firstRowFirstColumn="0" w:firstRowLastColumn="0" w:lastRowFirstColumn="0" w:lastRowLastColumn="0"/>
            <w:tcW w:w="2414" w:type="dxa"/>
            <w:vMerge/>
          </w:tcPr>
          <w:p w14:paraId="0A4D2D28"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4DC9FD85"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eastAsia="Times New Roman" w:cs="Times New Roman"/>
                <w:color w:val="auto"/>
                <w:sz w:val="20"/>
                <w:szCs w:val="20"/>
                <w:lang w:eastAsia="pl-PL"/>
              </w:rPr>
              <w:t>osoby nieposzukujące pracy - choroba, niepełnosprawność</w:t>
            </w:r>
          </w:p>
        </w:tc>
        <w:tc>
          <w:tcPr>
            <w:tcW w:w="2826" w:type="dxa"/>
          </w:tcPr>
          <w:p w14:paraId="590FB4AD"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29</w:t>
            </w:r>
          </w:p>
        </w:tc>
      </w:tr>
      <w:tr w:rsidR="007873B2" w:rsidRPr="007873B2" w14:paraId="32F29FA4" w14:textId="77777777" w:rsidTr="00EB7D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14" w:type="dxa"/>
            <w:vMerge w:val="restart"/>
          </w:tcPr>
          <w:p w14:paraId="0CB69E25" w14:textId="77777777" w:rsidR="007873B2" w:rsidRPr="007873B2" w:rsidRDefault="007873B2" w:rsidP="00EB7DC7">
            <w:pPr>
              <w:rPr>
                <w:rFonts w:eastAsia="Times New Roman" w:cs="Times New Roman"/>
                <w:b w:val="0"/>
                <w:bCs w:val="0"/>
                <w:color w:val="auto"/>
                <w:sz w:val="20"/>
                <w:szCs w:val="20"/>
                <w:lang w:eastAsia="pl-PL"/>
              </w:rPr>
            </w:pPr>
            <w:r w:rsidRPr="007873B2">
              <w:rPr>
                <w:rFonts w:eastAsia="Times New Roman" w:cs="Times New Roman"/>
                <w:color w:val="auto"/>
                <w:sz w:val="20"/>
                <w:szCs w:val="20"/>
                <w:lang w:eastAsia="pl-PL"/>
              </w:rPr>
              <w:t>Osoby bezrobotne zarejestrowane w urzędach pracy (w tys.)</w:t>
            </w:r>
          </w:p>
        </w:tc>
        <w:tc>
          <w:tcPr>
            <w:tcW w:w="3969" w:type="dxa"/>
          </w:tcPr>
          <w:p w14:paraId="54DDAAE9"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ogółem</w:t>
            </w:r>
          </w:p>
        </w:tc>
        <w:tc>
          <w:tcPr>
            <w:tcW w:w="2826" w:type="dxa"/>
          </w:tcPr>
          <w:p w14:paraId="56F292B2"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87,3</w:t>
            </w:r>
          </w:p>
        </w:tc>
      </w:tr>
      <w:tr w:rsidR="007873B2" w:rsidRPr="007873B2" w14:paraId="740A1F8C" w14:textId="77777777" w:rsidTr="00EB7DC7">
        <w:trPr>
          <w:trHeight w:val="284"/>
        </w:trPr>
        <w:tc>
          <w:tcPr>
            <w:cnfStyle w:val="001000000000" w:firstRow="0" w:lastRow="0" w:firstColumn="1" w:lastColumn="0" w:oddVBand="0" w:evenVBand="0" w:oddHBand="0" w:evenHBand="0" w:firstRowFirstColumn="0" w:firstRowLastColumn="0" w:lastRowFirstColumn="0" w:lastRowLastColumn="0"/>
            <w:tcW w:w="2414" w:type="dxa"/>
            <w:vMerge/>
          </w:tcPr>
          <w:p w14:paraId="20E31C6A"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43C5CD13"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w tym w wieku 60+</w:t>
            </w:r>
          </w:p>
        </w:tc>
        <w:tc>
          <w:tcPr>
            <w:tcW w:w="2826" w:type="dxa"/>
          </w:tcPr>
          <w:p w14:paraId="16591F15"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4,4</w:t>
            </w:r>
          </w:p>
        </w:tc>
      </w:tr>
      <w:tr w:rsidR="007873B2" w:rsidRPr="007873B2" w14:paraId="064C4975" w14:textId="77777777" w:rsidTr="00EB7DC7">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414" w:type="dxa"/>
            <w:vMerge w:val="restart"/>
          </w:tcPr>
          <w:p w14:paraId="43694388" w14:textId="77777777" w:rsidR="007873B2" w:rsidRPr="007873B2" w:rsidRDefault="007873B2" w:rsidP="00EB7DC7">
            <w:pPr>
              <w:rPr>
                <w:rFonts w:eastAsia="Times New Roman" w:cs="Times New Roman"/>
                <w:b w:val="0"/>
                <w:bCs w:val="0"/>
                <w:color w:val="auto"/>
                <w:sz w:val="20"/>
                <w:szCs w:val="20"/>
                <w:lang w:eastAsia="pl-PL"/>
              </w:rPr>
            </w:pPr>
            <w:r w:rsidRPr="007873B2">
              <w:rPr>
                <w:rFonts w:eastAsia="Times New Roman" w:cs="Times New Roman"/>
                <w:color w:val="auto"/>
                <w:sz w:val="20"/>
                <w:szCs w:val="20"/>
                <w:lang w:eastAsia="pl-PL"/>
              </w:rPr>
              <w:lastRenderedPageBreak/>
              <w:t xml:space="preserve">Osoby pobierające renty </w:t>
            </w:r>
            <w:r w:rsidRPr="007873B2">
              <w:rPr>
                <w:rFonts w:eastAsia="Times New Roman" w:cs="Times New Roman"/>
                <w:color w:val="auto"/>
                <w:sz w:val="20"/>
                <w:szCs w:val="20"/>
                <w:lang w:eastAsia="pl-PL"/>
              </w:rPr>
              <w:br/>
              <w:t xml:space="preserve">i emerytury </w:t>
            </w:r>
          </w:p>
        </w:tc>
        <w:tc>
          <w:tcPr>
            <w:tcW w:w="6795" w:type="dxa"/>
            <w:gridSpan w:val="2"/>
          </w:tcPr>
          <w:p w14:paraId="3850940B" w14:textId="77777777" w:rsidR="007873B2" w:rsidRPr="007873B2" w:rsidRDefault="007873B2" w:rsidP="00EB7DC7">
            <w:pPr>
              <w:tabs>
                <w:tab w:val="left" w:pos="1725"/>
                <w:tab w:val="center" w:pos="2363"/>
              </w:tabs>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7873B2">
              <w:rPr>
                <w:rFonts w:cs="Times New Roman"/>
                <w:b/>
                <w:color w:val="auto"/>
                <w:sz w:val="20"/>
                <w:szCs w:val="20"/>
              </w:rPr>
              <w:t>ZUS</w:t>
            </w:r>
          </w:p>
        </w:tc>
      </w:tr>
      <w:tr w:rsidR="007873B2" w:rsidRPr="007873B2" w14:paraId="5AC1E315" w14:textId="77777777" w:rsidTr="00EB7DC7">
        <w:trPr>
          <w:trHeight w:val="189"/>
        </w:trPr>
        <w:tc>
          <w:tcPr>
            <w:cnfStyle w:val="001000000000" w:firstRow="0" w:lastRow="0" w:firstColumn="1" w:lastColumn="0" w:oddVBand="0" w:evenVBand="0" w:oddHBand="0" w:evenHBand="0" w:firstRowFirstColumn="0" w:firstRowLastColumn="0" w:lastRowFirstColumn="0" w:lastRowLastColumn="0"/>
            <w:tcW w:w="2414" w:type="dxa"/>
            <w:vMerge/>
          </w:tcPr>
          <w:p w14:paraId="37AAD0B7"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2F15D3B3" w14:textId="77777777" w:rsidR="007873B2" w:rsidRPr="007873B2" w:rsidRDefault="007873B2" w:rsidP="00EB7DC7">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7873B2">
              <w:rPr>
                <w:rFonts w:cs="Times New Roman"/>
                <w:b/>
                <w:color w:val="auto"/>
                <w:sz w:val="20"/>
                <w:szCs w:val="20"/>
              </w:rPr>
              <w:t>Rodzaj świadczenia</w:t>
            </w:r>
          </w:p>
        </w:tc>
        <w:tc>
          <w:tcPr>
            <w:tcW w:w="2826" w:type="dxa"/>
          </w:tcPr>
          <w:p w14:paraId="73673DFC" w14:textId="77777777" w:rsidR="007873B2" w:rsidRPr="007873B2" w:rsidRDefault="007873B2" w:rsidP="00EB7DC7">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7873B2">
              <w:rPr>
                <w:rFonts w:cs="Times New Roman"/>
                <w:b/>
                <w:color w:val="auto"/>
                <w:sz w:val="20"/>
                <w:szCs w:val="20"/>
              </w:rPr>
              <w:t>Przeciętna miesięczna liczba emerytów i rencistów (w tys.)</w:t>
            </w:r>
          </w:p>
        </w:tc>
      </w:tr>
      <w:tr w:rsidR="007873B2" w:rsidRPr="007873B2" w14:paraId="6673F140" w14:textId="77777777" w:rsidTr="00EB7DC7">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414" w:type="dxa"/>
            <w:vMerge/>
          </w:tcPr>
          <w:p w14:paraId="5B318441"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15AB9379"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Emerytury</w:t>
            </w:r>
          </w:p>
        </w:tc>
        <w:tc>
          <w:tcPr>
            <w:tcW w:w="2826" w:type="dxa"/>
          </w:tcPr>
          <w:p w14:paraId="724544F9"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301,2</w:t>
            </w:r>
          </w:p>
        </w:tc>
      </w:tr>
      <w:tr w:rsidR="007873B2" w:rsidRPr="007873B2" w14:paraId="7FD23719" w14:textId="77777777" w:rsidTr="00EB7DC7">
        <w:trPr>
          <w:trHeight w:val="142"/>
        </w:trPr>
        <w:tc>
          <w:tcPr>
            <w:cnfStyle w:val="001000000000" w:firstRow="0" w:lastRow="0" w:firstColumn="1" w:lastColumn="0" w:oddVBand="0" w:evenVBand="0" w:oddHBand="0" w:evenHBand="0" w:firstRowFirstColumn="0" w:firstRowLastColumn="0" w:lastRowFirstColumn="0" w:lastRowLastColumn="0"/>
            <w:tcW w:w="2414" w:type="dxa"/>
            <w:vMerge/>
          </w:tcPr>
          <w:p w14:paraId="08FB1A91"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2436D8E3"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Renty z tytułu niezdolności do pracy</w:t>
            </w:r>
          </w:p>
        </w:tc>
        <w:tc>
          <w:tcPr>
            <w:tcW w:w="2826" w:type="dxa"/>
          </w:tcPr>
          <w:p w14:paraId="672B3662"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39,3</w:t>
            </w:r>
          </w:p>
        </w:tc>
      </w:tr>
      <w:tr w:rsidR="007873B2" w:rsidRPr="007873B2" w14:paraId="1EFB36F8" w14:textId="77777777" w:rsidTr="00EB7DC7">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14" w:type="dxa"/>
            <w:vMerge/>
          </w:tcPr>
          <w:p w14:paraId="3E98B0B2"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02BF64D3"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Renty rodzinne</w:t>
            </w:r>
          </w:p>
        </w:tc>
        <w:tc>
          <w:tcPr>
            <w:tcW w:w="2826" w:type="dxa"/>
          </w:tcPr>
          <w:p w14:paraId="038BA30F"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63,0</w:t>
            </w:r>
          </w:p>
        </w:tc>
      </w:tr>
      <w:tr w:rsidR="007873B2" w:rsidRPr="007873B2" w14:paraId="42B443B1" w14:textId="77777777" w:rsidTr="00EB7DC7">
        <w:trPr>
          <w:trHeight w:val="284"/>
        </w:trPr>
        <w:tc>
          <w:tcPr>
            <w:cnfStyle w:val="001000000000" w:firstRow="0" w:lastRow="0" w:firstColumn="1" w:lastColumn="0" w:oddVBand="0" w:evenVBand="0" w:oddHBand="0" w:evenHBand="0" w:firstRowFirstColumn="0" w:firstRowLastColumn="0" w:lastRowFirstColumn="0" w:lastRowLastColumn="0"/>
            <w:tcW w:w="2414" w:type="dxa"/>
            <w:vMerge/>
          </w:tcPr>
          <w:p w14:paraId="26787B43" w14:textId="77777777" w:rsidR="007873B2" w:rsidRPr="007873B2" w:rsidRDefault="007873B2" w:rsidP="00EB7DC7">
            <w:pPr>
              <w:rPr>
                <w:rFonts w:eastAsia="Times New Roman" w:cs="Times New Roman"/>
                <w:b w:val="0"/>
                <w:bCs w:val="0"/>
                <w:color w:val="auto"/>
                <w:sz w:val="20"/>
                <w:szCs w:val="20"/>
                <w:lang w:eastAsia="pl-PL"/>
              </w:rPr>
            </w:pPr>
          </w:p>
        </w:tc>
        <w:tc>
          <w:tcPr>
            <w:tcW w:w="6795" w:type="dxa"/>
            <w:gridSpan w:val="2"/>
          </w:tcPr>
          <w:p w14:paraId="771D8640" w14:textId="77777777" w:rsidR="007873B2" w:rsidRPr="007873B2" w:rsidRDefault="007873B2" w:rsidP="00EB7DC7">
            <w:pPr>
              <w:tabs>
                <w:tab w:val="left" w:pos="1507"/>
                <w:tab w:val="center" w:pos="2363"/>
              </w:tabs>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7873B2">
              <w:rPr>
                <w:rFonts w:cs="Times New Roman"/>
                <w:b/>
                <w:color w:val="auto"/>
                <w:sz w:val="20"/>
                <w:szCs w:val="20"/>
              </w:rPr>
              <w:t>KRUS</w:t>
            </w:r>
          </w:p>
        </w:tc>
      </w:tr>
      <w:tr w:rsidR="007873B2" w:rsidRPr="007873B2" w14:paraId="0BD51156" w14:textId="77777777" w:rsidTr="00EB7DC7">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414" w:type="dxa"/>
            <w:vMerge/>
          </w:tcPr>
          <w:p w14:paraId="1895B7E4"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42BC7075" w14:textId="77777777" w:rsidR="007873B2" w:rsidRPr="007873B2" w:rsidRDefault="007873B2"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7873B2">
              <w:rPr>
                <w:rFonts w:cs="Times New Roman"/>
                <w:b/>
                <w:color w:val="auto"/>
                <w:sz w:val="20"/>
                <w:szCs w:val="20"/>
              </w:rPr>
              <w:t>Rodzaj świadczenia</w:t>
            </w:r>
          </w:p>
        </w:tc>
        <w:tc>
          <w:tcPr>
            <w:tcW w:w="2826" w:type="dxa"/>
          </w:tcPr>
          <w:p w14:paraId="52330F0C" w14:textId="77777777" w:rsidR="007873B2" w:rsidRPr="007873B2" w:rsidRDefault="007873B2" w:rsidP="00EB7DC7">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7873B2">
              <w:rPr>
                <w:rFonts w:cs="Times New Roman"/>
                <w:b/>
                <w:color w:val="auto"/>
                <w:sz w:val="20"/>
                <w:szCs w:val="20"/>
              </w:rPr>
              <w:t>Przeciętna miesięczna liczba emerytów i rencistów (w tys.)</w:t>
            </w:r>
          </w:p>
        </w:tc>
      </w:tr>
      <w:tr w:rsidR="007873B2" w:rsidRPr="007873B2" w14:paraId="56591097"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2414" w:type="dxa"/>
            <w:vMerge/>
          </w:tcPr>
          <w:p w14:paraId="0806B8C8"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04EB8E67"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Emerytury</w:t>
            </w:r>
          </w:p>
        </w:tc>
        <w:tc>
          <w:tcPr>
            <w:tcW w:w="2826" w:type="dxa"/>
          </w:tcPr>
          <w:p w14:paraId="5BC2AC4E"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48,6</w:t>
            </w:r>
          </w:p>
        </w:tc>
      </w:tr>
      <w:tr w:rsidR="007873B2" w:rsidRPr="007873B2" w14:paraId="1DF364BB" w14:textId="77777777" w:rsidTr="00EB7DC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414" w:type="dxa"/>
            <w:vMerge/>
          </w:tcPr>
          <w:p w14:paraId="31DE4C0B"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38181E02"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Renty z tytułu niezdolności do pracy</w:t>
            </w:r>
          </w:p>
        </w:tc>
        <w:tc>
          <w:tcPr>
            <w:tcW w:w="2826" w:type="dxa"/>
          </w:tcPr>
          <w:p w14:paraId="10440EAB" w14:textId="77777777" w:rsidR="007873B2" w:rsidRPr="007873B2" w:rsidRDefault="007873B2" w:rsidP="00EB7DC7">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7873B2">
              <w:rPr>
                <w:rFonts w:cs="Times New Roman"/>
                <w:color w:val="auto"/>
                <w:sz w:val="20"/>
                <w:szCs w:val="20"/>
              </w:rPr>
              <w:t>12,5</w:t>
            </w:r>
          </w:p>
        </w:tc>
      </w:tr>
      <w:tr w:rsidR="007873B2" w:rsidRPr="007873B2" w14:paraId="2C5364A0"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2414" w:type="dxa"/>
            <w:vMerge/>
          </w:tcPr>
          <w:p w14:paraId="1D6C0CAA" w14:textId="77777777" w:rsidR="007873B2" w:rsidRPr="007873B2" w:rsidRDefault="007873B2" w:rsidP="00EB7DC7">
            <w:pPr>
              <w:rPr>
                <w:rFonts w:eastAsia="Times New Roman" w:cs="Times New Roman"/>
                <w:b w:val="0"/>
                <w:bCs w:val="0"/>
                <w:color w:val="auto"/>
                <w:sz w:val="20"/>
                <w:szCs w:val="20"/>
                <w:lang w:eastAsia="pl-PL"/>
              </w:rPr>
            </w:pPr>
          </w:p>
        </w:tc>
        <w:tc>
          <w:tcPr>
            <w:tcW w:w="3969" w:type="dxa"/>
          </w:tcPr>
          <w:p w14:paraId="552E881C"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Renty rodzinne</w:t>
            </w:r>
          </w:p>
        </w:tc>
        <w:tc>
          <w:tcPr>
            <w:tcW w:w="2826" w:type="dxa"/>
          </w:tcPr>
          <w:p w14:paraId="75287668" w14:textId="77777777" w:rsidR="007873B2" w:rsidRPr="007873B2" w:rsidRDefault="007873B2" w:rsidP="00EB7DC7">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7873B2">
              <w:rPr>
                <w:rFonts w:cs="Times New Roman"/>
                <w:color w:val="auto"/>
                <w:sz w:val="20"/>
                <w:szCs w:val="20"/>
              </w:rPr>
              <w:t>2,3</w:t>
            </w:r>
          </w:p>
        </w:tc>
      </w:tr>
    </w:tbl>
    <w:p w14:paraId="164816E2" w14:textId="77777777" w:rsidR="007873B2" w:rsidRPr="007873B2" w:rsidRDefault="007873B2" w:rsidP="007873B2">
      <w:pPr>
        <w:tabs>
          <w:tab w:val="left" w:pos="5400"/>
        </w:tabs>
        <w:rPr>
          <w:rFonts w:eastAsia="Times New Roman" w:cs="Times New Roman"/>
          <w:b/>
          <w:szCs w:val="24"/>
          <w:lang w:eastAsia="pl-PL"/>
        </w:rPr>
      </w:pPr>
      <w:r w:rsidRPr="007873B2">
        <w:rPr>
          <w:rFonts w:eastAsia="Times New Roman" w:cs="Times New Roman"/>
          <w:b/>
          <w:szCs w:val="24"/>
          <w:lang w:eastAsia="pl-PL"/>
        </w:rPr>
        <w:t xml:space="preserve">Źródło: GUS. </w:t>
      </w:r>
    </w:p>
    <w:p w14:paraId="66A29DE3" w14:textId="77777777" w:rsidR="007873B2" w:rsidRDefault="007873B2" w:rsidP="00E7359C">
      <w:pPr>
        <w:rPr>
          <w:rFonts w:cs="Times New Roman"/>
          <w:b/>
          <w:color w:val="FF0000"/>
          <w:szCs w:val="24"/>
          <w:lang w:eastAsia="ar-SA"/>
        </w:rPr>
      </w:pPr>
    </w:p>
    <w:p w14:paraId="082A94D0" w14:textId="21B7E713" w:rsidR="00722095" w:rsidRDefault="00722095" w:rsidP="00722095">
      <w:pPr>
        <w:pStyle w:val="Nagwek3"/>
      </w:pPr>
      <w:bookmarkStart w:id="241" w:name="_Toc77514002"/>
      <w:bookmarkStart w:id="242" w:name="_Toc80523158"/>
      <w:r w:rsidRPr="00722095">
        <w:t>Sytuacja osób niepełnosprawnych i ich opiekunów</w:t>
      </w:r>
      <w:bookmarkEnd w:id="241"/>
      <w:bookmarkEnd w:id="242"/>
    </w:p>
    <w:p w14:paraId="649BA728" w14:textId="17DA6C39" w:rsidR="00722095" w:rsidRDefault="00722095" w:rsidP="00722095">
      <w:pPr>
        <w:rPr>
          <w:rFonts w:cs="Times New Roman"/>
          <w:szCs w:val="24"/>
        </w:rPr>
      </w:pPr>
    </w:p>
    <w:p w14:paraId="31767756" w14:textId="2B3FA286" w:rsidR="00722095" w:rsidRDefault="00722095" w:rsidP="00722095">
      <w:pPr>
        <w:rPr>
          <w:rFonts w:cs="Times New Roman"/>
          <w:szCs w:val="24"/>
        </w:rPr>
      </w:pPr>
      <w:r w:rsidRPr="00722095">
        <w:rPr>
          <w:rFonts w:cs="Times New Roman"/>
          <w:szCs w:val="24"/>
        </w:rPr>
        <w:t>Wydłużenie ludzkiego życia nie zawsze idzie w parze ze sprawnością psychofizyczną. Na</w:t>
      </w:r>
      <w:r w:rsidR="001F11AE">
        <w:rPr>
          <w:rFonts w:cs="Times New Roman"/>
          <w:szCs w:val="24"/>
        </w:rPr>
        <w:t> </w:t>
      </w:r>
      <w:r w:rsidRPr="00722095">
        <w:rPr>
          <w:rFonts w:cs="Times New Roman"/>
          <w:szCs w:val="24"/>
        </w:rPr>
        <w:t xml:space="preserve">sytuację seniorów olbrzymi wpływ wywiera niepełnosprawność i </w:t>
      </w:r>
      <w:proofErr w:type="spellStart"/>
      <w:r w:rsidRPr="00722095">
        <w:rPr>
          <w:rFonts w:cs="Times New Roman"/>
          <w:szCs w:val="24"/>
        </w:rPr>
        <w:t>wielochorobowość</w:t>
      </w:r>
      <w:proofErr w:type="spellEnd"/>
      <w:r w:rsidRPr="00722095">
        <w:rPr>
          <w:rFonts w:cs="Times New Roman"/>
          <w:szCs w:val="24"/>
        </w:rPr>
        <w:t>. Niepełnosprawne osoby starsze stanowią zróżnicowana grupę, mogą to być osoby z</w:t>
      </w:r>
      <w:r w:rsidR="001F11AE">
        <w:rPr>
          <w:rFonts w:cs="Times New Roman"/>
          <w:szCs w:val="24"/>
        </w:rPr>
        <w:t> </w:t>
      </w:r>
      <w:r w:rsidRPr="00722095">
        <w:rPr>
          <w:rFonts w:cs="Times New Roman"/>
          <w:szCs w:val="24"/>
        </w:rPr>
        <w:t>niepełnosprawnością wrodzoną lub nabytą w młodości oraz takie, które stały się niepełnosprawne dopiero w podeszłym wieku. Wśród osób z niepełnosprawnością nabytą, w</w:t>
      </w:r>
      <w:r w:rsidR="001F11AE">
        <w:rPr>
          <w:rFonts w:cs="Times New Roman"/>
          <w:szCs w:val="24"/>
        </w:rPr>
        <w:t> </w:t>
      </w:r>
      <w:r w:rsidRPr="00722095">
        <w:rPr>
          <w:rFonts w:cs="Times New Roman"/>
          <w:szCs w:val="24"/>
        </w:rPr>
        <w:t>późnym wieku problemy ze sprawnością nakładają się na inne skutki starzenia się, np. utrata małżonka, zakończenie pracy zawodowej, dlatego są dla nich bardziej dotkliwe. Wg. Światowej Organizacji Zdrowia, wśród osób starszych może występować ciąg przyczynowo skutkowy choroba-uszkodzenie-niepełnosprawność-inwalidztwo. Na skutek niepełnosprawności dochodzi do znacznego ograniczenia aktywności osób starszych, ich aktywności, czego konsekwencją staje się utrata niezależności. Wówczas niepełnosprawność nie jest wyłącznie problemem jednostki, ale poprzez sieć powiązań stanowi sytuację, w której uczestniczy też jej najbliższe otoczenie. Ważnym problemem, z którym muszą uporać się rodziny starszych osób niepełnosprawnych jest przystosowanie domu i otoczenia do potrzeb osoby niepełnosprawnej. Wielu seniorów niepełnosprawnych, żyjąc w otoczeniu, które jest pozbawione barier architektonicznych, może samodzielnie radzić sobie w codziennych potrzebach, a pomoc najbliższej rodziny zostaje wówczas ograniczona do minimum. Do najczęściej podejmowanych prac należy przystosowanie łazienki, poszerzenie drzwi, niwelowanie progów oraz przystosowanie kuchni tak, by osoba niepełnosprawna nie tylko sama mogła przygotować sobie posiłek, ale by również mogła pomóc najbliższym. W ostatnich latach bardzo wyraźny jest wzrost zainteresowania seniorów zwłaszcza niepełnosprawnych, usługami opiekuńczymi oraz umieszczeniem w domu pomocy społecznej. Jest to konsekwencja zachodzących przemian społecznych, tj.: osłabienie więzi rodzinnych, zanik rodziny wielopokoleniowej, wzrost liczby gospodarstw dwuosobowych oraz jednoosobowych, osłabienie więzi lokalnych.</w:t>
      </w:r>
    </w:p>
    <w:p w14:paraId="078FF9BD" w14:textId="4268A131" w:rsidR="007873B2" w:rsidRDefault="007873B2" w:rsidP="00E7359C">
      <w:pPr>
        <w:rPr>
          <w:rFonts w:cs="Times New Roman"/>
          <w:b/>
          <w:color w:val="FF0000"/>
          <w:szCs w:val="24"/>
          <w:lang w:eastAsia="ar-SA"/>
        </w:rPr>
      </w:pPr>
    </w:p>
    <w:p w14:paraId="733A75F2" w14:textId="4E7A3DC6" w:rsidR="00722095" w:rsidRDefault="00722095" w:rsidP="00722095">
      <w:pPr>
        <w:pStyle w:val="Nagwek3"/>
      </w:pPr>
      <w:bookmarkStart w:id="243" w:name="_Toc77514003"/>
      <w:bookmarkStart w:id="244" w:name="_Toc80523159"/>
      <w:r w:rsidRPr="00722095">
        <w:t xml:space="preserve">Działania i inicjatywy realizowane na rzecz osób starszych w województwie </w:t>
      </w:r>
      <w:r>
        <w:t>podkarpackim</w:t>
      </w:r>
      <w:bookmarkEnd w:id="243"/>
      <w:bookmarkEnd w:id="244"/>
    </w:p>
    <w:p w14:paraId="42FCB1B6" w14:textId="5934734B" w:rsidR="00722095" w:rsidRDefault="00722095" w:rsidP="00E7359C">
      <w:pPr>
        <w:rPr>
          <w:rFonts w:cs="Times New Roman"/>
          <w:szCs w:val="24"/>
        </w:rPr>
      </w:pPr>
    </w:p>
    <w:p w14:paraId="1FC7CE29" w14:textId="0FC39594" w:rsidR="001F11AE" w:rsidRDefault="00722095" w:rsidP="00722095">
      <w:pPr>
        <w:rPr>
          <w:rFonts w:cs="Times New Roman"/>
          <w:szCs w:val="24"/>
        </w:rPr>
      </w:pPr>
      <w:r w:rsidRPr="00722095">
        <w:rPr>
          <w:rFonts w:cs="Times New Roman"/>
          <w:szCs w:val="24"/>
        </w:rPr>
        <w:t>Dokumentem strategicznym o zasięgu wojewódzkim jest Strategii rozwoju województwa – Podkarpackie 2030, przyjęta przez Sejmik Województwa Podkarpackiego w dniu 28</w:t>
      </w:r>
      <w:r w:rsidR="002816BF">
        <w:rPr>
          <w:rFonts w:cs="Times New Roman"/>
          <w:szCs w:val="24"/>
        </w:rPr>
        <w:t xml:space="preserve"> września  </w:t>
      </w:r>
      <w:r w:rsidRPr="00722095">
        <w:rPr>
          <w:rFonts w:cs="Times New Roman"/>
          <w:szCs w:val="24"/>
        </w:rPr>
        <w:lastRenderedPageBreak/>
        <w:t>2020 r. uchwałą Nr XXVII/458/20. Samorząd województwa podkarpackiego realizował zadania na</w:t>
      </w:r>
      <w:r w:rsidR="001F11AE">
        <w:rPr>
          <w:rFonts w:cs="Times New Roman"/>
          <w:szCs w:val="24"/>
        </w:rPr>
        <w:t xml:space="preserve"> </w:t>
      </w:r>
      <w:r w:rsidRPr="00722095">
        <w:rPr>
          <w:rFonts w:cs="Times New Roman"/>
          <w:szCs w:val="24"/>
        </w:rPr>
        <w:t xml:space="preserve">rzecz osób starszych wynikające z przyjętej Strategii zapisane w Rozdziale </w:t>
      </w:r>
      <w:r w:rsidR="001F11AE">
        <w:rPr>
          <w:rFonts w:cs="Times New Roman"/>
          <w:szCs w:val="24"/>
        </w:rPr>
        <w:t xml:space="preserve"> </w:t>
      </w:r>
      <w:r w:rsidRPr="00722095">
        <w:rPr>
          <w:rFonts w:cs="Times New Roman"/>
          <w:szCs w:val="24"/>
        </w:rPr>
        <w:t>2 Kapitał ludzki i</w:t>
      </w:r>
      <w:r w:rsidR="001F11AE">
        <w:rPr>
          <w:rFonts w:cs="Times New Roman"/>
          <w:szCs w:val="24"/>
        </w:rPr>
        <w:t> s</w:t>
      </w:r>
      <w:r w:rsidRPr="00722095">
        <w:rPr>
          <w:rFonts w:cs="Times New Roman"/>
          <w:szCs w:val="24"/>
        </w:rPr>
        <w:t>połeczny, podrozdział 2.6. Wyłączenie społeczne.</w:t>
      </w:r>
      <w:r w:rsidR="001F11AE">
        <w:rPr>
          <w:rFonts w:cs="Times New Roman"/>
          <w:szCs w:val="24"/>
        </w:rPr>
        <w:t xml:space="preserve"> </w:t>
      </w:r>
      <w:r w:rsidRPr="00722095">
        <w:rPr>
          <w:rFonts w:cs="Times New Roman"/>
          <w:szCs w:val="24"/>
        </w:rPr>
        <w:t>W ramach Wojewódzkiego Programu Pomocy Społecznej na lata 2016-2023 podejmowano działania na rzecz seniorów (cel operacyjny 3 - zwiększenie i rozwój oferty świadczeń pomocy społecznej dla seniorów) poprzez realizację programów wspierających aktywność społeczną, tj.:</w:t>
      </w:r>
    </w:p>
    <w:p w14:paraId="2377E67A" w14:textId="77777777" w:rsidR="001F11AE" w:rsidRDefault="00722095" w:rsidP="00FE70E3">
      <w:pPr>
        <w:pStyle w:val="Akapitzlist"/>
        <w:numPr>
          <w:ilvl w:val="0"/>
          <w:numId w:val="175"/>
        </w:numPr>
        <w:rPr>
          <w:rFonts w:cs="Times New Roman"/>
          <w:szCs w:val="24"/>
        </w:rPr>
      </w:pPr>
      <w:r w:rsidRPr="001F11AE">
        <w:rPr>
          <w:rFonts w:cs="Times New Roman"/>
          <w:szCs w:val="24"/>
        </w:rPr>
        <w:t>W projekcie, którego celem było wspieranie działań wzmacniających więzi międzypokoleniowe, uczestniczyło 91 osób z terenu miasta Przemyśla oraz gmin Wielkie Oczy i Przeworsk. Efekty realizowanych działań to: poznanie walorów turystycznych województwa podkarpackiego; budowanie solidarności międzypokoleniowej; rozwijanie ruchu samopomocy, nabycie wiedzy na temat praw i przywilejów osób starszych; przełamanie stereotypów na temat starości; inspirowanie uczestników do działań twórczych, promowanie pozytywnego wizerunku; itp.</w:t>
      </w:r>
    </w:p>
    <w:p w14:paraId="56432B71" w14:textId="42FC16CE" w:rsidR="00722095" w:rsidRPr="001F11AE" w:rsidRDefault="00722095" w:rsidP="00FE70E3">
      <w:pPr>
        <w:pStyle w:val="Akapitzlist"/>
        <w:numPr>
          <w:ilvl w:val="0"/>
          <w:numId w:val="175"/>
        </w:numPr>
        <w:rPr>
          <w:rFonts w:cs="Times New Roman"/>
          <w:szCs w:val="24"/>
        </w:rPr>
      </w:pPr>
      <w:r w:rsidRPr="001F11AE">
        <w:rPr>
          <w:rFonts w:cs="Times New Roman"/>
          <w:szCs w:val="24"/>
        </w:rPr>
        <w:t>W projekcie, którego celem było wzbogacenie oferty w zakresie aktywizacji i organizacji czasu wolnego seniorów uczestniczyło 180 osób z terenu gmin Głogów Małopolski, Strzyżów, Markowa, Rzeszów. Efekty realizowanych działań to: warsztaty aktywności kulinarnych i edukacyjnych z języka włoskiego; spotkania integracyjne i wycieczki, aktywizacja i poprawa sprawności fizycznej seniorów; udział w życiu; wzmocnienie pamięci i zdolności intelektualnej podczas zajęć treningu pamięci.</w:t>
      </w:r>
    </w:p>
    <w:p w14:paraId="16FF4B74" w14:textId="77777777" w:rsidR="001F11AE" w:rsidRDefault="001F11AE" w:rsidP="00722095">
      <w:pPr>
        <w:rPr>
          <w:rFonts w:cs="Times New Roman"/>
          <w:szCs w:val="24"/>
        </w:rPr>
      </w:pPr>
    </w:p>
    <w:p w14:paraId="247D40C4" w14:textId="27F7360F" w:rsidR="00722095" w:rsidRPr="001F11AE" w:rsidRDefault="00722095" w:rsidP="00722095">
      <w:pPr>
        <w:rPr>
          <w:rFonts w:cs="Times New Roman"/>
          <w:b/>
          <w:bCs/>
          <w:szCs w:val="24"/>
        </w:rPr>
      </w:pPr>
      <w:r w:rsidRPr="001F11AE">
        <w:rPr>
          <w:rFonts w:cs="Times New Roman"/>
          <w:b/>
          <w:bCs/>
          <w:szCs w:val="24"/>
        </w:rPr>
        <w:t>Działania Wojewody Podkarpackiego</w:t>
      </w:r>
    </w:p>
    <w:p w14:paraId="67877DE5" w14:textId="786CC5EA" w:rsidR="00722095" w:rsidRPr="00722095" w:rsidRDefault="00722095" w:rsidP="00722095">
      <w:pPr>
        <w:rPr>
          <w:rFonts w:cs="Times New Roman"/>
          <w:szCs w:val="24"/>
        </w:rPr>
      </w:pPr>
      <w:r w:rsidRPr="00722095">
        <w:rPr>
          <w:rFonts w:cs="Times New Roman"/>
          <w:szCs w:val="24"/>
        </w:rPr>
        <w:t xml:space="preserve">Wojewoda Podkarpacki w ramach otwartego konkursu ofert na realizację programów </w:t>
      </w:r>
      <w:r w:rsidR="001F11AE">
        <w:rPr>
          <w:rFonts w:cs="Times New Roman"/>
          <w:szCs w:val="24"/>
        </w:rPr>
        <w:t xml:space="preserve"> </w:t>
      </w:r>
      <w:r w:rsidRPr="00722095">
        <w:rPr>
          <w:rFonts w:cs="Times New Roman"/>
          <w:szCs w:val="24"/>
        </w:rPr>
        <w:t>z obszaru wsparcia działań innowacyjnych skierowanych do środowisk zagrożonych bezradnością w sprawach opiekuńczo-wychowawczych lub mających na celu aktywizację osób starszych w 2020 r</w:t>
      </w:r>
      <w:r w:rsidR="00A931B5">
        <w:rPr>
          <w:rFonts w:cs="Times New Roman"/>
          <w:szCs w:val="24"/>
        </w:rPr>
        <w:t>.</w:t>
      </w:r>
      <w:r w:rsidRPr="00722095">
        <w:rPr>
          <w:rFonts w:cs="Times New Roman"/>
          <w:szCs w:val="24"/>
        </w:rPr>
        <w:t>, udzielił wsparcia na realizację 15 projektów skierowanych do osób starszych. W projektach dedykowanych do seniorów przedstawiciele organizacji pozarządowych prowadzili różnorodne zajęcia: sportowe i rehabilitacyjne, pomagali</w:t>
      </w:r>
      <w:r w:rsidR="001F11AE">
        <w:rPr>
          <w:rFonts w:cs="Times New Roman"/>
          <w:szCs w:val="24"/>
        </w:rPr>
        <w:t xml:space="preserve"> </w:t>
      </w:r>
      <w:r w:rsidRPr="00722095">
        <w:rPr>
          <w:rFonts w:cs="Times New Roman"/>
          <w:szCs w:val="24"/>
        </w:rPr>
        <w:t>w przeprowadzeniu szkoleń i warsztatów: artystycznych, kulinarnych, komputerowych, nauki języków obcych, a także</w:t>
      </w:r>
      <w:r w:rsidR="001F11AE">
        <w:rPr>
          <w:rFonts w:cs="Times New Roman"/>
          <w:szCs w:val="24"/>
        </w:rPr>
        <w:t xml:space="preserve"> </w:t>
      </w:r>
      <w:r w:rsidRPr="00722095">
        <w:rPr>
          <w:rFonts w:cs="Times New Roman"/>
          <w:szCs w:val="24"/>
        </w:rPr>
        <w:t>sprawowali opiekę nad seniorami podczas zajęć.</w:t>
      </w:r>
    </w:p>
    <w:p w14:paraId="11EBC9AC" w14:textId="77777777" w:rsidR="00722095" w:rsidRPr="00722095" w:rsidRDefault="00722095" w:rsidP="00722095">
      <w:pPr>
        <w:rPr>
          <w:rFonts w:cs="Times New Roman"/>
          <w:szCs w:val="24"/>
        </w:rPr>
      </w:pPr>
    </w:p>
    <w:p w14:paraId="1DA48B07" w14:textId="05404C0F" w:rsidR="00722095" w:rsidRPr="001F11AE" w:rsidRDefault="00722095" w:rsidP="00722095">
      <w:pPr>
        <w:rPr>
          <w:rFonts w:cs="Times New Roman"/>
          <w:b/>
          <w:bCs/>
          <w:szCs w:val="24"/>
        </w:rPr>
      </w:pPr>
      <w:r w:rsidRPr="001F11AE">
        <w:rPr>
          <w:rFonts w:cs="Times New Roman"/>
          <w:b/>
          <w:bCs/>
          <w:szCs w:val="24"/>
        </w:rPr>
        <w:t>Przykłady kilku dobrych praktyk na poziomie powiatu, gminy.</w:t>
      </w:r>
    </w:p>
    <w:p w14:paraId="6F8A726B" w14:textId="77777777" w:rsidR="00722095" w:rsidRPr="00722095" w:rsidRDefault="00722095" w:rsidP="00722095">
      <w:pPr>
        <w:rPr>
          <w:rFonts w:cs="Times New Roman"/>
          <w:szCs w:val="24"/>
        </w:rPr>
      </w:pPr>
      <w:r w:rsidRPr="00722095">
        <w:rPr>
          <w:rFonts w:cs="Times New Roman"/>
          <w:szCs w:val="24"/>
        </w:rPr>
        <w:t>Powiat Rzeszowski</w:t>
      </w:r>
    </w:p>
    <w:p w14:paraId="2D54570D" w14:textId="7389E7B4" w:rsidR="00722095" w:rsidRPr="00722095" w:rsidRDefault="00722095" w:rsidP="00722095">
      <w:pPr>
        <w:rPr>
          <w:rFonts w:cs="Times New Roman"/>
          <w:szCs w:val="24"/>
        </w:rPr>
      </w:pPr>
      <w:r w:rsidRPr="00722095">
        <w:rPr>
          <w:rFonts w:cs="Times New Roman"/>
          <w:szCs w:val="24"/>
        </w:rPr>
        <w:t>W 2020 r</w:t>
      </w:r>
      <w:r w:rsidR="00A931B5">
        <w:rPr>
          <w:rFonts w:cs="Times New Roman"/>
          <w:szCs w:val="24"/>
        </w:rPr>
        <w:t>.</w:t>
      </w:r>
      <w:r w:rsidRPr="00722095">
        <w:rPr>
          <w:rFonts w:cs="Times New Roman"/>
          <w:szCs w:val="24"/>
        </w:rPr>
        <w:t xml:space="preserve"> Ośrodek Interwencji Kryzysowej w Górnie realizował projekt pn. „Zawsze jest czas by zapobiegać przemocy” w ramach Programu Osłonowego „Wspieranie Jednostek Samorządu Terytorialnego w Tworzeniu Systemu Przeciwdziałania Przemocy w Rodzinie”. W ramach projektu zorganizowano następujące zajęcia na rzecz seniorów:</w:t>
      </w:r>
    </w:p>
    <w:p w14:paraId="2468CB2D" w14:textId="77777777" w:rsidR="001F11AE" w:rsidRDefault="00722095" w:rsidP="00FE70E3">
      <w:pPr>
        <w:pStyle w:val="Akapitzlist"/>
        <w:numPr>
          <w:ilvl w:val="0"/>
          <w:numId w:val="176"/>
        </w:numPr>
        <w:rPr>
          <w:rFonts w:cs="Times New Roman"/>
          <w:szCs w:val="24"/>
        </w:rPr>
      </w:pPr>
      <w:r w:rsidRPr="001F11AE">
        <w:rPr>
          <w:rFonts w:cs="Times New Roman"/>
          <w:szCs w:val="24"/>
        </w:rPr>
        <w:t xml:space="preserve">Pogadanki, spotkania, warsztaty ze specjalistami z różnych dziedzin (psycholog, dietetyk, fizjoterapeuta, specjalista od cyberprzemocy) dla członków Klubu Seniora 50+ działającego przy </w:t>
      </w:r>
      <w:proofErr w:type="spellStart"/>
      <w:r w:rsidRPr="001F11AE">
        <w:rPr>
          <w:rFonts w:cs="Times New Roman"/>
          <w:szCs w:val="24"/>
        </w:rPr>
        <w:t>MGOKSiR</w:t>
      </w:r>
      <w:proofErr w:type="spellEnd"/>
      <w:r w:rsidRPr="001F11AE">
        <w:rPr>
          <w:rFonts w:cs="Times New Roman"/>
          <w:szCs w:val="24"/>
        </w:rPr>
        <w:t xml:space="preserve"> w Sokołowie Małopolskim, w których wzięło udział łącznie 50 seniorów.</w:t>
      </w:r>
    </w:p>
    <w:p w14:paraId="042234A5" w14:textId="77777777" w:rsidR="001F11AE" w:rsidRDefault="00722095" w:rsidP="00FE70E3">
      <w:pPr>
        <w:pStyle w:val="Akapitzlist"/>
        <w:numPr>
          <w:ilvl w:val="0"/>
          <w:numId w:val="176"/>
        </w:numPr>
        <w:rPr>
          <w:rFonts w:cs="Times New Roman"/>
          <w:szCs w:val="24"/>
        </w:rPr>
      </w:pPr>
      <w:r w:rsidRPr="001F11AE">
        <w:rPr>
          <w:rFonts w:cs="Times New Roman"/>
          <w:szCs w:val="24"/>
        </w:rPr>
        <w:t>Spotkanie plenerowe seniorów i wnuków, mające na celu integrację międzypokoleniową, profilaktykę przemocy oraz wprowadzanie prawidłowych wzorców rodzinnych</w:t>
      </w:r>
      <w:r w:rsidR="001F11AE">
        <w:rPr>
          <w:rFonts w:cs="Times New Roman"/>
          <w:szCs w:val="24"/>
        </w:rPr>
        <w:t xml:space="preserve"> </w:t>
      </w:r>
      <w:r w:rsidRPr="001F11AE">
        <w:rPr>
          <w:rFonts w:cs="Times New Roman"/>
          <w:szCs w:val="24"/>
        </w:rPr>
        <w:t>i środowiskowych. Zabawy w trakcie spotkania prowadzone były przez profesjonalnego animatora z wykształceniem pedagogicznym, a ich dobór nakierunkowany był na aktywne spędzanie czasu wolnego bez użycia przemocy. W spotkaniu wzięło udział łącznie 80 osób.</w:t>
      </w:r>
    </w:p>
    <w:p w14:paraId="243189F5" w14:textId="77340FA3" w:rsidR="00722095" w:rsidRPr="001F11AE" w:rsidRDefault="00722095" w:rsidP="00FE70E3">
      <w:pPr>
        <w:pStyle w:val="Akapitzlist"/>
        <w:numPr>
          <w:ilvl w:val="0"/>
          <w:numId w:val="176"/>
        </w:numPr>
        <w:rPr>
          <w:rFonts w:cs="Times New Roman"/>
          <w:szCs w:val="24"/>
        </w:rPr>
      </w:pPr>
      <w:r w:rsidRPr="001F11AE">
        <w:rPr>
          <w:rFonts w:cs="Times New Roman"/>
          <w:szCs w:val="24"/>
        </w:rPr>
        <w:lastRenderedPageBreak/>
        <w:t>Pracownicy OIK w Górnie przygotowali i opracowali „Ściągę dla seniora”. Broszura zawierająca treści profilaktyczne, edukacyjne i informacyjne na temat radzenia sobie w sytuacjach kryzysowych dotyczących przemocy, pozwoliło dotrzeć do szerszej grupy odbiorców. Wydano 300 sztuk.</w:t>
      </w:r>
    </w:p>
    <w:p w14:paraId="3A3004B9" w14:textId="77777777" w:rsidR="001F11AE" w:rsidRDefault="001F11AE" w:rsidP="00722095">
      <w:pPr>
        <w:rPr>
          <w:rFonts w:cs="Times New Roman"/>
          <w:szCs w:val="24"/>
        </w:rPr>
      </w:pPr>
    </w:p>
    <w:p w14:paraId="080E99E2" w14:textId="2348C811" w:rsidR="00722095" w:rsidRPr="00722095" w:rsidRDefault="00722095" w:rsidP="00722095">
      <w:pPr>
        <w:rPr>
          <w:rFonts w:cs="Times New Roman"/>
          <w:szCs w:val="24"/>
        </w:rPr>
      </w:pPr>
      <w:r w:rsidRPr="00722095">
        <w:rPr>
          <w:rFonts w:cs="Times New Roman"/>
          <w:szCs w:val="24"/>
        </w:rPr>
        <w:t>Tarnobrzeg miasto na prawach powiatu</w:t>
      </w:r>
    </w:p>
    <w:p w14:paraId="33321FE9" w14:textId="77777777" w:rsidR="00722095" w:rsidRPr="00722095" w:rsidRDefault="00722095" w:rsidP="00722095">
      <w:pPr>
        <w:rPr>
          <w:rFonts w:cs="Times New Roman"/>
          <w:szCs w:val="24"/>
        </w:rPr>
      </w:pPr>
      <w:r w:rsidRPr="00722095">
        <w:rPr>
          <w:rFonts w:cs="Times New Roman"/>
          <w:szCs w:val="24"/>
        </w:rPr>
        <w:t xml:space="preserve">Program Tarnobrzeska Karta Seniorów został przyjęty Uchwałą Rady Miasta Tarnobrzega </w:t>
      </w:r>
    </w:p>
    <w:p w14:paraId="24FEF8F3" w14:textId="42FC75F5" w:rsidR="00722095" w:rsidRPr="00722095" w:rsidRDefault="00722095" w:rsidP="00722095">
      <w:pPr>
        <w:rPr>
          <w:rFonts w:cs="Times New Roman"/>
          <w:szCs w:val="24"/>
        </w:rPr>
      </w:pPr>
      <w:r w:rsidRPr="00722095">
        <w:rPr>
          <w:rFonts w:cs="Times New Roman"/>
          <w:szCs w:val="24"/>
        </w:rPr>
        <w:t>Nr LXVII/800/2014 z dnia 7 listopada 2014 r. Uchwałą nr XIX/186/2019 z dnia 30 października 2019 r. wprowadzono zmiany do poprzedniej uchwały. Od 1</w:t>
      </w:r>
      <w:r w:rsidR="002816BF">
        <w:rPr>
          <w:rFonts w:cs="Times New Roman"/>
          <w:szCs w:val="24"/>
        </w:rPr>
        <w:t xml:space="preserve"> stycznia </w:t>
      </w:r>
      <w:r w:rsidRPr="00722095">
        <w:rPr>
          <w:rFonts w:cs="Times New Roman"/>
          <w:szCs w:val="24"/>
        </w:rPr>
        <w:t>2020</w:t>
      </w:r>
      <w:r w:rsidR="002816BF">
        <w:rPr>
          <w:rFonts w:cs="Times New Roman"/>
          <w:szCs w:val="24"/>
        </w:rPr>
        <w:t xml:space="preserve"> </w:t>
      </w:r>
      <w:r w:rsidRPr="00722095">
        <w:rPr>
          <w:rFonts w:cs="Times New Roman"/>
          <w:szCs w:val="24"/>
        </w:rPr>
        <w:t>r. do dnia 31</w:t>
      </w:r>
      <w:r w:rsidR="002816BF">
        <w:rPr>
          <w:rFonts w:cs="Times New Roman"/>
          <w:szCs w:val="24"/>
        </w:rPr>
        <w:t xml:space="preserve"> grudnia </w:t>
      </w:r>
      <w:r w:rsidRPr="00722095">
        <w:rPr>
          <w:rFonts w:cs="Times New Roman"/>
          <w:szCs w:val="24"/>
        </w:rPr>
        <w:t xml:space="preserve">2020 r. wydano 133 karty dla seniorów w Tarnobrzegu. W ramach porozumienia </w:t>
      </w:r>
    </w:p>
    <w:p w14:paraId="64A14ACE" w14:textId="77777777" w:rsidR="00722095" w:rsidRPr="00722095" w:rsidRDefault="00722095" w:rsidP="00722095">
      <w:pPr>
        <w:rPr>
          <w:rFonts w:cs="Times New Roman"/>
          <w:szCs w:val="24"/>
        </w:rPr>
      </w:pPr>
      <w:r w:rsidRPr="00722095">
        <w:rPr>
          <w:rFonts w:cs="Times New Roman"/>
          <w:szCs w:val="24"/>
        </w:rPr>
        <w:t>o współpracy z partnerami programu dofinansowano następujące zadania:</w:t>
      </w:r>
    </w:p>
    <w:p w14:paraId="05608B51" w14:textId="77777777" w:rsidR="001F11AE" w:rsidRDefault="00722095" w:rsidP="00FE70E3">
      <w:pPr>
        <w:pStyle w:val="Akapitzlist"/>
        <w:numPr>
          <w:ilvl w:val="0"/>
          <w:numId w:val="177"/>
        </w:numPr>
        <w:rPr>
          <w:rFonts w:cs="Times New Roman"/>
          <w:szCs w:val="24"/>
        </w:rPr>
      </w:pPr>
      <w:r w:rsidRPr="001F11AE">
        <w:rPr>
          <w:rFonts w:cs="Times New Roman"/>
          <w:szCs w:val="24"/>
        </w:rPr>
        <w:t xml:space="preserve">W Miejskim Ośrodku Sportu i Rekreacji w Tarnobrzegu i w Tarnobrzeskim Domu Kultury seniorom dofinansowano zakup biletów na koncerty, do teatru i do kina oraz karnety na basen, w kwocie 5.996 zł.  </w:t>
      </w:r>
    </w:p>
    <w:p w14:paraId="486079AF" w14:textId="3B5D4D05" w:rsidR="00722095" w:rsidRPr="001F11AE" w:rsidRDefault="00722095" w:rsidP="00FE70E3">
      <w:pPr>
        <w:pStyle w:val="Akapitzlist"/>
        <w:numPr>
          <w:ilvl w:val="0"/>
          <w:numId w:val="177"/>
        </w:numPr>
        <w:rPr>
          <w:rFonts w:cs="Times New Roman"/>
          <w:szCs w:val="24"/>
        </w:rPr>
      </w:pPr>
      <w:r w:rsidRPr="001F11AE">
        <w:rPr>
          <w:rFonts w:cs="Times New Roman"/>
          <w:szCs w:val="24"/>
        </w:rPr>
        <w:t xml:space="preserve">Kwota zrefundowana dla Ośrodka Sportu i Rekreacji za dofinansowanie do karnetów na basen i siłownię wyniosła 5.675 zł. W Tarnobrzeskim Domu Kultury w ramach dofinansowania do biletów na koncerty, teatry, do kina kwota zrefundowana wyniosła 321 zł. Koszty obsługi zadania wyniosły 909,14 zł. Łącznie w 2020 r. wydatkowano na Program Tarnobrzeska Karta Seniora kwotę 6.905,14 zł. </w:t>
      </w:r>
    </w:p>
    <w:p w14:paraId="1EC93793" w14:textId="77777777" w:rsidR="001F11AE" w:rsidRPr="00722095" w:rsidRDefault="001F11AE" w:rsidP="00722095">
      <w:pPr>
        <w:rPr>
          <w:rFonts w:cs="Times New Roman"/>
          <w:szCs w:val="24"/>
        </w:rPr>
      </w:pPr>
    </w:p>
    <w:p w14:paraId="1BBE3EF4" w14:textId="77777777" w:rsidR="00722095" w:rsidRPr="00722095" w:rsidRDefault="00722095" w:rsidP="00722095">
      <w:pPr>
        <w:rPr>
          <w:rFonts w:cs="Times New Roman"/>
          <w:szCs w:val="24"/>
        </w:rPr>
      </w:pPr>
      <w:r w:rsidRPr="00722095">
        <w:rPr>
          <w:rFonts w:cs="Times New Roman"/>
          <w:szCs w:val="24"/>
        </w:rPr>
        <w:t>Stalowa Wola gmina miejska</w:t>
      </w:r>
    </w:p>
    <w:p w14:paraId="6C81E563" w14:textId="6A4615F6" w:rsidR="00722095" w:rsidRPr="00722095" w:rsidRDefault="00722095" w:rsidP="00722095">
      <w:pPr>
        <w:rPr>
          <w:rFonts w:cs="Times New Roman"/>
          <w:szCs w:val="24"/>
        </w:rPr>
      </w:pPr>
      <w:r w:rsidRPr="00722095">
        <w:rPr>
          <w:rFonts w:cs="Times New Roman"/>
          <w:szCs w:val="24"/>
        </w:rPr>
        <w:t>Gmina Stalowa Wola w 2020</w:t>
      </w:r>
      <w:r w:rsidR="00A931B5">
        <w:rPr>
          <w:rFonts w:cs="Times New Roman"/>
          <w:szCs w:val="24"/>
        </w:rPr>
        <w:t xml:space="preserve"> r.</w:t>
      </w:r>
      <w:r w:rsidRPr="00722095">
        <w:rPr>
          <w:rFonts w:cs="Times New Roman"/>
          <w:szCs w:val="24"/>
        </w:rPr>
        <w:t xml:space="preserve"> wsparła finansowo 4 stowarzyszenia na realizację zadań </w:t>
      </w:r>
    </w:p>
    <w:p w14:paraId="4E4A037F" w14:textId="77777777" w:rsidR="00722095" w:rsidRPr="00722095" w:rsidRDefault="00722095" w:rsidP="00722095">
      <w:pPr>
        <w:rPr>
          <w:rFonts w:cs="Times New Roman"/>
          <w:szCs w:val="24"/>
        </w:rPr>
      </w:pPr>
      <w:r w:rsidRPr="00722095">
        <w:rPr>
          <w:rFonts w:cs="Times New Roman"/>
          <w:szCs w:val="24"/>
        </w:rPr>
        <w:t>z zakresu wspierania działań na rzecz seniorów:</w:t>
      </w:r>
    </w:p>
    <w:p w14:paraId="7445686F" w14:textId="77777777" w:rsidR="001F11AE" w:rsidRDefault="00722095" w:rsidP="00FE70E3">
      <w:pPr>
        <w:pStyle w:val="Akapitzlist"/>
        <w:numPr>
          <w:ilvl w:val="0"/>
          <w:numId w:val="178"/>
        </w:numPr>
        <w:rPr>
          <w:rFonts w:cs="Times New Roman"/>
          <w:szCs w:val="24"/>
        </w:rPr>
      </w:pPr>
      <w:r w:rsidRPr="001F11AE">
        <w:rPr>
          <w:rFonts w:cs="Times New Roman"/>
          <w:szCs w:val="24"/>
        </w:rPr>
        <w:t>Zadanie pn. „Działania na rzecz osób w wieku emerytalnym” realizowane przez Polski Związek Emerytów, Rencistów i Inwalidów. Celem zadania była aktywizacja seniorów poprzez zorganizowanie cyklicznych spotkań tematycznych, integracyjno-tanecznych oraz wyjazd integracyjno-krajoznawczy.</w:t>
      </w:r>
    </w:p>
    <w:p w14:paraId="5E1307D8" w14:textId="77777777" w:rsidR="001F11AE" w:rsidRDefault="00722095" w:rsidP="00FE70E3">
      <w:pPr>
        <w:pStyle w:val="Akapitzlist"/>
        <w:numPr>
          <w:ilvl w:val="0"/>
          <w:numId w:val="178"/>
        </w:numPr>
        <w:rPr>
          <w:rFonts w:cs="Times New Roman"/>
          <w:szCs w:val="24"/>
        </w:rPr>
      </w:pPr>
      <w:r w:rsidRPr="001F11AE">
        <w:rPr>
          <w:rFonts w:cs="Times New Roman"/>
          <w:szCs w:val="24"/>
        </w:rPr>
        <w:t>Zadanie pn. „Wspieranie działań na rzecz seniorów” realizowane przez Stowarzyszenie Przyjaciół Klasztoru Braci Mniejszych Kapucynów w Stalowej Woli-Rozwadowie „Pokój i Dobro”. Celem zadania była aktywizacja seniorów poprzez przeprowadzenie warsztatów tanecznych, spotkań integracyjnych oraz zorganizowania wycieczki.</w:t>
      </w:r>
    </w:p>
    <w:p w14:paraId="7D742622" w14:textId="77777777" w:rsidR="001F11AE" w:rsidRDefault="00722095" w:rsidP="00FE70E3">
      <w:pPr>
        <w:pStyle w:val="Akapitzlist"/>
        <w:numPr>
          <w:ilvl w:val="0"/>
          <w:numId w:val="178"/>
        </w:numPr>
        <w:rPr>
          <w:rFonts w:cs="Times New Roman"/>
          <w:szCs w:val="24"/>
        </w:rPr>
      </w:pPr>
      <w:r w:rsidRPr="001F11AE">
        <w:rPr>
          <w:rFonts w:cs="Times New Roman"/>
          <w:szCs w:val="24"/>
        </w:rPr>
        <w:t>Zadanie pn. „Wspieranie działań na rzecz seniorów” realizowane przez Stowarzyszenie Uniwersyteckie „Srebrne Lata”. W ramach zadania odbyły się spotkania w grupach oraz spotkania integracyjne.</w:t>
      </w:r>
    </w:p>
    <w:p w14:paraId="31110C23" w14:textId="368DEAC4" w:rsidR="00722095" w:rsidRPr="001F11AE" w:rsidRDefault="00722095" w:rsidP="00FE70E3">
      <w:pPr>
        <w:pStyle w:val="Akapitzlist"/>
        <w:numPr>
          <w:ilvl w:val="0"/>
          <w:numId w:val="178"/>
        </w:numPr>
        <w:rPr>
          <w:rFonts w:cs="Times New Roman"/>
          <w:szCs w:val="24"/>
        </w:rPr>
      </w:pPr>
      <w:r w:rsidRPr="001F11AE">
        <w:rPr>
          <w:rFonts w:cs="Times New Roman"/>
          <w:szCs w:val="24"/>
        </w:rPr>
        <w:t>Zadanie pn. „Senior na szlaku – turystyka naszą pasją” realizowane przez Stowarzyszenie na Rzecz Dzieci i Młodzieży Azymut. Celem zadania była aktywizacja seniorów poprzez organizowanie zajęć ruchowych, wyjazdów krajoznawczych, spotkań integracyjnych oraz wykładów o tematyce zdrowotnej.</w:t>
      </w:r>
    </w:p>
    <w:p w14:paraId="3B25A017" w14:textId="77777777" w:rsidR="001F11AE" w:rsidRDefault="001F11AE" w:rsidP="00722095">
      <w:pPr>
        <w:rPr>
          <w:rFonts w:cs="Times New Roman"/>
          <w:szCs w:val="24"/>
        </w:rPr>
      </w:pPr>
    </w:p>
    <w:p w14:paraId="760B69B0" w14:textId="6BE7EABF" w:rsidR="00722095" w:rsidRPr="00722095" w:rsidRDefault="00722095" w:rsidP="00722095">
      <w:pPr>
        <w:rPr>
          <w:rFonts w:cs="Times New Roman"/>
          <w:szCs w:val="24"/>
        </w:rPr>
      </w:pPr>
      <w:r w:rsidRPr="00722095">
        <w:rPr>
          <w:rFonts w:cs="Times New Roman"/>
          <w:szCs w:val="24"/>
        </w:rPr>
        <w:t>Kolbuszowa gmina miejsko-wiejska</w:t>
      </w:r>
    </w:p>
    <w:p w14:paraId="2460E232" w14:textId="77777777" w:rsidR="001F11AE" w:rsidRDefault="00722095" w:rsidP="00FE70E3">
      <w:pPr>
        <w:pStyle w:val="Akapitzlist"/>
        <w:numPr>
          <w:ilvl w:val="0"/>
          <w:numId w:val="179"/>
        </w:numPr>
        <w:rPr>
          <w:rFonts w:cs="Times New Roman"/>
          <w:szCs w:val="24"/>
        </w:rPr>
      </w:pPr>
      <w:r w:rsidRPr="001F11AE">
        <w:rPr>
          <w:rFonts w:cs="Times New Roman"/>
          <w:szCs w:val="24"/>
        </w:rPr>
        <w:t xml:space="preserve">Miejsko–Gminny Ośrodek Pomocy Społecznej w Kolbuszowej realizował projekt socjalny „Wyprawka 2020” dla osób starszych, samotnych, niepełnosprawnych, ubogich i potrzebujących z terenu gminy Kolbuszowa. Pracownicy socjalni w projekcie dokonali analizy sytuacji osób starszych, niepełnosprawnych, samotnych z terenu gminy Kolbuszowa </w:t>
      </w:r>
      <w:r w:rsidRPr="001F11AE">
        <w:rPr>
          <w:rFonts w:cs="Times New Roman"/>
          <w:szCs w:val="24"/>
        </w:rPr>
        <w:lastRenderedPageBreak/>
        <w:t xml:space="preserve">potrzebujących pomocy i wsparcia. Zakupiono artykuły tekstylne oraz artykuły przemysłowe. Pracownicy socjalni zrobili 24 paczki dla 24 rodzin. Paczki zostały rozwiezione do osób potrzebujących. </w:t>
      </w:r>
    </w:p>
    <w:p w14:paraId="5BF8F25E" w14:textId="77777777" w:rsidR="001F11AE" w:rsidRDefault="00722095" w:rsidP="00FE70E3">
      <w:pPr>
        <w:pStyle w:val="Akapitzlist"/>
        <w:numPr>
          <w:ilvl w:val="0"/>
          <w:numId w:val="179"/>
        </w:numPr>
        <w:rPr>
          <w:rFonts w:cs="Times New Roman"/>
          <w:szCs w:val="24"/>
        </w:rPr>
      </w:pPr>
      <w:r w:rsidRPr="001F11AE">
        <w:rPr>
          <w:rFonts w:cs="Times New Roman"/>
          <w:szCs w:val="24"/>
        </w:rPr>
        <w:t>Polski Komitet Pomocy Społecznej przy wsparciu i pomocy pracowników socjalnych zorganizował akcję „Paczka dla Seniora” – przygotowano 42 paczki dla samotnych seniorów z gminy Kolbuszowa. Paczki z artykułami spożywczymi, środkami czystości i tekstyliami zostały przekazane osobom potrzebującym w okresie Świąt Bożego Narodzenia.</w:t>
      </w:r>
    </w:p>
    <w:p w14:paraId="57738F4F" w14:textId="4A7BF44A" w:rsidR="00722095" w:rsidRPr="001F11AE" w:rsidRDefault="00722095" w:rsidP="00FE70E3">
      <w:pPr>
        <w:pStyle w:val="Akapitzlist"/>
        <w:numPr>
          <w:ilvl w:val="0"/>
          <w:numId w:val="179"/>
        </w:numPr>
        <w:rPr>
          <w:rFonts w:cs="Times New Roman"/>
          <w:szCs w:val="24"/>
        </w:rPr>
      </w:pPr>
      <w:r w:rsidRPr="001F11AE">
        <w:rPr>
          <w:rFonts w:cs="Times New Roman"/>
          <w:szCs w:val="24"/>
        </w:rPr>
        <w:t>Na terenie Gminy Kolbuszowa działa Polski Związek Emerytów, Rencistów i Inwalidów, który organizuje różnego rodzaju imprezy kulturalno-edukacyjne dla osób starszych. W</w:t>
      </w:r>
      <w:r w:rsidR="001F11AE">
        <w:rPr>
          <w:rFonts w:cs="Times New Roman"/>
          <w:szCs w:val="24"/>
        </w:rPr>
        <w:t> </w:t>
      </w:r>
      <w:r w:rsidRPr="001F11AE">
        <w:rPr>
          <w:rFonts w:cs="Times New Roman"/>
          <w:szCs w:val="24"/>
        </w:rPr>
        <w:t xml:space="preserve">2020 r. zostały zorganizowane przez ww. Związek dwie imprezy: Dzień Babci i Dziadka, w których uczestniczyło 94 osoby oraz wyjazd do kina, w którym uczestniczyło 48 osób starszych. </w:t>
      </w:r>
    </w:p>
    <w:p w14:paraId="0E162AAC" w14:textId="77777777" w:rsidR="001F11AE" w:rsidRDefault="001F11AE" w:rsidP="00722095">
      <w:pPr>
        <w:rPr>
          <w:rFonts w:cs="Times New Roman"/>
          <w:szCs w:val="24"/>
        </w:rPr>
      </w:pPr>
    </w:p>
    <w:p w14:paraId="2CFE334B" w14:textId="1057A9B4" w:rsidR="00722095" w:rsidRPr="00722095" w:rsidRDefault="00722095" w:rsidP="00722095">
      <w:pPr>
        <w:rPr>
          <w:rFonts w:cs="Times New Roman"/>
          <w:szCs w:val="24"/>
        </w:rPr>
      </w:pPr>
      <w:r w:rsidRPr="00722095">
        <w:rPr>
          <w:rFonts w:cs="Times New Roman"/>
          <w:szCs w:val="24"/>
        </w:rPr>
        <w:t>Lesko gmina miejsko-wiejska</w:t>
      </w:r>
    </w:p>
    <w:p w14:paraId="1E13D669" w14:textId="3B4DC774" w:rsidR="00722095" w:rsidRPr="00722095" w:rsidRDefault="00722095" w:rsidP="00722095">
      <w:pPr>
        <w:rPr>
          <w:rFonts w:cs="Times New Roman"/>
          <w:szCs w:val="24"/>
        </w:rPr>
      </w:pPr>
      <w:r w:rsidRPr="00722095">
        <w:rPr>
          <w:rFonts w:cs="Times New Roman"/>
          <w:szCs w:val="24"/>
        </w:rPr>
        <w:t>Przez cały 2020 r</w:t>
      </w:r>
      <w:r w:rsidR="002816BF">
        <w:rPr>
          <w:rFonts w:cs="Times New Roman"/>
          <w:szCs w:val="24"/>
        </w:rPr>
        <w:t>.</w:t>
      </w:r>
      <w:r w:rsidRPr="00722095">
        <w:rPr>
          <w:rFonts w:cs="Times New Roman"/>
          <w:szCs w:val="24"/>
        </w:rPr>
        <w:t xml:space="preserve"> realizowana była akcja skierowana do osób starszych, chorych, niepełnosprawnych pn. „Książka na telefon”. W jej ramach bibliotekarze dostarczali książki</w:t>
      </w:r>
      <w:r w:rsidR="001F11AE">
        <w:rPr>
          <w:rFonts w:cs="Times New Roman"/>
          <w:szCs w:val="24"/>
        </w:rPr>
        <w:t xml:space="preserve"> </w:t>
      </w:r>
      <w:r w:rsidRPr="00722095">
        <w:rPr>
          <w:rFonts w:cs="Times New Roman"/>
          <w:szCs w:val="24"/>
        </w:rPr>
        <w:t xml:space="preserve">ww. osobom do domów. Akcja była prowadzona zarówno w mieście jak i na wsiach, </w:t>
      </w:r>
      <w:r w:rsidR="001F11AE">
        <w:rPr>
          <w:rFonts w:cs="Times New Roman"/>
          <w:szCs w:val="24"/>
        </w:rPr>
        <w:t xml:space="preserve"> </w:t>
      </w:r>
      <w:r w:rsidRPr="00722095">
        <w:rPr>
          <w:rFonts w:cs="Times New Roman"/>
          <w:szCs w:val="24"/>
        </w:rPr>
        <w:t>w których znajdują się punkty biblioteczne, tj. Bezmiechowa, Łukawica, Średnia Wieś i Hoczew.</w:t>
      </w:r>
    </w:p>
    <w:p w14:paraId="5ED40C5D" w14:textId="77777777" w:rsidR="001F11AE" w:rsidRDefault="001F11AE" w:rsidP="00722095">
      <w:pPr>
        <w:rPr>
          <w:rFonts w:cs="Times New Roman"/>
          <w:szCs w:val="24"/>
        </w:rPr>
      </w:pPr>
    </w:p>
    <w:p w14:paraId="7A15302A" w14:textId="3CF003F1" w:rsidR="00722095" w:rsidRPr="00722095" w:rsidRDefault="00722095" w:rsidP="00722095">
      <w:pPr>
        <w:rPr>
          <w:rFonts w:cs="Times New Roman"/>
          <w:szCs w:val="24"/>
        </w:rPr>
      </w:pPr>
      <w:r w:rsidRPr="00722095">
        <w:rPr>
          <w:rFonts w:cs="Times New Roman"/>
          <w:szCs w:val="24"/>
        </w:rPr>
        <w:t xml:space="preserve">Przemyśl gmina wiejska </w:t>
      </w:r>
    </w:p>
    <w:p w14:paraId="1D1ED200" w14:textId="68FD6BD7" w:rsidR="00722095" w:rsidRPr="00722095" w:rsidRDefault="00722095" w:rsidP="00722095">
      <w:pPr>
        <w:rPr>
          <w:rFonts w:cs="Times New Roman"/>
          <w:szCs w:val="24"/>
        </w:rPr>
      </w:pPr>
      <w:r w:rsidRPr="00722095">
        <w:rPr>
          <w:rFonts w:cs="Times New Roman"/>
          <w:szCs w:val="24"/>
        </w:rPr>
        <w:t>Opracowano Lokalny Program Osłonowy Pomocy Osobom Starszym i Niepełnosprawnym „Pomoc Sąsiedzka” w Gminie Przemyśl na lata 2019-2022. Lokalny Program „Pomocy</w:t>
      </w:r>
      <w:r w:rsidR="001F11AE">
        <w:rPr>
          <w:rFonts w:cs="Times New Roman"/>
          <w:szCs w:val="24"/>
        </w:rPr>
        <w:t xml:space="preserve"> </w:t>
      </w:r>
      <w:r w:rsidRPr="00722095">
        <w:rPr>
          <w:rFonts w:cs="Times New Roman"/>
          <w:szCs w:val="24"/>
        </w:rPr>
        <w:t xml:space="preserve">Sąsiedzkiej” adresowany został głównie do osób starszych, samotnych, niesamodzielnych </w:t>
      </w:r>
      <w:r w:rsidR="001F11AE">
        <w:rPr>
          <w:rFonts w:cs="Times New Roman"/>
          <w:szCs w:val="24"/>
        </w:rPr>
        <w:t xml:space="preserve"> </w:t>
      </w:r>
      <w:r w:rsidRPr="00722095">
        <w:rPr>
          <w:rFonts w:cs="Times New Roman"/>
          <w:szCs w:val="24"/>
        </w:rPr>
        <w:t>i</w:t>
      </w:r>
      <w:r w:rsidR="001F11AE">
        <w:rPr>
          <w:rFonts w:cs="Times New Roman"/>
          <w:szCs w:val="24"/>
        </w:rPr>
        <w:t> </w:t>
      </w:r>
      <w:r w:rsidRPr="00722095">
        <w:rPr>
          <w:rFonts w:cs="Times New Roman"/>
          <w:szCs w:val="24"/>
        </w:rPr>
        <w:t>niepełnosprawnych zamieszkujących na terenie Gminy Przemyśl.</w:t>
      </w:r>
    </w:p>
    <w:p w14:paraId="426AFE9A" w14:textId="77777777" w:rsidR="00722095" w:rsidRPr="00722095" w:rsidRDefault="00722095" w:rsidP="00722095">
      <w:pPr>
        <w:rPr>
          <w:rFonts w:cs="Times New Roman"/>
          <w:szCs w:val="24"/>
        </w:rPr>
      </w:pPr>
      <w:r w:rsidRPr="00722095">
        <w:rPr>
          <w:rFonts w:cs="Times New Roman"/>
          <w:szCs w:val="24"/>
        </w:rPr>
        <w:t>Usługi obejmują pomoc i wsparcie w takich sprawach, jak:</w:t>
      </w:r>
    </w:p>
    <w:p w14:paraId="70190A52" w14:textId="77777777" w:rsidR="001F11AE" w:rsidRDefault="00722095" w:rsidP="00FE70E3">
      <w:pPr>
        <w:pStyle w:val="Akapitzlist"/>
        <w:numPr>
          <w:ilvl w:val="0"/>
          <w:numId w:val="180"/>
        </w:numPr>
        <w:rPr>
          <w:rFonts w:cs="Times New Roman"/>
          <w:szCs w:val="24"/>
        </w:rPr>
      </w:pPr>
      <w:r w:rsidRPr="001F11AE">
        <w:rPr>
          <w:rFonts w:cs="Times New Roman"/>
          <w:szCs w:val="24"/>
        </w:rPr>
        <w:t>bezpośrednia pomoc związana z praniem, porządkowaniem, wspólna lektura;</w:t>
      </w:r>
    </w:p>
    <w:p w14:paraId="402E8764" w14:textId="77777777" w:rsidR="001F11AE" w:rsidRDefault="00722095" w:rsidP="00FE70E3">
      <w:pPr>
        <w:pStyle w:val="Akapitzlist"/>
        <w:numPr>
          <w:ilvl w:val="0"/>
          <w:numId w:val="180"/>
        </w:numPr>
        <w:rPr>
          <w:rFonts w:cs="Times New Roman"/>
          <w:szCs w:val="24"/>
        </w:rPr>
      </w:pPr>
      <w:r w:rsidRPr="001F11AE">
        <w:rPr>
          <w:rFonts w:cs="Times New Roman"/>
          <w:szCs w:val="24"/>
        </w:rPr>
        <w:t>realizacja działań pomocowych poza domem osób starszych takich jak: wizyta u lekarza, poczta, sprawy urzędowe, spacery, odwiedziny w szpitalu, pomoc przy robieniu zakupów;</w:t>
      </w:r>
    </w:p>
    <w:p w14:paraId="7C95762B" w14:textId="77777777" w:rsidR="001F11AE" w:rsidRDefault="00722095" w:rsidP="00FE70E3">
      <w:pPr>
        <w:pStyle w:val="Akapitzlist"/>
        <w:numPr>
          <w:ilvl w:val="0"/>
          <w:numId w:val="180"/>
        </w:numPr>
        <w:rPr>
          <w:rFonts w:cs="Times New Roman"/>
          <w:szCs w:val="24"/>
        </w:rPr>
      </w:pPr>
      <w:r w:rsidRPr="001F11AE">
        <w:rPr>
          <w:rFonts w:cs="Times New Roman"/>
          <w:szCs w:val="24"/>
        </w:rPr>
        <w:t>informowanie najbliższych lub odpowiednich służb o pilnych potrzebach czy pogorszeniu się stanu zdrowia;</w:t>
      </w:r>
    </w:p>
    <w:p w14:paraId="2555F3E9" w14:textId="2B692AA3" w:rsidR="00722095" w:rsidRPr="001F11AE" w:rsidRDefault="00722095" w:rsidP="00FE70E3">
      <w:pPr>
        <w:pStyle w:val="Akapitzlist"/>
        <w:numPr>
          <w:ilvl w:val="0"/>
          <w:numId w:val="180"/>
        </w:numPr>
        <w:rPr>
          <w:rFonts w:cs="Times New Roman"/>
          <w:szCs w:val="24"/>
        </w:rPr>
      </w:pPr>
      <w:r w:rsidRPr="001F11AE">
        <w:rPr>
          <w:rFonts w:cs="Times New Roman"/>
          <w:szCs w:val="24"/>
        </w:rPr>
        <w:t>aktywizowanie społeczne.</w:t>
      </w:r>
    </w:p>
    <w:p w14:paraId="6D7B026A" w14:textId="77777777" w:rsidR="00722095" w:rsidRPr="00722095" w:rsidRDefault="00722095" w:rsidP="00722095">
      <w:pPr>
        <w:rPr>
          <w:rFonts w:cs="Times New Roman"/>
          <w:szCs w:val="24"/>
        </w:rPr>
      </w:pPr>
      <w:r w:rsidRPr="00722095">
        <w:rPr>
          <w:rFonts w:cs="Times New Roman"/>
          <w:szCs w:val="24"/>
        </w:rPr>
        <w:t xml:space="preserve">Tego rodzaju wsparcie przyczynia się do eliminacji poczucia osamotnienia u osób starszych, które dzięki temu mają poczucie kontaktu i więzi z lokalnym środowiskiem oraz jego pomoc w sprawach, którym samodzielnie nie mogą sprostać. Pogłębiły się także relacje sąsiedzkie, </w:t>
      </w:r>
    </w:p>
    <w:p w14:paraId="2318955F" w14:textId="77777777" w:rsidR="00722095" w:rsidRPr="00722095" w:rsidRDefault="00722095" w:rsidP="00722095">
      <w:pPr>
        <w:rPr>
          <w:rFonts w:cs="Times New Roman"/>
          <w:szCs w:val="24"/>
        </w:rPr>
      </w:pPr>
      <w:r w:rsidRPr="00722095">
        <w:rPr>
          <w:rFonts w:cs="Times New Roman"/>
          <w:szCs w:val="24"/>
        </w:rPr>
        <w:t xml:space="preserve">a wspólnie spędzany czas umożliwia lepsze poznanie się i budowanie głębszych więzi. </w:t>
      </w:r>
    </w:p>
    <w:p w14:paraId="0127108B" w14:textId="77777777" w:rsidR="00722095" w:rsidRPr="00722095" w:rsidRDefault="00722095" w:rsidP="00722095">
      <w:pPr>
        <w:rPr>
          <w:rFonts w:cs="Times New Roman"/>
          <w:szCs w:val="24"/>
        </w:rPr>
      </w:pPr>
      <w:r w:rsidRPr="00722095">
        <w:rPr>
          <w:rFonts w:cs="Times New Roman"/>
          <w:szCs w:val="24"/>
        </w:rPr>
        <w:t>W 2020 r. projekt obejmował 15 osób starszych, a jego koszt wyniósł 47.520 zł. Program ten jest uzupełnieniem pomocy dla osób starszych, schorowanych i niepełnosprawnych realizowanej w formie usług opiekuńczych.</w:t>
      </w:r>
    </w:p>
    <w:p w14:paraId="078E4293" w14:textId="77777777" w:rsidR="001F11AE" w:rsidRDefault="001F11AE" w:rsidP="00722095">
      <w:pPr>
        <w:rPr>
          <w:rFonts w:cs="Times New Roman"/>
          <w:szCs w:val="24"/>
        </w:rPr>
      </w:pPr>
    </w:p>
    <w:p w14:paraId="1D28312E" w14:textId="0CE3505A" w:rsidR="00722095" w:rsidRPr="00722095" w:rsidRDefault="00722095" w:rsidP="00722095">
      <w:pPr>
        <w:rPr>
          <w:rFonts w:cs="Times New Roman"/>
          <w:szCs w:val="24"/>
        </w:rPr>
      </w:pPr>
      <w:r w:rsidRPr="00722095">
        <w:rPr>
          <w:rFonts w:cs="Times New Roman"/>
          <w:szCs w:val="24"/>
        </w:rPr>
        <w:t>Trzebownisko gmina wiejska</w:t>
      </w:r>
    </w:p>
    <w:p w14:paraId="7921B83F" w14:textId="7BE4E305" w:rsidR="00722095" w:rsidRDefault="00722095" w:rsidP="00722095">
      <w:pPr>
        <w:rPr>
          <w:rFonts w:cs="Times New Roman"/>
          <w:szCs w:val="24"/>
        </w:rPr>
      </w:pPr>
      <w:r w:rsidRPr="00722095">
        <w:rPr>
          <w:rFonts w:cs="Times New Roman"/>
          <w:szCs w:val="24"/>
        </w:rPr>
        <w:t xml:space="preserve">We współpracy z Rzeszowską Agencją Rozwoju Regionalnego S.A realizowany był projekt „Podkarpacki E-Senior” w ramach, którego 13 seniorów w wieku 65+ dowożonych było do placówek na terenie Gminy Trzebownisko na szkolenia z zakresu podstawowej obsługi laptopa, </w:t>
      </w:r>
      <w:r w:rsidRPr="00722095">
        <w:rPr>
          <w:rFonts w:cs="Times New Roman"/>
          <w:szCs w:val="24"/>
        </w:rPr>
        <w:lastRenderedPageBreak/>
        <w:t xml:space="preserve">tabletu i </w:t>
      </w:r>
      <w:proofErr w:type="spellStart"/>
      <w:r w:rsidRPr="00722095">
        <w:rPr>
          <w:rFonts w:cs="Times New Roman"/>
          <w:szCs w:val="24"/>
        </w:rPr>
        <w:t>smartfona</w:t>
      </w:r>
      <w:proofErr w:type="spellEnd"/>
      <w:r w:rsidRPr="00722095">
        <w:rPr>
          <w:rFonts w:cs="Times New Roman"/>
          <w:szCs w:val="24"/>
        </w:rPr>
        <w:t xml:space="preserve">. Poza zdobywaniem wiedzy z zakresu objętego szkoleniem </w:t>
      </w:r>
      <w:r w:rsidR="001F11AE">
        <w:rPr>
          <w:rFonts w:cs="Times New Roman"/>
          <w:szCs w:val="24"/>
        </w:rPr>
        <w:t xml:space="preserve"> </w:t>
      </w:r>
      <w:r w:rsidRPr="00722095">
        <w:rPr>
          <w:rFonts w:cs="Times New Roman"/>
          <w:szCs w:val="24"/>
        </w:rPr>
        <w:t>wśród seniorów zawiązały się nowe znajomości i kontakty. Zajęcia realizowane były do marca 2020 r.</w:t>
      </w:r>
    </w:p>
    <w:p w14:paraId="16E6324D" w14:textId="77777777" w:rsidR="001F11AE" w:rsidRPr="00722095" w:rsidRDefault="001F11AE" w:rsidP="00722095">
      <w:pPr>
        <w:rPr>
          <w:rFonts w:cs="Times New Roman"/>
          <w:szCs w:val="24"/>
        </w:rPr>
      </w:pPr>
    </w:p>
    <w:p w14:paraId="1DA63310" w14:textId="77777777" w:rsidR="00722095" w:rsidRPr="00722095" w:rsidRDefault="00722095" w:rsidP="00722095">
      <w:pPr>
        <w:rPr>
          <w:rFonts w:cs="Times New Roman"/>
          <w:szCs w:val="24"/>
        </w:rPr>
      </w:pPr>
      <w:r w:rsidRPr="00722095">
        <w:rPr>
          <w:rFonts w:cs="Times New Roman"/>
          <w:szCs w:val="24"/>
        </w:rPr>
        <w:t>Krempna gmina wiejska</w:t>
      </w:r>
    </w:p>
    <w:p w14:paraId="4A1DEF54" w14:textId="68450D56" w:rsidR="00722095" w:rsidRPr="00722095" w:rsidRDefault="00722095" w:rsidP="00722095">
      <w:pPr>
        <w:rPr>
          <w:rFonts w:cs="Times New Roman"/>
          <w:szCs w:val="24"/>
        </w:rPr>
      </w:pPr>
      <w:r w:rsidRPr="00722095">
        <w:rPr>
          <w:rFonts w:cs="Times New Roman"/>
          <w:szCs w:val="24"/>
        </w:rPr>
        <w:t>W 2020 r</w:t>
      </w:r>
      <w:r w:rsidR="00A931B5">
        <w:rPr>
          <w:rFonts w:cs="Times New Roman"/>
          <w:szCs w:val="24"/>
        </w:rPr>
        <w:t>.</w:t>
      </w:r>
      <w:r w:rsidRPr="00722095">
        <w:rPr>
          <w:rFonts w:cs="Times New Roman"/>
          <w:szCs w:val="24"/>
        </w:rPr>
        <w:t xml:space="preserve"> Gminny Ośrodek Pomocy Społecznej w Krempnej brał udział w Projekcie „Liderzy Kooperacji”. Projekt został opracowany przez członków Zespołu Kooperacji </w:t>
      </w:r>
      <w:r w:rsidR="001F11AE">
        <w:rPr>
          <w:rFonts w:cs="Times New Roman"/>
          <w:szCs w:val="24"/>
        </w:rPr>
        <w:t xml:space="preserve"> </w:t>
      </w:r>
      <w:r w:rsidRPr="00722095">
        <w:rPr>
          <w:rFonts w:cs="Times New Roman"/>
          <w:szCs w:val="24"/>
        </w:rPr>
        <w:t>w gminie Krempna. W projekcie zaplanowano realizację usług dla osób starszych na terenie gminy, m.in. zakup komputerów dla 8 osób oraz szkolenie z obsługi, co wpłynęło na poprawę sytuacji osób starszych w zakresie dostępu do możliwości samodzielnego załatwiania części spraw związanych z życiem codziennym oraz umożliwienie nawiązywania relacji z bliskimi osobami mimo dużej odległości geograficznej. W ramach projektu zamówiono również 4 rowery dla seniorów w celu zwiększenia ich mobilności i poprawę kondycji fizycznej.</w:t>
      </w:r>
    </w:p>
    <w:p w14:paraId="79733531" w14:textId="77777777" w:rsidR="00722095" w:rsidRPr="00722095" w:rsidRDefault="00722095" w:rsidP="00722095">
      <w:pPr>
        <w:rPr>
          <w:rFonts w:cs="Times New Roman"/>
          <w:szCs w:val="24"/>
        </w:rPr>
      </w:pPr>
    </w:p>
    <w:p w14:paraId="53CC842C" w14:textId="3C802E01" w:rsidR="00722095" w:rsidRPr="001F11AE" w:rsidRDefault="00722095" w:rsidP="00722095">
      <w:pPr>
        <w:rPr>
          <w:rFonts w:cs="Times New Roman"/>
          <w:b/>
          <w:bCs/>
          <w:szCs w:val="24"/>
        </w:rPr>
      </w:pPr>
      <w:r w:rsidRPr="001F11AE">
        <w:rPr>
          <w:rFonts w:cs="Times New Roman"/>
          <w:b/>
          <w:bCs/>
          <w:szCs w:val="24"/>
        </w:rPr>
        <w:t>Przykłady innowacyjnych rozwiązań.</w:t>
      </w:r>
    </w:p>
    <w:p w14:paraId="1AB94DEE" w14:textId="77777777" w:rsidR="00722095" w:rsidRPr="00722095" w:rsidRDefault="00722095" w:rsidP="00722095">
      <w:pPr>
        <w:rPr>
          <w:rFonts w:cs="Times New Roman"/>
          <w:szCs w:val="24"/>
        </w:rPr>
      </w:pPr>
      <w:r w:rsidRPr="00722095">
        <w:rPr>
          <w:rFonts w:cs="Times New Roman"/>
          <w:szCs w:val="24"/>
        </w:rPr>
        <w:t>Krosno miasto na prawach powiatu</w:t>
      </w:r>
    </w:p>
    <w:p w14:paraId="56014A2D" w14:textId="3C1D79D4" w:rsidR="000A16E7" w:rsidRDefault="00722095" w:rsidP="00FE70E3">
      <w:pPr>
        <w:pStyle w:val="Akapitzlist"/>
        <w:numPr>
          <w:ilvl w:val="0"/>
          <w:numId w:val="181"/>
        </w:numPr>
        <w:rPr>
          <w:rFonts w:cs="Times New Roman"/>
          <w:szCs w:val="24"/>
        </w:rPr>
      </w:pPr>
      <w:proofErr w:type="spellStart"/>
      <w:r w:rsidRPr="000A16E7">
        <w:rPr>
          <w:rFonts w:cs="Times New Roman"/>
          <w:szCs w:val="24"/>
        </w:rPr>
        <w:t>Teleopieka</w:t>
      </w:r>
      <w:proofErr w:type="spellEnd"/>
      <w:r w:rsidRPr="000A16E7">
        <w:rPr>
          <w:rFonts w:cs="Times New Roman"/>
          <w:szCs w:val="24"/>
        </w:rPr>
        <w:t xml:space="preserve"> to nowa forma wsparcia opiekuńczego niesamodzielnych osób starszych, realizowana w ramach projektu pn. „Pokonać samotność - rozwój usług społecznych z wykorzystaniem nowoczesnych technologii w Mieście Krośnie”. Dzięki </w:t>
      </w:r>
      <w:proofErr w:type="spellStart"/>
      <w:r w:rsidRPr="000A16E7">
        <w:rPr>
          <w:rFonts w:cs="Times New Roman"/>
          <w:szCs w:val="24"/>
        </w:rPr>
        <w:t>Teleopiece</w:t>
      </w:r>
      <w:proofErr w:type="spellEnd"/>
      <w:r w:rsidRPr="000A16E7">
        <w:rPr>
          <w:rFonts w:cs="Times New Roman"/>
          <w:szCs w:val="24"/>
        </w:rPr>
        <w:t xml:space="preserve"> sprawowano opiekę nad daną osobą w sposób zdalny. Do tego celu wykorzystywano specjalną opaskę na nadgarstek, połączoną z telecentrum ratunkowym. Opaska monitorowała parametry życiowe użytkownika i wyposażona była, m. in. w przycisk SOS, detektor upadków i funkcję lokalizacji, dzięki czemu możliwa była natychmiastowa pomoc użytkownikowi opaski.</w:t>
      </w:r>
      <w:r w:rsidR="000A16E7" w:rsidRPr="000A16E7">
        <w:rPr>
          <w:rFonts w:cs="Times New Roman"/>
          <w:szCs w:val="24"/>
        </w:rPr>
        <w:t xml:space="preserve"> </w:t>
      </w:r>
      <w:r w:rsidRPr="000A16E7">
        <w:rPr>
          <w:rFonts w:cs="Times New Roman"/>
          <w:szCs w:val="24"/>
        </w:rPr>
        <w:t xml:space="preserve">Opiekuńczo-ratunkowy system </w:t>
      </w:r>
      <w:proofErr w:type="spellStart"/>
      <w:r w:rsidRPr="000A16E7">
        <w:rPr>
          <w:rFonts w:cs="Times New Roman"/>
          <w:szCs w:val="24"/>
        </w:rPr>
        <w:t>Teleopieki</w:t>
      </w:r>
      <w:proofErr w:type="spellEnd"/>
      <w:r w:rsidRPr="000A16E7">
        <w:rPr>
          <w:rFonts w:cs="Times New Roman"/>
          <w:szCs w:val="24"/>
        </w:rPr>
        <w:t xml:space="preserve"> w sytuacji związanej z pandemią COVID-19, umożliwił osobie noszącej opaskę na całodobowy dostęp do ratowników w centrum </w:t>
      </w:r>
      <w:proofErr w:type="spellStart"/>
      <w:r w:rsidRPr="000A16E7">
        <w:rPr>
          <w:rFonts w:cs="Times New Roman"/>
          <w:szCs w:val="24"/>
        </w:rPr>
        <w:t>telemedycznym</w:t>
      </w:r>
      <w:proofErr w:type="spellEnd"/>
      <w:r w:rsidRPr="000A16E7">
        <w:rPr>
          <w:rFonts w:cs="Times New Roman"/>
          <w:szCs w:val="24"/>
        </w:rPr>
        <w:t>, a także niwelował poczucie samotności i zapewnił wsparcie psychologiczne z telecentrum. W 2020</w:t>
      </w:r>
      <w:r w:rsidR="00A931B5">
        <w:rPr>
          <w:rFonts w:cs="Times New Roman"/>
          <w:szCs w:val="24"/>
        </w:rPr>
        <w:t xml:space="preserve"> r.</w:t>
      </w:r>
      <w:r w:rsidRPr="000A16E7">
        <w:rPr>
          <w:rFonts w:cs="Times New Roman"/>
          <w:szCs w:val="24"/>
        </w:rPr>
        <w:t xml:space="preserve"> z „bransoletek życia” skorzystało 100 mieszkańców Miasta Krosna.</w:t>
      </w:r>
    </w:p>
    <w:p w14:paraId="07E5291B" w14:textId="7EA5ABC1" w:rsidR="000A16E7" w:rsidRPr="000A16E7" w:rsidRDefault="00722095" w:rsidP="00FE70E3">
      <w:pPr>
        <w:pStyle w:val="Akapitzlist"/>
        <w:numPr>
          <w:ilvl w:val="0"/>
          <w:numId w:val="181"/>
        </w:numPr>
        <w:rPr>
          <w:rFonts w:cs="Times New Roman"/>
          <w:szCs w:val="24"/>
        </w:rPr>
      </w:pPr>
      <w:proofErr w:type="spellStart"/>
      <w:r w:rsidRPr="000A16E7">
        <w:rPr>
          <w:rFonts w:cs="Times New Roman"/>
          <w:szCs w:val="24"/>
        </w:rPr>
        <w:t>Telewsparcie</w:t>
      </w:r>
      <w:proofErr w:type="spellEnd"/>
      <w:r w:rsidRPr="000A16E7">
        <w:rPr>
          <w:rFonts w:cs="Times New Roman"/>
          <w:szCs w:val="24"/>
        </w:rPr>
        <w:t xml:space="preserve"> dla seniorów, to program prowadzony od 16 czerwca do 18 września 2020 r. Adresowany był do mieszkańców miasta Krosna w wieku powyżej 60 roku życia. Celem programu było przeciwdziałanie izolacji społecznej osób starszych, a jednocześnie pełnienie funkcji informacyjnej i doradczej dla seniorów podczas izolacji społecznej spowodowanej pandemią COVID-19. </w:t>
      </w:r>
      <w:proofErr w:type="spellStart"/>
      <w:r w:rsidRPr="000A16E7">
        <w:rPr>
          <w:rFonts w:cs="Times New Roman"/>
          <w:szCs w:val="24"/>
        </w:rPr>
        <w:t>Telewsparcia</w:t>
      </w:r>
      <w:proofErr w:type="spellEnd"/>
      <w:r w:rsidRPr="000A16E7">
        <w:rPr>
          <w:rFonts w:cs="Times New Roman"/>
          <w:szCs w:val="24"/>
        </w:rPr>
        <w:t xml:space="preserve"> seniorom udzielali psychologowie i pedagodzy podczas dyżurów telefonicznych. Podczas 3 miesięcznego okresu trwania programu z pomocy skorzystało łącznie 101 osób. </w:t>
      </w:r>
    </w:p>
    <w:p w14:paraId="6377902F" w14:textId="77777777" w:rsidR="000A16E7" w:rsidRPr="00722095" w:rsidRDefault="000A16E7" w:rsidP="00722095">
      <w:pPr>
        <w:rPr>
          <w:rFonts w:cs="Times New Roman"/>
          <w:szCs w:val="24"/>
        </w:rPr>
      </w:pPr>
    </w:p>
    <w:p w14:paraId="1435D01A" w14:textId="77777777" w:rsidR="00722095" w:rsidRPr="00722095" w:rsidRDefault="00722095" w:rsidP="00722095">
      <w:pPr>
        <w:rPr>
          <w:rFonts w:cs="Times New Roman"/>
          <w:szCs w:val="24"/>
        </w:rPr>
      </w:pPr>
      <w:r w:rsidRPr="00722095">
        <w:rPr>
          <w:rFonts w:cs="Times New Roman"/>
          <w:szCs w:val="24"/>
        </w:rPr>
        <w:t>Jasło gmina wiejska</w:t>
      </w:r>
    </w:p>
    <w:p w14:paraId="6F7D3176" w14:textId="77777777" w:rsidR="00722095" w:rsidRPr="00722095" w:rsidRDefault="00722095" w:rsidP="00722095">
      <w:pPr>
        <w:rPr>
          <w:rFonts w:cs="Times New Roman"/>
          <w:szCs w:val="24"/>
        </w:rPr>
      </w:pPr>
      <w:r w:rsidRPr="00722095">
        <w:rPr>
          <w:rFonts w:cs="Times New Roman"/>
          <w:szCs w:val="24"/>
        </w:rPr>
        <w:t>„</w:t>
      </w:r>
      <w:proofErr w:type="spellStart"/>
      <w:r w:rsidRPr="00722095">
        <w:rPr>
          <w:rFonts w:cs="Times New Roman"/>
          <w:szCs w:val="24"/>
        </w:rPr>
        <w:t>Teleanioł</w:t>
      </w:r>
      <w:proofErr w:type="spellEnd"/>
      <w:r w:rsidRPr="00722095">
        <w:rPr>
          <w:rFonts w:cs="Times New Roman"/>
          <w:szCs w:val="24"/>
        </w:rPr>
        <w:t xml:space="preserve"> jasielski – usługi sąsiedzkie i </w:t>
      </w:r>
      <w:proofErr w:type="spellStart"/>
      <w:r w:rsidRPr="00722095">
        <w:rPr>
          <w:rFonts w:cs="Times New Roman"/>
          <w:szCs w:val="24"/>
        </w:rPr>
        <w:t>teleopieka</w:t>
      </w:r>
      <w:proofErr w:type="spellEnd"/>
      <w:r w:rsidRPr="00722095">
        <w:rPr>
          <w:rFonts w:cs="Times New Roman"/>
          <w:szCs w:val="24"/>
        </w:rPr>
        <w:t xml:space="preserve"> dla osób starszych niesamodzielnych” </w:t>
      </w:r>
    </w:p>
    <w:p w14:paraId="30DF68AA" w14:textId="77777777" w:rsidR="00722095" w:rsidRPr="00722095" w:rsidRDefault="00722095" w:rsidP="00722095">
      <w:pPr>
        <w:rPr>
          <w:rFonts w:cs="Times New Roman"/>
          <w:szCs w:val="24"/>
        </w:rPr>
      </w:pPr>
      <w:r w:rsidRPr="00722095">
        <w:rPr>
          <w:rFonts w:cs="Times New Roman"/>
          <w:szCs w:val="24"/>
        </w:rPr>
        <w:t xml:space="preserve">w ramach projektu wykorzystana została usługa realizowana przez zastosowanie opasek życia – w momencie zagrożenia życia lub zdrowia senior naciska przycisk na opasce i łączy się </w:t>
      </w:r>
    </w:p>
    <w:p w14:paraId="05BF11B6" w14:textId="77777777" w:rsidR="00722095" w:rsidRPr="00722095" w:rsidRDefault="00722095" w:rsidP="00722095">
      <w:pPr>
        <w:rPr>
          <w:rFonts w:cs="Times New Roman"/>
          <w:szCs w:val="24"/>
        </w:rPr>
      </w:pPr>
      <w:r w:rsidRPr="00722095">
        <w:rPr>
          <w:rFonts w:cs="Times New Roman"/>
          <w:szCs w:val="24"/>
        </w:rPr>
        <w:t>z ratownikiem, który zapewnia odpowiednią pomoc, np. wezwanie karetki pogotowia lub osoby z najbliższego otoczenia.</w:t>
      </w:r>
    </w:p>
    <w:p w14:paraId="4C37F8AF" w14:textId="58C34044" w:rsidR="00722095" w:rsidRDefault="00722095" w:rsidP="001F11AE">
      <w:pPr>
        <w:rPr>
          <w:rFonts w:cs="Times New Roman"/>
          <w:szCs w:val="24"/>
        </w:rPr>
      </w:pPr>
    </w:p>
    <w:p w14:paraId="78B70154" w14:textId="77777777" w:rsidR="00722095" w:rsidRDefault="00722095" w:rsidP="00E7359C">
      <w:pPr>
        <w:rPr>
          <w:rFonts w:cs="Times New Roman"/>
          <w:b/>
          <w:color w:val="FF0000"/>
          <w:szCs w:val="24"/>
          <w:lang w:eastAsia="ar-SA"/>
        </w:rPr>
      </w:pPr>
    </w:p>
    <w:p w14:paraId="3DEF9DC7" w14:textId="6C539CF3" w:rsidR="00722095" w:rsidRDefault="00722095" w:rsidP="00722095">
      <w:pPr>
        <w:pStyle w:val="Nagwek3"/>
      </w:pPr>
      <w:bookmarkStart w:id="245" w:name="_Toc77514004"/>
      <w:bookmarkStart w:id="246" w:name="_Toc80523160"/>
      <w:r w:rsidRPr="00722095">
        <w:lastRenderedPageBreak/>
        <w:t xml:space="preserve">Działania związane z ochroną seniorów przed negatywnymi skutkami pandemii COVID-19, które zostały podjęte w 2020 r w województwie </w:t>
      </w:r>
      <w:r>
        <w:t>podkarpackim</w:t>
      </w:r>
      <w:bookmarkEnd w:id="245"/>
      <w:bookmarkEnd w:id="246"/>
    </w:p>
    <w:p w14:paraId="3BC8F321" w14:textId="77777777" w:rsidR="00722095" w:rsidRDefault="00722095" w:rsidP="00722095">
      <w:pPr>
        <w:rPr>
          <w:rFonts w:cs="Times New Roman"/>
          <w:szCs w:val="24"/>
        </w:rPr>
      </w:pPr>
    </w:p>
    <w:p w14:paraId="18A3D12F" w14:textId="24932396" w:rsidR="00722095" w:rsidRPr="00722095" w:rsidRDefault="00722095" w:rsidP="00722095">
      <w:pPr>
        <w:rPr>
          <w:rFonts w:cs="Times New Roman"/>
          <w:szCs w:val="24"/>
        </w:rPr>
      </w:pPr>
      <w:r w:rsidRPr="00722095">
        <w:rPr>
          <w:rFonts w:cs="Times New Roman"/>
          <w:szCs w:val="24"/>
        </w:rPr>
        <w:t>Celem wsparcia osób starszych w związku z ograniczeniami wynikającymi ze stanu epidemii podejmowano następujące działania:</w:t>
      </w:r>
    </w:p>
    <w:p w14:paraId="5F9CC1E1" w14:textId="77777777" w:rsidR="00722095" w:rsidRPr="00722095" w:rsidRDefault="00722095" w:rsidP="00722095">
      <w:pPr>
        <w:rPr>
          <w:rFonts w:cs="Times New Roman"/>
          <w:szCs w:val="24"/>
        </w:rPr>
      </w:pPr>
      <w:r w:rsidRPr="00722095">
        <w:rPr>
          <w:rFonts w:cs="Times New Roman"/>
          <w:szCs w:val="24"/>
        </w:rPr>
        <w:t xml:space="preserve">- Realizacja przez gminy Programu „Wspieraj Seniora”, którego celem było zapewnienie usługi wsparcia Seniorom, którzy w obowiązującym stanie epidemii zdecydowali się na pozostanie w domu i nie mieli możliwości zabezpieczyć sobie artykułów podstawowej potrzeby. Program był odpowiedzią na potrzeby osób w wieku 70 lat i więcej, </w:t>
      </w:r>
    </w:p>
    <w:p w14:paraId="1BC6AB5C" w14:textId="77777777" w:rsidR="00722095" w:rsidRPr="00722095" w:rsidRDefault="00722095" w:rsidP="00722095">
      <w:pPr>
        <w:rPr>
          <w:rFonts w:cs="Times New Roman"/>
          <w:szCs w:val="24"/>
        </w:rPr>
      </w:pPr>
      <w:r w:rsidRPr="00722095">
        <w:rPr>
          <w:rFonts w:cs="Times New Roman"/>
          <w:szCs w:val="24"/>
        </w:rPr>
        <w:t xml:space="preserve">a w szczególnych przypadkach osób poniżej 70 r.ż., w zakresie ochrony przed zakażeniem Covid-19. W województwie podkarpackim zdecydowana większość gmin realizowała usługę wsparcia seniorom poprzez pracowników zatrudnionych w ośrodkach pomocy społecznej. Usługa wsparcia w gminach polegała w szczególności na dostarczeniu zakupów obejmujących artykuły podstawowej potrzeby, w tym artykuły spożywcze, środki higieny osobistej, ale także wykupienie leków w aptece, wyniesienie śmieci, dokonanie opłat za media, pomoc w przyniesieniu opału i wody, odebranie przesyłki na poczcie. </w:t>
      </w:r>
    </w:p>
    <w:p w14:paraId="2FA89B00" w14:textId="77777777" w:rsidR="00722095" w:rsidRPr="00722095" w:rsidRDefault="00722095" w:rsidP="00722095">
      <w:pPr>
        <w:rPr>
          <w:rFonts w:cs="Times New Roman"/>
          <w:szCs w:val="24"/>
        </w:rPr>
      </w:pPr>
      <w:r w:rsidRPr="00722095">
        <w:rPr>
          <w:rFonts w:cs="Times New Roman"/>
          <w:szCs w:val="24"/>
        </w:rPr>
        <w:t xml:space="preserve">- W Wydziale Polityki Społecznej PUW w Rzeszowie w związku z pandemią, od marca </w:t>
      </w:r>
    </w:p>
    <w:p w14:paraId="724F19C7" w14:textId="77777777" w:rsidR="00722095" w:rsidRPr="00722095" w:rsidRDefault="00722095" w:rsidP="00722095">
      <w:pPr>
        <w:rPr>
          <w:rFonts w:cs="Times New Roman"/>
          <w:szCs w:val="24"/>
        </w:rPr>
      </w:pPr>
      <w:r w:rsidRPr="00722095">
        <w:rPr>
          <w:rFonts w:cs="Times New Roman"/>
          <w:szCs w:val="24"/>
        </w:rPr>
        <w:t xml:space="preserve">2020 r., prowadzono obsługę aplikacji dziennej – przyjmowanie zgłoszeń z aplikacji „Kwarantanna domowa”, tj. zgłoszeń osób przebywających w kwarantannie domowej </w:t>
      </w:r>
    </w:p>
    <w:p w14:paraId="5F9CCBC5" w14:textId="77777777" w:rsidR="00722095" w:rsidRPr="00722095" w:rsidRDefault="00722095" w:rsidP="00722095">
      <w:pPr>
        <w:rPr>
          <w:rFonts w:cs="Times New Roman"/>
          <w:szCs w:val="24"/>
        </w:rPr>
      </w:pPr>
      <w:r w:rsidRPr="00722095">
        <w:rPr>
          <w:rFonts w:cs="Times New Roman"/>
          <w:szCs w:val="24"/>
        </w:rPr>
        <w:t xml:space="preserve">i potrzebujących pomocy, w tym m.in. osób starszych. Pracownik tut. Wydziału przyjmował zgłoszenia 5 razy dziennie przez 7 dni w tygodniu, następnie nawiązywał kontakt z OPS </w:t>
      </w:r>
    </w:p>
    <w:p w14:paraId="1D4234BD" w14:textId="77777777" w:rsidR="00722095" w:rsidRPr="00722095" w:rsidRDefault="00722095" w:rsidP="00722095">
      <w:pPr>
        <w:rPr>
          <w:rFonts w:cs="Times New Roman"/>
          <w:szCs w:val="24"/>
        </w:rPr>
      </w:pPr>
      <w:r w:rsidRPr="00722095">
        <w:rPr>
          <w:rFonts w:cs="Times New Roman"/>
          <w:szCs w:val="24"/>
        </w:rPr>
        <w:t xml:space="preserve">w celu zorganizowania pomocy dla osoby potrzebującej. Ponadto, podjęto współpracę </w:t>
      </w:r>
    </w:p>
    <w:p w14:paraId="0FEDE6EB" w14:textId="77777777" w:rsidR="00722095" w:rsidRPr="00722095" w:rsidRDefault="00722095" w:rsidP="00722095">
      <w:pPr>
        <w:rPr>
          <w:rFonts w:cs="Times New Roman"/>
          <w:szCs w:val="24"/>
        </w:rPr>
      </w:pPr>
      <w:r w:rsidRPr="00722095">
        <w:rPr>
          <w:rFonts w:cs="Times New Roman"/>
          <w:szCs w:val="24"/>
        </w:rPr>
        <w:t>z Wojewódzką Stacją Sanitarno-Epidemiologiczną w Rzeszowie w zakresie udzielania pomocy osobom potrzebującym wsparcia, w tym osobom starszym, przez ośrodki pomocy społecznej.</w:t>
      </w:r>
    </w:p>
    <w:p w14:paraId="34C077F3" w14:textId="77777777" w:rsidR="00722095" w:rsidRPr="00722095" w:rsidRDefault="00722095" w:rsidP="00722095">
      <w:pPr>
        <w:rPr>
          <w:rFonts w:cs="Times New Roman"/>
          <w:szCs w:val="24"/>
        </w:rPr>
      </w:pPr>
      <w:r w:rsidRPr="00722095">
        <w:rPr>
          <w:rFonts w:cs="Times New Roman"/>
          <w:szCs w:val="24"/>
        </w:rPr>
        <w:t xml:space="preserve">- Samorząd Województwa Podkarpackiego w ramach Wojewódzkiego Programu Pomocy Społecznej na lata 2016-2023, cel: ograniczenie zjawiska wykluczenia społecznego </w:t>
      </w:r>
    </w:p>
    <w:p w14:paraId="56C6700E" w14:textId="77777777" w:rsidR="00722095" w:rsidRPr="00722095" w:rsidRDefault="00722095" w:rsidP="00722095">
      <w:pPr>
        <w:rPr>
          <w:rFonts w:cs="Times New Roman"/>
          <w:szCs w:val="24"/>
        </w:rPr>
      </w:pPr>
      <w:r w:rsidRPr="00722095">
        <w:rPr>
          <w:rFonts w:cs="Times New Roman"/>
          <w:szCs w:val="24"/>
        </w:rPr>
        <w:t>w województwie podejmował działania związane z ochroną seniorów przed negatywnymi skutkami pandemii, realizując następujące projekty:</w:t>
      </w:r>
    </w:p>
    <w:p w14:paraId="15C5AD91" w14:textId="77777777" w:rsidR="00722095" w:rsidRPr="00722095" w:rsidRDefault="00722095" w:rsidP="00722095">
      <w:pPr>
        <w:rPr>
          <w:rFonts w:cs="Times New Roman"/>
          <w:szCs w:val="24"/>
        </w:rPr>
      </w:pPr>
      <w:r w:rsidRPr="00722095">
        <w:rPr>
          <w:rFonts w:cs="Times New Roman"/>
          <w:szCs w:val="24"/>
        </w:rPr>
        <w:t xml:space="preserve">- „Lepsze jutro” w ramach działania 2.8. PO WER zrealizowano 50 projektów na rzecz 51 DPS-ów dla 4.593 mieszkańców. Domy pomocy społecznej wyposażone zostały w środki ochrony indywidualnej dla pracowników instytucji, personelu medycznego, pensjonariuszy </w:t>
      </w:r>
    </w:p>
    <w:p w14:paraId="5BA05D67" w14:textId="77777777" w:rsidR="00722095" w:rsidRPr="00722095" w:rsidRDefault="00722095" w:rsidP="00722095">
      <w:pPr>
        <w:rPr>
          <w:rFonts w:cs="Times New Roman"/>
          <w:szCs w:val="24"/>
        </w:rPr>
      </w:pPr>
      <w:r w:rsidRPr="00722095">
        <w:rPr>
          <w:rFonts w:cs="Times New Roman"/>
          <w:szCs w:val="24"/>
        </w:rPr>
        <w:t xml:space="preserve">i ich opiekunów; sprzęt i wyposażenie związane z walką z COVID-19; sprzęt do wyposażenia i obsługi izolatek; zakup i przeprowadzenie testów na COVID-19. </w:t>
      </w:r>
    </w:p>
    <w:p w14:paraId="2C84BD00" w14:textId="34BB0120" w:rsidR="00722095" w:rsidRDefault="00722095" w:rsidP="00722095">
      <w:pPr>
        <w:rPr>
          <w:rFonts w:cs="Times New Roman"/>
          <w:szCs w:val="24"/>
        </w:rPr>
      </w:pPr>
      <w:r w:rsidRPr="00722095">
        <w:rPr>
          <w:rFonts w:cs="Times New Roman"/>
          <w:szCs w:val="24"/>
        </w:rPr>
        <w:t>- „Standardy w zakresie mieszkalnictwa wspomaganego dla osób chorujących psychicznie po wielokrotnych pobytach w szpitalu psychiatrycznym” oraz „Liderzy kooperacji”. Projekty skierowane były do 51 DPS-ów i polegały na wyposażeniu domów w środki ochrony indywidualnej dla pracowników instytucji, personelu medycznego, pensjonariuszy i ich opiekunów.</w:t>
      </w:r>
    </w:p>
    <w:p w14:paraId="052705C4" w14:textId="77777777" w:rsidR="000A16E7" w:rsidRDefault="000A16E7" w:rsidP="00722095">
      <w:pPr>
        <w:rPr>
          <w:rFonts w:cs="Times New Roman"/>
          <w:szCs w:val="24"/>
        </w:rPr>
      </w:pPr>
    </w:p>
    <w:p w14:paraId="272F63E4" w14:textId="30FA06DB" w:rsidR="00AC180B" w:rsidRDefault="00AC180B" w:rsidP="00AC180B">
      <w:pPr>
        <w:pStyle w:val="Nagwek3"/>
      </w:pPr>
      <w:bookmarkStart w:id="247" w:name="_Toc77514005"/>
      <w:bookmarkStart w:id="248" w:name="_Toc80523161"/>
      <w:r>
        <w:t>Infrastruktura społeczna oraz usługi świadczone osobom starszym w 2020 r.</w:t>
      </w:r>
      <w:bookmarkEnd w:id="247"/>
      <w:bookmarkEnd w:id="248"/>
    </w:p>
    <w:p w14:paraId="02E5C0E6" w14:textId="77777777" w:rsidR="000B1B06" w:rsidRPr="000B1B06" w:rsidRDefault="000B1B06" w:rsidP="000B1B06"/>
    <w:p w14:paraId="6017DEE5" w14:textId="60171228" w:rsidR="00AC180B" w:rsidRDefault="00AC180B" w:rsidP="00AC180B">
      <w:pPr>
        <w:rPr>
          <w:rFonts w:cs="Times New Roman"/>
          <w:szCs w:val="24"/>
        </w:rPr>
      </w:pPr>
      <w:r w:rsidRPr="00D96C8C">
        <w:rPr>
          <w:rFonts w:cs="Times New Roman"/>
          <w:szCs w:val="24"/>
        </w:rPr>
        <w:t xml:space="preserve">Szczegółowe informacje dotyczące usług oraz infrastruktury społecznej dostępnej dla osób starszych w województwie </w:t>
      </w:r>
      <w:r w:rsidR="005C3916">
        <w:rPr>
          <w:rFonts w:cs="Times New Roman"/>
          <w:szCs w:val="24"/>
        </w:rPr>
        <w:t>podkarpackim</w:t>
      </w:r>
      <w:r>
        <w:rPr>
          <w:rFonts w:cs="Times New Roman"/>
          <w:szCs w:val="24"/>
        </w:rPr>
        <w:t xml:space="preserve"> w 2020 r. przedstawia poniższa tabela</w:t>
      </w:r>
    </w:p>
    <w:p w14:paraId="0ECED275" w14:textId="77777777" w:rsidR="005D2A2C" w:rsidRDefault="005D2A2C" w:rsidP="003C1988">
      <w:pPr>
        <w:rPr>
          <w:rFonts w:cs="Times New Roman"/>
          <w:color w:val="FF0000"/>
          <w:szCs w:val="24"/>
          <w:lang w:eastAsia="ar-SA"/>
        </w:rPr>
      </w:pPr>
    </w:p>
    <w:p w14:paraId="2F6C8F1F" w14:textId="77777777" w:rsidR="00AC180B" w:rsidRDefault="00AC180B" w:rsidP="003C1988">
      <w:pPr>
        <w:rPr>
          <w:rFonts w:cs="Times New Roman"/>
          <w:color w:val="FF0000"/>
          <w:szCs w:val="24"/>
          <w:lang w:eastAsia="ar-SA"/>
        </w:rPr>
      </w:pPr>
    </w:p>
    <w:p w14:paraId="72BB7013" w14:textId="77777777" w:rsidR="00AC180B" w:rsidRPr="0092226B" w:rsidRDefault="00AC180B" w:rsidP="003C1988">
      <w:pPr>
        <w:rPr>
          <w:rFonts w:cs="Times New Roman"/>
          <w:color w:val="FF0000"/>
          <w:szCs w:val="24"/>
          <w:lang w:eastAsia="ar-SA"/>
        </w:rPr>
        <w:sectPr w:rsidR="00AC180B" w:rsidRPr="0092226B" w:rsidSect="00DB6308">
          <w:pgSz w:w="11900" w:h="16838"/>
          <w:pgMar w:top="1384" w:right="1386" w:bottom="1038" w:left="1380" w:header="0" w:footer="567" w:gutter="0"/>
          <w:cols w:space="0" w:equalWidth="0">
            <w:col w:w="9140"/>
          </w:cols>
          <w:docGrid w:linePitch="360"/>
        </w:sectPr>
      </w:pPr>
    </w:p>
    <w:p w14:paraId="1BC7849D" w14:textId="243476E2" w:rsidR="004D48DD" w:rsidRPr="00AA01BF" w:rsidRDefault="004D48DD" w:rsidP="004D48DD">
      <w:pPr>
        <w:pStyle w:val="Legenda"/>
        <w:keepNext/>
        <w:rPr>
          <w:rFonts w:cs="Times New Roman"/>
          <w:b/>
          <w:i w:val="0"/>
          <w:color w:val="auto"/>
          <w:sz w:val="24"/>
        </w:rPr>
      </w:pPr>
      <w:bookmarkStart w:id="249" w:name="_Toc49171438"/>
      <w:r w:rsidRPr="00AA01BF">
        <w:rPr>
          <w:rFonts w:cs="Times New Roman"/>
          <w:b/>
          <w:i w:val="0"/>
          <w:color w:val="auto"/>
          <w:sz w:val="24"/>
        </w:rPr>
        <w:lastRenderedPageBreak/>
        <w:t xml:space="preserve">Tabela </w:t>
      </w:r>
      <w:r w:rsidR="005B094D">
        <w:rPr>
          <w:rFonts w:cs="Times New Roman"/>
          <w:b/>
          <w:i w:val="0"/>
          <w:color w:val="auto"/>
          <w:sz w:val="24"/>
        </w:rPr>
        <w:t>66</w:t>
      </w:r>
      <w:r w:rsidR="00054E88">
        <w:rPr>
          <w:rFonts w:cs="Times New Roman"/>
          <w:b/>
          <w:i w:val="0"/>
          <w:color w:val="auto"/>
          <w:sz w:val="24"/>
        </w:rPr>
        <w:t>.</w:t>
      </w:r>
      <w:r w:rsidRPr="00AA01BF">
        <w:rPr>
          <w:rFonts w:cs="Times New Roman"/>
          <w:b/>
          <w:i w:val="0"/>
          <w:color w:val="auto"/>
          <w:sz w:val="24"/>
        </w:rPr>
        <w:t xml:space="preserve"> Karta województwa podkarpackiego</w:t>
      </w:r>
      <w:bookmarkEnd w:id="249"/>
    </w:p>
    <w:tbl>
      <w:tblPr>
        <w:tblStyle w:val="Tabelasiatki5ciemnaakcent2"/>
        <w:tblpPr w:leftFromText="142" w:rightFromText="142" w:vertAnchor="text" w:horzAnchor="margin" w:tblpXSpec="center" w:tblpY="1"/>
        <w:tblW w:w="14567" w:type="dxa"/>
        <w:tblLayout w:type="fixed"/>
        <w:tblLook w:val="04A0" w:firstRow="1" w:lastRow="0" w:firstColumn="1" w:lastColumn="0" w:noHBand="0" w:noVBand="1"/>
      </w:tblPr>
      <w:tblGrid>
        <w:gridCol w:w="2830"/>
        <w:gridCol w:w="3066"/>
        <w:gridCol w:w="53"/>
        <w:gridCol w:w="2895"/>
        <w:gridCol w:w="790"/>
        <w:gridCol w:w="2158"/>
        <w:gridCol w:w="2775"/>
      </w:tblGrid>
      <w:tr w:rsidR="00722095" w:rsidRPr="0092226B" w14:paraId="4650FFE7" w14:textId="77777777" w:rsidTr="00722095">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567" w:type="dxa"/>
            <w:gridSpan w:val="7"/>
          </w:tcPr>
          <w:p w14:paraId="2760C421" w14:textId="0B4A4A7A" w:rsidR="00722095" w:rsidRPr="00DE642C" w:rsidRDefault="00722095" w:rsidP="00E86509">
            <w:pPr>
              <w:spacing w:line="240" w:lineRule="auto"/>
              <w:jc w:val="center"/>
              <w:rPr>
                <w:rFonts w:cs="Times New Roman"/>
                <w:color w:val="auto"/>
                <w:sz w:val="20"/>
                <w:szCs w:val="20"/>
              </w:rPr>
            </w:pPr>
            <w:r w:rsidRPr="00DE642C">
              <w:rPr>
                <w:rFonts w:cs="Times New Roman"/>
                <w:color w:val="auto"/>
                <w:sz w:val="20"/>
                <w:szCs w:val="20"/>
              </w:rPr>
              <w:t>WOJEWÓDZTWO PODKARPACKIE</w:t>
            </w:r>
          </w:p>
        </w:tc>
      </w:tr>
      <w:tr w:rsidR="0092226B" w:rsidRPr="0092226B" w14:paraId="6F5F3080" w14:textId="77777777" w:rsidTr="00722095">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567" w:type="dxa"/>
            <w:gridSpan w:val="7"/>
          </w:tcPr>
          <w:p w14:paraId="50372A50" w14:textId="54F705B6" w:rsidR="005D2A2C" w:rsidRPr="00DE642C" w:rsidRDefault="005D2A2C" w:rsidP="00E86509">
            <w:pPr>
              <w:spacing w:line="240" w:lineRule="auto"/>
              <w:jc w:val="center"/>
              <w:rPr>
                <w:rFonts w:cs="Times New Roman"/>
                <w:color w:val="auto"/>
                <w:sz w:val="20"/>
                <w:szCs w:val="20"/>
              </w:rPr>
            </w:pPr>
            <w:r w:rsidRPr="00DE642C">
              <w:rPr>
                <w:rFonts w:cs="Times New Roman"/>
                <w:color w:val="auto"/>
                <w:sz w:val="20"/>
                <w:szCs w:val="20"/>
              </w:rPr>
              <w:t>USŁUGI SPOŁECZNE DLA OSÓB STARSZYCH / INFRASTRUKTURA POMOCY SPOLECZNEJ – DANE ZA 20</w:t>
            </w:r>
            <w:r w:rsidR="00722095" w:rsidRPr="00DE642C">
              <w:rPr>
                <w:rFonts w:cs="Times New Roman"/>
                <w:color w:val="auto"/>
                <w:sz w:val="20"/>
                <w:szCs w:val="20"/>
              </w:rPr>
              <w:t>20</w:t>
            </w:r>
            <w:r w:rsidRPr="00DE642C">
              <w:rPr>
                <w:rFonts w:cs="Times New Roman"/>
                <w:color w:val="auto"/>
                <w:sz w:val="20"/>
                <w:szCs w:val="20"/>
              </w:rPr>
              <w:t xml:space="preserve"> R.</w:t>
            </w:r>
          </w:p>
        </w:tc>
      </w:tr>
      <w:tr w:rsidR="0092226B" w:rsidRPr="0092226B" w14:paraId="4D846ED4" w14:textId="77777777" w:rsidTr="00722095">
        <w:trPr>
          <w:trHeight w:val="7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31D49EDA" w14:textId="77777777" w:rsidR="005D2A2C" w:rsidRPr="00DE642C" w:rsidRDefault="005D2A2C" w:rsidP="00E86509">
            <w:pPr>
              <w:spacing w:line="240" w:lineRule="auto"/>
              <w:rPr>
                <w:rFonts w:eastAsia="Times New Roman" w:cs="Times New Roman"/>
                <w:b w:val="0"/>
                <w:bCs w:val="0"/>
                <w:color w:val="auto"/>
                <w:sz w:val="20"/>
                <w:szCs w:val="20"/>
                <w:lang w:eastAsia="pl-PL"/>
              </w:rPr>
            </w:pPr>
            <w:r w:rsidRPr="00DE642C">
              <w:rPr>
                <w:rFonts w:eastAsia="Times New Roman" w:cs="Times New Roman"/>
                <w:color w:val="auto"/>
                <w:sz w:val="20"/>
                <w:szCs w:val="20"/>
                <w:lang w:eastAsia="pl-PL"/>
              </w:rPr>
              <w:t>Instytucje pomocy społecznej, w tym:</w:t>
            </w:r>
          </w:p>
        </w:tc>
        <w:tc>
          <w:tcPr>
            <w:tcW w:w="3066" w:type="dxa"/>
          </w:tcPr>
          <w:p w14:paraId="44DEF0E1" w14:textId="77777777" w:rsidR="005D2A2C" w:rsidRPr="00DE642C" w:rsidRDefault="005D2A2C"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E642C">
              <w:rPr>
                <w:rFonts w:cs="Times New Roman"/>
                <w:b/>
                <w:sz w:val="20"/>
                <w:szCs w:val="20"/>
              </w:rPr>
              <w:t>Rodzaj placówki</w:t>
            </w:r>
          </w:p>
        </w:tc>
        <w:tc>
          <w:tcPr>
            <w:tcW w:w="2948" w:type="dxa"/>
            <w:gridSpan w:val="2"/>
          </w:tcPr>
          <w:p w14:paraId="37CBBFDB" w14:textId="77777777" w:rsidR="005D2A2C" w:rsidRPr="00DE642C" w:rsidRDefault="005D2A2C"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E642C">
              <w:rPr>
                <w:rFonts w:cs="Times New Roman"/>
                <w:b/>
                <w:sz w:val="20"/>
                <w:szCs w:val="20"/>
              </w:rPr>
              <w:t>Liczba placówek</w:t>
            </w:r>
          </w:p>
        </w:tc>
        <w:tc>
          <w:tcPr>
            <w:tcW w:w="2948" w:type="dxa"/>
            <w:gridSpan w:val="2"/>
          </w:tcPr>
          <w:p w14:paraId="1E8BFF6A" w14:textId="77777777" w:rsidR="005D2A2C" w:rsidRPr="00DE642C" w:rsidRDefault="005D2A2C"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E642C">
              <w:rPr>
                <w:rFonts w:cs="Times New Roman"/>
                <w:b/>
                <w:sz w:val="20"/>
                <w:szCs w:val="20"/>
              </w:rPr>
              <w:t>Liczba miejsc dla osób starszych</w:t>
            </w:r>
          </w:p>
        </w:tc>
        <w:tc>
          <w:tcPr>
            <w:tcW w:w="2775" w:type="dxa"/>
          </w:tcPr>
          <w:p w14:paraId="7BD24A97" w14:textId="77777777" w:rsidR="005D2A2C" w:rsidRPr="00DE642C" w:rsidRDefault="005D2A2C"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Liczba korzystających osób starszych</w:t>
            </w:r>
          </w:p>
        </w:tc>
      </w:tr>
      <w:tr w:rsidR="0092226B" w:rsidRPr="0092226B" w14:paraId="71F76BAD" w14:textId="77777777" w:rsidTr="00722095">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4469FD9" w14:textId="77777777" w:rsidR="005D2A2C" w:rsidRPr="00DE642C" w:rsidRDefault="005D2A2C" w:rsidP="00E86509">
            <w:pPr>
              <w:spacing w:line="240" w:lineRule="auto"/>
              <w:rPr>
                <w:rFonts w:eastAsia="Times New Roman" w:cs="Times New Roman"/>
                <w:color w:val="auto"/>
                <w:sz w:val="20"/>
                <w:szCs w:val="20"/>
                <w:lang w:eastAsia="pl-PL"/>
              </w:rPr>
            </w:pPr>
          </w:p>
        </w:tc>
        <w:tc>
          <w:tcPr>
            <w:tcW w:w="3066" w:type="dxa"/>
          </w:tcPr>
          <w:p w14:paraId="146F16CF" w14:textId="77777777" w:rsidR="005D2A2C" w:rsidRPr="00DE642C" w:rsidRDefault="005D2A2C" w:rsidP="00E8650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Środowiskowe Domy Samopomocy</w:t>
            </w:r>
          </w:p>
        </w:tc>
        <w:tc>
          <w:tcPr>
            <w:tcW w:w="2948" w:type="dxa"/>
            <w:gridSpan w:val="2"/>
          </w:tcPr>
          <w:p w14:paraId="04CAC7EA" w14:textId="767D014C" w:rsidR="005D2A2C" w:rsidRPr="00DE642C" w:rsidRDefault="00722095"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70</w:t>
            </w:r>
          </w:p>
        </w:tc>
        <w:tc>
          <w:tcPr>
            <w:tcW w:w="2948" w:type="dxa"/>
            <w:gridSpan w:val="2"/>
          </w:tcPr>
          <w:p w14:paraId="7263FEC6" w14:textId="52C443E6" w:rsidR="005D2A2C" w:rsidRPr="00DE642C" w:rsidRDefault="00722095"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2701</w:t>
            </w:r>
          </w:p>
          <w:p w14:paraId="0131D690" w14:textId="77777777" w:rsidR="005D2A2C" w:rsidRPr="00DE642C" w:rsidRDefault="005D2A2C"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miejsca statutowe</w:t>
            </w:r>
          </w:p>
        </w:tc>
        <w:tc>
          <w:tcPr>
            <w:tcW w:w="2775" w:type="dxa"/>
          </w:tcPr>
          <w:p w14:paraId="700103B0" w14:textId="150BF5B0" w:rsidR="005D2A2C" w:rsidRPr="00DE642C" w:rsidRDefault="00722095"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744</w:t>
            </w:r>
          </w:p>
        </w:tc>
      </w:tr>
      <w:tr w:rsidR="0092226B" w:rsidRPr="0092226B" w14:paraId="783D2A16" w14:textId="77777777" w:rsidTr="00722095">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BEAB114" w14:textId="77777777" w:rsidR="005D2A2C" w:rsidRPr="00DE642C" w:rsidRDefault="005D2A2C" w:rsidP="00E86509">
            <w:pPr>
              <w:spacing w:line="240" w:lineRule="auto"/>
              <w:rPr>
                <w:rFonts w:eastAsia="Times New Roman" w:cs="Times New Roman"/>
                <w:color w:val="auto"/>
                <w:sz w:val="20"/>
                <w:szCs w:val="20"/>
                <w:lang w:eastAsia="pl-PL"/>
              </w:rPr>
            </w:pPr>
          </w:p>
        </w:tc>
        <w:tc>
          <w:tcPr>
            <w:tcW w:w="3066" w:type="dxa"/>
          </w:tcPr>
          <w:p w14:paraId="35980F07" w14:textId="77777777" w:rsidR="005D2A2C" w:rsidRPr="00DE642C" w:rsidRDefault="005D2A2C" w:rsidP="00E8650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Dzienne Domy Pomocy</w:t>
            </w:r>
          </w:p>
        </w:tc>
        <w:tc>
          <w:tcPr>
            <w:tcW w:w="2948" w:type="dxa"/>
            <w:gridSpan w:val="2"/>
          </w:tcPr>
          <w:p w14:paraId="25855351" w14:textId="4AF2A8F2" w:rsidR="005D2A2C" w:rsidRPr="00DE642C" w:rsidRDefault="00722095"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15</w:t>
            </w:r>
          </w:p>
        </w:tc>
        <w:tc>
          <w:tcPr>
            <w:tcW w:w="2948" w:type="dxa"/>
            <w:gridSpan w:val="2"/>
          </w:tcPr>
          <w:p w14:paraId="06DA00C1" w14:textId="3E1E46C0" w:rsidR="005D2A2C" w:rsidRPr="00DE642C" w:rsidRDefault="00722095"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466</w:t>
            </w:r>
          </w:p>
        </w:tc>
        <w:tc>
          <w:tcPr>
            <w:tcW w:w="2775" w:type="dxa"/>
          </w:tcPr>
          <w:p w14:paraId="745B93AC" w14:textId="39D92D9E" w:rsidR="005D2A2C" w:rsidRPr="00DE642C" w:rsidRDefault="00722095"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363</w:t>
            </w:r>
          </w:p>
        </w:tc>
      </w:tr>
      <w:tr w:rsidR="0092226B" w:rsidRPr="0092226B" w14:paraId="5098D398" w14:textId="77777777" w:rsidTr="00722095">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D8490E4" w14:textId="77777777" w:rsidR="005D2A2C" w:rsidRPr="00DE642C" w:rsidRDefault="005D2A2C" w:rsidP="00E86509">
            <w:pPr>
              <w:spacing w:line="240" w:lineRule="auto"/>
              <w:rPr>
                <w:rFonts w:eastAsia="Times New Roman" w:cs="Times New Roman"/>
                <w:color w:val="auto"/>
                <w:sz w:val="20"/>
                <w:szCs w:val="20"/>
                <w:lang w:eastAsia="pl-PL"/>
              </w:rPr>
            </w:pPr>
          </w:p>
        </w:tc>
        <w:tc>
          <w:tcPr>
            <w:tcW w:w="3066" w:type="dxa"/>
          </w:tcPr>
          <w:p w14:paraId="41B76141" w14:textId="77777777" w:rsidR="005D2A2C" w:rsidRPr="00DE642C" w:rsidRDefault="005D2A2C" w:rsidP="00E8650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Noclegownie, schroniska i domy dla osób bezdomnych</w:t>
            </w:r>
          </w:p>
        </w:tc>
        <w:tc>
          <w:tcPr>
            <w:tcW w:w="2948" w:type="dxa"/>
            <w:gridSpan w:val="2"/>
          </w:tcPr>
          <w:p w14:paraId="331AE011" w14:textId="1F0AD5B3" w:rsidR="005D2A2C" w:rsidRPr="00DE642C" w:rsidRDefault="005D2A2C"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2</w:t>
            </w:r>
            <w:r w:rsidR="00722095" w:rsidRPr="00DE642C">
              <w:rPr>
                <w:rFonts w:cs="Times New Roman"/>
                <w:sz w:val="20"/>
                <w:szCs w:val="20"/>
              </w:rPr>
              <w:t>4</w:t>
            </w:r>
          </w:p>
        </w:tc>
        <w:tc>
          <w:tcPr>
            <w:tcW w:w="2948" w:type="dxa"/>
            <w:gridSpan w:val="2"/>
          </w:tcPr>
          <w:p w14:paraId="2912C3C5" w14:textId="773BFCCC" w:rsidR="005D2A2C" w:rsidRPr="00DE642C" w:rsidRDefault="00722095"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850</w:t>
            </w:r>
          </w:p>
          <w:p w14:paraId="4FED1D01" w14:textId="77777777" w:rsidR="005D2A2C" w:rsidRPr="00DE642C" w:rsidRDefault="005D2A2C"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miejsca statutowe</w:t>
            </w:r>
          </w:p>
        </w:tc>
        <w:tc>
          <w:tcPr>
            <w:tcW w:w="2775" w:type="dxa"/>
          </w:tcPr>
          <w:p w14:paraId="567E914B" w14:textId="75260DA3" w:rsidR="005D2A2C" w:rsidRPr="00DE642C" w:rsidRDefault="00722095"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511</w:t>
            </w:r>
          </w:p>
        </w:tc>
      </w:tr>
      <w:tr w:rsidR="0092226B" w:rsidRPr="0092226B" w14:paraId="5DA7E04B" w14:textId="77777777" w:rsidTr="00722095">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1FA56E6" w14:textId="77777777" w:rsidR="005D2A2C" w:rsidRPr="00DE642C" w:rsidRDefault="005D2A2C" w:rsidP="00E86509">
            <w:pPr>
              <w:spacing w:line="240" w:lineRule="auto"/>
              <w:rPr>
                <w:rFonts w:eastAsia="Times New Roman" w:cs="Times New Roman"/>
                <w:color w:val="auto"/>
                <w:sz w:val="20"/>
                <w:szCs w:val="20"/>
                <w:lang w:eastAsia="pl-PL"/>
              </w:rPr>
            </w:pPr>
          </w:p>
        </w:tc>
        <w:tc>
          <w:tcPr>
            <w:tcW w:w="3066" w:type="dxa"/>
          </w:tcPr>
          <w:p w14:paraId="4BE45F84" w14:textId="77777777" w:rsidR="005D2A2C" w:rsidRPr="00DE642C" w:rsidRDefault="005D2A2C" w:rsidP="00E8650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Ogrzewalnie</w:t>
            </w:r>
          </w:p>
        </w:tc>
        <w:tc>
          <w:tcPr>
            <w:tcW w:w="2948" w:type="dxa"/>
            <w:gridSpan w:val="2"/>
          </w:tcPr>
          <w:p w14:paraId="13311A01" w14:textId="77777777" w:rsidR="005D2A2C" w:rsidRPr="00DE642C" w:rsidRDefault="005D2A2C"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3</w:t>
            </w:r>
          </w:p>
        </w:tc>
        <w:tc>
          <w:tcPr>
            <w:tcW w:w="2948" w:type="dxa"/>
            <w:gridSpan w:val="2"/>
          </w:tcPr>
          <w:p w14:paraId="5DBF640A" w14:textId="5E62895E" w:rsidR="005D2A2C" w:rsidRPr="00DE642C" w:rsidRDefault="00722095"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19</w:t>
            </w:r>
          </w:p>
          <w:p w14:paraId="126DBF02" w14:textId="77777777" w:rsidR="005D2A2C" w:rsidRPr="00DE642C" w:rsidRDefault="005D2A2C"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miejsca statutowe</w:t>
            </w:r>
          </w:p>
        </w:tc>
        <w:tc>
          <w:tcPr>
            <w:tcW w:w="2775" w:type="dxa"/>
          </w:tcPr>
          <w:p w14:paraId="17456E5F" w14:textId="49124300" w:rsidR="005D2A2C" w:rsidRPr="00DE642C" w:rsidRDefault="00722095"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9</w:t>
            </w:r>
          </w:p>
        </w:tc>
      </w:tr>
      <w:tr w:rsidR="0092226B" w:rsidRPr="0092226B" w14:paraId="1387C815" w14:textId="77777777" w:rsidTr="00722095">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C54766A" w14:textId="77777777" w:rsidR="005D2A2C" w:rsidRPr="00DE642C" w:rsidRDefault="005D2A2C" w:rsidP="00E86509">
            <w:pPr>
              <w:spacing w:line="240" w:lineRule="auto"/>
              <w:rPr>
                <w:rFonts w:eastAsia="Times New Roman" w:cs="Times New Roman"/>
                <w:color w:val="auto"/>
                <w:sz w:val="20"/>
                <w:szCs w:val="20"/>
                <w:lang w:eastAsia="pl-PL"/>
              </w:rPr>
            </w:pPr>
          </w:p>
        </w:tc>
        <w:tc>
          <w:tcPr>
            <w:tcW w:w="3066" w:type="dxa"/>
          </w:tcPr>
          <w:p w14:paraId="1F4F79D5" w14:textId="77777777" w:rsidR="005D2A2C" w:rsidRPr="00DE642C" w:rsidRDefault="005D2A2C" w:rsidP="00E8650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Kluby Samopomocy</w:t>
            </w:r>
          </w:p>
        </w:tc>
        <w:tc>
          <w:tcPr>
            <w:tcW w:w="2948" w:type="dxa"/>
            <w:gridSpan w:val="2"/>
          </w:tcPr>
          <w:p w14:paraId="47019222" w14:textId="77777777" w:rsidR="005D2A2C" w:rsidRPr="00DE642C" w:rsidRDefault="005D2A2C"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1</w:t>
            </w:r>
          </w:p>
        </w:tc>
        <w:tc>
          <w:tcPr>
            <w:tcW w:w="2948" w:type="dxa"/>
            <w:gridSpan w:val="2"/>
          </w:tcPr>
          <w:p w14:paraId="224FED35" w14:textId="77777777" w:rsidR="005D2A2C" w:rsidRPr="00DE642C" w:rsidRDefault="005D2A2C"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27</w:t>
            </w:r>
          </w:p>
          <w:p w14:paraId="6F4BCF56" w14:textId="77777777" w:rsidR="005D2A2C" w:rsidRPr="00DE642C" w:rsidRDefault="005D2A2C"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miejsca statutowe</w:t>
            </w:r>
          </w:p>
        </w:tc>
        <w:tc>
          <w:tcPr>
            <w:tcW w:w="2775" w:type="dxa"/>
          </w:tcPr>
          <w:p w14:paraId="4A5E0237" w14:textId="65F7DC17" w:rsidR="005D2A2C" w:rsidRPr="00DE642C" w:rsidRDefault="00722095"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b.d.</w:t>
            </w:r>
          </w:p>
        </w:tc>
      </w:tr>
      <w:tr w:rsidR="0092226B" w:rsidRPr="0092226B" w14:paraId="3924CB85" w14:textId="77777777" w:rsidTr="00722095">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B1387C6" w14:textId="77777777" w:rsidR="005D2A2C" w:rsidRPr="00DE642C" w:rsidRDefault="005D2A2C" w:rsidP="00E86509">
            <w:pPr>
              <w:spacing w:line="240" w:lineRule="auto"/>
              <w:rPr>
                <w:rFonts w:eastAsia="Times New Roman" w:cs="Times New Roman"/>
                <w:color w:val="auto"/>
                <w:sz w:val="20"/>
                <w:szCs w:val="20"/>
                <w:lang w:eastAsia="pl-PL"/>
              </w:rPr>
            </w:pPr>
          </w:p>
        </w:tc>
        <w:tc>
          <w:tcPr>
            <w:tcW w:w="3066" w:type="dxa"/>
          </w:tcPr>
          <w:p w14:paraId="174C8EF9" w14:textId="77777777" w:rsidR="005D2A2C" w:rsidRPr="00DE642C" w:rsidRDefault="005D2A2C" w:rsidP="00E8650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eastAsia="Calibri" w:cs="Times New Roman"/>
                <w:sz w:val="20"/>
                <w:szCs w:val="20"/>
              </w:rPr>
              <w:t>Placówki zapewniające całodobową opiekę osobom niepełnosprawnym, przewlekle chorym lub osobom w podeszłym wieku</w:t>
            </w:r>
          </w:p>
        </w:tc>
        <w:tc>
          <w:tcPr>
            <w:tcW w:w="2948" w:type="dxa"/>
            <w:gridSpan w:val="2"/>
          </w:tcPr>
          <w:p w14:paraId="6F15AA57" w14:textId="20FC87B5" w:rsidR="005D2A2C" w:rsidRPr="00DE642C" w:rsidRDefault="005D2A2C"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1</w:t>
            </w:r>
            <w:r w:rsidR="00722095" w:rsidRPr="00DE642C">
              <w:rPr>
                <w:rFonts w:cs="Times New Roman"/>
                <w:sz w:val="20"/>
                <w:szCs w:val="20"/>
              </w:rPr>
              <w:t>3</w:t>
            </w:r>
          </w:p>
        </w:tc>
        <w:tc>
          <w:tcPr>
            <w:tcW w:w="2948" w:type="dxa"/>
            <w:gridSpan w:val="2"/>
          </w:tcPr>
          <w:p w14:paraId="2D34BB2D" w14:textId="2151EDD1" w:rsidR="005D2A2C" w:rsidRPr="00DE642C" w:rsidRDefault="00722095"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515</w:t>
            </w:r>
          </w:p>
          <w:p w14:paraId="5AFD72A8" w14:textId="6B7EAE2F" w:rsidR="005D2A2C" w:rsidRPr="00DE642C" w:rsidRDefault="00722095"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miejsca statutowe</w:t>
            </w:r>
          </w:p>
        </w:tc>
        <w:tc>
          <w:tcPr>
            <w:tcW w:w="2775" w:type="dxa"/>
          </w:tcPr>
          <w:p w14:paraId="4824718B" w14:textId="46AA8120" w:rsidR="005D2A2C" w:rsidRPr="00DE642C" w:rsidRDefault="00722095"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b.d.</w:t>
            </w:r>
          </w:p>
        </w:tc>
      </w:tr>
      <w:tr w:rsidR="0092226B" w:rsidRPr="0092226B" w14:paraId="25FCFCED" w14:textId="77777777" w:rsidTr="00722095">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3A087FB" w14:textId="77777777" w:rsidR="005D2A2C" w:rsidRPr="00DE642C" w:rsidRDefault="005D2A2C" w:rsidP="00E86509">
            <w:pPr>
              <w:spacing w:line="240" w:lineRule="auto"/>
              <w:rPr>
                <w:rFonts w:eastAsia="Times New Roman" w:cs="Times New Roman"/>
                <w:color w:val="auto"/>
                <w:sz w:val="20"/>
                <w:szCs w:val="20"/>
                <w:lang w:eastAsia="pl-PL"/>
              </w:rPr>
            </w:pPr>
          </w:p>
        </w:tc>
        <w:tc>
          <w:tcPr>
            <w:tcW w:w="3066" w:type="dxa"/>
          </w:tcPr>
          <w:p w14:paraId="508D79C8" w14:textId="77777777" w:rsidR="005D2A2C" w:rsidRPr="00DE642C" w:rsidRDefault="005D2A2C" w:rsidP="00E8650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Domy Pomocy Społecznej</w:t>
            </w:r>
          </w:p>
        </w:tc>
        <w:tc>
          <w:tcPr>
            <w:tcW w:w="2948" w:type="dxa"/>
            <w:gridSpan w:val="2"/>
          </w:tcPr>
          <w:p w14:paraId="5E85C013" w14:textId="77777777" w:rsidR="005D2A2C" w:rsidRPr="00DE642C" w:rsidRDefault="005D2A2C"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51</w:t>
            </w:r>
          </w:p>
        </w:tc>
        <w:tc>
          <w:tcPr>
            <w:tcW w:w="2948" w:type="dxa"/>
            <w:gridSpan w:val="2"/>
          </w:tcPr>
          <w:p w14:paraId="4C26919D" w14:textId="27392490" w:rsidR="005D2A2C" w:rsidRPr="00DE642C" w:rsidRDefault="008E37CE"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 xml:space="preserve">4 </w:t>
            </w:r>
            <w:r w:rsidR="005D2A2C" w:rsidRPr="00DE642C">
              <w:rPr>
                <w:rFonts w:cs="Times New Roman"/>
                <w:sz w:val="20"/>
                <w:szCs w:val="20"/>
              </w:rPr>
              <w:t>8</w:t>
            </w:r>
            <w:r w:rsidR="00722095" w:rsidRPr="00DE642C">
              <w:rPr>
                <w:rFonts w:cs="Times New Roman"/>
                <w:sz w:val="20"/>
                <w:szCs w:val="20"/>
              </w:rPr>
              <w:t>51</w:t>
            </w:r>
          </w:p>
          <w:p w14:paraId="7EACFF69" w14:textId="43DCB45D" w:rsidR="005D2A2C" w:rsidRPr="00DE642C" w:rsidRDefault="005D2A2C"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miejsc</w:t>
            </w:r>
            <w:r w:rsidR="00722095" w:rsidRPr="00DE642C">
              <w:rPr>
                <w:rFonts w:cs="Times New Roman"/>
                <w:sz w:val="20"/>
                <w:szCs w:val="20"/>
              </w:rPr>
              <w:t>a</w:t>
            </w:r>
            <w:r w:rsidRPr="00DE642C">
              <w:rPr>
                <w:rFonts w:cs="Times New Roman"/>
                <w:sz w:val="20"/>
                <w:szCs w:val="20"/>
              </w:rPr>
              <w:t xml:space="preserve"> </w:t>
            </w:r>
            <w:r w:rsidR="00722095" w:rsidRPr="00DE642C">
              <w:rPr>
                <w:rFonts w:cs="Times New Roman"/>
                <w:sz w:val="20"/>
                <w:szCs w:val="20"/>
              </w:rPr>
              <w:t>statutowe</w:t>
            </w:r>
          </w:p>
        </w:tc>
        <w:tc>
          <w:tcPr>
            <w:tcW w:w="2775" w:type="dxa"/>
          </w:tcPr>
          <w:p w14:paraId="4DCF5502" w14:textId="7969E746" w:rsidR="005D2A2C" w:rsidRPr="00DE642C" w:rsidRDefault="00722095"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2 939</w:t>
            </w:r>
          </w:p>
        </w:tc>
      </w:tr>
      <w:tr w:rsidR="0092226B" w:rsidRPr="0092226B" w14:paraId="4F034B5F" w14:textId="77777777" w:rsidTr="00722095">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57FE9B5" w14:textId="77777777" w:rsidR="005D2A2C" w:rsidRPr="00DE642C" w:rsidRDefault="005D2A2C" w:rsidP="00E86509">
            <w:pPr>
              <w:spacing w:line="240" w:lineRule="auto"/>
              <w:rPr>
                <w:rFonts w:eastAsia="Times New Roman" w:cs="Times New Roman"/>
                <w:color w:val="auto"/>
                <w:sz w:val="20"/>
                <w:szCs w:val="20"/>
                <w:lang w:eastAsia="pl-PL"/>
              </w:rPr>
            </w:pPr>
          </w:p>
        </w:tc>
        <w:tc>
          <w:tcPr>
            <w:tcW w:w="3066" w:type="dxa"/>
          </w:tcPr>
          <w:p w14:paraId="4735CE3F" w14:textId="77777777" w:rsidR="005D2A2C" w:rsidRPr="00DE642C" w:rsidRDefault="005D2A2C" w:rsidP="00E8650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Mieszkania chronione ogółem</w:t>
            </w:r>
          </w:p>
        </w:tc>
        <w:tc>
          <w:tcPr>
            <w:tcW w:w="2948" w:type="dxa"/>
            <w:gridSpan w:val="2"/>
          </w:tcPr>
          <w:p w14:paraId="76362CB6" w14:textId="77777777" w:rsidR="005D2A2C" w:rsidRPr="00DE642C" w:rsidRDefault="005D2A2C"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30</w:t>
            </w:r>
          </w:p>
        </w:tc>
        <w:tc>
          <w:tcPr>
            <w:tcW w:w="2948" w:type="dxa"/>
            <w:gridSpan w:val="2"/>
          </w:tcPr>
          <w:p w14:paraId="175E3C8E" w14:textId="77777777" w:rsidR="005D2A2C" w:rsidRPr="00DE642C" w:rsidRDefault="005D2A2C"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86</w:t>
            </w:r>
          </w:p>
          <w:p w14:paraId="1545BF92" w14:textId="3F80FC8B" w:rsidR="005D2A2C" w:rsidRPr="00DE642C" w:rsidRDefault="00722095"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miejsca statutowe</w:t>
            </w:r>
          </w:p>
        </w:tc>
        <w:tc>
          <w:tcPr>
            <w:tcW w:w="2775" w:type="dxa"/>
          </w:tcPr>
          <w:p w14:paraId="2FD30F6B" w14:textId="08CA270C" w:rsidR="005D2A2C" w:rsidRPr="00DE642C" w:rsidRDefault="00722095"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11</w:t>
            </w:r>
          </w:p>
        </w:tc>
      </w:tr>
      <w:tr w:rsidR="0092226B" w:rsidRPr="0092226B" w14:paraId="23A75BC9" w14:textId="77777777" w:rsidTr="00722095">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C6F4AA3" w14:textId="77777777" w:rsidR="005D2A2C" w:rsidRPr="00DE642C" w:rsidRDefault="005D2A2C" w:rsidP="00E86509">
            <w:pPr>
              <w:spacing w:line="240" w:lineRule="auto"/>
              <w:rPr>
                <w:rFonts w:eastAsia="Times New Roman" w:cs="Times New Roman"/>
                <w:color w:val="auto"/>
                <w:sz w:val="20"/>
                <w:szCs w:val="20"/>
                <w:lang w:eastAsia="pl-PL"/>
              </w:rPr>
            </w:pPr>
          </w:p>
        </w:tc>
        <w:tc>
          <w:tcPr>
            <w:tcW w:w="3066" w:type="dxa"/>
          </w:tcPr>
          <w:p w14:paraId="648F21DC" w14:textId="77777777" w:rsidR="005D2A2C" w:rsidRPr="00DE642C" w:rsidRDefault="005D2A2C" w:rsidP="00E8650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Ośrodki Interwencji Kryzysowej ogółem</w:t>
            </w:r>
          </w:p>
        </w:tc>
        <w:tc>
          <w:tcPr>
            <w:tcW w:w="2948" w:type="dxa"/>
            <w:gridSpan w:val="2"/>
          </w:tcPr>
          <w:p w14:paraId="0895695E" w14:textId="377B80CD" w:rsidR="005D2A2C" w:rsidRPr="00DE642C" w:rsidRDefault="00722095"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15</w:t>
            </w:r>
          </w:p>
        </w:tc>
        <w:tc>
          <w:tcPr>
            <w:tcW w:w="2948" w:type="dxa"/>
            <w:gridSpan w:val="2"/>
          </w:tcPr>
          <w:p w14:paraId="4F28B1B4" w14:textId="547ED75A" w:rsidR="005D2A2C" w:rsidRPr="00DE642C" w:rsidRDefault="00722095"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97</w:t>
            </w:r>
          </w:p>
        </w:tc>
        <w:tc>
          <w:tcPr>
            <w:tcW w:w="2775" w:type="dxa"/>
          </w:tcPr>
          <w:p w14:paraId="673627F2" w14:textId="19A1733D" w:rsidR="005D2A2C" w:rsidRPr="00DE642C" w:rsidRDefault="00722095"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188</w:t>
            </w:r>
          </w:p>
        </w:tc>
      </w:tr>
      <w:tr w:rsidR="0092226B" w:rsidRPr="0092226B" w14:paraId="4921B154" w14:textId="77777777" w:rsidTr="00722095">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67904EF" w14:textId="77777777" w:rsidR="005D2A2C" w:rsidRPr="00DE642C" w:rsidRDefault="005D2A2C" w:rsidP="00E86509">
            <w:pPr>
              <w:spacing w:line="240" w:lineRule="auto"/>
              <w:rPr>
                <w:rFonts w:eastAsia="Times New Roman" w:cs="Times New Roman"/>
                <w:color w:val="auto"/>
                <w:sz w:val="20"/>
                <w:szCs w:val="20"/>
                <w:lang w:eastAsia="pl-PL"/>
              </w:rPr>
            </w:pPr>
          </w:p>
        </w:tc>
        <w:tc>
          <w:tcPr>
            <w:tcW w:w="3066" w:type="dxa"/>
          </w:tcPr>
          <w:p w14:paraId="4BBF39A3" w14:textId="77777777" w:rsidR="005D2A2C" w:rsidRPr="00DE642C" w:rsidRDefault="005D2A2C" w:rsidP="00E8650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Jednostki specjalistycznego poradnictwa</w:t>
            </w:r>
          </w:p>
        </w:tc>
        <w:tc>
          <w:tcPr>
            <w:tcW w:w="2948" w:type="dxa"/>
            <w:gridSpan w:val="2"/>
          </w:tcPr>
          <w:p w14:paraId="021302E0" w14:textId="2E723FD9" w:rsidR="005D2A2C" w:rsidRPr="00DE642C" w:rsidRDefault="005D2A2C"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4</w:t>
            </w:r>
            <w:r w:rsidR="00722095" w:rsidRPr="00DE642C">
              <w:rPr>
                <w:rFonts w:cs="Times New Roman"/>
                <w:sz w:val="20"/>
                <w:szCs w:val="20"/>
              </w:rPr>
              <w:t>4</w:t>
            </w:r>
          </w:p>
        </w:tc>
        <w:tc>
          <w:tcPr>
            <w:tcW w:w="2948" w:type="dxa"/>
            <w:gridSpan w:val="2"/>
          </w:tcPr>
          <w:p w14:paraId="2E620AFE" w14:textId="0298D4DE" w:rsidR="005D2A2C" w:rsidRPr="00DE642C" w:rsidRDefault="00722095"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w:t>
            </w:r>
          </w:p>
        </w:tc>
        <w:tc>
          <w:tcPr>
            <w:tcW w:w="2775" w:type="dxa"/>
          </w:tcPr>
          <w:p w14:paraId="024C6DEC" w14:textId="44B8AF46" w:rsidR="005D2A2C" w:rsidRPr="00DE642C" w:rsidRDefault="00722095"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329</w:t>
            </w:r>
          </w:p>
        </w:tc>
      </w:tr>
      <w:tr w:rsidR="00722095" w:rsidRPr="0092226B" w14:paraId="65A0DC89" w14:textId="77777777" w:rsidTr="00722095">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BACEBF1" w14:textId="77777777" w:rsidR="00722095" w:rsidRPr="00DE642C" w:rsidRDefault="00722095" w:rsidP="00E86509">
            <w:pPr>
              <w:spacing w:line="240" w:lineRule="auto"/>
              <w:rPr>
                <w:rFonts w:eastAsia="Times New Roman" w:cs="Times New Roman"/>
                <w:sz w:val="20"/>
                <w:szCs w:val="20"/>
                <w:lang w:eastAsia="pl-PL"/>
              </w:rPr>
            </w:pPr>
          </w:p>
        </w:tc>
        <w:tc>
          <w:tcPr>
            <w:tcW w:w="3066" w:type="dxa"/>
          </w:tcPr>
          <w:p w14:paraId="53E43C77" w14:textId="0CAA7C6D" w:rsidR="00722095" w:rsidRPr="00DE642C" w:rsidRDefault="00722095" w:rsidP="00E8650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Placówki wsparcia dziennego</w:t>
            </w:r>
          </w:p>
        </w:tc>
        <w:tc>
          <w:tcPr>
            <w:tcW w:w="2948" w:type="dxa"/>
            <w:gridSpan w:val="2"/>
          </w:tcPr>
          <w:p w14:paraId="75F078BE" w14:textId="0733DC04" w:rsidR="00722095" w:rsidRPr="00DE642C" w:rsidRDefault="00722095"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15</w:t>
            </w:r>
          </w:p>
        </w:tc>
        <w:tc>
          <w:tcPr>
            <w:tcW w:w="2948" w:type="dxa"/>
            <w:gridSpan w:val="2"/>
          </w:tcPr>
          <w:p w14:paraId="25551739" w14:textId="23F7F375" w:rsidR="00722095" w:rsidRPr="00DE642C" w:rsidRDefault="00722095"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466</w:t>
            </w:r>
          </w:p>
        </w:tc>
        <w:tc>
          <w:tcPr>
            <w:tcW w:w="2775" w:type="dxa"/>
          </w:tcPr>
          <w:p w14:paraId="4C68A578" w14:textId="6805027A" w:rsidR="00722095" w:rsidRPr="00DE642C" w:rsidRDefault="00746853"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363</w:t>
            </w:r>
          </w:p>
        </w:tc>
      </w:tr>
      <w:tr w:rsidR="0092226B" w:rsidRPr="0092226B" w14:paraId="062CE747" w14:textId="77777777" w:rsidTr="00722095">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C9CBF02" w14:textId="77777777" w:rsidR="005D2A2C" w:rsidRPr="00DE642C" w:rsidRDefault="005D2A2C" w:rsidP="00E86509">
            <w:pPr>
              <w:spacing w:line="240" w:lineRule="auto"/>
              <w:rPr>
                <w:rFonts w:eastAsia="Times New Roman" w:cs="Times New Roman"/>
                <w:color w:val="auto"/>
                <w:sz w:val="20"/>
                <w:szCs w:val="20"/>
                <w:lang w:eastAsia="pl-PL"/>
              </w:rPr>
            </w:pPr>
          </w:p>
        </w:tc>
        <w:tc>
          <w:tcPr>
            <w:tcW w:w="3066" w:type="dxa"/>
          </w:tcPr>
          <w:p w14:paraId="145871E4" w14:textId="77777777" w:rsidR="005D2A2C" w:rsidRPr="00DE642C" w:rsidRDefault="005D2A2C" w:rsidP="00E8650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Placówki Senior+, w tym:</w:t>
            </w:r>
          </w:p>
        </w:tc>
        <w:tc>
          <w:tcPr>
            <w:tcW w:w="8671" w:type="dxa"/>
            <w:gridSpan w:val="5"/>
          </w:tcPr>
          <w:p w14:paraId="2015FA38" w14:textId="46B79E03" w:rsidR="005D2A2C" w:rsidRPr="00DE642C" w:rsidRDefault="005D2A2C"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064E07" w:rsidRPr="0092226B" w14:paraId="3D88F881" w14:textId="77777777" w:rsidTr="00064E0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3B1335D" w14:textId="77777777" w:rsidR="00064E07" w:rsidRPr="00DE642C" w:rsidRDefault="00064E07" w:rsidP="00722095">
            <w:pPr>
              <w:spacing w:line="240" w:lineRule="auto"/>
              <w:rPr>
                <w:rFonts w:eastAsia="Times New Roman" w:cs="Times New Roman"/>
                <w:color w:val="auto"/>
                <w:sz w:val="20"/>
                <w:szCs w:val="20"/>
                <w:lang w:eastAsia="pl-PL"/>
              </w:rPr>
            </w:pPr>
          </w:p>
        </w:tc>
        <w:tc>
          <w:tcPr>
            <w:tcW w:w="3066" w:type="dxa"/>
          </w:tcPr>
          <w:p w14:paraId="400C1C79" w14:textId="77777777" w:rsidR="00064E07" w:rsidRPr="00DE642C" w:rsidRDefault="00064E07" w:rsidP="007220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Domy Dziennego Pobytu</w:t>
            </w:r>
          </w:p>
        </w:tc>
        <w:tc>
          <w:tcPr>
            <w:tcW w:w="2948" w:type="dxa"/>
            <w:gridSpan w:val="2"/>
          </w:tcPr>
          <w:p w14:paraId="2BAD35CF" w14:textId="1A04A7EA" w:rsidR="00064E07" w:rsidRPr="00DE642C" w:rsidRDefault="00064E07" w:rsidP="00722095">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32</w:t>
            </w:r>
          </w:p>
        </w:tc>
        <w:tc>
          <w:tcPr>
            <w:tcW w:w="2948" w:type="dxa"/>
            <w:gridSpan w:val="2"/>
          </w:tcPr>
          <w:p w14:paraId="2EF61699" w14:textId="0A6DAF99" w:rsidR="00064E07" w:rsidRPr="00DE642C" w:rsidRDefault="00064E07" w:rsidP="00722095">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sz w:val="20"/>
                <w:szCs w:val="20"/>
              </w:rPr>
              <w:t>741</w:t>
            </w:r>
          </w:p>
        </w:tc>
        <w:tc>
          <w:tcPr>
            <w:tcW w:w="2775" w:type="dxa"/>
            <w:vMerge w:val="restart"/>
            <w:vAlign w:val="center"/>
          </w:tcPr>
          <w:p w14:paraId="31CDC19A" w14:textId="02B5159E" w:rsidR="00064E07" w:rsidRPr="00DE642C" w:rsidRDefault="00064E07" w:rsidP="00064E0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sz w:val="20"/>
                <w:szCs w:val="20"/>
              </w:rPr>
              <w:t>1 452</w:t>
            </w:r>
          </w:p>
        </w:tc>
      </w:tr>
      <w:tr w:rsidR="00064E07" w:rsidRPr="0092226B" w14:paraId="7D9E402F" w14:textId="77777777" w:rsidTr="00722095">
        <w:trPr>
          <w:trHeight w:val="85"/>
        </w:trPr>
        <w:tc>
          <w:tcPr>
            <w:cnfStyle w:val="001000000000" w:firstRow="0" w:lastRow="0" w:firstColumn="1" w:lastColumn="0" w:oddVBand="0" w:evenVBand="0" w:oddHBand="0" w:evenHBand="0" w:firstRowFirstColumn="0" w:firstRowLastColumn="0" w:lastRowFirstColumn="0" w:lastRowLastColumn="0"/>
            <w:tcW w:w="2830" w:type="dxa"/>
            <w:vMerge/>
          </w:tcPr>
          <w:p w14:paraId="4AB2323F" w14:textId="77777777" w:rsidR="00064E07" w:rsidRPr="00DE642C" w:rsidRDefault="00064E07" w:rsidP="00722095">
            <w:pPr>
              <w:spacing w:line="240" w:lineRule="auto"/>
              <w:rPr>
                <w:rFonts w:eastAsia="Times New Roman" w:cs="Times New Roman"/>
                <w:color w:val="auto"/>
                <w:sz w:val="20"/>
                <w:szCs w:val="20"/>
                <w:lang w:eastAsia="pl-PL"/>
              </w:rPr>
            </w:pPr>
          </w:p>
        </w:tc>
        <w:tc>
          <w:tcPr>
            <w:tcW w:w="3066" w:type="dxa"/>
          </w:tcPr>
          <w:p w14:paraId="313E7C5F" w14:textId="77777777" w:rsidR="00064E07" w:rsidRPr="00DE642C" w:rsidRDefault="00064E07" w:rsidP="007220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Kluby Senior+</w:t>
            </w:r>
          </w:p>
        </w:tc>
        <w:tc>
          <w:tcPr>
            <w:tcW w:w="2948" w:type="dxa"/>
            <w:gridSpan w:val="2"/>
          </w:tcPr>
          <w:p w14:paraId="4536080D" w14:textId="75EA20B3" w:rsidR="00064E07" w:rsidRPr="00DE642C" w:rsidRDefault="00064E07" w:rsidP="00722095">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38</w:t>
            </w:r>
          </w:p>
        </w:tc>
        <w:tc>
          <w:tcPr>
            <w:tcW w:w="2948" w:type="dxa"/>
            <w:gridSpan w:val="2"/>
          </w:tcPr>
          <w:p w14:paraId="44DFB5C3" w14:textId="40D8664E" w:rsidR="00064E07" w:rsidRPr="00DE642C" w:rsidRDefault="00064E07" w:rsidP="00722095">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sz w:val="20"/>
                <w:szCs w:val="20"/>
              </w:rPr>
              <w:t>832</w:t>
            </w:r>
          </w:p>
        </w:tc>
        <w:tc>
          <w:tcPr>
            <w:tcW w:w="2775" w:type="dxa"/>
            <w:vMerge/>
          </w:tcPr>
          <w:p w14:paraId="554CC7EA" w14:textId="0BB42BB2" w:rsidR="00064E07" w:rsidRPr="00DE642C" w:rsidRDefault="00064E07" w:rsidP="00722095">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722095" w:rsidRPr="0092226B" w14:paraId="0D7E9A00" w14:textId="77777777" w:rsidTr="00722095">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B1145A8" w14:textId="77777777" w:rsidR="00722095" w:rsidRPr="00DE642C" w:rsidRDefault="00722095" w:rsidP="00722095">
            <w:pPr>
              <w:spacing w:line="240" w:lineRule="auto"/>
              <w:rPr>
                <w:rFonts w:eastAsia="Times New Roman" w:cs="Times New Roman"/>
                <w:color w:val="auto"/>
                <w:sz w:val="20"/>
                <w:szCs w:val="20"/>
                <w:lang w:eastAsia="pl-PL"/>
              </w:rPr>
            </w:pPr>
          </w:p>
        </w:tc>
        <w:tc>
          <w:tcPr>
            <w:tcW w:w="3066" w:type="dxa"/>
          </w:tcPr>
          <w:p w14:paraId="20AA1E2B" w14:textId="77777777" w:rsidR="00722095" w:rsidRPr="00DE642C" w:rsidRDefault="00722095" w:rsidP="007220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Hospicja stacjonarne</w:t>
            </w:r>
          </w:p>
        </w:tc>
        <w:tc>
          <w:tcPr>
            <w:tcW w:w="2948" w:type="dxa"/>
            <w:gridSpan w:val="2"/>
          </w:tcPr>
          <w:p w14:paraId="39540CD2" w14:textId="6D107A2C" w:rsidR="00722095" w:rsidRPr="00DE642C" w:rsidRDefault="00722095" w:rsidP="00722095">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13</w:t>
            </w:r>
          </w:p>
        </w:tc>
        <w:tc>
          <w:tcPr>
            <w:tcW w:w="2948" w:type="dxa"/>
            <w:gridSpan w:val="2"/>
          </w:tcPr>
          <w:p w14:paraId="11FD3BFE" w14:textId="2AF22EB4" w:rsidR="00722095" w:rsidRPr="00DE642C" w:rsidRDefault="00722095" w:rsidP="00722095">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296</w:t>
            </w:r>
          </w:p>
        </w:tc>
        <w:tc>
          <w:tcPr>
            <w:tcW w:w="2775" w:type="dxa"/>
          </w:tcPr>
          <w:p w14:paraId="1E7BC699" w14:textId="6CC25AD7" w:rsidR="00722095" w:rsidRPr="00DE642C" w:rsidRDefault="00DE642C" w:rsidP="00722095">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b.d.</w:t>
            </w:r>
          </w:p>
        </w:tc>
      </w:tr>
      <w:tr w:rsidR="0092226B" w:rsidRPr="0092226B" w14:paraId="2219924F" w14:textId="77777777" w:rsidTr="00722095">
        <w:trPr>
          <w:trHeight w:val="11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4CE6B13D" w14:textId="77777777" w:rsidR="005D2A2C" w:rsidRPr="00DE642C" w:rsidRDefault="005D2A2C" w:rsidP="00E86509">
            <w:pPr>
              <w:spacing w:line="240" w:lineRule="auto"/>
              <w:rPr>
                <w:rFonts w:eastAsia="Times New Roman" w:cs="Times New Roman"/>
                <w:b w:val="0"/>
                <w:bCs w:val="0"/>
                <w:color w:val="auto"/>
                <w:sz w:val="20"/>
                <w:szCs w:val="20"/>
                <w:lang w:eastAsia="pl-PL"/>
              </w:rPr>
            </w:pPr>
            <w:r w:rsidRPr="00DE642C">
              <w:rPr>
                <w:rFonts w:eastAsia="Times New Roman" w:cs="Times New Roman"/>
                <w:color w:val="auto"/>
                <w:sz w:val="20"/>
                <w:szCs w:val="20"/>
                <w:lang w:eastAsia="pl-PL"/>
              </w:rPr>
              <w:t>Usługi świadczone osobom starszym</w:t>
            </w:r>
          </w:p>
        </w:tc>
        <w:tc>
          <w:tcPr>
            <w:tcW w:w="3119" w:type="dxa"/>
            <w:gridSpan w:val="2"/>
          </w:tcPr>
          <w:p w14:paraId="492A56B0" w14:textId="77777777" w:rsidR="005D2A2C" w:rsidRPr="00DE642C" w:rsidRDefault="005D2A2C"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Rodzaj usług</w:t>
            </w:r>
          </w:p>
        </w:tc>
        <w:tc>
          <w:tcPr>
            <w:tcW w:w="3685" w:type="dxa"/>
            <w:gridSpan w:val="2"/>
          </w:tcPr>
          <w:p w14:paraId="784C7C7E" w14:textId="77777777" w:rsidR="005D2A2C" w:rsidRPr="00DE642C" w:rsidRDefault="005D2A2C"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Liczba osób starszych objętych pomocą</w:t>
            </w:r>
          </w:p>
        </w:tc>
        <w:tc>
          <w:tcPr>
            <w:tcW w:w="4933" w:type="dxa"/>
            <w:gridSpan w:val="2"/>
          </w:tcPr>
          <w:p w14:paraId="2950F6D2" w14:textId="77777777" w:rsidR="005D2A2C" w:rsidRPr="00DE642C" w:rsidRDefault="005D2A2C"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Wysokość środków przeznaczonych na usługi</w:t>
            </w:r>
          </w:p>
        </w:tc>
      </w:tr>
      <w:tr w:rsidR="00722095" w:rsidRPr="0092226B" w14:paraId="54EE3ACB" w14:textId="77777777" w:rsidTr="00722095">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4A0EA722" w14:textId="77777777" w:rsidR="00722095" w:rsidRPr="00DE642C" w:rsidRDefault="00722095" w:rsidP="00722095">
            <w:pPr>
              <w:spacing w:line="240" w:lineRule="auto"/>
              <w:rPr>
                <w:rFonts w:eastAsia="Times New Roman" w:cs="Times New Roman"/>
                <w:b w:val="0"/>
                <w:bCs w:val="0"/>
                <w:color w:val="auto"/>
                <w:sz w:val="20"/>
                <w:szCs w:val="20"/>
                <w:lang w:eastAsia="pl-PL"/>
              </w:rPr>
            </w:pPr>
          </w:p>
        </w:tc>
        <w:tc>
          <w:tcPr>
            <w:tcW w:w="3119" w:type="dxa"/>
            <w:gridSpan w:val="2"/>
          </w:tcPr>
          <w:p w14:paraId="2F2E934D" w14:textId="77777777" w:rsidR="00722095" w:rsidRPr="00DE642C" w:rsidRDefault="00722095" w:rsidP="007220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Usługi opiekuńcze ogółem</w:t>
            </w:r>
          </w:p>
        </w:tc>
        <w:tc>
          <w:tcPr>
            <w:tcW w:w="3685" w:type="dxa"/>
            <w:gridSpan w:val="2"/>
          </w:tcPr>
          <w:p w14:paraId="28D5C38C" w14:textId="348AF0EF" w:rsidR="00722095" w:rsidRPr="00DE642C" w:rsidRDefault="00722095" w:rsidP="00722095">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4</w:t>
            </w:r>
            <w:r w:rsidR="00DE642C" w:rsidRPr="00DE642C">
              <w:rPr>
                <w:sz w:val="20"/>
                <w:szCs w:val="20"/>
              </w:rPr>
              <w:t xml:space="preserve"> </w:t>
            </w:r>
            <w:r w:rsidRPr="00DE642C">
              <w:rPr>
                <w:sz w:val="20"/>
                <w:szCs w:val="20"/>
              </w:rPr>
              <w:t>775</w:t>
            </w:r>
          </w:p>
        </w:tc>
        <w:tc>
          <w:tcPr>
            <w:tcW w:w="4933" w:type="dxa"/>
            <w:gridSpan w:val="2"/>
          </w:tcPr>
          <w:p w14:paraId="2BBB8BC8" w14:textId="0C62DD6C" w:rsidR="00722095" w:rsidRPr="00DE642C" w:rsidRDefault="00722095" w:rsidP="00722095">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44</w:t>
            </w:r>
            <w:r w:rsidR="00DE642C" w:rsidRPr="00DE642C">
              <w:rPr>
                <w:sz w:val="20"/>
                <w:szCs w:val="20"/>
              </w:rPr>
              <w:t> </w:t>
            </w:r>
            <w:r w:rsidRPr="00DE642C">
              <w:rPr>
                <w:sz w:val="20"/>
                <w:szCs w:val="20"/>
              </w:rPr>
              <w:t>611</w:t>
            </w:r>
            <w:r w:rsidR="00DE642C" w:rsidRPr="00DE642C">
              <w:rPr>
                <w:sz w:val="20"/>
                <w:szCs w:val="20"/>
              </w:rPr>
              <w:t> </w:t>
            </w:r>
            <w:r w:rsidRPr="00DE642C">
              <w:rPr>
                <w:sz w:val="20"/>
                <w:szCs w:val="20"/>
              </w:rPr>
              <w:t>754</w:t>
            </w:r>
            <w:r w:rsidR="00DE642C" w:rsidRPr="00DE642C">
              <w:rPr>
                <w:sz w:val="20"/>
                <w:szCs w:val="20"/>
              </w:rPr>
              <w:t xml:space="preserve"> zł</w:t>
            </w:r>
          </w:p>
        </w:tc>
      </w:tr>
      <w:tr w:rsidR="0092226B" w:rsidRPr="0092226B" w14:paraId="66DA1DA4" w14:textId="77777777" w:rsidTr="00722095">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52524DFE" w14:textId="77777777" w:rsidR="00AB0E9E" w:rsidRPr="00DE642C" w:rsidRDefault="00AB0E9E" w:rsidP="00E86509">
            <w:pPr>
              <w:spacing w:line="240" w:lineRule="auto"/>
              <w:rPr>
                <w:rFonts w:eastAsia="Times New Roman" w:cs="Times New Roman"/>
                <w:b w:val="0"/>
                <w:bCs w:val="0"/>
                <w:color w:val="auto"/>
                <w:sz w:val="20"/>
                <w:szCs w:val="20"/>
                <w:lang w:eastAsia="pl-PL"/>
              </w:rPr>
            </w:pPr>
          </w:p>
        </w:tc>
        <w:tc>
          <w:tcPr>
            <w:tcW w:w="11737" w:type="dxa"/>
            <w:gridSpan w:val="6"/>
          </w:tcPr>
          <w:p w14:paraId="3A86F7B8" w14:textId="77777777" w:rsidR="00AB0E9E" w:rsidRPr="00DE642C" w:rsidRDefault="00AB0E9E" w:rsidP="00E8650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w tym:</w:t>
            </w:r>
          </w:p>
        </w:tc>
      </w:tr>
      <w:tr w:rsidR="00722095" w:rsidRPr="0092226B" w14:paraId="4CE7F05E" w14:textId="77777777" w:rsidTr="00722095">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58B00793" w14:textId="77777777" w:rsidR="00722095" w:rsidRPr="00DE642C" w:rsidRDefault="00722095" w:rsidP="00722095">
            <w:pPr>
              <w:spacing w:line="240" w:lineRule="auto"/>
              <w:rPr>
                <w:rFonts w:eastAsia="Times New Roman" w:cs="Times New Roman"/>
                <w:b w:val="0"/>
                <w:bCs w:val="0"/>
                <w:color w:val="auto"/>
                <w:sz w:val="20"/>
                <w:szCs w:val="20"/>
                <w:lang w:eastAsia="pl-PL"/>
              </w:rPr>
            </w:pPr>
          </w:p>
        </w:tc>
        <w:tc>
          <w:tcPr>
            <w:tcW w:w="3119" w:type="dxa"/>
            <w:gridSpan w:val="2"/>
          </w:tcPr>
          <w:p w14:paraId="741F7AED" w14:textId="77777777" w:rsidR="00722095" w:rsidRPr="00DE642C" w:rsidRDefault="00722095" w:rsidP="007220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specjalistyczne usługi opiekuńcze</w:t>
            </w:r>
          </w:p>
        </w:tc>
        <w:tc>
          <w:tcPr>
            <w:tcW w:w="3685" w:type="dxa"/>
            <w:gridSpan w:val="2"/>
          </w:tcPr>
          <w:p w14:paraId="76BBBED8" w14:textId="386C971B" w:rsidR="00722095" w:rsidRPr="00DE642C" w:rsidRDefault="00722095" w:rsidP="00722095">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90</w:t>
            </w:r>
          </w:p>
        </w:tc>
        <w:tc>
          <w:tcPr>
            <w:tcW w:w="4933" w:type="dxa"/>
            <w:gridSpan w:val="2"/>
          </w:tcPr>
          <w:p w14:paraId="1B956247" w14:textId="5859CFC2" w:rsidR="00722095" w:rsidRPr="00DE642C" w:rsidRDefault="00722095" w:rsidP="00722095">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707</w:t>
            </w:r>
            <w:r w:rsidR="00DE642C" w:rsidRPr="00DE642C">
              <w:rPr>
                <w:sz w:val="20"/>
                <w:szCs w:val="20"/>
              </w:rPr>
              <w:t> </w:t>
            </w:r>
            <w:r w:rsidRPr="00DE642C">
              <w:rPr>
                <w:sz w:val="20"/>
                <w:szCs w:val="20"/>
              </w:rPr>
              <w:t>791</w:t>
            </w:r>
            <w:r w:rsidR="00DE642C" w:rsidRPr="00DE642C">
              <w:rPr>
                <w:sz w:val="20"/>
                <w:szCs w:val="20"/>
              </w:rPr>
              <w:t xml:space="preserve"> zł</w:t>
            </w:r>
          </w:p>
        </w:tc>
      </w:tr>
      <w:tr w:rsidR="00722095" w:rsidRPr="0092226B" w14:paraId="70A644E5" w14:textId="77777777" w:rsidTr="00722095">
        <w:trPr>
          <w:trHeight w:val="284"/>
        </w:trPr>
        <w:tc>
          <w:tcPr>
            <w:cnfStyle w:val="001000000000" w:firstRow="0" w:lastRow="0" w:firstColumn="1" w:lastColumn="0" w:oddVBand="0" w:evenVBand="0" w:oddHBand="0" w:evenHBand="0" w:firstRowFirstColumn="0" w:firstRowLastColumn="0" w:lastRowFirstColumn="0" w:lastRowLastColumn="0"/>
            <w:tcW w:w="2830" w:type="dxa"/>
            <w:vMerge/>
          </w:tcPr>
          <w:p w14:paraId="78FD3749" w14:textId="77777777" w:rsidR="00722095" w:rsidRPr="00DE642C" w:rsidRDefault="00722095" w:rsidP="00722095">
            <w:pPr>
              <w:spacing w:line="240" w:lineRule="auto"/>
              <w:rPr>
                <w:rFonts w:eastAsia="Times New Roman" w:cs="Times New Roman"/>
                <w:b w:val="0"/>
                <w:bCs w:val="0"/>
                <w:color w:val="auto"/>
                <w:sz w:val="20"/>
                <w:szCs w:val="20"/>
                <w:lang w:eastAsia="pl-PL"/>
              </w:rPr>
            </w:pPr>
          </w:p>
        </w:tc>
        <w:tc>
          <w:tcPr>
            <w:tcW w:w="3119" w:type="dxa"/>
            <w:gridSpan w:val="2"/>
          </w:tcPr>
          <w:p w14:paraId="253EF65D" w14:textId="77777777" w:rsidR="00722095" w:rsidRPr="00DE642C" w:rsidRDefault="00722095" w:rsidP="007220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specjalistyczne usługi opiekuńcze w miejscu zamieszkania dla osób z zaburzeniami psychicznymi</w:t>
            </w:r>
          </w:p>
        </w:tc>
        <w:tc>
          <w:tcPr>
            <w:tcW w:w="3685" w:type="dxa"/>
            <w:gridSpan w:val="2"/>
          </w:tcPr>
          <w:p w14:paraId="7B7E1796" w14:textId="2C7B25E7" w:rsidR="00722095" w:rsidRPr="00DE642C" w:rsidRDefault="00722095" w:rsidP="00722095">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363</w:t>
            </w:r>
          </w:p>
        </w:tc>
        <w:tc>
          <w:tcPr>
            <w:tcW w:w="4933" w:type="dxa"/>
            <w:gridSpan w:val="2"/>
          </w:tcPr>
          <w:p w14:paraId="2F5BD279" w14:textId="202823FA" w:rsidR="00722095" w:rsidRPr="00DE642C" w:rsidRDefault="00722095" w:rsidP="00722095">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3</w:t>
            </w:r>
            <w:r w:rsidR="00DE642C" w:rsidRPr="00DE642C">
              <w:rPr>
                <w:sz w:val="20"/>
                <w:szCs w:val="20"/>
              </w:rPr>
              <w:t xml:space="preserve"> </w:t>
            </w:r>
            <w:r w:rsidRPr="00DE642C">
              <w:rPr>
                <w:sz w:val="20"/>
                <w:szCs w:val="20"/>
              </w:rPr>
              <w:t>327</w:t>
            </w:r>
            <w:r w:rsidR="00DE642C" w:rsidRPr="00DE642C">
              <w:rPr>
                <w:sz w:val="20"/>
                <w:szCs w:val="20"/>
              </w:rPr>
              <w:t> </w:t>
            </w:r>
            <w:r w:rsidRPr="00DE642C">
              <w:rPr>
                <w:sz w:val="20"/>
                <w:szCs w:val="20"/>
              </w:rPr>
              <w:t>882</w:t>
            </w:r>
            <w:r w:rsidR="00DE642C" w:rsidRPr="00DE642C">
              <w:rPr>
                <w:sz w:val="20"/>
                <w:szCs w:val="20"/>
              </w:rPr>
              <w:t xml:space="preserve"> zł</w:t>
            </w:r>
          </w:p>
        </w:tc>
      </w:tr>
      <w:tr w:rsidR="0092226B" w:rsidRPr="0092226B" w14:paraId="2107A023" w14:textId="77777777" w:rsidTr="00722095">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35ADF656" w14:textId="77777777" w:rsidR="005D2A2C" w:rsidRPr="00DE642C" w:rsidRDefault="005D2A2C" w:rsidP="00E86509">
            <w:pPr>
              <w:spacing w:line="240" w:lineRule="auto"/>
              <w:rPr>
                <w:rFonts w:eastAsia="Times New Roman" w:cs="Times New Roman"/>
                <w:b w:val="0"/>
                <w:bCs w:val="0"/>
                <w:color w:val="auto"/>
                <w:sz w:val="20"/>
                <w:szCs w:val="20"/>
                <w:lang w:eastAsia="pl-PL"/>
              </w:rPr>
            </w:pPr>
            <w:r w:rsidRPr="00DE642C">
              <w:rPr>
                <w:rFonts w:eastAsia="Times New Roman" w:cs="Times New Roman"/>
                <w:color w:val="auto"/>
                <w:sz w:val="20"/>
                <w:szCs w:val="20"/>
                <w:lang w:eastAsia="pl-PL"/>
              </w:rPr>
              <w:t>Świadczenia pieniężne przyznane osobom starszym</w:t>
            </w:r>
          </w:p>
        </w:tc>
        <w:tc>
          <w:tcPr>
            <w:tcW w:w="3119" w:type="dxa"/>
            <w:gridSpan w:val="2"/>
          </w:tcPr>
          <w:p w14:paraId="6DCFFF81" w14:textId="77777777" w:rsidR="005D2A2C" w:rsidRPr="00DE642C" w:rsidRDefault="005D2A2C"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Nazwa świadczenia</w:t>
            </w:r>
          </w:p>
        </w:tc>
        <w:tc>
          <w:tcPr>
            <w:tcW w:w="3685" w:type="dxa"/>
            <w:gridSpan w:val="2"/>
          </w:tcPr>
          <w:p w14:paraId="5F89F5E4" w14:textId="77777777" w:rsidR="005D2A2C" w:rsidRPr="00DE642C" w:rsidRDefault="005D2A2C"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Liczba osób starszych</w:t>
            </w:r>
          </w:p>
        </w:tc>
        <w:tc>
          <w:tcPr>
            <w:tcW w:w="4933" w:type="dxa"/>
            <w:gridSpan w:val="2"/>
          </w:tcPr>
          <w:p w14:paraId="4AAB19BF" w14:textId="77777777" w:rsidR="005D2A2C" w:rsidRPr="00DE642C" w:rsidRDefault="005D2A2C"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Kwota świadczenia</w:t>
            </w:r>
          </w:p>
        </w:tc>
      </w:tr>
      <w:tr w:rsidR="00722095" w:rsidRPr="0092226B" w14:paraId="7AB1AF56" w14:textId="77777777" w:rsidTr="00722095">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3C9719D5" w14:textId="77777777" w:rsidR="00722095" w:rsidRPr="00DE642C" w:rsidRDefault="00722095" w:rsidP="00722095">
            <w:pPr>
              <w:spacing w:line="240" w:lineRule="auto"/>
              <w:rPr>
                <w:rFonts w:eastAsia="Times New Roman" w:cs="Times New Roman"/>
                <w:b w:val="0"/>
                <w:bCs w:val="0"/>
                <w:color w:val="auto"/>
                <w:sz w:val="20"/>
                <w:szCs w:val="20"/>
                <w:lang w:eastAsia="pl-PL"/>
              </w:rPr>
            </w:pPr>
          </w:p>
        </w:tc>
        <w:tc>
          <w:tcPr>
            <w:tcW w:w="3119" w:type="dxa"/>
            <w:gridSpan w:val="2"/>
          </w:tcPr>
          <w:p w14:paraId="0BC6E649" w14:textId="77777777" w:rsidR="00722095" w:rsidRPr="00DE642C" w:rsidRDefault="00722095" w:rsidP="007220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Zasiłek stały</w:t>
            </w:r>
          </w:p>
        </w:tc>
        <w:tc>
          <w:tcPr>
            <w:tcW w:w="3685" w:type="dxa"/>
            <w:gridSpan w:val="2"/>
          </w:tcPr>
          <w:p w14:paraId="687D3331" w14:textId="15122E94" w:rsidR="00722095" w:rsidRPr="00DE642C" w:rsidRDefault="00722095" w:rsidP="00722095">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3</w:t>
            </w:r>
            <w:r w:rsidR="00DE642C" w:rsidRPr="00DE642C">
              <w:rPr>
                <w:sz w:val="20"/>
                <w:szCs w:val="20"/>
              </w:rPr>
              <w:t xml:space="preserve"> </w:t>
            </w:r>
            <w:r w:rsidRPr="00DE642C">
              <w:rPr>
                <w:sz w:val="20"/>
                <w:szCs w:val="20"/>
              </w:rPr>
              <w:t>072</w:t>
            </w:r>
          </w:p>
        </w:tc>
        <w:tc>
          <w:tcPr>
            <w:tcW w:w="4933" w:type="dxa"/>
            <w:gridSpan w:val="2"/>
          </w:tcPr>
          <w:p w14:paraId="2621D33E" w14:textId="507E7670" w:rsidR="00722095" w:rsidRPr="00DE642C" w:rsidRDefault="00722095" w:rsidP="00722095">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17</w:t>
            </w:r>
            <w:r w:rsidR="00DE642C" w:rsidRPr="00DE642C">
              <w:rPr>
                <w:sz w:val="20"/>
                <w:szCs w:val="20"/>
              </w:rPr>
              <w:t> </w:t>
            </w:r>
            <w:r w:rsidRPr="00DE642C">
              <w:rPr>
                <w:sz w:val="20"/>
                <w:szCs w:val="20"/>
              </w:rPr>
              <w:t>434</w:t>
            </w:r>
            <w:r w:rsidR="00DE642C" w:rsidRPr="00DE642C">
              <w:rPr>
                <w:sz w:val="20"/>
                <w:szCs w:val="20"/>
              </w:rPr>
              <w:t> </w:t>
            </w:r>
            <w:r w:rsidRPr="00DE642C">
              <w:rPr>
                <w:sz w:val="20"/>
                <w:szCs w:val="20"/>
              </w:rPr>
              <w:t>609</w:t>
            </w:r>
            <w:r w:rsidR="00DE642C" w:rsidRPr="00DE642C">
              <w:rPr>
                <w:sz w:val="20"/>
                <w:szCs w:val="20"/>
              </w:rPr>
              <w:t xml:space="preserve"> zł</w:t>
            </w:r>
          </w:p>
        </w:tc>
      </w:tr>
      <w:tr w:rsidR="00722095" w:rsidRPr="0092226B" w14:paraId="161DC719" w14:textId="77777777" w:rsidTr="00722095">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0DA070D4" w14:textId="77777777" w:rsidR="00722095" w:rsidRPr="00DE642C" w:rsidRDefault="00722095" w:rsidP="00722095">
            <w:pPr>
              <w:spacing w:line="240" w:lineRule="auto"/>
              <w:rPr>
                <w:rFonts w:eastAsia="Times New Roman" w:cs="Times New Roman"/>
                <w:b w:val="0"/>
                <w:bCs w:val="0"/>
                <w:color w:val="auto"/>
                <w:sz w:val="20"/>
                <w:szCs w:val="20"/>
                <w:lang w:eastAsia="pl-PL"/>
              </w:rPr>
            </w:pPr>
          </w:p>
        </w:tc>
        <w:tc>
          <w:tcPr>
            <w:tcW w:w="3119" w:type="dxa"/>
            <w:gridSpan w:val="2"/>
          </w:tcPr>
          <w:p w14:paraId="5F152EC9" w14:textId="77777777" w:rsidR="00722095" w:rsidRPr="00DE642C" w:rsidRDefault="00722095" w:rsidP="007220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Zasiłek okresowy</w:t>
            </w:r>
          </w:p>
        </w:tc>
        <w:tc>
          <w:tcPr>
            <w:tcW w:w="3685" w:type="dxa"/>
            <w:gridSpan w:val="2"/>
          </w:tcPr>
          <w:p w14:paraId="4AB0B095" w14:textId="6C4A43DE" w:rsidR="00722095" w:rsidRPr="00DE642C" w:rsidRDefault="00722095" w:rsidP="00722095">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w:t>
            </w:r>
            <w:r w:rsidR="00DE642C" w:rsidRPr="00DE642C">
              <w:rPr>
                <w:sz w:val="20"/>
                <w:szCs w:val="20"/>
              </w:rPr>
              <w:t xml:space="preserve"> </w:t>
            </w:r>
            <w:r w:rsidRPr="00DE642C">
              <w:rPr>
                <w:sz w:val="20"/>
                <w:szCs w:val="20"/>
              </w:rPr>
              <w:t>941</w:t>
            </w:r>
          </w:p>
        </w:tc>
        <w:tc>
          <w:tcPr>
            <w:tcW w:w="4933" w:type="dxa"/>
            <w:gridSpan w:val="2"/>
          </w:tcPr>
          <w:p w14:paraId="77731C9E" w14:textId="35168CD8" w:rsidR="00722095" w:rsidRPr="00DE642C" w:rsidRDefault="00722095" w:rsidP="00722095">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4</w:t>
            </w:r>
            <w:r w:rsidR="00DE642C" w:rsidRPr="00DE642C">
              <w:rPr>
                <w:sz w:val="20"/>
                <w:szCs w:val="20"/>
              </w:rPr>
              <w:t> </w:t>
            </w:r>
            <w:r w:rsidRPr="00DE642C">
              <w:rPr>
                <w:sz w:val="20"/>
                <w:szCs w:val="20"/>
              </w:rPr>
              <w:t>120</w:t>
            </w:r>
            <w:r w:rsidR="00DE642C" w:rsidRPr="00DE642C">
              <w:rPr>
                <w:sz w:val="20"/>
                <w:szCs w:val="20"/>
              </w:rPr>
              <w:t> </w:t>
            </w:r>
            <w:r w:rsidRPr="00DE642C">
              <w:rPr>
                <w:sz w:val="20"/>
                <w:szCs w:val="20"/>
              </w:rPr>
              <w:t>908</w:t>
            </w:r>
            <w:r w:rsidR="00DE642C" w:rsidRPr="00DE642C">
              <w:rPr>
                <w:sz w:val="20"/>
                <w:szCs w:val="20"/>
              </w:rPr>
              <w:t xml:space="preserve"> zł</w:t>
            </w:r>
          </w:p>
        </w:tc>
      </w:tr>
      <w:tr w:rsidR="00722095" w:rsidRPr="0092226B" w14:paraId="68CCF2AF" w14:textId="77777777" w:rsidTr="00722095">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0F6BBA90" w14:textId="77777777" w:rsidR="00722095" w:rsidRPr="00DE642C" w:rsidRDefault="00722095" w:rsidP="00722095">
            <w:pPr>
              <w:spacing w:line="240" w:lineRule="auto"/>
              <w:rPr>
                <w:rFonts w:eastAsia="Times New Roman" w:cs="Times New Roman"/>
                <w:b w:val="0"/>
                <w:bCs w:val="0"/>
                <w:color w:val="auto"/>
                <w:sz w:val="20"/>
                <w:szCs w:val="20"/>
                <w:lang w:eastAsia="pl-PL"/>
              </w:rPr>
            </w:pPr>
          </w:p>
        </w:tc>
        <w:tc>
          <w:tcPr>
            <w:tcW w:w="3119" w:type="dxa"/>
            <w:gridSpan w:val="2"/>
          </w:tcPr>
          <w:p w14:paraId="32E0EDCC" w14:textId="77777777" w:rsidR="00722095" w:rsidRPr="00DE642C" w:rsidRDefault="00722095" w:rsidP="007220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Zasiłek celowy</w:t>
            </w:r>
          </w:p>
        </w:tc>
        <w:tc>
          <w:tcPr>
            <w:tcW w:w="3685" w:type="dxa"/>
            <w:gridSpan w:val="2"/>
          </w:tcPr>
          <w:p w14:paraId="7A0F6985" w14:textId="2D10EC04" w:rsidR="00722095" w:rsidRPr="00DE642C" w:rsidRDefault="00722095" w:rsidP="00722095">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2</w:t>
            </w:r>
            <w:r w:rsidR="00DE642C" w:rsidRPr="00DE642C">
              <w:rPr>
                <w:sz w:val="20"/>
                <w:szCs w:val="20"/>
              </w:rPr>
              <w:t xml:space="preserve"> </w:t>
            </w:r>
            <w:r w:rsidRPr="00DE642C">
              <w:rPr>
                <w:sz w:val="20"/>
                <w:szCs w:val="20"/>
              </w:rPr>
              <w:t>777</w:t>
            </w:r>
          </w:p>
        </w:tc>
        <w:tc>
          <w:tcPr>
            <w:tcW w:w="4933" w:type="dxa"/>
            <w:gridSpan w:val="2"/>
          </w:tcPr>
          <w:p w14:paraId="3C501F48" w14:textId="130D706C" w:rsidR="00722095" w:rsidRPr="00DE642C" w:rsidRDefault="00722095" w:rsidP="00722095">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2</w:t>
            </w:r>
            <w:r w:rsidR="00DE642C" w:rsidRPr="00DE642C">
              <w:rPr>
                <w:sz w:val="20"/>
                <w:szCs w:val="20"/>
              </w:rPr>
              <w:t> </w:t>
            </w:r>
            <w:r w:rsidRPr="00DE642C">
              <w:rPr>
                <w:sz w:val="20"/>
                <w:szCs w:val="20"/>
              </w:rPr>
              <w:t>312</w:t>
            </w:r>
            <w:r w:rsidR="00DE642C" w:rsidRPr="00DE642C">
              <w:rPr>
                <w:sz w:val="20"/>
                <w:szCs w:val="20"/>
              </w:rPr>
              <w:t> </w:t>
            </w:r>
            <w:r w:rsidRPr="00DE642C">
              <w:rPr>
                <w:sz w:val="20"/>
                <w:szCs w:val="20"/>
              </w:rPr>
              <w:t>287</w:t>
            </w:r>
            <w:r w:rsidR="00DE642C" w:rsidRPr="00DE642C">
              <w:rPr>
                <w:sz w:val="20"/>
                <w:szCs w:val="20"/>
              </w:rPr>
              <w:t xml:space="preserve"> zł</w:t>
            </w:r>
          </w:p>
        </w:tc>
      </w:tr>
      <w:tr w:rsidR="00722095" w:rsidRPr="0092226B" w14:paraId="3B53D87C" w14:textId="77777777" w:rsidTr="00722095">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19870223" w14:textId="77777777" w:rsidR="00722095" w:rsidRPr="00DE642C" w:rsidRDefault="00722095" w:rsidP="00722095">
            <w:pPr>
              <w:spacing w:line="240" w:lineRule="auto"/>
              <w:rPr>
                <w:rFonts w:eastAsia="Times New Roman" w:cs="Times New Roman"/>
                <w:b w:val="0"/>
                <w:bCs w:val="0"/>
                <w:color w:val="auto"/>
                <w:sz w:val="20"/>
                <w:szCs w:val="20"/>
                <w:lang w:eastAsia="pl-PL"/>
              </w:rPr>
            </w:pPr>
          </w:p>
        </w:tc>
        <w:tc>
          <w:tcPr>
            <w:tcW w:w="3119" w:type="dxa"/>
            <w:gridSpan w:val="2"/>
          </w:tcPr>
          <w:p w14:paraId="6B69B508" w14:textId="77777777" w:rsidR="00722095" w:rsidRPr="00DE642C" w:rsidRDefault="00722095" w:rsidP="00722095">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Specjalny zasiłek celowy</w:t>
            </w:r>
          </w:p>
        </w:tc>
        <w:tc>
          <w:tcPr>
            <w:tcW w:w="3685" w:type="dxa"/>
            <w:gridSpan w:val="2"/>
          </w:tcPr>
          <w:p w14:paraId="5152D636" w14:textId="617E2E55" w:rsidR="00722095" w:rsidRPr="00DE642C" w:rsidRDefault="00722095" w:rsidP="00722095">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3</w:t>
            </w:r>
            <w:r w:rsidR="00DE642C" w:rsidRPr="00DE642C">
              <w:rPr>
                <w:sz w:val="20"/>
                <w:szCs w:val="20"/>
              </w:rPr>
              <w:t xml:space="preserve"> </w:t>
            </w:r>
            <w:r w:rsidRPr="00DE642C">
              <w:rPr>
                <w:sz w:val="20"/>
                <w:szCs w:val="20"/>
              </w:rPr>
              <w:t>247</w:t>
            </w:r>
          </w:p>
        </w:tc>
        <w:tc>
          <w:tcPr>
            <w:tcW w:w="4933" w:type="dxa"/>
            <w:gridSpan w:val="2"/>
          </w:tcPr>
          <w:p w14:paraId="71F0BB71" w14:textId="6BB13AD2" w:rsidR="00722095" w:rsidRPr="00DE642C" w:rsidRDefault="00722095" w:rsidP="00722095">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w:t>
            </w:r>
            <w:r w:rsidR="00DE642C" w:rsidRPr="00DE642C">
              <w:rPr>
                <w:sz w:val="20"/>
                <w:szCs w:val="20"/>
              </w:rPr>
              <w:t> </w:t>
            </w:r>
            <w:r w:rsidRPr="00DE642C">
              <w:rPr>
                <w:sz w:val="20"/>
                <w:szCs w:val="20"/>
              </w:rPr>
              <w:t>935</w:t>
            </w:r>
            <w:r w:rsidR="00DE642C" w:rsidRPr="00DE642C">
              <w:rPr>
                <w:sz w:val="20"/>
                <w:szCs w:val="20"/>
              </w:rPr>
              <w:t> </w:t>
            </w:r>
            <w:r w:rsidRPr="00DE642C">
              <w:rPr>
                <w:sz w:val="20"/>
                <w:szCs w:val="20"/>
              </w:rPr>
              <w:t>606</w:t>
            </w:r>
            <w:r w:rsidR="00DE642C" w:rsidRPr="00DE642C">
              <w:rPr>
                <w:sz w:val="20"/>
                <w:szCs w:val="20"/>
              </w:rPr>
              <w:t xml:space="preserve"> zł</w:t>
            </w:r>
          </w:p>
        </w:tc>
      </w:tr>
      <w:tr w:rsidR="00722095" w:rsidRPr="0092226B" w14:paraId="1E9F0F0A" w14:textId="77777777" w:rsidTr="00722095">
        <w:trPr>
          <w:trHeight w:val="44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1AA4DF65" w14:textId="77777777" w:rsidR="00722095" w:rsidRPr="00DE642C" w:rsidRDefault="00722095" w:rsidP="00E86509">
            <w:pPr>
              <w:spacing w:line="240" w:lineRule="auto"/>
              <w:rPr>
                <w:rFonts w:cs="Times New Roman"/>
                <w:b w:val="0"/>
                <w:color w:val="auto"/>
                <w:sz w:val="20"/>
                <w:szCs w:val="20"/>
                <w:lang w:eastAsia="pl-PL"/>
              </w:rPr>
            </w:pPr>
            <w:r w:rsidRPr="00DE642C">
              <w:rPr>
                <w:rFonts w:cs="Times New Roman"/>
                <w:color w:val="auto"/>
                <w:sz w:val="20"/>
                <w:szCs w:val="20"/>
                <w:lang w:eastAsia="pl-PL"/>
              </w:rPr>
              <w:t>Największe problemy/niedogodności w świadczeniu opieki nad osobami starszymi (np. zasoby kadrowe, rzeczowe, finansowe itp.)</w:t>
            </w:r>
          </w:p>
        </w:tc>
        <w:tc>
          <w:tcPr>
            <w:tcW w:w="11737" w:type="dxa"/>
            <w:gridSpan w:val="6"/>
          </w:tcPr>
          <w:p w14:paraId="421AF112" w14:textId="1B5C0F61" w:rsidR="00722095" w:rsidRPr="00DE642C" w:rsidRDefault="00722095" w:rsidP="00E8650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b/>
                <w:sz w:val="20"/>
                <w:szCs w:val="20"/>
              </w:rPr>
              <w:t>1.</w:t>
            </w:r>
            <w:r w:rsidRPr="00DE642C">
              <w:rPr>
                <w:rFonts w:eastAsia="Calibri" w:cs="Times New Roman"/>
                <w:sz w:val="20"/>
                <w:szCs w:val="20"/>
              </w:rPr>
              <w:t xml:space="preserve"> Trudności w zabezpieczeniu bieżącej realizacji usług opiekuńczych w okresie pandemii (choroby, izolacja lub kwarantanna osób świadczących usługi, konieczność zapewnienia środków ochrony osobistej, niechęć osób starszych do korzystania z usług opiekuńczych w miejscu zamieszkania z uwagi na lęk przed zakażeniem).</w:t>
            </w:r>
          </w:p>
        </w:tc>
      </w:tr>
      <w:tr w:rsidR="00722095" w:rsidRPr="0092226B" w14:paraId="6AEC4683" w14:textId="77777777" w:rsidTr="0072209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5710C1C2" w14:textId="77777777" w:rsidR="00722095" w:rsidRPr="00DE642C" w:rsidRDefault="00722095" w:rsidP="00E86509">
            <w:pPr>
              <w:spacing w:line="240" w:lineRule="auto"/>
              <w:rPr>
                <w:rFonts w:cs="Times New Roman"/>
                <w:color w:val="auto"/>
                <w:sz w:val="20"/>
                <w:szCs w:val="20"/>
                <w:lang w:eastAsia="pl-PL"/>
              </w:rPr>
            </w:pPr>
          </w:p>
        </w:tc>
        <w:tc>
          <w:tcPr>
            <w:tcW w:w="11737" w:type="dxa"/>
            <w:gridSpan w:val="6"/>
          </w:tcPr>
          <w:p w14:paraId="38E60220" w14:textId="0075B2E1" w:rsidR="00722095" w:rsidRPr="00DE642C" w:rsidRDefault="00722095" w:rsidP="00E8650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b/>
                <w:sz w:val="20"/>
                <w:szCs w:val="20"/>
              </w:rPr>
              <w:t>2.</w:t>
            </w:r>
            <w:r w:rsidRPr="00DE642C">
              <w:rPr>
                <w:rFonts w:cs="Times New Roman"/>
                <w:sz w:val="20"/>
                <w:szCs w:val="20"/>
              </w:rPr>
              <w:t xml:space="preserve"> Brak wykwalifikowanej kadry, z doświadczeniem zawodowym, chętnej do podjęcia zatrudnienia w zakresie świadczenia usług opiekuńczych, specjalistycznych usług opiekuńczych, głównie z powodu propozycji niskich wynagrodzeń.</w:t>
            </w:r>
          </w:p>
        </w:tc>
      </w:tr>
      <w:tr w:rsidR="00722095" w:rsidRPr="0092226B" w14:paraId="10339D47" w14:textId="77777777" w:rsidTr="00722095">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0559F4F9" w14:textId="77777777" w:rsidR="00722095" w:rsidRPr="00DE642C" w:rsidRDefault="00722095" w:rsidP="00E86509">
            <w:pPr>
              <w:spacing w:line="240" w:lineRule="auto"/>
              <w:rPr>
                <w:rFonts w:cs="Times New Roman"/>
                <w:color w:val="auto"/>
                <w:sz w:val="20"/>
                <w:szCs w:val="20"/>
                <w:lang w:eastAsia="pl-PL"/>
              </w:rPr>
            </w:pPr>
          </w:p>
        </w:tc>
        <w:tc>
          <w:tcPr>
            <w:tcW w:w="11737" w:type="dxa"/>
            <w:gridSpan w:val="6"/>
          </w:tcPr>
          <w:p w14:paraId="67179ECA" w14:textId="74FC21F5" w:rsidR="00722095" w:rsidRPr="00DE642C" w:rsidRDefault="00722095" w:rsidP="00E8650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b/>
                <w:sz w:val="20"/>
                <w:szCs w:val="20"/>
              </w:rPr>
              <w:t>3.</w:t>
            </w:r>
            <w:r w:rsidRPr="00DE642C">
              <w:rPr>
                <w:rFonts w:eastAsia="Calibri" w:cs="Times New Roman"/>
                <w:sz w:val="20"/>
                <w:szCs w:val="20"/>
              </w:rPr>
              <w:t xml:space="preserve"> Brak fachowej kadry zawodowo zajmującej się dostarczaniem wsparcia osobom starszym, w tym lekarzy geriatrów, pielęgniarek środowiskowych, terapeutów, przedstawicieli tzw. zawodów pomocowych jak asystent osoby starszej, animator czasu wolnego osób starszych, instruktor aktywności ruchowej osób starszych, opiekuna dla osób zaburzonych psychicznie.</w:t>
            </w:r>
          </w:p>
        </w:tc>
      </w:tr>
      <w:tr w:rsidR="00722095" w:rsidRPr="0092226B" w14:paraId="03EEEECE" w14:textId="77777777" w:rsidTr="0072209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272563DE" w14:textId="77777777" w:rsidR="00722095" w:rsidRPr="00DE642C" w:rsidRDefault="00722095" w:rsidP="00E86509">
            <w:pPr>
              <w:spacing w:line="240" w:lineRule="auto"/>
              <w:rPr>
                <w:rFonts w:cs="Times New Roman"/>
                <w:color w:val="auto"/>
                <w:sz w:val="20"/>
                <w:szCs w:val="20"/>
                <w:lang w:eastAsia="pl-PL"/>
              </w:rPr>
            </w:pPr>
          </w:p>
        </w:tc>
        <w:tc>
          <w:tcPr>
            <w:tcW w:w="11737" w:type="dxa"/>
            <w:gridSpan w:val="6"/>
          </w:tcPr>
          <w:p w14:paraId="60750287" w14:textId="11D1C90E" w:rsidR="00722095" w:rsidRPr="00DE642C" w:rsidRDefault="00722095" w:rsidP="00E8650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b/>
                <w:sz w:val="20"/>
                <w:szCs w:val="20"/>
              </w:rPr>
              <w:t>4</w:t>
            </w:r>
            <w:r w:rsidRPr="00DE642C">
              <w:rPr>
                <w:rFonts w:cs="Times New Roman"/>
                <w:sz w:val="20"/>
                <w:szCs w:val="20"/>
              </w:rPr>
              <w:t>.</w:t>
            </w:r>
            <w:r w:rsidRPr="00DE642C">
              <w:rPr>
                <w:rFonts w:eastAsia="Calibri" w:cs="Times New Roman"/>
                <w:sz w:val="20"/>
                <w:szCs w:val="20"/>
              </w:rPr>
              <w:t xml:space="preserve"> Odległość, brak środków komunikacji, długie terminy oczekiwania na wizytę istotnie utrudnia dostęp do placówek służby zdrowia, gabinetów świadczących usługi rehabilitacyjne, lekarzy specjalistów, w tym lekarzy geriatrów.</w:t>
            </w:r>
          </w:p>
        </w:tc>
      </w:tr>
      <w:tr w:rsidR="00722095" w:rsidRPr="0092226B" w14:paraId="14BB4C66" w14:textId="77777777" w:rsidTr="00722095">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004C0EAF" w14:textId="77777777" w:rsidR="00722095" w:rsidRPr="00DE642C" w:rsidRDefault="00722095" w:rsidP="00E86509">
            <w:pPr>
              <w:spacing w:line="240" w:lineRule="auto"/>
              <w:rPr>
                <w:rFonts w:cs="Times New Roman"/>
                <w:color w:val="auto"/>
                <w:sz w:val="20"/>
                <w:szCs w:val="20"/>
                <w:lang w:eastAsia="pl-PL"/>
              </w:rPr>
            </w:pPr>
          </w:p>
        </w:tc>
        <w:tc>
          <w:tcPr>
            <w:tcW w:w="11737" w:type="dxa"/>
            <w:gridSpan w:val="6"/>
          </w:tcPr>
          <w:p w14:paraId="29FDE4D3" w14:textId="3448252D" w:rsidR="00722095" w:rsidRPr="00DE642C" w:rsidRDefault="00722095" w:rsidP="0072209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DE642C">
              <w:rPr>
                <w:rFonts w:cs="Times New Roman"/>
                <w:b/>
                <w:sz w:val="20"/>
                <w:szCs w:val="20"/>
              </w:rPr>
              <w:t>5.</w:t>
            </w:r>
            <w:r w:rsidRPr="00DE642C">
              <w:rPr>
                <w:rFonts w:eastAsia="Calibri" w:cs="Times New Roman"/>
                <w:sz w:val="20"/>
                <w:szCs w:val="20"/>
              </w:rPr>
              <w:t xml:space="preserve"> Brak całodobowych placówek zapewniających opiekę osobom przewlekle chorym, </w:t>
            </w:r>
          </w:p>
          <w:p w14:paraId="00DC0BBF" w14:textId="0C402A19" w:rsidR="00722095" w:rsidRPr="00DE642C" w:rsidRDefault="00722095" w:rsidP="007220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eastAsia="Calibri" w:cs="Times New Roman"/>
                <w:sz w:val="20"/>
                <w:szCs w:val="20"/>
              </w:rPr>
              <w:t>a w przypadku funkcjonujących zakładów opiekuńczo-leczniczych brak wolnych miejsc lub bardzo długi czas oczekiwania na przyjęcie.</w:t>
            </w:r>
          </w:p>
        </w:tc>
      </w:tr>
      <w:tr w:rsidR="00722095" w:rsidRPr="0092226B" w14:paraId="36A65B5F" w14:textId="77777777" w:rsidTr="0072209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2AC23180" w14:textId="77777777" w:rsidR="00722095" w:rsidRPr="00DE642C" w:rsidRDefault="00722095" w:rsidP="00E86509">
            <w:pPr>
              <w:spacing w:line="240" w:lineRule="auto"/>
              <w:rPr>
                <w:rFonts w:cs="Times New Roman"/>
                <w:sz w:val="20"/>
                <w:szCs w:val="20"/>
                <w:lang w:eastAsia="pl-PL"/>
              </w:rPr>
            </w:pPr>
          </w:p>
        </w:tc>
        <w:tc>
          <w:tcPr>
            <w:tcW w:w="11737" w:type="dxa"/>
            <w:gridSpan w:val="6"/>
          </w:tcPr>
          <w:p w14:paraId="76F1D5DC" w14:textId="61ABD8DF" w:rsidR="00722095" w:rsidRPr="00DE642C" w:rsidRDefault="00722095" w:rsidP="00E86509">
            <w:pPr>
              <w:spacing w:line="240" w:lineRule="auto"/>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6.</w:t>
            </w:r>
            <w:r w:rsidRPr="00DE642C">
              <w:rPr>
                <w:rFonts w:eastAsia="Calibri" w:cs="Times New Roman"/>
                <w:sz w:val="20"/>
                <w:szCs w:val="20"/>
              </w:rPr>
              <w:t xml:space="preserve"> Brak takich placówek jak dzienne domy pobytu, kluby seniora lub ograniczona ilość miejsc, mniejsze gminy wskazują na możliwość uzyskania jedynie niewielkiej dotacji do programów, z uwagi na ograniczone środki finansowe własne gmin.</w:t>
            </w:r>
          </w:p>
        </w:tc>
      </w:tr>
      <w:tr w:rsidR="00722095" w:rsidRPr="0092226B" w14:paraId="220160E1" w14:textId="77777777" w:rsidTr="00722095">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552CA631" w14:textId="77777777" w:rsidR="00722095" w:rsidRPr="00DE642C" w:rsidRDefault="00722095" w:rsidP="00E86509">
            <w:pPr>
              <w:spacing w:line="240" w:lineRule="auto"/>
              <w:rPr>
                <w:rFonts w:cs="Times New Roman"/>
                <w:sz w:val="20"/>
                <w:szCs w:val="20"/>
                <w:lang w:eastAsia="pl-PL"/>
              </w:rPr>
            </w:pPr>
          </w:p>
        </w:tc>
        <w:tc>
          <w:tcPr>
            <w:tcW w:w="11737" w:type="dxa"/>
            <w:gridSpan w:val="6"/>
          </w:tcPr>
          <w:p w14:paraId="5D022678" w14:textId="0F64C445" w:rsidR="00722095" w:rsidRPr="00DE642C" w:rsidRDefault="00722095" w:rsidP="00722095">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DE642C">
              <w:rPr>
                <w:rFonts w:cs="Times New Roman"/>
                <w:b/>
                <w:sz w:val="20"/>
                <w:szCs w:val="20"/>
              </w:rPr>
              <w:t>7.</w:t>
            </w:r>
            <w:r w:rsidRPr="00DE642C">
              <w:rPr>
                <w:rFonts w:eastAsia="Calibri" w:cs="Times New Roman"/>
                <w:sz w:val="20"/>
                <w:szCs w:val="20"/>
              </w:rPr>
              <w:t xml:space="preserve"> W przypadku gmin wiejskich - rozległe, słabo zurbanizowane tereny, niedostatecznie rozwinięta infrastruktura drogowa i sieć połączeń komunikacyjnych, trudny dojazd do klienta, długi czas przemieszczania się opiekunów między klientami, którym świadczone są usługi opiekuńcze, trudności w zapewnieniu usług opiekuńczych w godzinach wieczornych oraz w dni wolne od pracy, konieczność dostosowania pory świadczenia usług do rozkładu jazdy komunikacji, konieczność rozkładania pracy opiekunki na kilka wejść w ciągu dnia w jedno środowisko na krótki czas </w:t>
            </w:r>
          </w:p>
          <w:p w14:paraId="2CF083EA" w14:textId="368AA409" w:rsidR="00722095" w:rsidRPr="00DE642C" w:rsidRDefault="00722095" w:rsidP="00722095">
            <w:pPr>
              <w:spacing w:line="240"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eastAsia="Calibri" w:cs="Times New Roman"/>
                <w:sz w:val="20"/>
                <w:szCs w:val="20"/>
              </w:rPr>
              <w:t>(3 x dziennie po 1 godzinie – generowanie kosztów dojazdu).</w:t>
            </w:r>
          </w:p>
        </w:tc>
      </w:tr>
      <w:tr w:rsidR="00722095" w:rsidRPr="0092226B" w14:paraId="5ED78810" w14:textId="77777777" w:rsidTr="0072209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3457739F" w14:textId="77777777" w:rsidR="00722095" w:rsidRPr="00DE642C" w:rsidRDefault="00722095" w:rsidP="00E86509">
            <w:pPr>
              <w:spacing w:line="240" w:lineRule="auto"/>
              <w:rPr>
                <w:rFonts w:cs="Times New Roman"/>
                <w:sz w:val="20"/>
                <w:szCs w:val="20"/>
                <w:lang w:eastAsia="pl-PL"/>
              </w:rPr>
            </w:pPr>
          </w:p>
        </w:tc>
        <w:tc>
          <w:tcPr>
            <w:tcW w:w="11737" w:type="dxa"/>
            <w:gridSpan w:val="6"/>
          </w:tcPr>
          <w:p w14:paraId="19FB7581" w14:textId="7CA618C3" w:rsidR="00722095" w:rsidRPr="00DE642C" w:rsidRDefault="00722095" w:rsidP="00E86509">
            <w:pPr>
              <w:spacing w:line="240" w:lineRule="auto"/>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8.</w:t>
            </w:r>
            <w:r w:rsidRPr="00DE642C">
              <w:rPr>
                <w:rFonts w:eastAsia="Calibri" w:cs="Times New Roman"/>
                <w:sz w:val="20"/>
                <w:szCs w:val="20"/>
              </w:rPr>
              <w:t xml:space="preserve"> Trudna współpraca z rodzinami osób starszych, obarczanie opiekunek odpowiedzialnością i dodatkowymi zadaniami (poza zakresem usług określonym decyzją), które nie stanowią bezpośredniej pomocy na rzecz seniora.</w:t>
            </w:r>
          </w:p>
        </w:tc>
      </w:tr>
      <w:tr w:rsidR="00722095" w:rsidRPr="0092226B" w14:paraId="15198D24" w14:textId="77777777" w:rsidTr="00722095">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22528EDB" w14:textId="77777777" w:rsidR="00722095" w:rsidRPr="00DE642C" w:rsidRDefault="00722095" w:rsidP="00E86509">
            <w:pPr>
              <w:spacing w:line="240" w:lineRule="auto"/>
              <w:rPr>
                <w:rFonts w:cs="Times New Roman"/>
                <w:sz w:val="20"/>
                <w:szCs w:val="20"/>
                <w:lang w:eastAsia="pl-PL"/>
              </w:rPr>
            </w:pPr>
          </w:p>
        </w:tc>
        <w:tc>
          <w:tcPr>
            <w:tcW w:w="11737" w:type="dxa"/>
            <w:gridSpan w:val="6"/>
          </w:tcPr>
          <w:p w14:paraId="543F2274" w14:textId="1D44F627" w:rsidR="00722095" w:rsidRPr="00DE642C" w:rsidRDefault="00722095" w:rsidP="00E86509">
            <w:pPr>
              <w:spacing w:line="240"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9.</w:t>
            </w:r>
            <w:r w:rsidRPr="00DE642C">
              <w:rPr>
                <w:rFonts w:eastAsia="Calibri" w:cs="Times New Roman"/>
                <w:sz w:val="20"/>
                <w:szCs w:val="20"/>
              </w:rPr>
              <w:t xml:space="preserve"> Problemy finansowe - brak chęci ponoszenia odpłatności za usługi opiekuńcze przez osoby starsze oraz znaczne obciążenie budżetów gmin opłatami za pobyt mieszkańców w domach pomocy społecznej.</w:t>
            </w:r>
          </w:p>
        </w:tc>
      </w:tr>
      <w:tr w:rsidR="00722095" w:rsidRPr="0092226B" w14:paraId="7CA74B6A" w14:textId="77777777" w:rsidTr="0072209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198D4994" w14:textId="77777777" w:rsidR="00722095" w:rsidRPr="00DE642C" w:rsidRDefault="00722095" w:rsidP="00E86509">
            <w:pPr>
              <w:spacing w:line="240" w:lineRule="auto"/>
              <w:rPr>
                <w:rFonts w:cs="Times New Roman"/>
                <w:sz w:val="20"/>
                <w:szCs w:val="20"/>
                <w:lang w:eastAsia="pl-PL"/>
              </w:rPr>
            </w:pPr>
          </w:p>
        </w:tc>
        <w:tc>
          <w:tcPr>
            <w:tcW w:w="11737" w:type="dxa"/>
            <w:gridSpan w:val="6"/>
          </w:tcPr>
          <w:p w14:paraId="5C4C7813" w14:textId="69D5131E" w:rsidR="00722095" w:rsidRPr="00DE642C" w:rsidRDefault="00722095" w:rsidP="00E86509">
            <w:pPr>
              <w:spacing w:line="240" w:lineRule="auto"/>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10.</w:t>
            </w:r>
            <w:r w:rsidRPr="00DE642C">
              <w:rPr>
                <w:rFonts w:eastAsia="Calibri" w:cs="Times New Roman"/>
                <w:sz w:val="20"/>
                <w:szCs w:val="20"/>
              </w:rPr>
              <w:t xml:space="preserve"> Bariery architektoniczne w miejscu zamieszkania świadczeniobiorców, braki w sprzęcie (łóżek specjalistycznych, dźwigów do podnoszenia chorych, balkoników, materaców przeciwodleżynowych.</w:t>
            </w:r>
          </w:p>
        </w:tc>
      </w:tr>
      <w:tr w:rsidR="0092226B" w:rsidRPr="0092226B" w14:paraId="426694AE" w14:textId="77777777" w:rsidTr="00722095">
        <w:trPr>
          <w:trHeight w:val="442"/>
        </w:trPr>
        <w:tc>
          <w:tcPr>
            <w:cnfStyle w:val="001000000000" w:firstRow="0" w:lastRow="0" w:firstColumn="1" w:lastColumn="0" w:oddVBand="0" w:evenVBand="0" w:oddHBand="0" w:evenHBand="0" w:firstRowFirstColumn="0" w:firstRowLastColumn="0" w:lastRowFirstColumn="0" w:lastRowLastColumn="0"/>
            <w:tcW w:w="2830" w:type="dxa"/>
          </w:tcPr>
          <w:p w14:paraId="706E94C5" w14:textId="77777777" w:rsidR="005D2A2C" w:rsidRPr="00DE642C" w:rsidRDefault="005D2A2C" w:rsidP="00E86509">
            <w:pPr>
              <w:spacing w:line="240" w:lineRule="auto"/>
              <w:rPr>
                <w:rFonts w:cs="Times New Roman"/>
                <w:color w:val="auto"/>
                <w:sz w:val="20"/>
                <w:szCs w:val="20"/>
                <w:lang w:eastAsia="pl-PL"/>
              </w:rPr>
            </w:pPr>
            <w:r w:rsidRPr="00DE642C">
              <w:rPr>
                <w:rFonts w:cs="Times New Roman"/>
                <w:color w:val="auto"/>
                <w:sz w:val="20"/>
                <w:szCs w:val="20"/>
                <w:lang w:eastAsia="pl-PL"/>
              </w:rPr>
              <w:t>Stopień zaspokojenia potrzeb w zakresie usług opiekuńczych</w:t>
            </w:r>
          </w:p>
        </w:tc>
        <w:tc>
          <w:tcPr>
            <w:tcW w:w="11737" w:type="dxa"/>
            <w:gridSpan w:val="6"/>
          </w:tcPr>
          <w:p w14:paraId="213523C3" w14:textId="1A8EF2B6" w:rsidR="00722095" w:rsidRPr="00DE642C" w:rsidRDefault="00722095" w:rsidP="007220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 xml:space="preserve">Na terenie województwa podkarpackiego na 160 wszystkich gmin 145 świadczy usługi opiekuńcze (dane ze sprawozdania resortowego MRiPS-03 za rok 2020). Zgodne z informacjami przekazanymi przez gminy, w 2020 r. pomocy w tej formie udzielono łącznie 4.775 osobom w wieku 60+. W ocenie tych gmin wszystkie osoby, które zgłosiły potrzebę udzielenia pomocy w formie usług opiekuńczych, zostały objęte takim wsparciem. Niemniej jednak z uwagi na utrzymującą się sytuację epidemiologiczną, okresowo usługi były realizowane w mniejszej ilości godzin, </w:t>
            </w:r>
            <w:r w:rsidRPr="00DE642C">
              <w:rPr>
                <w:rFonts w:cs="Times New Roman"/>
                <w:sz w:val="20"/>
                <w:szCs w:val="20"/>
              </w:rPr>
              <w:lastRenderedPageBreak/>
              <w:t xml:space="preserve">niż wskazywały na to faktycznie stwierdzone potrzeby. Gminy, które na Podkarpaciu nie realizują usług opiekuńczych podają, że na ich terenie nie występują takie potrzeby. Jednocześnie wskazują na dobre i bieżące rozpoznanie sytuacji osób starszych, w tym samotnych, ponadto deklarują pełne przygotowanie do podjęcia realizacji tego zadania z chwilą zaistnienia takich potrzeb. W większości są to gminy wiejskie, o stosunkowo niewielkiej liczbie ludności, w których dominują wielopokoleniowe gospodarstwa domowe. W rodzinach tych silnie przestrzegana jest zasada, że opieka nad starszymi osobami, to rola dzieci i wnuków, a przede wszystkim tych dziedziczących majątek. W wielu przypadkach osoby zobowiązane do pomocy korzystają z takich świadczeń jak: specjalny zasiłek opiekuńczy czy zasiłek dla opiekuna. Ponadto w ocenie pracowników ośrodków pomocy społecznej, coraz więcej osób starszych jest zainteresowanych specjalistycznym i kompleksowym wsparciem oferowanym przez ośrodki wsparcia – dzienne domy pobytu. </w:t>
            </w:r>
          </w:p>
          <w:p w14:paraId="1C09E36D" w14:textId="0EA9A8A4" w:rsidR="005D2A2C" w:rsidRPr="00DE642C" w:rsidRDefault="00722095" w:rsidP="00722095">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W zdecydowanej większości gmin województwa podkarpackiego usługi opiekuńcze świadczone są przez opiekunki zatrudnione w ośrodkach pomocy społecznej, ok. 30% gmin wykonanie ich zleca organizacjom pozarządowym (głównie PKPS i PCK), natomiast w ok. 15% zadanie realizowane jest w ramach programów finansowanych ze środków unijnych. Nadmienić należy, iż w ramach tegorocznej edycji programu „Opieka 75+” 41 gminy z terenu województwa podkarpackiego przystąpiły do jego realizacji. Biorąc pod uwagę powyższe ustalenia można przyjąć, iż na terenie województwa podkarpackiego stopień zaspokojenia potrzeb w zakresie usług opiekuńczych jest zadowalający.</w:t>
            </w:r>
          </w:p>
        </w:tc>
      </w:tr>
    </w:tbl>
    <w:p w14:paraId="7462A702" w14:textId="77777777" w:rsidR="005C6286" w:rsidRPr="005C6286" w:rsidRDefault="005C6286" w:rsidP="005C6286">
      <w:pPr>
        <w:tabs>
          <w:tab w:val="left" w:pos="5400"/>
        </w:tabs>
        <w:rPr>
          <w:rFonts w:eastAsia="Times New Roman" w:cs="Times New Roman"/>
          <w:b/>
          <w:szCs w:val="24"/>
          <w:lang w:eastAsia="pl-PL"/>
        </w:rPr>
      </w:pPr>
      <w:r w:rsidRPr="005C6286">
        <w:rPr>
          <w:rFonts w:eastAsia="Times New Roman" w:cs="Times New Roman"/>
          <w:b/>
          <w:szCs w:val="24"/>
          <w:lang w:eastAsia="pl-PL"/>
        </w:rPr>
        <w:t xml:space="preserve">Źródło: Dane Wojewody </w:t>
      </w:r>
      <w:r>
        <w:rPr>
          <w:rFonts w:eastAsia="Times New Roman" w:cs="Times New Roman"/>
          <w:b/>
          <w:szCs w:val="24"/>
          <w:lang w:eastAsia="pl-PL"/>
        </w:rPr>
        <w:t>Podkarpackiego</w:t>
      </w:r>
      <w:r w:rsidRPr="005C6286">
        <w:rPr>
          <w:rFonts w:eastAsia="Times New Roman" w:cs="Times New Roman"/>
          <w:b/>
          <w:szCs w:val="24"/>
          <w:lang w:eastAsia="pl-PL"/>
        </w:rPr>
        <w:t xml:space="preserve">. </w:t>
      </w:r>
    </w:p>
    <w:p w14:paraId="07ADE2BA" w14:textId="77777777" w:rsidR="005D2A2C" w:rsidRPr="0092226B" w:rsidRDefault="005D2A2C" w:rsidP="00FE70E3">
      <w:pPr>
        <w:pStyle w:val="Nagwek2"/>
        <w:numPr>
          <w:ilvl w:val="0"/>
          <w:numId w:val="12"/>
        </w:numPr>
        <w:rPr>
          <w:rFonts w:eastAsia="Times New Roman"/>
          <w:color w:val="FF0000"/>
          <w:lang w:eastAsia="ar-SA"/>
        </w:rPr>
        <w:sectPr w:rsidR="005D2A2C" w:rsidRPr="0092226B" w:rsidSect="00DB6308">
          <w:pgSz w:w="16838" w:h="11900" w:orient="landscape"/>
          <w:pgMar w:top="1380" w:right="1384" w:bottom="1386" w:left="1038" w:header="0" w:footer="567" w:gutter="0"/>
          <w:cols w:space="0" w:equalWidth="0">
            <w:col w:w="9140"/>
          </w:cols>
          <w:docGrid w:linePitch="360"/>
        </w:sectPr>
      </w:pPr>
    </w:p>
    <w:p w14:paraId="34DFBBBC" w14:textId="77777777" w:rsidR="00A70893" w:rsidRPr="0012413B" w:rsidRDefault="0012413B" w:rsidP="00FE70E3">
      <w:pPr>
        <w:pStyle w:val="Nagwek2"/>
        <w:numPr>
          <w:ilvl w:val="1"/>
          <w:numId w:val="12"/>
        </w:numPr>
        <w:spacing w:before="240" w:after="240"/>
        <w:rPr>
          <w:rFonts w:eastAsia="Times New Roman" w:cs="Times New Roman"/>
          <w:sz w:val="40"/>
          <w:lang w:eastAsia="ar-SA"/>
        </w:rPr>
      </w:pPr>
      <w:r>
        <w:rPr>
          <w:rFonts w:eastAsia="Times New Roman" w:cs="Times New Roman"/>
          <w:sz w:val="40"/>
          <w:lang w:eastAsia="ar-SA"/>
        </w:rPr>
        <w:lastRenderedPageBreak/>
        <w:t xml:space="preserve"> </w:t>
      </w:r>
      <w:bookmarkStart w:id="250" w:name="_Toc80523162"/>
      <w:r w:rsidR="00B25D75" w:rsidRPr="0012413B">
        <w:rPr>
          <w:rFonts w:eastAsia="Times New Roman" w:cs="Times New Roman"/>
          <w:sz w:val="40"/>
          <w:lang w:eastAsia="ar-SA"/>
        </w:rPr>
        <w:t xml:space="preserve">Województwo </w:t>
      </w:r>
      <w:r w:rsidR="005F0A32" w:rsidRPr="0012413B">
        <w:rPr>
          <w:rFonts w:eastAsia="Times New Roman" w:cs="Times New Roman"/>
          <w:sz w:val="40"/>
          <w:lang w:eastAsia="ar-SA"/>
        </w:rPr>
        <w:t>p</w:t>
      </w:r>
      <w:r w:rsidR="00475EFA" w:rsidRPr="0012413B">
        <w:rPr>
          <w:rFonts w:eastAsia="Times New Roman" w:cs="Times New Roman"/>
          <w:sz w:val="40"/>
          <w:lang w:eastAsia="ar-SA"/>
        </w:rPr>
        <w:t>odlaskie</w:t>
      </w:r>
      <w:bookmarkEnd w:id="250"/>
    </w:p>
    <w:p w14:paraId="4AAF7838" w14:textId="77777777" w:rsidR="005B094D" w:rsidRPr="005B094D" w:rsidRDefault="005B094D" w:rsidP="005B094D">
      <w:pPr>
        <w:pStyle w:val="Akapitzlist"/>
        <w:keepNext/>
        <w:keepLines/>
        <w:numPr>
          <w:ilvl w:val="1"/>
          <w:numId w:val="1"/>
        </w:numPr>
        <w:spacing w:before="120" w:after="120"/>
        <w:contextualSpacing w:val="0"/>
        <w:outlineLvl w:val="1"/>
        <w:rPr>
          <w:rFonts w:eastAsiaTheme="majorEastAsia" w:cstheme="majorBidi"/>
          <w:b/>
          <w:vanish/>
          <w:color w:val="ED7D31" w:themeColor="accent2"/>
          <w:sz w:val="34"/>
          <w:szCs w:val="26"/>
          <w:lang w:eastAsia="ar-SA"/>
        </w:rPr>
      </w:pPr>
      <w:bookmarkStart w:id="251" w:name="_Toc80523163"/>
      <w:bookmarkStart w:id="252" w:name="_Toc77514007"/>
      <w:bookmarkEnd w:id="251"/>
    </w:p>
    <w:p w14:paraId="0631DDB0" w14:textId="4325FA04" w:rsidR="000171DD" w:rsidRDefault="000171DD" w:rsidP="005B094D">
      <w:pPr>
        <w:pStyle w:val="Nagwek3"/>
        <w:rPr>
          <w:lang w:eastAsia="ar-SA"/>
        </w:rPr>
      </w:pPr>
      <w:bookmarkStart w:id="253" w:name="_Toc80523164"/>
      <w:r w:rsidRPr="00653FBE">
        <w:rPr>
          <w:lang w:eastAsia="ar-SA"/>
        </w:rPr>
        <w:t>Aktywność ekonomiczna i warunki bytowe</w:t>
      </w:r>
      <w:bookmarkEnd w:id="252"/>
      <w:bookmarkEnd w:id="253"/>
    </w:p>
    <w:p w14:paraId="22F549B8" w14:textId="77777777" w:rsidR="000B1B06" w:rsidRPr="000B1B06" w:rsidRDefault="000B1B06" w:rsidP="000B1B06">
      <w:pPr>
        <w:rPr>
          <w:lang w:eastAsia="ar-SA"/>
        </w:rPr>
      </w:pPr>
    </w:p>
    <w:p w14:paraId="421259DE" w14:textId="77777777" w:rsidR="000171DD" w:rsidRPr="00653FBE" w:rsidRDefault="000171DD" w:rsidP="00653FBE">
      <w:pPr>
        <w:rPr>
          <w:rFonts w:cs="Times New Roman"/>
          <w:szCs w:val="24"/>
        </w:rPr>
      </w:pPr>
      <w:r w:rsidRPr="00653FBE">
        <w:rPr>
          <w:rFonts w:cs="Times New Roman"/>
          <w:szCs w:val="24"/>
        </w:rPr>
        <w:t>W 2020 r. w województwie podlaskim przeciętny miesięczny dochód rozporządzalny przypadający na 1 osobę w gospodarstwach domowych wyniósł  1948 zł. Na dochód rozporządzalny gospodarstwa domowego składają się przede wszystkim dochody z pracy najemnej oraz dochody ze świadczeń społecznych. W 2020 r. ich udział w dochodzie rozporządzalnym wyniósł odpowiednio 42,7% i 31,0%. W 2020 r. przeciętne miesięczne wydatki na 1 osobę w gospodarstwach domowych wyniosły 1020 zł.  Na żywność i napoje bezalkoholowe gospodarstwa domowe przeznaczały przeciętnie 33,3% ogólnej kwoty wydatków, na opłaty z tytułu użytkowania mieszkania lub domu i za korzystanie z nośników energii  - 16,6%, a na zdrowie – 5,3%.</w:t>
      </w:r>
    </w:p>
    <w:p w14:paraId="550E6493" w14:textId="77777777" w:rsidR="000171DD" w:rsidRPr="00653FBE" w:rsidRDefault="000171DD" w:rsidP="00653FBE">
      <w:pPr>
        <w:rPr>
          <w:rFonts w:cs="Times New Roman"/>
          <w:szCs w:val="24"/>
        </w:rPr>
      </w:pPr>
    </w:p>
    <w:p w14:paraId="24354DD2" w14:textId="77777777" w:rsidR="000171DD" w:rsidRPr="00653FBE" w:rsidRDefault="000171DD" w:rsidP="00653FBE">
      <w:pPr>
        <w:rPr>
          <w:rFonts w:cs="Times New Roman"/>
          <w:szCs w:val="24"/>
        </w:rPr>
      </w:pPr>
      <w:r w:rsidRPr="00653FBE">
        <w:rPr>
          <w:rFonts w:cs="Times New Roman"/>
          <w:szCs w:val="24"/>
        </w:rPr>
        <w:t>W 2020 r. swoją sytuację materialną jako bardzo dobrą i raczej dobrą oceniło 50,3% gospodarstw domowych. Udział gospodarstw określających swoją sytuację materialną jako przeciętną wyniósł 43,4%, a raczej złą i złą ukształtował się na poziomie 6,3%.</w:t>
      </w:r>
    </w:p>
    <w:p w14:paraId="2BF732C7" w14:textId="77777777" w:rsidR="000171DD" w:rsidRPr="00653FBE" w:rsidRDefault="000171DD" w:rsidP="00653FBE">
      <w:pPr>
        <w:rPr>
          <w:rFonts w:cs="Times New Roman"/>
          <w:szCs w:val="24"/>
        </w:rPr>
      </w:pPr>
    </w:p>
    <w:p w14:paraId="4563CCB1" w14:textId="2C275336" w:rsidR="000171DD" w:rsidRPr="00653FBE" w:rsidRDefault="000171DD" w:rsidP="00653FBE">
      <w:pPr>
        <w:rPr>
          <w:rFonts w:cs="Times New Roman"/>
          <w:szCs w:val="24"/>
        </w:rPr>
      </w:pPr>
      <w:r w:rsidRPr="00653FBE">
        <w:rPr>
          <w:rFonts w:cs="Times New Roman"/>
          <w:szCs w:val="24"/>
        </w:rPr>
        <w:t>W analizowanym roku przeciętna liczba osób w gospodarstwie domowym ukształtowała się na</w:t>
      </w:r>
      <w:r w:rsidR="001F76DD">
        <w:rPr>
          <w:rFonts w:cs="Times New Roman"/>
          <w:szCs w:val="24"/>
        </w:rPr>
        <w:t> </w:t>
      </w:r>
      <w:r w:rsidRPr="00653FBE">
        <w:rPr>
          <w:rFonts w:cs="Times New Roman"/>
          <w:szCs w:val="24"/>
        </w:rPr>
        <w:t>poziomie 2,63. Przeciętna powierzchnia użytkowa mieszkania zajmowana przez gospodarstwo domowe wyniosła 84,57 m</w:t>
      </w:r>
      <w:r w:rsidRPr="00CB6327">
        <w:rPr>
          <w:rFonts w:cs="Times New Roman"/>
          <w:szCs w:val="24"/>
          <w:vertAlign w:val="superscript"/>
        </w:rPr>
        <w:t>2</w:t>
      </w:r>
      <w:r w:rsidRPr="00653FBE">
        <w:rPr>
          <w:rFonts w:cs="Times New Roman"/>
          <w:szCs w:val="24"/>
        </w:rPr>
        <w:t>.</w:t>
      </w:r>
    </w:p>
    <w:p w14:paraId="20B07852" w14:textId="77777777" w:rsidR="000171DD" w:rsidRPr="00653FBE" w:rsidRDefault="000171DD" w:rsidP="00653FBE">
      <w:pPr>
        <w:rPr>
          <w:rFonts w:cs="Times New Roman"/>
          <w:b/>
          <w:color w:val="FF0000"/>
          <w:szCs w:val="24"/>
          <w:lang w:eastAsia="ar-SA"/>
        </w:rPr>
      </w:pPr>
    </w:p>
    <w:p w14:paraId="2D04A959" w14:textId="6FA18590" w:rsidR="000171DD" w:rsidRPr="00AC73BC" w:rsidRDefault="000171DD" w:rsidP="00653FBE">
      <w:pPr>
        <w:pStyle w:val="Legenda"/>
        <w:keepNext/>
        <w:rPr>
          <w:rFonts w:cs="Times New Roman"/>
          <w:b/>
          <w:i w:val="0"/>
          <w:color w:val="auto"/>
          <w:sz w:val="24"/>
        </w:rPr>
      </w:pPr>
      <w:r w:rsidRPr="00432294">
        <w:rPr>
          <w:rFonts w:cs="Times New Roman"/>
          <w:b/>
          <w:i w:val="0"/>
          <w:color w:val="auto"/>
          <w:sz w:val="24"/>
        </w:rPr>
        <w:t xml:space="preserve">Tabela </w:t>
      </w:r>
      <w:r w:rsidR="005B094D">
        <w:rPr>
          <w:rFonts w:cs="Times New Roman"/>
          <w:b/>
          <w:i w:val="0"/>
          <w:color w:val="auto"/>
          <w:sz w:val="24"/>
        </w:rPr>
        <w:t>67</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Aktywność ekonomiczna osób starszych w województwie podlaskim</w:t>
      </w:r>
    </w:p>
    <w:tbl>
      <w:tblPr>
        <w:tblStyle w:val="Tabelasiatki6kolorowaakcent25"/>
        <w:tblpPr w:leftFromText="141" w:rightFromText="141" w:vertAnchor="text" w:tblpXSpec="center" w:tblpY="1"/>
        <w:tblW w:w="9073" w:type="dxa"/>
        <w:tblLayout w:type="fixed"/>
        <w:tblLook w:val="04A0" w:firstRow="1" w:lastRow="0" w:firstColumn="1" w:lastColumn="0" w:noHBand="0" w:noVBand="1"/>
      </w:tblPr>
      <w:tblGrid>
        <w:gridCol w:w="3119"/>
        <w:gridCol w:w="3969"/>
        <w:gridCol w:w="1985"/>
      </w:tblGrid>
      <w:tr w:rsidR="001158BB" w:rsidRPr="001158BB" w14:paraId="3413CDF7" w14:textId="77777777" w:rsidTr="00A32416">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073" w:type="dxa"/>
            <w:gridSpan w:val="3"/>
          </w:tcPr>
          <w:p w14:paraId="26E180B8" w14:textId="77777777" w:rsidR="000171DD" w:rsidRPr="001158BB" w:rsidRDefault="000171DD" w:rsidP="00EB7DC7">
            <w:pPr>
              <w:spacing w:line="240" w:lineRule="auto"/>
              <w:jc w:val="center"/>
              <w:rPr>
                <w:rFonts w:cs="Times New Roman"/>
                <w:b w:val="0"/>
                <w:bCs w:val="0"/>
                <w:color w:val="auto"/>
                <w:sz w:val="20"/>
                <w:szCs w:val="20"/>
              </w:rPr>
            </w:pPr>
            <w:r w:rsidRPr="001158BB">
              <w:rPr>
                <w:rFonts w:cs="Times New Roman"/>
                <w:b w:val="0"/>
                <w:bCs w:val="0"/>
                <w:color w:val="auto"/>
                <w:sz w:val="20"/>
                <w:szCs w:val="20"/>
                <w:lang w:eastAsia="pl-PL"/>
              </w:rPr>
              <w:t>AKTYWNOŚĆ EKONOMICZNA OSÓB STARSZYCH – DANE ZA 2020 R.</w:t>
            </w:r>
          </w:p>
        </w:tc>
      </w:tr>
      <w:tr w:rsidR="001158BB" w:rsidRPr="001158BB" w14:paraId="6B7E1FF5" w14:textId="77777777" w:rsidTr="00A32416">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7088" w:type="dxa"/>
            <w:gridSpan w:val="2"/>
          </w:tcPr>
          <w:p w14:paraId="76D13C44" w14:textId="77777777" w:rsidR="000171DD" w:rsidRPr="001158BB" w:rsidRDefault="000171DD" w:rsidP="00EB7DC7">
            <w:pPr>
              <w:spacing w:line="240" w:lineRule="auto"/>
              <w:rPr>
                <w:rFonts w:cs="Times New Roman"/>
                <w:b w:val="0"/>
                <w:bCs w:val="0"/>
                <w:color w:val="auto"/>
                <w:sz w:val="20"/>
                <w:szCs w:val="20"/>
              </w:rPr>
            </w:pPr>
            <w:r w:rsidRPr="001158BB">
              <w:rPr>
                <w:rFonts w:cs="Times New Roman"/>
                <w:b w:val="0"/>
                <w:bCs w:val="0"/>
                <w:color w:val="auto"/>
                <w:sz w:val="20"/>
                <w:szCs w:val="20"/>
              </w:rPr>
              <w:t>Podział</w:t>
            </w:r>
          </w:p>
        </w:tc>
        <w:tc>
          <w:tcPr>
            <w:tcW w:w="1985" w:type="dxa"/>
          </w:tcPr>
          <w:p w14:paraId="5401FE1A" w14:textId="77777777" w:rsidR="000171DD" w:rsidRPr="001158BB" w:rsidRDefault="000171DD" w:rsidP="00EB7DC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1158BB">
              <w:rPr>
                <w:rFonts w:cs="Times New Roman"/>
                <w:b/>
                <w:color w:val="auto"/>
                <w:sz w:val="20"/>
                <w:szCs w:val="20"/>
              </w:rPr>
              <w:t>Liczba</w:t>
            </w:r>
          </w:p>
        </w:tc>
      </w:tr>
      <w:tr w:rsidR="001158BB" w:rsidRPr="001158BB" w14:paraId="502F5197"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3119" w:type="dxa"/>
            <w:vMerge w:val="restart"/>
          </w:tcPr>
          <w:p w14:paraId="609CE526" w14:textId="77777777" w:rsidR="000171DD" w:rsidRPr="001158BB" w:rsidRDefault="000171DD" w:rsidP="00EB7DC7">
            <w:pPr>
              <w:spacing w:line="240" w:lineRule="auto"/>
              <w:rPr>
                <w:rFonts w:cs="Times New Roman"/>
                <w:bCs w:val="0"/>
                <w:color w:val="auto"/>
                <w:sz w:val="20"/>
                <w:szCs w:val="20"/>
                <w:lang w:eastAsia="pl-PL"/>
              </w:rPr>
            </w:pPr>
            <w:r w:rsidRPr="001158BB">
              <w:rPr>
                <w:rFonts w:cs="Times New Roman"/>
                <w:b w:val="0"/>
                <w:bCs w:val="0"/>
                <w:color w:val="auto"/>
                <w:sz w:val="20"/>
                <w:szCs w:val="20"/>
                <w:lang w:eastAsia="pl-PL"/>
              </w:rPr>
              <w:t>Osoby aktywne zawodowo razem (w tys.)</w:t>
            </w:r>
          </w:p>
        </w:tc>
        <w:tc>
          <w:tcPr>
            <w:tcW w:w="3969" w:type="dxa"/>
          </w:tcPr>
          <w:p w14:paraId="7E0FD96A"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ogółem</w:t>
            </w:r>
          </w:p>
        </w:tc>
        <w:tc>
          <w:tcPr>
            <w:tcW w:w="1985" w:type="dxa"/>
          </w:tcPr>
          <w:p w14:paraId="4114A5F4"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495</w:t>
            </w:r>
          </w:p>
        </w:tc>
      </w:tr>
      <w:tr w:rsidR="001158BB" w:rsidRPr="001158BB" w14:paraId="6EBD6E68" w14:textId="77777777" w:rsidTr="00A32416">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119" w:type="dxa"/>
            <w:vMerge/>
          </w:tcPr>
          <w:p w14:paraId="4259E06D" w14:textId="77777777" w:rsidR="000171DD" w:rsidRPr="001158BB" w:rsidRDefault="000171DD" w:rsidP="00EB7DC7">
            <w:pPr>
              <w:spacing w:line="240" w:lineRule="auto"/>
              <w:rPr>
                <w:rFonts w:cs="Times New Roman"/>
                <w:bCs w:val="0"/>
                <w:color w:val="auto"/>
                <w:sz w:val="20"/>
                <w:szCs w:val="20"/>
                <w:lang w:eastAsia="pl-PL"/>
              </w:rPr>
            </w:pPr>
          </w:p>
        </w:tc>
        <w:tc>
          <w:tcPr>
            <w:tcW w:w="3969" w:type="dxa"/>
          </w:tcPr>
          <w:p w14:paraId="0D0395E2"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w tym w wieku 60+</w:t>
            </w:r>
          </w:p>
        </w:tc>
        <w:tc>
          <w:tcPr>
            <w:tcW w:w="1985" w:type="dxa"/>
          </w:tcPr>
          <w:p w14:paraId="5D99C23C"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38</w:t>
            </w:r>
          </w:p>
        </w:tc>
      </w:tr>
      <w:tr w:rsidR="001158BB" w:rsidRPr="001158BB" w14:paraId="506F4B1E"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3119" w:type="dxa"/>
            <w:vMerge w:val="restart"/>
          </w:tcPr>
          <w:p w14:paraId="74417A39" w14:textId="77777777" w:rsidR="000171DD" w:rsidRPr="001158BB" w:rsidRDefault="000171DD" w:rsidP="00EB7DC7">
            <w:pPr>
              <w:spacing w:line="240" w:lineRule="auto"/>
              <w:rPr>
                <w:rFonts w:cs="Times New Roman"/>
                <w:bCs w:val="0"/>
                <w:color w:val="auto"/>
                <w:sz w:val="20"/>
                <w:szCs w:val="20"/>
                <w:lang w:eastAsia="pl-PL"/>
              </w:rPr>
            </w:pPr>
            <w:r w:rsidRPr="001158BB">
              <w:rPr>
                <w:rFonts w:cs="Times New Roman"/>
                <w:b w:val="0"/>
                <w:bCs w:val="0"/>
                <w:color w:val="auto"/>
                <w:sz w:val="20"/>
                <w:szCs w:val="20"/>
                <w:lang w:eastAsia="pl-PL"/>
              </w:rPr>
              <w:t xml:space="preserve">Osoby aktywne zawodowo </w:t>
            </w:r>
            <w:r w:rsidRPr="001158BB">
              <w:rPr>
                <w:rFonts w:cs="Times New Roman"/>
                <w:b w:val="0"/>
                <w:bCs w:val="0"/>
                <w:color w:val="auto"/>
                <w:sz w:val="20"/>
                <w:szCs w:val="20"/>
                <w:lang w:eastAsia="pl-PL"/>
              </w:rPr>
              <w:br/>
              <w:t>– pracujący (w tys.)</w:t>
            </w:r>
          </w:p>
        </w:tc>
        <w:tc>
          <w:tcPr>
            <w:tcW w:w="3969" w:type="dxa"/>
          </w:tcPr>
          <w:p w14:paraId="0EFAD306"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Ogółem</w:t>
            </w:r>
          </w:p>
        </w:tc>
        <w:tc>
          <w:tcPr>
            <w:tcW w:w="1985" w:type="dxa"/>
          </w:tcPr>
          <w:p w14:paraId="477E3976"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481</w:t>
            </w:r>
          </w:p>
        </w:tc>
      </w:tr>
      <w:tr w:rsidR="001158BB" w:rsidRPr="001158BB" w14:paraId="38901985" w14:textId="77777777" w:rsidTr="00A3241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119" w:type="dxa"/>
            <w:vMerge/>
          </w:tcPr>
          <w:p w14:paraId="58A1A346" w14:textId="77777777" w:rsidR="000171DD" w:rsidRPr="001158BB" w:rsidRDefault="000171DD" w:rsidP="00EB7DC7">
            <w:pPr>
              <w:spacing w:line="240" w:lineRule="auto"/>
              <w:rPr>
                <w:rFonts w:cs="Times New Roman"/>
                <w:bCs w:val="0"/>
                <w:color w:val="auto"/>
                <w:sz w:val="20"/>
                <w:szCs w:val="20"/>
                <w:lang w:eastAsia="pl-PL"/>
              </w:rPr>
            </w:pPr>
          </w:p>
        </w:tc>
        <w:tc>
          <w:tcPr>
            <w:tcW w:w="3969" w:type="dxa"/>
          </w:tcPr>
          <w:p w14:paraId="4C01AB6A"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w tym w wieku 60+</w:t>
            </w:r>
          </w:p>
        </w:tc>
        <w:tc>
          <w:tcPr>
            <w:tcW w:w="1985" w:type="dxa"/>
          </w:tcPr>
          <w:p w14:paraId="7719EC6D"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37</w:t>
            </w:r>
          </w:p>
        </w:tc>
      </w:tr>
      <w:tr w:rsidR="001158BB" w:rsidRPr="001158BB" w14:paraId="4E8B9979" w14:textId="77777777" w:rsidTr="00EB7DC7">
        <w:trPr>
          <w:trHeight w:val="224"/>
        </w:trPr>
        <w:tc>
          <w:tcPr>
            <w:cnfStyle w:val="001000000000" w:firstRow="0" w:lastRow="0" w:firstColumn="1" w:lastColumn="0" w:oddVBand="0" w:evenVBand="0" w:oddHBand="0" w:evenHBand="0" w:firstRowFirstColumn="0" w:firstRowLastColumn="0" w:lastRowFirstColumn="0" w:lastRowLastColumn="0"/>
            <w:tcW w:w="3119" w:type="dxa"/>
            <w:vMerge w:val="restart"/>
          </w:tcPr>
          <w:p w14:paraId="0B2FC9FA" w14:textId="77777777" w:rsidR="000171DD" w:rsidRPr="001158BB" w:rsidRDefault="000171DD" w:rsidP="00EB7DC7">
            <w:pPr>
              <w:spacing w:line="240" w:lineRule="auto"/>
              <w:rPr>
                <w:rFonts w:cs="Times New Roman"/>
                <w:bCs w:val="0"/>
                <w:color w:val="auto"/>
                <w:sz w:val="20"/>
                <w:szCs w:val="20"/>
                <w:lang w:eastAsia="pl-PL"/>
              </w:rPr>
            </w:pPr>
            <w:r w:rsidRPr="001158BB">
              <w:rPr>
                <w:rFonts w:cs="Times New Roman"/>
                <w:b w:val="0"/>
                <w:bCs w:val="0"/>
                <w:color w:val="auto"/>
                <w:sz w:val="20"/>
                <w:szCs w:val="20"/>
                <w:lang w:eastAsia="pl-PL"/>
              </w:rPr>
              <w:t>Osoby bierne zawodowo (w tys.)</w:t>
            </w:r>
          </w:p>
        </w:tc>
        <w:tc>
          <w:tcPr>
            <w:tcW w:w="3969" w:type="dxa"/>
          </w:tcPr>
          <w:p w14:paraId="43643A50"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ogółem</w:t>
            </w:r>
          </w:p>
        </w:tc>
        <w:tc>
          <w:tcPr>
            <w:tcW w:w="1985" w:type="dxa"/>
          </w:tcPr>
          <w:p w14:paraId="771DD544"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396</w:t>
            </w:r>
          </w:p>
        </w:tc>
      </w:tr>
      <w:tr w:rsidR="001158BB" w:rsidRPr="001158BB" w14:paraId="766FBD72" w14:textId="77777777" w:rsidTr="00A3241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9" w:type="dxa"/>
            <w:vMerge/>
          </w:tcPr>
          <w:p w14:paraId="5C8B95E4" w14:textId="77777777" w:rsidR="000171DD" w:rsidRPr="001158BB" w:rsidRDefault="000171DD" w:rsidP="00EB7DC7">
            <w:pPr>
              <w:spacing w:line="240" w:lineRule="auto"/>
              <w:rPr>
                <w:rFonts w:cs="Times New Roman"/>
                <w:bCs w:val="0"/>
                <w:color w:val="auto"/>
                <w:sz w:val="20"/>
                <w:szCs w:val="20"/>
                <w:lang w:eastAsia="pl-PL"/>
              </w:rPr>
            </w:pPr>
          </w:p>
        </w:tc>
        <w:tc>
          <w:tcPr>
            <w:tcW w:w="3969" w:type="dxa"/>
          </w:tcPr>
          <w:p w14:paraId="72022AFC"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w tym w wieku 60+</w:t>
            </w:r>
          </w:p>
        </w:tc>
        <w:tc>
          <w:tcPr>
            <w:tcW w:w="1985" w:type="dxa"/>
          </w:tcPr>
          <w:p w14:paraId="5837F99C"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243</w:t>
            </w:r>
          </w:p>
        </w:tc>
      </w:tr>
      <w:tr w:rsidR="001158BB" w:rsidRPr="001158BB" w14:paraId="0BDCC849" w14:textId="77777777" w:rsidTr="00EB7DC7">
        <w:trPr>
          <w:trHeight w:val="285"/>
        </w:trPr>
        <w:tc>
          <w:tcPr>
            <w:cnfStyle w:val="001000000000" w:firstRow="0" w:lastRow="0" w:firstColumn="1" w:lastColumn="0" w:oddVBand="0" w:evenVBand="0" w:oddHBand="0" w:evenHBand="0" w:firstRowFirstColumn="0" w:firstRowLastColumn="0" w:lastRowFirstColumn="0" w:lastRowLastColumn="0"/>
            <w:tcW w:w="3119" w:type="dxa"/>
            <w:vMerge w:val="restart"/>
          </w:tcPr>
          <w:p w14:paraId="37C3AE35" w14:textId="77777777" w:rsidR="000171DD" w:rsidRPr="001158BB" w:rsidRDefault="000171DD" w:rsidP="00EB7DC7">
            <w:pPr>
              <w:spacing w:line="240" w:lineRule="auto"/>
              <w:rPr>
                <w:rFonts w:cs="Times New Roman"/>
                <w:bCs w:val="0"/>
                <w:color w:val="auto"/>
                <w:sz w:val="20"/>
                <w:szCs w:val="20"/>
                <w:lang w:eastAsia="pl-PL"/>
              </w:rPr>
            </w:pPr>
            <w:r w:rsidRPr="001158BB">
              <w:rPr>
                <w:rFonts w:cs="Times New Roman"/>
                <w:b w:val="0"/>
                <w:bCs w:val="0"/>
                <w:color w:val="auto"/>
                <w:sz w:val="20"/>
                <w:szCs w:val="20"/>
                <w:lang w:eastAsia="pl-PL"/>
              </w:rPr>
              <w:t>Współczynnik aktywności zawodowej %</w:t>
            </w:r>
          </w:p>
        </w:tc>
        <w:tc>
          <w:tcPr>
            <w:tcW w:w="3969" w:type="dxa"/>
          </w:tcPr>
          <w:p w14:paraId="68FF0164"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Ogółem</w:t>
            </w:r>
          </w:p>
        </w:tc>
        <w:tc>
          <w:tcPr>
            <w:tcW w:w="1985" w:type="dxa"/>
          </w:tcPr>
          <w:p w14:paraId="19E546E0"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55,5</w:t>
            </w:r>
          </w:p>
        </w:tc>
      </w:tr>
      <w:tr w:rsidR="001158BB" w:rsidRPr="001158BB" w14:paraId="3B68A45C" w14:textId="77777777" w:rsidTr="00A3241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119" w:type="dxa"/>
            <w:vMerge/>
          </w:tcPr>
          <w:p w14:paraId="2FFC41E2" w14:textId="77777777" w:rsidR="000171DD" w:rsidRPr="001158BB" w:rsidRDefault="000171DD" w:rsidP="00EB7DC7">
            <w:pPr>
              <w:spacing w:line="240" w:lineRule="auto"/>
              <w:rPr>
                <w:rFonts w:cs="Times New Roman"/>
                <w:bCs w:val="0"/>
                <w:color w:val="auto"/>
                <w:sz w:val="20"/>
                <w:szCs w:val="20"/>
                <w:lang w:eastAsia="pl-PL"/>
              </w:rPr>
            </w:pPr>
          </w:p>
        </w:tc>
        <w:tc>
          <w:tcPr>
            <w:tcW w:w="3969" w:type="dxa"/>
          </w:tcPr>
          <w:p w14:paraId="7B7838C4"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w tym w wieku 60+</w:t>
            </w:r>
          </w:p>
        </w:tc>
        <w:tc>
          <w:tcPr>
            <w:tcW w:w="1985" w:type="dxa"/>
          </w:tcPr>
          <w:p w14:paraId="4E26A3D9"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13,5</w:t>
            </w:r>
          </w:p>
        </w:tc>
      </w:tr>
      <w:tr w:rsidR="001158BB" w:rsidRPr="001158BB" w14:paraId="73939871" w14:textId="77777777" w:rsidTr="00EB7DC7">
        <w:trPr>
          <w:trHeight w:val="143"/>
        </w:trPr>
        <w:tc>
          <w:tcPr>
            <w:cnfStyle w:val="001000000000" w:firstRow="0" w:lastRow="0" w:firstColumn="1" w:lastColumn="0" w:oddVBand="0" w:evenVBand="0" w:oddHBand="0" w:evenHBand="0" w:firstRowFirstColumn="0" w:firstRowLastColumn="0" w:lastRowFirstColumn="0" w:lastRowLastColumn="0"/>
            <w:tcW w:w="3119" w:type="dxa"/>
            <w:vMerge w:val="restart"/>
          </w:tcPr>
          <w:p w14:paraId="38761FCF" w14:textId="77777777" w:rsidR="000171DD" w:rsidRPr="001158BB" w:rsidRDefault="000171DD" w:rsidP="00EB7DC7">
            <w:pPr>
              <w:spacing w:line="240" w:lineRule="auto"/>
              <w:rPr>
                <w:rFonts w:cs="Times New Roman"/>
                <w:bCs w:val="0"/>
                <w:color w:val="auto"/>
                <w:sz w:val="20"/>
                <w:szCs w:val="20"/>
                <w:lang w:eastAsia="pl-PL"/>
              </w:rPr>
            </w:pPr>
            <w:r w:rsidRPr="001158BB">
              <w:rPr>
                <w:rFonts w:cs="Times New Roman"/>
                <w:b w:val="0"/>
                <w:bCs w:val="0"/>
                <w:color w:val="auto"/>
                <w:sz w:val="20"/>
                <w:szCs w:val="20"/>
                <w:lang w:eastAsia="pl-PL"/>
              </w:rPr>
              <w:t>Wskaźnik zatrudnienia %</w:t>
            </w:r>
          </w:p>
        </w:tc>
        <w:tc>
          <w:tcPr>
            <w:tcW w:w="3969" w:type="dxa"/>
          </w:tcPr>
          <w:p w14:paraId="26AF1F7E"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ogółem</w:t>
            </w:r>
          </w:p>
        </w:tc>
        <w:tc>
          <w:tcPr>
            <w:tcW w:w="1985" w:type="dxa"/>
          </w:tcPr>
          <w:p w14:paraId="2757EFB4"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53,9</w:t>
            </w:r>
          </w:p>
        </w:tc>
      </w:tr>
      <w:tr w:rsidR="001158BB" w:rsidRPr="001158BB" w14:paraId="6992D820" w14:textId="77777777" w:rsidTr="00A3241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3119" w:type="dxa"/>
            <w:vMerge/>
          </w:tcPr>
          <w:p w14:paraId="004C0EE8" w14:textId="77777777" w:rsidR="000171DD" w:rsidRPr="001158BB" w:rsidRDefault="000171DD" w:rsidP="00EB7DC7">
            <w:pPr>
              <w:spacing w:line="240" w:lineRule="auto"/>
              <w:rPr>
                <w:rFonts w:cs="Times New Roman"/>
                <w:bCs w:val="0"/>
                <w:color w:val="auto"/>
                <w:sz w:val="20"/>
                <w:szCs w:val="20"/>
                <w:lang w:eastAsia="pl-PL"/>
              </w:rPr>
            </w:pPr>
          </w:p>
        </w:tc>
        <w:tc>
          <w:tcPr>
            <w:tcW w:w="3969" w:type="dxa"/>
          </w:tcPr>
          <w:p w14:paraId="00E48478"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w tym w wieku 60+</w:t>
            </w:r>
          </w:p>
        </w:tc>
        <w:tc>
          <w:tcPr>
            <w:tcW w:w="1985" w:type="dxa"/>
          </w:tcPr>
          <w:p w14:paraId="59BAAD2F"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13,2</w:t>
            </w:r>
          </w:p>
        </w:tc>
      </w:tr>
      <w:tr w:rsidR="001158BB" w:rsidRPr="001158BB" w14:paraId="4E801D9D" w14:textId="77777777" w:rsidTr="00EB7DC7">
        <w:trPr>
          <w:trHeight w:val="282"/>
        </w:trPr>
        <w:tc>
          <w:tcPr>
            <w:cnfStyle w:val="001000000000" w:firstRow="0" w:lastRow="0" w:firstColumn="1" w:lastColumn="0" w:oddVBand="0" w:evenVBand="0" w:oddHBand="0" w:evenHBand="0" w:firstRowFirstColumn="0" w:firstRowLastColumn="0" w:lastRowFirstColumn="0" w:lastRowLastColumn="0"/>
            <w:tcW w:w="3119" w:type="dxa"/>
            <w:vMerge w:val="restart"/>
          </w:tcPr>
          <w:p w14:paraId="417A1FF0" w14:textId="77777777" w:rsidR="000171DD" w:rsidRPr="001158BB" w:rsidRDefault="000171DD" w:rsidP="00EB7DC7">
            <w:pPr>
              <w:spacing w:line="240" w:lineRule="auto"/>
              <w:rPr>
                <w:rFonts w:cs="Times New Roman"/>
                <w:bCs w:val="0"/>
                <w:color w:val="auto"/>
                <w:sz w:val="20"/>
                <w:szCs w:val="20"/>
                <w:lang w:eastAsia="pl-PL"/>
              </w:rPr>
            </w:pPr>
            <w:r w:rsidRPr="001158BB">
              <w:rPr>
                <w:rFonts w:eastAsia="Times New Roman" w:cs="Times New Roman"/>
                <w:b w:val="0"/>
                <w:bCs w:val="0"/>
                <w:color w:val="auto"/>
                <w:sz w:val="20"/>
                <w:szCs w:val="20"/>
                <w:lang w:eastAsia="pl-PL"/>
              </w:rPr>
              <w:t xml:space="preserve">Osoby bierne zawodowo  w wieku 60 lat i więcej według wybranych przyczyn bierności </w:t>
            </w:r>
            <w:r w:rsidRPr="001158BB">
              <w:rPr>
                <w:rFonts w:eastAsia="Times New Roman" w:cs="Times New Roman"/>
                <w:b w:val="0"/>
                <w:bCs w:val="0"/>
                <w:color w:val="auto"/>
                <w:sz w:val="20"/>
                <w:szCs w:val="20"/>
                <w:lang w:eastAsia="pl-PL"/>
              </w:rPr>
              <w:br/>
              <w:t>(w tys.)</w:t>
            </w:r>
          </w:p>
        </w:tc>
        <w:tc>
          <w:tcPr>
            <w:tcW w:w="3969" w:type="dxa"/>
          </w:tcPr>
          <w:p w14:paraId="05280BA3"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ogółem</w:t>
            </w:r>
          </w:p>
        </w:tc>
        <w:tc>
          <w:tcPr>
            <w:tcW w:w="1985" w:type="dxa"/>
          </w:tcPr>
          <w:p w14:paraId="6C5330B2"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243</w:t>
            </w:r>
          </w:p>
        </w:tc>
      </w:tr>
      <w:tr w:rsidR="001158BB" w:rsidRPr="001158BB" w14:paraId="3776C7DB"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9" w:type="dxa"/>
            <w:vMerge/>
          </w:tcPr>
          <w:p w14:paraId="23FD011B" w14:textId="77777777" w:rsidR="000171DD" w:rsidRPr="001158BB" w:rsidRDefault="000171DD" w:rsidP="00EB7DC7">
            <w:pPr>
              <w:spacing w:line="240" w:lineRule="auto"/>
              <w:rPr>
                <w:rFonts w:eastAsia="Times New Roman" w:cs="Times New Roman"/>
                <w:color w:val="auto"/>
                <w:sz w:val="20"/>
                <w:szCs w:val="20"/>
                <w:lang w:eastAsia="pl-PL"/>
              </w:rPr>
            </w:pPr>
          </w:p>
        </w:tc>
        <w:tc>
          <w:tcPr>
            <w:tcW w:w="5954" w:type="dxa"/>
            <w:gridSpan w:val="2"/>
          </w:tcPr>
          <w:p w14:paraId="3C201FF5"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w tym:</w:t>
            </w:r>
          </w:p>
        </w:tc>
      </w:tr>
      <w:tr w:rsidR="001158BB" w:rsidRPr="001158BB" w14:paraId="3A0C8F01" w14:textId="77777777" w:rsidTr="00EB7DC7">
        <w:trPr>
          <w:trHeight w:val="280"/>
        </w:trPr>
        <w:tc>
          <w:tcPr>
            <w:cnfStyle w:val="001000000000" w:firstRow="0" w:lastRow="0" w:firstColumn="1" w:lastColumn="0" w:oddVBand="0" w:evenVBand="0" w:oddHBand="0" w:evenHBand="0" w:firstRowFirstColumn="0" w:firstRowLastColumn="0" w:lastRowFirstColumn="0" w:lastRowLastColumn="0"/>
            <w:tcW w:w="3119" w:type="dxa"/>
            <w:vMerge/>
          </w:tcPr>
          <w:p w14:paraId="62DDEBD5" w14:textId="77777777" w:rsidR="000171DD" w:rsidRPr="001158BB" w:rsidRDefault="000171DD" w:rsidP="00EB7DC7">
            <w:pPr>
              <w:spacing w:line="240" w:lineRule="auto"/>
              <w:rPr>
                <w:rFonts w:eastAsia="Times New Roman" w:cs="Times New Roman"/>
                <w:color w:val="auto"/>
                <w:sz w:val="20"/>
                <w:szCs w:val="20"/>
                <w:lang w:eastAsia="pl-PL"/>
              </w:rPr>
            </w:pPr>
          </w:p>
        </w:tc>
        <w:tc>
          <w:tcPr>
            <w:tcW w:w="3969" w:type="dxa"/>
          </w:tcPr>
          <w:p w14:paraId="76AD2AF5"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1158BB">
              <w:rPr>
                <w:rFonts w:eastAsia="Times New Roman" w:cs="Times New Roman"/>
                <w:color w:val="auto"/>
                <w:sz w:val="20"/>
                <w:szCs w:val="20"/>
                <w:lang w:eastAsia="pl-PL"/>
              </w:rPr>
              <w:t>osoby nieposzukujące pracy - razem</w:t>
            </w:r>
          </w:p>
        </w:tc>
        <w:tc>
          <w:tcPr>
            <w:tcW w:w="1985" w:type="dxa"/>
          </w:tcPr>
          <w:p w14:paraId="6C55FE60"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243</w:t>
            </w:r>
          </w:p>
        </w:tc>
      </w:tr>
      <w:tr w:rsidR="001158BB" w:rsidRPr="001158BB" w14:paraId="29D8EFD2" w14:textId="77777777" w:rsidTr="00EB7D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19" w:type="dxa"/>
            <w:vMerge/>
          </w:tcPr>
          <w:p w14:paraId="0ED6E305" w14:textId="77777777" w:rsidR="000171DD" w:rsidRPr="001158BB" w:rsidRDefault="000171DD" w:rsidP="00EB7DC7">
            <w:pPr>
              <w:spacing w:line="240" w:lineRule="auto"/>
              <w:rPr>
                <w:rFonts w:eastAsia="Times New Roman" w:cs="Times New Roman"/>
                <w:color w:val="auto"/>
                <w:sz w:val="20"/>
                <w:szCs w:val="20"/>
                <w:lang w:eastAsia="pl-PL"/>
              </w:rPr>
            </w:pPr>
          </w:p>
        </w:tc>
        <w:tc>
          <w:tcPr>
            <w:tcW w:w="3969" w:type="dxa"/>
          </w:tcPr>
          <w:p w14:paraId="64CFFF7F"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eastAsia="Times New Roman" w:cs="Times New Roman"/>
                <w:color w:val="auto"/>
                <w:sz w:val="20"/>
                <w:szCs w:val="20"/>
                <w:lang w:eastAsia="pl-PL"/>
              </w:rPr>
              <w:t>osoby nieposzukujące pracy - emerytura</w:t>
            </w:r>
          </w:p>
        </w:tc>
        <w:tc>
          <w:tcPr>
            <w:tcW w:w="1985" w:type="dxa"/>
          </w:tcPr>
          <w:p w14:paraId="1A898C52"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221</w:t>
            </w:r>
          </w:p>
        </w:tc>
      </w:tr>
      <w:tr w:rsidR="001158BB" w:rsidRPr="001158BB" w14:paraId="6E922C17" w14:textId="77777777" w:rsidTr="00A32416">
        <w:trPr>
          <w:trHeight w:val="541"/>
        </w:trPr>
        <w:tc>
          <w:tcPr>
            <w:cnfStyle w:val="001000000000" w:firstRow="0" w:lastRow="0" w:firstColumn="1" w:lastColumn="0" w:oddVBand="0" w:evenVBand="0" w:oddHBand="0" w:evenHBand="0" w:firstRowFirstColumn="0" w:firstRowLastColumn="0" w:lastRowFirstColumn="0" w:lastRowLastColumn="0"/>
            <w:tcW w:w="3119" w:type="dxa"/>
            <w:vMerge/>
          </w:tcPr>
          <w:p w14:paraId="02751074" w14:textId="77777777" w:rsidR="000171DD" w:rsidRPr="001158BB" w:rsidRDefault="000171DD" w:rsidP="00EB7DC7">
            <w:pPr>
              <w:spacing w:line="240" w:lineRule="auto"/>
              <w:rPr>
                <w:rFonts w:eastAsia="Times New Roman" w:cs="Times New Roman"/>
                <w:color w:val="auto"/>
                <w:sz w:val="20"/>
                <w:szCs w:val="20"/>
                <w:lang w:eastAsia="pl-PL"/>
              </w:rPr>
            </w:pPr>
          </w:p>
        </w:tc>
        <w:tc>
          <w:tcPr>
            <w:tcW w:w="3969" w:type="dxa"/>
          </w:tcPr>
          <w:p w14:paraId="6004D85A"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eastAsia="Times New Roman" w:cs="Times New Roman"/>
                <w:color w:val="auto"/>
                <w:sz w:val="20"/>
                <w:szCs w:val="20"/>
                <w:lang w:eastAsia="pl-PL"/>
              </w:rPr>
              <w:t>osoby nieposzukujące pracy - choroba, niepełnosprawność</w:t>
            </w:r>
          </w:p>
        </w:tc>
        <w:tc>
          <w:tcPr>
            <w:tcW w:w="1985" w:type="dxa"/>
          </w:tcPr>
          <w:p w14:paraId="34ECE6F7"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16*</w:t>
            </w:r>
          </w:p>
          <w:p w14:paraId="7F655C48"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p>
        </w:tc>
      </w:tr>
      <w:tr w:rsidR="001158BB" w:rsidRPr="001158BB" w14:paraId="3BE05C7F" w14:textId="77777777" w:rsidTr="00EB7DC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19" w:type="dxa"/>
            <w:vMerge w:val="restart"/>
          </w:tcPr>
          <w:p w14:paraId="78B26AF5" w14:textId="77777777" w:rsidR="000171DD" w:rsidRPr="001158BB" w:rsidRDefault="000171DD" w:rsidP="00EB7DC7">
            <w:pPr>
              <w:spacing w:line="240" w:lineRule="auto"/>
              <w:rPr>
                <w:rFonts w:eastAsia="Times New Roman" w:cs="Times New Roman"/>
                <w:color w:val="auto"/>
                <w:sz w:val="20"/>
                <w:szCs w:val="20"/>
                <w:lang w:eastAsia="pl-PL"/>
              </w:rPr>
            </w:pPr>
            <w:r w:rsidRPr="001158BB">
              <w:rPr>
                <w:rFonts w:eastAsia="Times New Roman" w:cs="Times New Roman"/>
                <w:b w:val="0"/>
                <w:bCs w:val="0"/>
                <w:color w:val="auto"/>
                <w:sz w:val="20"/>
                <w:szCs w:val="20"/>
                <w:lang w:eastAsia="pl-PL"/>
              </w:rPr>
              <w:t>Osoby bezrobotne zarejestrowane w urzędach pracy (w tys.)</w:t>
            </w:r>
          </w:p>
        </w:tc>
        <w:tc>
          <w:tcPr>
            <w:tcW w:w="3969" w:type="dxa"/>
          </w:tcPr>
          <w:p w14:paraId="6FBE3BE7"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ogółem</w:t>
            </w:r>
          </w:p>
        </w:tc>
        <w:tc>
          <w:tcPr>
            <w:tcW w:w="1985" w:type="dxa"/>
          </w:tcPr>
          <w:p w14:paraId="700CF358"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37,8</w:t>
            </w:r>
          </w:p>
        </w:tc>
      </w:tr>
      <w:tr w:rsidR="001158BB" w:rsidRPr="001158BB" w14:paraId="39A91E89" w14:textId="77777777" w:rsidTr="00A32416">
        <w:trPr>
          <w:trHeight w:val="340"/>
        </w:trPr>
        <w:tc>
          <w:tcPr>
            <w:cnfStyle w:val="001000000000" w:firstRow="0" w:lastRow="0" w:firstColumn="1" w:lastColumn="0" w:oddVBand="0" w:evenVBand="0" w:oddHBand="0" w:evenHBand="0" w:firstRowFirstColumn="0" w:firstRowLastColumn="0" w:lastRowFirstColumn="0" w:lastRowLastColumn="0"/>
            <w:tcW w:w="3119" w:type="dxa"/>
            <w:vMerge/>
          </w:tcPr>
          <w:p w14:paraId="294952C6" w14:textId="77777777" w:rsidR="000171DD" w:rsidRPr="001158BB" w:rsidRDefault="000171DD" w:rsidP="00EB7DC7">
            <w:pPr>
              <w:spacing w:line="240" w:lineRule="auto"/>
              <w:rPr>
                <w:rFonts w:eastAsia="Times New Roman" w:cs="Times New Roman"/>
                <w:color w:val="auto"/>
                <w:sz w:val="20"/>
                <w:szCs w:val="20"/>
                <w:lang w:eastAsia="pl-PL"/>
              </w:rPr>
            </w:pPr>
          </w:p>
        </w:tc>
        <w:tc>
          <w:tcPr>
            <w:tcW w:w="3969" w:type="dxa"/>
          </w:tcPr>
          <w:p w14:paraId="7CF93936"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w tym w wieku 60+</w:t>
            </w:r>
          </w:p>
        </w:tc>
        <w:tc>
          <w:tcPr>
            <w:tcW w:w="1985" w:type="dxa"/>
          </w:tcPr>
          <w:p w14:paraId="0014D12B"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2,7</w:t>
            </w:r>
          </w:p>
        </w:tc>
      </w:tr>
      <w:tr w:rsidR="001158BB" w:rsidRPr="001158BB" w14:paraId="48C04836" w14:textId="77777777" w:rsidTr="00EB7DC7">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3119" w:type="dxa"/>
            <w:vMerge w:val="restart"/>
          </w:tcPr>
          <w:p w14:paraId="2805454A" w14:textId="77777777" w:rsidR="000171DD" w:rsidRPr="001158BB" w:rsidRDefault="000171DD" w:rsidP="00EB7DC7">
            <w:pPr>
              <w:spacing w:line="240" w:lineRule="auto"/>
              <w:rPr>
                <w:rFonts w:eastAsia="Times New Roman" w:cs="Times New Roman"/>
                <w:color w:val="auto"/>
                <w:sz w:val="20"/>
                <w:szCs w:val="20"/>
                <w:lang w:eastAsia="pl-PL"/>
              </w:rPr>
            </w:pPr>
            <w:r w:rsidRPr="001158BB">
              <w:rPr>
                <w:rFonts w:eastAsia="Times New Roman" w:cs="Times New Roman"/>
                <w:b w:val="0"/>
                <w:bCs w:val="0"/>
                <w:color w:val="auto"/>
                <w:sz w:val="20"/>
                <w:szCs w:val="20"/>
                <w:lang w:eastAsia="pl-PL"/>
              </w:rPr>
              <w:lastRenderedPageBreak/>
              <w:t xml:space="preserve">Osoby pobierające renty </w:t>
            </w:r>
            <w:r w:rsidRPr="001158BB">
              <w:rPr>
                <w:rFonts w:eastAsia="Times New Roman" w:cs="Times New Roman"/>
                <w:b w:val="0"/>
                <w:bCs w:val="0"/>
                <w:color w:val="auto"/>
                <w:sz w:val="20"/>
                <w:szCs w:val="20"/>
                <w:lang w:eastAsia="pl-PL"/>
              </w:rPr>
              <w:br/>
              <w:t xml:space="preserve">i emerytury </w:t>
            </w:r>
          </w:p>
        </w:tc>
        <w:tc>
          <w:tcPr>
            <w:tcW w:w="5954" w:type="dxa"/>
            <w:gridSpan w:val="2"/>
          </w:tcPr>
          <w:p w14:paraId="6D3FEEFD" w14:textId="77777777" w:rsidR="000171DD" w:rsidRPr="001158BB" w:rsidRDefault="000171DD" w:rsidP="00EB7DC7">
            <w:pPr>
              <w:tabs>
                <w:tab w:val="left" w:pos="1725"/>
                <w:tab w:val="center" w:pos="2363"/>
              </w:tabs>
              <w:spacing w:line="240" w:lineRule="auto"/>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1158BB">
              <w:rPr>
                <w:rFonts w:cs="Times New Roman"/>
                <w:b/>
                <w:color w:val="auto"/>
                <w:sz w:val="20"/>
                <w:szCs w:val="20"/>
              </w:rPr>
              <w:t>ZUS</w:t>
            </w:r>
          </w:p>
        </w:tc>
      </w:tr>
      <w:tr w:rsidR="001158BB" w:rsidRPr="001158BB" w14:paraId="73C212A9" w14:textId="77777777" w:rsidTr="00EB7DC7">
        <w:trPr>
          <w:trHeight w:val="189"/>
        </w:trPr>
        <w:tc>
          <w:tcPr>
            <w:cnfStyle w:val="001000000000" w:firstRow="0" w:lastRow="0" w:firstColumn="1" w:lastColumn="0" w:oddVBand="0" w:evenVBand="0" w:oddHBand="0" w:evenHBand="0" w:firstRowFirstColumn="0" w:firstRowLastColumn="0" w:lastRowFirstColumn="0" w:lastRowLastColumn="0"/>
            <w:tcW w:w="3119" w:type="dxa"/>
            <w:vMerge/>
          </w:tcPr>
          <w:p w14:paraId="139F1377" w14:textId="77777777" w:rsidR="000171DD" w:rsidRPr="001158BB" w:rsidRDefault="000171DD" w:rsidP="00EB7DC7">
            <w:pPr>
              <w:spacing w:line="240" w:lineRule="auto"/>
              <w:rPr>
                <w:rFonts w:eastAsia="Times New Roman" w:cs="Times New Roman"/>
                <w:color w:val="auto"/>
                <w:sz w:val="20"/>
                <w:szCs w:val="20"/>
                <w:lang w:eastAsia="pl-PL"/>
              </w:rPr>
            </w:pPr>
          </w:p>
        </w:tc>
        <w:tc>
          <w:tcPr>
            <w:tcW w:w="3969" w:type="dxa"/>
          </w:tcPr>
          <w:p w14:paraId="58BA7985" w14:textId="77777777" w:rsidR="000171DD" w:rsidRPr="001158BB" w:rsidRDefault="000171DD" w:rsidP="00EB7DC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1158BB">
              <w:rPr>
                <w:rFonts w:cs="Times New Roman"/>
                <w:b/>
                <w:color w:val="auto"/>
                <w:sz w:val="20"/>
                <w:szCs w:val="20"/>
              </w:rPr>
              <w:t>Rodzaj świadczenia</w:t>
            </w:r>
          </w:p>
        </w:tc>
        <w:tc>
          <w:tcPr>
            <w:tcW w:w="1985" w:type="dxa"/>
          </w:tcPr>
          <w:p w14:paraId="04D4D37D" w14:textId="77777777" w:rsidR="000171DD" w:rsidRPr="001158BB" w:rsidRDefault="000171DD" w:rsidP="00EB7DC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1158BB">
              <w:rPr>
                <w:rFonts w:cs="Times New Roman"/>
                <w:b/>
                <w:color w:val="auto"/>
                <w:sz w:val="20"/>
                <w:szCs w:val="20"/>
              </w:rPr>
              <w:t>Przeciętna miesięczna liczba emerytów i rencistów (w tys.)</w:t>
            </w:r>
          </w:p>
        </w:tc>
      </w:tr>
      <w:tr w:rsidR="001158BB" w:rsidRPr="001158BB" w14:paraId="7FBB9EEA" w14:textId="77777777" w:rsidTr="00EB7DC7">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3119" w:type="dxa"/>
            <w:vMerge/>
          </w:tcPr>
          <w:p w14:paraId="7752DCB2" w14:textId="77777777" w:rsidR="000171DD" w:rsidRPr="001158BB" w:rsidRDefault="000171DD" w:rsidP="00EB7DC7">
            <w:pPr>
              <w:spacing w:line="240" w:lineRule="auto"/>
              <w:rPr>
                <w:rFonts w:eastAsia="Times New Roman" w:cs="Times New Roman"/>
                <w:color w:val="auto"/>
                <w:sz w:val="20"/>
                <w:szCs w:val="20"/>
                <w:lang w:eastAsia="pl-PL"/>
              </w:rPr>
            </w:pPr>
          </w:p>
        </w:tc>
        <w:tc>
          <w:tcPr>
            <w:tcW w:w="3969" w:type="dxa"/>
          </w:tcPr>
          <w:p w14:paraId="40E989E2"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Emerytury</w:t>
            </w:r>
          </w:p>
        </w:tc>
        <w:tc>
          <w:tcPr>
            <w:tcW w:w="1985" w:type="dxa"/>
          </w:tcPr>
          <w:p w14:paraId="5A5B6842"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153,6</w:t>
            </w:r>
          </w:p>
        </w:tc>
      </w:tr>
      <w:tr w:rsidR="001158BB" w:rsidRPr="001158BB" w14:paraId="30A3E3D5" w14:textId="77777777" w:rsidTr="00EB7DC7">
        <w:trPr>
          <w:trHeight w:val="142"/>
        </w:trPr>
        <w:tc>
          <w:tcPr>
            <w:cnfStyle w:val="001000000000" w:firstRow="0" w:lastRow="0" w:firstColumn="1" w:lastColumn="0" w:oddVBand="0" w:evenVBand="0" w:oddHBand="0" w:evenHBand="0" w:firstRowFirstColumn="0" w:firstRowLastColumn="0" w:lastRowFirstColumn="0" w:lastRowLastColumn="0"/>
            <w:tcW w:w="3119" w:type="dxa"/>
            <w:vMerge/>
          </w:tcPr>
          <w:p w14:paraId="5BCC6946" w14:textId="77777777" w:rsidR="000171DD" w:rsidRPr="001158BB" w:rsidRDefault="000171DD" w:rsidP="00EB7DC7">
            <w:pPr>
              <w:spacing w:line="240" w:lineRule="auto"/>
              <w:rPr>
                <w:rFonts w:eastAsia="Times New Roman" w:cs="Times New Roman"/>
                <w:color w:val="auto"/>
                <w:sz w:val="20"/>
                <w:szCs w:val="20"/>
                <w:lang w:eastAsia="pl-PL"/>
              </w:rPr>
            </w:pPr>
          </w:p>
        </w:tc>
        <w:tc>
          <w:tcPr>
            <w:tcW w:w="3969" w:type="dxa"/>
          </w:tcPr>
          <w:p w14:paraId="4BEF7C6B"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Renty z tytułu niezdolności do pracy</w:t>
            </w:r>
          </w:p>
        </w:tc>
        <w:tc>
          <w:tcPr>
            <w:tcW w:w="1985" w:type="dxa"/>
          </w:tcPr>
          <w:p w14:paraId="3D84F47B"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15,6</w:t>
            </w:r>
          </w:p>
        </w:tc>
      </w:tr>
      <w:tr w:rsidR="001158BB" w:rsidRPr="001158BB" w14:paraId="2D30BB4B" w14:textId="77777777" w:rsidTr="00EB7DC7">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119" w:type="dxa"/>
            <w:vMerge/>
          </w:tcPr>
          <w:p w14:paraId="1A68315B" w14:textId="77777777" w:rsidR="000171DD" w:rsidRPr="001158BB" w:rsidRDefault="000171DD" w:rsidP="00EB7DC7">
            <w:pPr>
              <w:spacing w:line="240" w:lineRule="auto"/>
              <w:rPr>
                <w:rFonts w:eastAsia="Times New Roman" w:cs="Times New Roman"/>
                <w:color w:val="auto"/>
                <w:sz w:val="20"/>
                <w:szCs w:val="20"/>
                <w:lang w:eastAsia="pl-PL"/>
              </w:rPr>
            </w:pPr>
          </w:p>
        </w:tc>
        <w:tc>
          <w:tcPr>
            <w:tcW w:w="3969" w:type="dxa"/>
          </w:tcPr>
          <w:p w14:paraId="2A3A34C5"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Renty rodzinne</w:t>
            </w:r>
          </w:p>
        </w:tc>
        <w:tc>
          <w:tcPr>
            <w:tcW w:w="1985" w:type="dxa"/>
          </w:tcPr>
          <w:p w14:paraId="160732B3"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24,8</w:t>
            </w:r>
          </w:p>
        </w:tc>
      </w:tr>
      <w:tr w:rsidR="001158BB" w:rsidRPr="001158BB" w14:paraId="23459352" w14:textId="77777777" w:rsidTr="00EB7DC7">
        <w:trPr>
          <w:trHeight w:val="284"/>
        </w:trPr>
        <w:tc>
          <w:tcPr>
            <w:cnfStyle w:val="001000000000" w:firstRow="0" w:lastRow="0" w:firstColumn="1" w:lastColumn="0" w:oddVBand="0" w:evenVBand="0" w:oddHBand="0" w:evenHBand="0" w:firstRowFirstColumn="0" w:firstRowLastColumn="0" w:lastRowFirstColumn="0" w:lastRowLastColumn="0"/>
            <w:tcW w:w="3119" w:type="dxa"/>
            <w:vMerge/>
          </w:tcPr>
          <w:p w14:paraId="418E03EA" w14:textId="77777777" w:rsidR="000171DD" w:rsidRPr="001158BB" w:rsidRDefault="000171DD" w:rsidP="00EB7DC7">
            <w:pPr>
              <w:spacing w:line="240" w:lineRule="auto"/>
              <w:rPr>
                <w:rFonts w:eastAsia="Times New Roman" w:cs="Times New Roman"/>
                <w:color w:val="auto"/>
                <w:sz w:val="20"/>
                <w:szCs w:val="20"/>
                <w:lang w:eastAsia="pl-PL"/>
              </w:rPr>
            </w:pPr>
          </w:p>
        </w:tc>
        <w:tc>
          <w:tcPr>
            <w:tcW w:w="5954" w:type="dxa"/>
            <w:gridSpan w:val="2"/>
          </w:tcPr>
          <w:p w14:paraId="0038EF6B" w14:textId="77777777" w:rsidR="000171DD" w:rsidRPr="001158BB" w:rsidRDefault="000171DD" w:rsidP="00EB7DC7">
            <w:pPr>
              <w:tabs>
                <w:tab w:val="left" w:pos="1507"/>
                <w:tab w:val="center" w:pos="2363"/>
              </w:tabs>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1158BB">
              <w:rPr>
                <w:rFonts w:cs="Times New Roman"/>
                <w:b/>
                <w:color w:val="auto"/>
                <w:sz w:val="20"/>
                <w:szCs w:val="20"/>
              </w:rPr>
              <w:t>KRUS</w:t>
            </w:r>
          </w:p>
        </w:tc>
      </w:tr>
      <w:tr w:rsidR="001158BB" w:rsidRPr="001158BB" w14:paraId="6C8726EB" w14:textId="77777777" w:rsidTr="00EB7DC7">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119" w:type="dxa"/>
            <w:vMerge/>
          </w:tcPr>
          <w:p w14:paraId="3F317427" w14:textId="77777777" w:rsidR="000171DD" w:rsidRPr="001158BB" w:rsidRDefault="000171DD" w:rsidP="00EB7DC7">
            <w:pPr>
              <w:spacing w:line="240" w:lineRule="auto"/>
              <w:rPr>
                <w:rFonts w:eastAsia="Times New Roman" w:cs="Times New Roman"/>
                <w:color w:val="auto"/>
                <w:sz w:val="20"/>
                <w:szCs w:val="20"/>
                <w:lang w:eastAsia="pl-PL"/>
              </w:rPr>
            </w:pPr>
          </w:p>
        </w:tc>
        <w:tc>
          <w:tcPr>
            <w:tcW w:w="3969" w:type="dxa"/>
          </w:tcPr>
          <w:p w14:paraId="6741C958" w14:textId="77777777" w:rsidR="000171DD" w:rsidRPr="001158BB" w:rsidRDefault="000171DD" w:rsidP="00EB7DC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1158BB">
              <w:rPr>
                <w:rFonts w:cs="Times New Roman"/>
                <w:b/>
                <w:color w:val="auto"/>
                <w:sz w:val="20"/>
                <w:szCs w:val="20"/>
              </w:rPr>
              <w:t>Rodzaj świadczenia</w:t>
            </w:r>
          </w:p>
        </w:tc>
        <w:tc>
          <w:tcPr>
            <w:tcW w:w="1985" w:type="dxa"/>
          </w:tcPr>
          <w:p w14:paraId="61D61241" w14:textId="77777777" w:rsidR="000171DD" w:rsidRPr="001158BB" w:rsidRDefault="000171DD" w:rsidP="00EB7DC7">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1158BB">
              <w:rPr>
                <w:rFonts w:cs="Times New Roman"/>
                <w:b/>
                <w:color w:val="auto"/>
                <w:sz w:val="20"/>
                <w:szCs w:val="20"/>
              </w:rPr>
              <w:t>Przeciętna miesięczna liczba emerytów i rencistów (w tys.)</w:t>
            </w:r>
          </w:p>
        </w:tc>
      </w:tr>
      <w:tr w:rsidR="001158BB" w:rsidRPr="001158BB" w14:paraId="33C01E61"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3119" w:type="dxa"/>
            <w:vMerge/>
          </w:tcPr>
          <w:p w14:paraId="17ED0760" w14:textId="77777777" w:rsidR="000171DD" w:rsidRPr="001158BB" w:rsidRDefault="000171DD" w:rsidP="00EB7DC7">
            <w:pPr>
              <w:spacing w:line="240" w:lineRule="auto"/>
              <w:rPr>
                <w:rFonts w:eastAsia="Times New Roman" w:cs="Times New Roman"/>
                <w:color w:val="auto"/>
                <w:sz w:val="20"/>
                <w:szCs w:val="20"/>
                <w:lang w:eastAsia="pl-PL"/>
              </w:rPr>
            </w:pPr>
          </w:p>
        </w:tc>
        <w:tc>
          <w:tcPr>
            <w:tcW w:w="3969" w:type="dxa"/>
          </w:tcPr>
          <w:p w14:paraId="7B40A70B"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Emerytury</w:t>
            </w:r>
          </w:p>
        </w:tc>
        <w:tc>
          <w:tcPr>
            <w:tcW w:w="1985" w:type="dxa"/>
          </w:tcPr>
          <w:p w14:paraId="7A554189"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63,6</w:t>
            </w:r>
          </w:p>
        </w:tc>
      </w:tr>
      <w:tr w:rsidR="001158BB" w:rsidRPr="001158BB" w14:paraId="5EBAB474" w14:textId="77777777" w:rsidTr="00EB7DC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3119" w:type="dxa"/>
            <w:vMerge/>
          </w:tcPr>
          <w:p w14:paraId="6C5A4195" w14:textId="77777777" w:rsidR="000171DD" w:rsidRPr="001158BB" w:rsidRDefault="000171DD" w:rsidP="00EB7DC7">
            <w:pPr>
              <w:spacing w:line="240" w:lineRule="auto"/>
              <w:rPr>
                <w:rFonts w:eastAsia="Times New Roman" w:cs="Times New Roman"/>
                <w:color w:val="auto"/>
                <w:sz w:val="20"/>
                <w:szCs w:val="20"/>
                <w:lang w:eastAsia="pl-PL"/>
              </w:rPr>
            </w:pPr>
          </w:p>
        </w:tc>
        <w:tc>
          <w:tcPr>
            <w:tcW w:w="3969" w:type="dxa"/>
          </w:tcPr>
          <w:p w14:paraId="5D92E2DE"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Renty z tytułu niezdolności do pracy</w:t>
            </w:r>
          </w:p>
        </w:tc>
        <w:tc>
          <w:tcPr>
            <w:tcW w:w="1985" w:type="dxa"/>
          </w:tcPr>
          <w:p w14:paraId="671654A9" w14:textId="77777777" w:rsidR="000171DD" w:rsidRPr="001158BB" w:rsidRDefault="000171DD" w:rsidP="00EB7DC7">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1158BB">
              <w:rPr>
                <w:rFonts w:cs="Times New Roman"/>
                <w:color w:val="auto"/>
                <w:sz w:val="20"/>
                <w:szCs w:val="20"/>
              </w:rPr>
              <w:t>11,4</w:t>
            </w:r>
          </w:p>
        </w:tc>
      </w:tr>
      <w:tr w:rsidR="001158BB" w:rsidRPr="001158BB" w14:paraId="169251A0" w14:textId="77777777" w:rsidTr="00EB7DC7">
        <w:trPr>
          <w:trHeight w:val="79"/>
        </w:trPr>
        <w:tc>
          <w:tcPr>
            <w:cnfStyle w:val="001000000000" w:firstRow="0" w:lastRow="0" w:firstColumn="1" w:lastColumn="0" w:oddVBand="0" w:evenVBand="0" w:oddHBand="0" w:evenHBand="0" w:firstRowFirstColumn="0" w:firstRowLastColumn="0" w:lastRowFirstColumn="0" w:lastRowLastColumn="0"/>
            <w:tcW w:w="3119" w:type="dxa"/>
            <w:vMerge/>
          </w:tcPr>
          <w:p w14:paraId="3BA9B6E9" w14:textId="77777777" w:rsidR="000171DD" w:rsidRPr="001158BB" w:rsidRDefault="000171DD" w:rsidP="00EB7DC7">
            <w:pPr>
              <w:spacing w:line="240" w:lineRule="auto"/>
              <w:rPr>
                <w:rFonts w:eastAsia="Times New Roman" w:cs="Times New Roman"/>
                <w:color w:val="auto"/>
                <w:sz w:val="20"/>
                <w:szCs w:val="20"/>
                <w:lang w:eastAsia="pl-PL"/>
              </w:rPr>
            </w:pPr>
          </w:p>
        </w:tc>
        <w:tc>
          <w:tcPr>
            <w:tcW w:w="3969" w:type="dxa"/>
          </w:tcPr>
          <w:p w14:paraId="78DACA47"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Renty rodzinne</w:t>
            </w:r>
          </w:p>
        </w:tc>
        <w:tc>
          <w:tcPr>
            <w:tcW w:w="1985" w:type="dxa"/>
          </w:tcPr>
          <w:p w14:paraId="7C8F0A7D" w14:textId="77777777" w:rsidR="000171DD" w:rsidRPr="001158BB" w:rsidRDefault="000171DD" w:rsidP="00EB7DC7">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1158BB">
              <w:rPr>
                <w:rFonts w:cs="Times New Roman"/>
                <w:color w:val="auto"/>
                <w:sz w:val="20"/>
                <w:szCs w:val="20"/>
              </w:rPr>
              <w:t>3,0</w:t>
            </w:r>
          </w:p>
        </w:tc>
      </w:tr>
    </w:tbl>
    <w:p w14:paraId="0652367A" w14:textId="77777777" w:rsidR="000171DD" w:rsidRPr="001158BB" w:rsidRDefault="000171DD" w:rsidP="001158BB">
      <w:pPr>
        <w:tabs>
          <w:tab w:val="left" w:pos="5400"/>
        </w:tabs>
        <w:rPr>
          <w:rFonts w:eastAsia="Times New Roman" w:cs="Times New Roman"/>
          <w:b/>
          <w:szCs w:val="24"/>
          <w:lang w:eastAsia="pl-PL"/>
        </w:rPr>
      </w:pPr>
      <w:r w:rsidRPr="001158BB">
        <w:rPr>
          <w:rFonts w:eastAsia="Times New Roman" w:cs="Times New Roman"/>
          <w:b/>
          <w:szCs w:val="24"/>
          <w:lang w:eastAsia="pl-PL"/>
        </w:rPr>
        <w:t>Źródło: GUS.</w:t>
      </w:r>
    </w:p>
    <w:p w14:paraId="1B00A783" w14:textId="77777777" w:rsidR="000171DD" w:rsidRDefault="000171DD" w:rsidP="00E7359C">
      <w:pPr>
        <w:rPr>
          <w:rFonts w:cs="Times New Roman"/>
          <w:b/>
          <w:color w:val="FF0000"/>
          <w:szCs w:val="24"/>
          <w:lang w:eastAsia="ar-SA"/>
        </w:rPr>
      </w:pPr>
    </w:p>
    <w:p w14:paraId="39C05F1D" w14:textId="06FEE39A" w:rsidR="005C3916" w:rsidRDefault="005C3916" w:rsidP="00E7359C">
      <w:pPr>
        <w:rPr>
          <w:rFonts w:cs="Times New Roman"/>
          <w:b/>
          <w:color w:val="FF0000"/>
          <w:szCs w:val="24"/>
          <w:lang w:eastAsia="ar-SA"/>
        </w:rPr>
      </w:pPr>
    </w:p>
    <w:p w14:paraId="2B863F40" w14:textId="107DC48C" w:rsidR="005C3916" w:rsidRDefault="005C3916" w:rsidP="005C3916">
      <w:pPr>
        <w:pStyle w:val="Nagwek3"/>
      </w:pPr>
      <w:bookmarkStart w:id="254" w:name="_Toc77514008"/>
      <w:bookmarkStart w:id="255" w:name="_Toc80523165"/>
      <w:r w:rsidRPr="005C3916">
        <w:t>Sytuacja osób niepełnosprawnych i ich opiekunów</w:t>
      </w:r>
      <w:bookmarkEnd w:id="254"/>
      <w:bookmarkEnd w:id="255"/>
    </w:p>
    <w:p w14:paraId="557D011F" w14:textId="24418277" w:rsidR="005C3916" w:rsidRDefault="005C3916" w:rsidP="005C3916">
      <w:pPr>
        <w:rPr>
          <w:rFonts w:cs="Times New Roman"/>
          <w:szCs w:val="24"/>
        </w:rPr>
      </w:pPr>
    </w:p>
    <w:p w14:paraId="7DE4FF6C" w14:textId="2DB455F2" w:rsidR="005C3916" w:rsidRDefault="005C3916" w:rsidP="005C3916">
      <w:pPr>
        <w:rPr>
          <w:rFonts w:cs="Times New Roman"/>
          <w:szCs w:val="24"/>
        </w:rPr>
      </w:pPr>
      <w:r w:rsidRPr="005C3916">
        <w:rPr>
          <w:rFonts w:cs="Times New Roman"/>
          <w:szCs w:val="24"/>
        </w:rPr>
        <w:t>Według wyników spisu, w 2011 r. wśród mieszkańców województwa podlaskiego zanotowano 131,8 tys. osób niepełnosprawnych, co stanowiło 11,0% ogólnej populacji ludności. Wśród niepełnosprawnych było 84,2 tys. osób niepełnosprawnych prawnie oraz 47,5 tys. osób niepełnosprawnych tylko biologicznie, tzn. nieposiadających orzeczenia prawnego, natomiast odczuwających ograniczenia sprawności. Wśród ogółu niepełnosprawnych przeważały kobiety, które stanowiły 53,8% omawianej zbiorowości. Analizując strukturę osób niepełnosprawnych według posiadanego stopnia niepełnosprawności należy zauważyć, iż dominowały osoby o</w:t>
      </w:r>
      <w:r w:rsidR="00A32416">
        <w:rPr>
          <w:rFonts w:cs="Times New Roman"/>
          <w:szCs w:val="24"/>
        </w:rPr>
        <w:t> </w:t>
      </w:r>
      <w:r w:rsidRPr="005C3916">
        <w:rPr>
          <w:rFonts w:cs="Times New Roman"/>
          <w:szCs w:val="24"/>
        </w:rPr>
        <w:t>umiarkowanym stopniu niepełnosprawności - 34,7%, osób o znacznym stopniu niepełnosprawności było 33,2%, natomiast lekkim 25,2%.</w:t>
      </w:r>
    </w:p>
    <w:p w14:paraId="3B926FCF" w14:textId="77777777" w:rsidR="00A32416" w:rsidRPr="005C3916" w:rsidRDefault="00A32416" w:rsidP="005C3916">
      <w:pPr>
        <w:rPr>
          <w:rFonts w:cs="Times New Roman"/>
          <w:szCs w:val="24"/>
        </w:rPr>
      </w:pPr>
    </w:p>
    <w:p w14:paraId="0036DC30" w14:textId="5527BF54" w:rsidR="005C3916" w:rsidRDefault="005C3916" w:rsidP="005C3916">
      <w:pPr>
        <w:rPr>
          <w:rFonts w:cs="Times New Roman"/>
          <w:szCs w:val="24"/>
        </w:rPr>
      </w:pPr>
      <w:r w:rsidRPr="005C3916">
        <w:rPr>
          <w:rFonts w:cs="Times New Roman"/>
          <w:szCs w:val="24"/>
        </w:rPr>
        <w:t>W 2011 r. wśród ogółu ludności w wieku przedprodukcyjnym niepełnosprawni stanowili zaledwie 2,3%. W kolejnych grupach wiekowych udział niepełnosprawnych wzrastał. W populacji osób w wieku produkcyjnym wyniósł on 7,6%, przy czym w wieku mobilnym ukształtował się na poziomie 3,5%, natomiast w wieku niemobilnym na poziomie 14,7%. Największe nasilenie niepełnosprawności zaobserwowano wśród ludności w wieku poprodukcyjnym, gdzie 32,3% osób było niepełnosprawnych (prawnie lub biologicznie).</w:t>
      </w:r>
    </w:p>
    <w:p w14:paraId="6F528D58" w14:textId="77777777" w:rsidR="005C3916" w:rsidRDefault="005C3916" w:rsidP="005C3916">
      <w:pPr>
        <w:rPr>
          <w:rFonts w:cs="Times New Roman"/>
          <w:szCs w:val="24"/>
        </w:rPr>
      </w:pPr>
    </w:p>
    <w:p w14:paraId="0E8C2330" w14:textId="2EEE48FA" w:rsidR="005C3916" w:rsidRDefault="005C3916" w:rsidP="005C3916">
      <w:pPr>
        <w:pStyle w:val="Nagwek3"/>
      </w:pPr>
      <w:bookmarkStart w:id="256" w:name="_Toc77514009"/>
      <w:bookmarkStart w:id="257" w:name="_Toc80523166"/>
      <w:r w:rsidRPr="005C3916">
        <w:t xml:space="preserve">Działania i inicjatywy realizowane na rzecz osób starszych w województwie </w:t>
      </w:r>
      <w:r>
        <w:t>podlaskim</w:t>
      </w:r>
      <w:bookmarkEnd w:id="256"/>
      <w:bookmarkEnd w:id="257"/>
    </w:p>
    <w:p w14:paraId="1F8D8393" w14:textId="37537C07" w:rsidR="005C3916" w:rsidRPr="005C3916" w:rsidRDefault="005C3916" w:rsidP="005C3916">
      <w:pPr>
        <w:rPr>
          <w:rFonts w:cs="Times New Roman"/>
          <w:szCs w:val="24"/>
        </w:rPr>
      </w:pPr>
    </w:p>
    <w:p w14:paraId="269A0FDB" w14:textId="77777777" w:rsidR="00A32416" w:rsidRDefault="005C3916" w:rsidP="005C3916">
      <w:pPr>
        <w:rPr>
          <w:rFonts w:cs="Times New Roman"/>
          <w:b/>
          <w:bCs/>
          <w:szCs w:val="24"/>
        </w:rPr>
      </w:pPr>
      <w:r w:rsidRPr="00A32416">
        <w:rPr>
          <w:rFonts w:cs="Times New Roman"/>
          <w:b/>
          <w:bCs/>
          <w:szCs w:val="24"/>
        </w:rPr>
        <w:t>Dokumenty i strategie na poziomie wojewódzkim</w:t>
      </w:r>
    </w:p>
    <w:p w14:paraId="7826058D" w14:textId="7B379C25" w:rsidR="00A32416" w:rsidRDefault="00A32416" w:rsidP="005C3916">
      <w:pPr>
        <w:rPr>
          <w:rFonts w:cs="Times New Roman"/>
          <w:b/>
          <w:bCs/>
          <w:szCs w:val="24"/>
        </w:rPr>
      </w:pPr>
      <w:r>
        <w:rPr>
          <w:rFonts w:cs="Times New Roman"/>
          <w:szCs w:val="24"/>
        </w:rPr>
        <w:t>U</w:t>
      </w:r>
      <w:r w:rsidR="005C3916" w:rsidRPr="005C3916">
        <w:rPr>
          <w:rFonts w:cs="Times New Roman"/>
          <w:szCs w:val="24"/>
        </w:rPr>
        <w:t>chwałą Nr XVIII/213/2020 z dnia 27</w:t>
      </w:r>
      <w:r w:rsidR="0055214A">
        <w:rPr>
          <w:rFonts w:cs="Times New Roman"/>
          <w:szCs w:val="24"/>
        </w:rPr>
        <w:t xml:space="preserve"> kwietnia </w:t>
      </w:r>
      <w:r w:rsidR="005C3916" w:rsidRPr="005C3916">
        <w:rPr>
          <w:rFonts w:cs="Times New Roman"/>
          <w:szCs w:val="24"/>
        </w:rPr>
        <w:t>2020 r. Sejmik Województwa Podlaskiego przyjął Strategię Rozwoju Województwa Podlaskiego 2030 - dokument, który wyznacza kierunki polityki regionalnej województwa podlaskiego</w:t>
      </w:r>
      <w:r>
        <w:rPr>
          <w:rFonts w:cs="Times New Roman"/>
          <w:b/>
          <w:bCs/>
          <w:szCs w:val="24"/>
        </w:rPr>
        <w:t xml:space="preserve"> </w:t>
      </w:r>
      <w:r w:rsidRPr="00A32416">
        <w:rPr>
          <w:rFonts w:cs="Times New Roman"/>
          <w:szCs w:val="24"/>
        </w:rPr>
        <w:t>D</w:t>
      </w:r>
      <w:r w:rsidR="005C3916" w:rsidRPr="005C3916">
        <w:rPr>
          <w:rFonts w:cs="Times New Roman"/>
          <w:szCs w:val="24"/>
        </w:rPr>
        <w:t>o 2020</w:t>
      </w:r>
      <w:r w:rsidR="00A931B5">
        <w:rPr>
          <w:rFonts w:cs="Times New Roman"/>
          <w:szCs w:val="24"/>
        </w:rPr>
        <w:t xml:space="preserve"> r.</w:t>
      </w:r>
      <w:r w:rsidR="005C3916" w:rsidRPr="005C3916">
        <w:rPr>
          <w:rFonts w:cs="Times New Roman"/>
          <w:szCs w:val="24"/>
        </w:rPr>
        <w:t xml:space="preserve"> obowiązywała Strategia Rozwoju Województwa Podlaskiego, przyjęta przez Sejmik Województwa Podlaskiego uchwałą Nr XXXI/374/13 z dnia 9</w:t>
      </w:r>
      <w:r w:rsidR="0055214A">
        <w:rPr>
          <w:rFonts w:cs="Times New Roman"/>
          <w:szCs w:val="24"/>
        </w:rPr>
        <w:t xml:space="preserve"> września </w:t>
      </w:r>
      <w:r w:rsidR="005C3916" w:rsidRPr="005C3916">
        <w:rPr>
          <w:rFonts w:cs="Times New Roman"/>
          <w:szCs w:val="24"/>
        </w:rPr>
        <w:t>2013 r.</w:t>
      </w:r>
      <w:r>
        <w:rPr>
          <w:rFonts w:cs="Times New Roman"/>
          <w:szCs w:val="24"/>
        </w:rPr>
        <w:t xml:space="preserve"> Ponadto:</w:t>
      </w:r>
    </w:p>
    <w:p w14:paraId="4AEF94EE" w14:textId="6298C3D7" w:rsidR="00A32416" w:rsidRPr="00A32416" w:rsidRDefault="005C3916" w:rsidP="00FE70E3">
      <w:pPr>
        <w:pStyle w:val="Akapitzlist"/>
        <w:numPr>
          <w:ilvl w:val="0"/>
          <w:numId w:val="182"/>
        </w:numPr>
        <w:rPr>
          <w:rFonts w:cs="Times New Roman"/>
          <w:b/>
          <w:bCs/>
          <w:szCs w:val="24"/>
        </w:rPr>
      </w:pPr>
      <w:r w:rsidRPr="00A32416">
        <w:rPr>
          <w:rFonts w:cs="Times New Roman"/>
          <w:szCs w:val="24"/>
        </w:rPr>
        <w:lastRenderedPageBreak/>
        <w:t>uchwałą Nr XLV/534/14 z dnia 6</w:t>
      </w:r>
      <w:r w:rsidR="0055214A">
        <w:rPr>
          <w:rFonts w:cs="Times New Roman"/>
          <w:szCs w:val="24"/>
        </w:rPr>
        <w:t xml:space="preserve"> listopada</w:t>
      </w:r>
      <w:r w:rsidRPr="00A32416">
        <w:rPr>
          <w:rFonts w:cs="Times New Roman"/>
          <w:szCs w:val="24"/>
        </w:rPr>
        <w:t>2014 r. Sejmik Województwa Podlaskiego przyjął Strategię Polityki Społecznej Województwa Podlaskiego do 2020</w:t>
      </w:r>
      <w:r w:rsidR="00A931B5">
        <w:rPr>
          <w:rFonts w:cs="Times New Roman"/>
          <w:szCs w:val="24"/>
        </w:rPr>
        <w:t xml:space="preserve"> r.</w:t>
      </w:r>
    </w:p>
    <w:p w14:paraId="03440E62" w14:textId="199E07E4" w:rsidR="00A32416" w:rsidRPr="00A32416" w:rsidRDefault="005C3916" w:rsidP="00FE70E3">
      <w:pPr>
        <w:pStyle w:val="Akapitzlist"/>
        <w:numPr>
          <w:ilvl w:val="0"/>
          <w:numId w:val="182"/>
        </w:numPr>
        <w:rPr>
          <w:rFonts w:cs="Times New Roman"/>
          <w:b/>
          <w:bCs/>
          <w:szCs w:val="24"/>
        </w:rPr>
      </w:pPr>
      <w:r w:rsidRPr="00A32416">
        <w:rPr>
          <w:rFonts w:cs="Times New Roman"/>
          <w:szCs w:val="24"/>
        </w:rPr>
        <w:t>uchwałą Nr XXVII/244/16 z dnia 29</w:t>
      </w:r>
      <w:r w:rsidR="0055214A">
        <w:rPr>
          <w:rFonts w:cs="Times New Roman"/>
          <w:szCs w:val="24"/>
        </w:rPr>
        <w:t xml:space="preserve"> sierpnia </w:t>
      </w:r>
      <w:r w:rsidRPr="00A32416">
        <w:rPr>
          <w:rFonts w:cs="Times New Roman"/>
          <w:szCs w:val="24"/>
        </w:rPr>
        <w:t xml:space="preserve">2016 r. Sejmik Województwa Podlaskiego przyjął Program na rzecz osób starszych w województwie podlaskim na lata 2016-2020 </w:t>
      </w:r>
    </w:p>
    <w:p w14:paraId="0019B085" w14:textId="5EA1882C" w:rsidR="00A32416" w:rsidRPr="00A32416" w:rsidRDefault="005C3916" w:rsidP="00FE70E3">
      <w:pPr>
        <w:pStyle w:val="Akapitzlist"/>
        <w:numPr>
          <w:ilvl w:val="0"/>
          <w:numId w:val="182"/>
        </w:numPr>
        <w:rPr>
          <w:rFonts w:cs="Times New Roman"/>
          <w:b/>
          <w:bCs/>
          <w:szCs w:val="24"/>
        </w:rPr>
      </w:pPr>
      <w:r w:rsidRPr="00A32416">
        <w:rPr>
          <w:rFonts w:cs="Times New Roman"/>
          <w:szCs w:val="24"/>
        </w:rPr>
        <w:t>uchwałą Nr VIII/85/19 z dnia 24</w:t>
      </w:r>
      <w:r w:rsidR="0055214A">
        <w:rPr>
          <w:rFonts w:cs="Times New Roman"/>
          <w:szCs w:val="24"/>
        </w:rPr>
        <w:t xml:space="preserve"> kwietnia </w:t>
      </w:r>
      <w:r w:rsidRPr="00A32416">
        <w:rPr>
          <w:rFonts w:cs="Times New Roman"/>
          <w:szCs w:val="24"/>
        </w:rPr>
        <w:t>2019 r. Sejmik Województwa Podlaskiego przyjął Program na Rzecz Poprawy Warunków Życia Społecznego i Zawodowego Osób z Niepełnosprawnością w Województwie Podlaskim na lata 2019 - 2023</w:t>
      </w:r>
    </w:p>
    <w:p w14:paraId="49A8AB4F" w14:textId="5DD33C11" w:rsidR="005C3916" w:rsidRPr="00A32416" w:rsidRDefault="005C3916" w:rsidP="00FE70E3">
      <w:pPr>
        <w:pStyle w:val="Akapitzlist"/>
        <w:numPr>
          <w:ilvl w:val="0"/>
          <w:numId w:val="182"/>
        </w:numPr>
        <w:rPr>
          <w:rFonts w:cs="Times New Roman"/>
          <w:b/>
          <w:bCs/>
          <w:szCs w:val="24"/>
        </w:rPr>
      </w:pPr>
      <w:r w:rsidRPr="00A32416">
        <w:rPr>
          <w:rFonts w:cs="Times New Roman"/>
          <w:szCs w:val="24"/>
        </w:rPr>
        <w:t>uchwałą Nr VIII/83/19 z dnia 24</w:t>
      </w:r>
      <w:r w:rsidR="0055214A">
        <w:rPr>
          <w:rFonts w:cs="Times New Roman"/>
          <w:szCs w:val="24"/>
        </w:rPr>
        <w:t xml:space="preserve"> kwietnia </w:t>
      </w:r>
      <w:r w:rsidRPr="00A32416">
        <w:rPr>
          <w:rFonts w:cs="Times New Roman"/>
          <w:szCs w:val="24"/>
        </w:rPr>
        <w:t xml:space="preserve">2019 r. Sejmik Województwa Podlaskiego przyjął Program Pomocy Społecznej i Przeciwdziałania Wykluczeniu Społecznemu w Województwie Podlaskim na lata 2019 </w:t>
      </w:r>
      <w:r w:rsidR="0055214A">
        <w:rPr>
          <w:rFonts w:cs="Times New Roman"/>
          <w:szCs w:val="24"/>
        </w:rPr>
        <w:t>–</w:t>
      </w:r>
      <w:r w:rsidRPr="00A32416">
        <w:rPr>
          <w:rFonts w:cs="Times New Roman"/>
          <w:szCs w:val="24"/>
        </w:rPr>
        <w:t xml:space="preserve"> 2023</w:t>
      </w:r>
      <w:r w:rsidR="0055214A">
        <w:rPr>
          <w:rFonts w:cs="Times New Roman"/>
          <w:szCs w:val="24"/>
        </w:rPr>
        <w:t>.</w:t>
      </w:r>
    </w:p>
    <w:p w14:paraId="704C11DF" w14:textId="77777777" w:rsidR="00A32416" w:rsidRPr="005C3916" w:rsidRDefault="00A32416" w:rsidP="005C3916">
      <w:pPr>
        <w:rPr>
          <w:rFonts w:cs="Times New Roman"/>
          <w:szCs w:val="24"/>
        </w:rPr>
      </w:pPr>
    </w:p>
    <w:p w14:paraId="6B4B063D" w14:textId="1A001040" w:rsidR="00A32416" w:rsidRPr="00B25ED6" w:rsidRDefault="005C3916" w:rsidP="00B25ED6">
      <w:pPr>
        <w:rPr>
          <w:rFonts w:cs="Times New Roman"/>
          <w:b/>
          <w:bCs/>
          <w:szCs w:val="24"/>
        </w:rPr>
      </w:pPr>
      <w:r w:rsidRPr="00A32416">
        <w:rPr>
          <w:rFonts w:cs="Times New Roman"/>
          <w:b/>
          <w:bCs/>
          <w:szCs w:val="24"/>
        </w:rPr>
        <w:t>Przykłady programów wspierających aktywność społeczną, kulturalną, edukacyjną, sportową i obywatelską osób starszych</w:t>
      </w:r>
    </w:p>
    <w:p w14:paraId="48A8C6DC" w14:textId="77777777" w:rsidR="005C3916" w:rsidRPr="005C3916" w:rsidRDefault="005C3916" w:rsidP="005C3916">
      <w:pPr>
        <w:rPr>
          <w:rFonts w:cs="Times New Roman"/>
          <w:szCs w:val="24"/>
        </w:rPr>
      </w:pPr>
      <w:r w:rsidRPr="005C3916">
        <w:rPr>
          <w:rFonts w:cs="Times New Roman"/>
          <w:szCs w:val="24"/>
        </w:rPr>
        <w:t>Miasto Łomża</w:t>
      </w:r>
    </w:p>
    <w:p w14:paraId="0DE1BA12" w14:textId="383B4D6B" w:rsidR="005C3916" w:rsidRPr="005C3916" w:rsidRDefault="005C3916" w:rsidP="005C3916">
      <w:pPr>
        <w:rPr>
          <w:rFonts w:cs="Times New Roman"/>
          <w:szCs w:val="24"/>
        </w:rPr>
      </w:pPr>
      <w:r w:rsidRPr="005C3916">
        <w:rPr>
          <w:rFonts w:cs="Times New Roman"/>
          <w:szCs w:val="24"/>
        </w:rPr>
        <w:t>Miasto Łomża realizowało</w:t>
      </w:r>
      <w:r w:rsidR="00A32416">
        <w:rPr>
          <w:rFonts w:cs="Times New Roman"/>
          <w:szCs w:val="24"/>
        </w:rPr>
        <w:t>:</w:t>
      </w:r>
    </w:p>
    <w:p w14:paraId="11798FCE" w14:textId="77777777" w:rsidR="00A32416" w:rsidRDefault="005C3916" w:rsidP="00FE70E3">
      <w:pPr>
        <w:pStyle w:val="Akapitzlist"/>
        <w:numPr>
          <w:ilvl w:val="0"/>
          <w:numId w:val="183"/>
        </w:numPr>
        <w:rPr>
          <w:rFonts w:cs="Times New Roman"/>
          <w:szCs w:val="24"/>
        </w:rPr>
      </w:pPr>
      <w:r w:rsidRPr="00A32416">
        <w:rPr>
          <w:rFonts w:cs="Times New Roman"/>
          <w:szCs w:val="24"/>
        </w:rPr>
        <w:t>Program Łomżyńska Karta Seniora. Celem Programu było pobudzenie aktywności Seniorów w wieku 60+ poprzez zwiększenie dostępu do usług publicznych, dóbr kultury, imprez sportowych oraz innych dóbr i usług zapewniających poprawę warunków i komfortu życia. Cel ten był realizowany za pomocą systemu ulg i preferencji oferowanych przez Partnerów. W 2020 r. wydano ok. 900 Kart Seniora.</w:t>
      </w:r>
    </w:p>
    <w:p w14:paraId="165B0A16" w14:textId="77777777" w:rsidR="00A32416" w:rsidRDefault="005C3916" w:rsidP="00FE70E3">
      <w:pPr>
        <w:pStyle w:val="Akapitzlist"/>
        <w:numPr>
          <w:ilvl w:val="0"/>
          <w:numId w:val="183"/>
        </w:numPr>
        <w:rPr>
          <w:rFonts w:cs="Times New Roman"/>
          <w:szCs w:val="24"/>
        </w:rPr>
      </w:pPr>
      <w:r w:rsidRPr="00A32416">
        <w:rPr>
          <w:rFonts w:cs="Times New Roman"/>
          <w:szCs w:val="24"/>
        </w:rPr>
        <w:t>Ponadto mieszkańcy miasta Łomża, którzy ukończyli 60 lat oraz rozliczają podatek dochodowy od osób fizycznych mogli skorzystać z bezpłatnych przejazdów komunikacją miejską.</w:t>
      </w:r>
    </w:p>
    <w:p w14:paraId="06903518" w14:textId="77777777" w:rsidR="00A32416" w:rsidRDefault="005C3916" w:rsidP="00FE70E3">
      <w:pPr>
        <w:pStyle w:val="Akapitzlist"/>
        <w:numPr>
          <w:ilvl w:val="0"/>
          <w:numId w:val="183"/>
        </w:numPr>
        <w:rPr>
          <w:rFonts w:cs="Times New Roman"/>
          <w:szCs w:val="24"/>
        </w:rPr>
      </w:pPr>
      <w:r w:rsidRPr="00A32416">
        <w:rPr>
          <w:rFonts w:cs="Times New Roman"/>
          <w:szCs w:val="24"/>
        </w:rPr>
        <w:t>Miasto Łomża w 2020 r. dofinansowało działania organizacji pozarządowych na rzecz aktywizacji osób starszych w ramach otwartego konkursu ofert w łącznej wysokości 22 800,00 zł. Przy wsparciu środków z budżetu Miasta Łomża realizowane były działania skierowane do osób starszych. - projekt „Rozwój usług opiekuńczych i asystenckich w mieście Łomża” . Projekt jest współfinansowany ze środków Europejskiego Funduszu Społecznego w ramach RPO Województwa Podlaskiego na lata 2014-2020, Oś Priorytetowa VII Poprawa Spójności Społecznej, Działanie 7.2 Rozwój usług społecznych, Poddziałanie 7.2.1 Rozwój usług społecznych na rzecz osób zagrożonych wykluczeniem społecznym, w ramach projektu zorganizowano:</w:t>
      </w:r>
    </w:p>
    <w:p w14:paraId="13500FA8" w14:textId="77777777" w:rsidR="00A32416" w:rsidRDefault="005C3916" w:rsidP="00FE70E3">
      <w:pPr>
        <w:pStyle w:val="Akapitzlist"/>
        <w:numPr>
          <w:ilvl w:val="1"/>
          <w:numId w:val="183"/>
        </w:numPr>
        <w:rPr>
          <w:rFonts w:cs="Times New Roman"/>
          <w:szCs w:val="24"/>
        </w:rPr>
      </w:pPr>
      <w:r w:rsidRPr="00A32416">
        <w:rPr>
          <w:rFonts w:cs="Times New Roman"/>
          <w:szCs w:val="24"/>
        </w:rPr>
        <w:t>bezpłatną wypożyczalnię sprzętu rehabilitacyjnego dla osób starszych</w:t>
      </w:r>
    </w:p>
    <w:p w14:paraId="5B5BD3A4" w14:textId="212E967D" w:rsidR="005C3916" w:rsidRPr="00A32416" w:rsidRDefault="005C3916" w:rsidP="00FE70E3">
      <w:pPr>
        <w:pStyle w:val="Akapitzlist"/>
        <w:numPr>
          <w:ilvl w:val="1"/>
          <w:numId w:val="183"/>
        </w:numPr>
        <w:rPr>
          <w:rFonts w:cs="Times New Roman"/>
          <w:szCs w:val="24"/>
        </w:rPr>
      </w:pPr>
      <w:proofErr w:type="spellStart"/>
      <w:r w:rsidRPr="00A32416">
        <w:rPr>
          <w:rFonts w:cs="Times New Roman"/>
          <w:szCs w:val="24"/>
        </w:rPr>
        <w:t>teleopiekę</w:t>
      </w:r>
      <w:proofErr w:type="spellEnd"/>
      <w:r w:rsidRPr="00A32416">
        <w:rPr>
          <w:rFonts w:cs="Times New Roman"/>
          <w:szCs w:val="24"/>
        </w:rPr>
        <w:t xml:space="preserve"> - system, który pozwala na wezwanie pomocy lub przekazanie wiadomości opiekunowi o zagrożeniu stanu zdrowia uczestnika.</w:t>
      </w:r>
    </w:p>
    <w:p w14:paraId="0D760F60" w14:textId="77777777" w:rsidR="00A32416" w:rsidRDefault="00A32416" w:rsidP="005C3916">
      <w:pPr>
        <w:rPr>
          <w:rFonts w:cs="Times New Roman"/>
          <w:szCs w:val="24"/>
        </w:rPr>
      </w:pPr>
    </w:p>
    <w:p w14:paraId="04EF4E9F" w14:textId="77777777" w:rsidR="005C3916" w:rsidRPr="005C3916" w:rsidRDefault="005C3916" w:rsidP="005C3916">
      <w:pPr>
        <w:rPr>
          <w:rFonts w:cs="Times New Roman"/>
          <w:szCs w:val="24"/>
        </w:rPr>
      </w:pPr>
      <w:r w:rsidRPr="005C3916">
        <w:rPr>
          <w:rFonts w:cs="Times New Roman"/>
          <w:szCs w:val="24"/>
        </w:rPr>
        <w:t>Komenda Wojewódzka Policji w Białymstoku</w:t>
      </w:r>
    </w:p>
    <w:p w14:paraId="6BA7ED7F" w14:textId="77777777" w:rsidR="005C3916" w:rsidRPr="005C3916" w:rsidRDefault="005C3916" w:rsidP="005C3916">
      <w:pPr>
        <w:rPr>
          <w:rFonts w:cs="Times New Roman"/>
          <w:szCs w:val="24"/>
        </w:rPr>
      </w:pPr>
      <w:r w:rsidRPr="005C3916">
        <w:rPr>
          <w:rFonts w:cs="Times New Roman"/>
          <w:szCs w:val="24"/>
        </w:rPr>
        <w:t>W 2020 r., na terenie garnizonu podlaskiego realizowane były następujące działania:</w:t>
      </w:r>
    </w:p>
    <w:p w14:paraId="7BF31952" w14:textId="77777777" w:rsidR="00A32416" w:rsidRDefault="005C3916" w:rsidP="00FE70E3">
      <w:pPr>
        <w:pStyle w:val="Akapitzlist"/>
        <w:numPr>
          <w:ilvl w:val="0"/>
          <w:numId w:val="189"/>
        </w:numPr>
        <w:rPr>
          <w:rFonts w:cs="Times New Roman"/>
          <w:szCs w:val="24"/>
        </w:rPr>
      </w:pPr>
      <w:r w:rsidRPr="00A32416">
        <w:rPr>
          <w:rFonts w:cs="Times New Roman"/>
          <w:szCs w:val="24"/>
        </w:rPr>
        <w:t>kontynuowano realizację autorskiego wojewódzkiego programu profilaktycznego pn. „</w:t>
      </w:r>
      <w:proofErr w:type="spellStart"/>
      <w:r w:rsidRPr="00A32416">
        <w:rPr>
          <w:rFonts w:cs="Times New Roman"/>
          <w:szCs w:val="24"/>
        </w:rPr>
        <w:t>poMOC</w:t>
      </w:r>
      <w:proofErr w:type="spellEnd"/>
      <w:r w:rsidRPr="00A32416">
        <w:rPr>
          <w:rFonts w:cs="Times New Roman"/>
          <w:szCs w:val="24"/>
        </w:rPr>
        <w:t xml:space="preserve">, a nie </w:t>
      </w:r>
      <w:proofErr w:type="spellStart"/>
      <w:r w:rsidRPr="00A32416">
        <w:rPr>
          <w:rFonts w:cs="Times New Roman"/>
          <w:szCs w:val="24"/>
        </w:rPr>
        <w:t>przeMOC</w:t>
      </w:r>
      <w:proofErr w:type="spellEnd"/>
      <w:r w:rsidRPr="00A32416">
        <w:rPr>
          <w:rFonts w:cs="Times New Roman"/>
          <w:szCs w:val="24"/>
        </w:rPr>
        <w:t>!” dotyczącego przeciwdziałania przemocy w rodzinie wobec osób starszych, schorowanych i niepełnosprawnych,</w:t>
      </w:r>
    </w:p>
    <w:p w14:paraId="5672E651" w14:textId="77777777" w:rsidR="00A32416" w:rsidRDefault="005C3916" w:rsidP="00FE70E3">
      <w:pPr>
        <w:pStyle w:val="Akapitzlist"/>
        <w:numPr>
          <w:ilvl w:val="0"/>
          <w:numId w:val="189"/>
        </w:numPr>
        <w:rPr>
          <w:rFonts w:cs="Times New Roman"/>
          <w:szCs w:val="24"/>
        </w:rPr>
      </w:pPr>
      <w:r w:rsidRPr="00A32416">
        <w:rPr>
          <w:rFonts w:cs="Times New Roman"/>
          <w:szCs w:val="24"/>
        </w:rPr>
        <w:t xml:space="preserve">pracownicy Komendy Powiatowej Policji w Grajewie uczestniczyli w konferencji zorganizowanej przez Powiatowe Centrum Pomocy Rodzinie w Grajewie dot. działań na rzecz przeciwdziałania przemocy w rodzinie. W spotkaniu wzięli udział również </w:t>
      </w:r>
      <w:r w:rsidRPr="00A32416">
        <w:rPr>
          <w:rFonts w:cs="Times New Roman"/>
          <w:szCs w:val="24"/>
        </w:rPr>
        <w:lastRenderedPageBreak/>
        <w:t xml:space="preserve">przedstawiciele ośrodków pomocy społecznej, kuratorzy sądowi, dyrektor poradni </w:t>
      </w:r>
      <w:proofErr w:type="spellStart"/>
      <w:r w:rsidRPr="00A32416">
        <w:rPr>
          <w:rFonts w:cs="Times New Roman"/>
          <w:szCs w:val="24"/>
        </w:rPr>
        <w:t>psychologiczno</w:t>
      </w:r>
      <w:proofErr w:type="spellEnd"/>
      <w:r w:rsidRPr="00A32416">
        <w:rPr>
          <w:rFonts w:cs="Times New Roman"/>
          <w:szCs w:val="24"/>
        </w:rPr>
        <w:t xml:space="preserve"> - pedagogicznej, przedstawiciele lokalnych zespołów interdyscyplinarnych,</w:t>
      </w:r>
    </w:p>
    <w:p w14:paraId="480554C3" w14:textId="77777777" w:rsidR="00A32416" w:rsidRDefault="005C3916" w:rsidP="00FE70E3">
      <w:pPr>
        <w:pStyle w:val="Akapitzlist"/>
        <w:numPr>
          <w:ilvl w:val="0"/>
          <w:numId w:val="189"/>
        </w:numPr>
        <w:rPr>
          <w:rFonts w:cs="Times New Roman"/>
          <w:szCs w:val="24"/>
        </w:rPr>
      </w:pPr>
      <w:r w:rsidRPr="00A32416">
        <w:rPr>
          <w:rFonts w:cs="Times New Roman"/>
          <w:szCs w:val="24"/>
        </w:rPr>
        <w:t>dzielnicowi z Komend Miejskich/Powiatowych Policji spotykali się z pracownikami ośrodków pomocy społecznej przedstawiając założenia programu „</w:t>
      </w:r>
      <w:proofErr w:type="spellStart"/>
      <w:r w:rsidRPr="00A32416">
        <w:rPr>
          <w:rFonts w:cs="Times New Roman"/>
          <w:szCs w:val="24"/>
        </w:rPr>
        <w:t>poMOC</w:t>
      </w:r>
      <w:proofErr w:type="spellEnd"/>
      <w:r w:rsidRPr="00A32416">
        <w:rPr>
          <w:rFonts w:cs="Times New Roman"/>
          <w:szCs w:val="24"/>
        </w:rPr>
        <w:t xml:space="preserve">, a nie </w:t>
      </w:r>
      <w:proofErr w:type="spellStart"/>
      <w:r w:rsidRPr="00A32416">
        <w:rPr>
          <w:rFonts w:cs="Times New Roman"/>
          <w:szCs w:val="24"/>
        </w:rPr>
        <w:t>przeMOC</w:t>
      </w:r>
      <w:proofErr w:type="spellEnd"/>
      <w:r w:rsidRPr="00A32416">
        <w:rPr>
          <w:rFonts w:cs="Times New Roman"/>
          <w:szCs w:val="24"/>
        </w:rPr>
        <w:t>” oraz omawiając formy przemocy w rodzinie i procedurę „Niebieskie Karty”,</w:t>
      </w:r>
    </w:p>
    <w:p w14:paraId="035A9E77" w14:textId="77777777" w:rsidR="00A32416" w:rsidRDefault="005C3916" w:rsidP="00FE70E3">
      <w:pPr>
        <w:pStyle w:val="Akapitzlist"/>
        <w:numPr>
          <w:ilvl w:val="0"/>
          <w:numId w:val="189"/>
        </w:numPr>
        <w:rPr>
          <w:rFonts w:cs="Times New Roman"/>
          <w:szCs w:val="24"/>
        </w:rPr>
      </w:pPr>
      <w:r w:rsidRPr="00A32416">
        <w:rPr>
          <w:rFonts w:cs="Times New Roman"/>
          <w:szCs w:val="24"/>
        </w:rPr>
        <w:t>funkcjonariusze i pracownicy Policji garnizonu podlaskiego przeprowadzili szereg spotkań z seniorami w Klubach Seniora, Domach Pomocy Społecznej oraz świetlicach wiejskich w zakresie przeciwdziałania przemocy w rodzinie wobec osób starszych, schorowanych i</w:t>
      </w:r>
      <w:r w:rsidR="00A32416">
        <w:rPr>
          <w:rFonts w:cs="Times New Roman"/>
          <w:szCs w:val="24"/>
        </w:rPr>
        <w:t xml:space="preserve"> </w:t>
      </w:r>
      <w:r w:rsidRPr="00A32416">
        <w:rPr>
          <w:rFonts w:cs="Times New Roman"/>
          <w:szCs w:val="24"/>
        </w:rPr>
        <w:t>niepełnosprawnych omawiając formy przemocy, konsekwencje prawne wynikające ze stosowania przemocy, procedurę „Niebieskie Karty” oraz wskazywali instytucje udzielające wsparcia,</w:t>
      </w:r>
    </w:p>
    <w:p w14:paraId="01D454EB" w14:textId="1F172547" w:rsidR="00A32416" w:rsidRDefault="005C3916" w:rsidP="00FE70E3">
      <w:pPr>
        <w:pStyle w:val="Akapitzlist"/>
        <w:numPr>
          <w:ilvl w:val="0"/>
          <w:numId w:val="189"/>
        </w:numPr>
        <w:rPr>
          <w:rFonts w:cs="Times New Roman"/>
          <w:szCs w:val="24"/>
        </w:rPr>
      </w:pPr>
      <w:r w:rsidRPr="00A32416">
        <w:rPr>
          <w:rFonts w:cs="Times New Roman"/>
          <w:szCs w:val="24"/>
        </w:rPr>
        <w:t>13 lutego 2020 r</w:t>
      </w:r>
      <w:r w:rsidR="00A931B5">
        <w:rPr>
          <w:rFonts w:cs="Times New Roman"/>
          <w:szCs w:val="24"/>
        </w:rPr>
        <w:t>.</w:t>
      </w:r>
      <w:r w:rsidRPr="00A32416">
        <w:rPr>
          <w:rFonts w:cs="Times New Roman"/>
          <w:szCs w:val="24"/>
        </w:rPr>
        <w:t xml:space="preserve"> dzielnicowi z Komendy Powiatowej Policji w Mońkach przeprowadzili szkolenie dla prywatnych opiekunek seniorów w zakresie zapobiegania przemocy stosowanej wobec osób starszych, schorowanych i niepełnosprawnych,</w:t>
      </w:r>
    </w:p>
    <w:p w14:paraId="04F4117B" w14:textId="055D40B5" w:rsidR="00326529" w:rsidRDefault="005C3916" w:rsidP="00FE70E3">
      <w:pPr>
        <w:pStyle w:val="Akapitzlist"/>
        <w:numPr>
          <w:ilvl w:val="0"/>
          <w:numId w:val="189"/>
        </w:numPr>
        <w:rPr>
          <w:rFonts w:cs="Times New Roman"/>
          <w:szCs w:val="24"/>
        </w:rPr>
      </w:pPr>
      <w:r w:rsidRPr="00A32416">
        <w:rPr>
          <w:rFonts w:cs="Times New Roman"/>
          <w:szCs w:val="24"/>
        </w:rPr>
        <w:t>24 września 2020 r</w:t>
      </w:r>
      <w:r w:rsidR="00A931B5">
        <w:rPr>
          <w:rFonts w:cs="Times New Roman"/>
          <w:szCs w:val="24"/>
        </w:rPr>
        <w:t>.</w:t>
      </w:r>
      <w:r w:rsidRPr="00A32416">
        <w:rPr>
          <w:rFonts w:cs="Times New Roman"/>
          <w:szCs w:val="24"/>
        </w:rPr>
        <w:t xml:space="preserve"> funkcjonariusze Komendy Powiatowej Policji w Kolnie przeprowadzili szkolenie dla pracowników Ośrodka Pomocy Społecznej w Małym Płocku dotyczące podejmowania czynności zmierzających do rozpoznawania przypadków przemocy w rodzinach, w szczególności na osobach starszych,</w:t>
      </w:r>
    </w:p>
    <w:p w14:paraId="482AFDA1" w14:textId="35EDF59B" w:rsidR="005C3916" w:rsidRPr="00326529" w:rsidRDefault="005C3916" w:rsidP="00FE70E3">
      <w:pPr>
        <w:pStyle w:val="Akapitzlist"/>
        <w:numPr>
          <w:ilvl w:val="0"/>
          <w:numId w:val="189"/>
        </w:numPr>
        <w:rPr>
          <w:rFonts w:cs="Times New Roman"/>
          <w:szCs w:val="24"/>
        </w:rPr>
      </w:pPr>
      <w:r w:rsidRPr="00326529">
        <w:rPr>
          <w:rFonts w:cs="Times New Roman"/>
          <w:szCs w:val="24"/>
        </w:rPr>
        <w:t>w zakresie przeciwdziałania dyskryminacji ze względu na wiek, funkcjonariusze i pracownicy Policji garnizonu podlaskiego, organizowali z osobami starszymi spotkania uświadamiające seniorom zakres ich praw, uwrażliwiając na przejawy niewłaściwego traktowania oraz udzielając informacji na temat możliwości uzyskania bezpłatnej pomocy prawnej w razie takiej potrzeby.</w:t>
      </w:r>
    </w:p>
    <w:p w14:paraId="301D1DB5" w14:textId="77777777" w:rsidR="00B25ED6" w:rsidRDefault="00B25ED6" w:rsidP="005C3916">
      <w:pPr>
        <w:rPr>
          <w:rFonts w:cs="Times New Roman"/>
          <w:szCs w:val="24"/>
        </w:rPr>
      </w:pPr>
    </w:p>
    <w:p w14:paraId="56F5F111" w14:textId="68096704" w:rsidR="00326529" w:rsidRPr="005C3916" w:rsidRDefault="005C3916" w:rsidP="005C3916">
      <w:pPr>
        <w:rPr>
          <w:rFonts w:cs="Times New Roman"/>
          <w:szCs w:val="24"/>
        </w:rPr>
      </w:pPr>
      <w:r w:rsidRPr="005C3916">
        <w:rPr>
          <w:rFonts w:cs="Times New Roman"/>
          <w:szCs w:val="24"/>
        </w:rPr>
        <w:t>Gmina Supraśl</w:t>
      </w:r>
    </w:p>
    <w:p w14:paraId="1F36534B" w14:textId="77777777" w:rsidR="005C3916" w:rsidRPr="005C3916" w:rsidRDefault="005C3916" w:rsidP="005C3916">
      <w:pPr>
        <w:rPr>
          <w:rFonts w:cs="Times New Roman"/>
          <w:szCs w:val="24"/>
        </w:rPr>
      </w:pPr>
      <w:r w:rsidRPr="005C3916">
        <w:rPr>
          <w:rFonts w:cs="Times New Roman"/>
          <w:szCs w:val="24"/>
        </w:rPr>
        <w:t>Na terenie gminy były prowadzone następujące inicjatywy poświęcone osobom starszym:</w:t>
      </w:r>
    </w:p>
    <w:p w14:paraId="2E8A75C5" w14:textId="77777777" w:rsidR="00326529" w:rsidRDefault="005C3916" w:rsidP="00FE70E3">
      <w:pPr>
        <w:pStyle w:val="Akapitzlist"/>
        <w:numPr>
          <w:ilvl w:val="0"/>
          <w:numId w:val="190"/>
        </w:numPr>
        <w:rPr>
          <w:rFonts w:cs="Times New Roman"/>
          <w:szCs w:val="24"/>
        </w:rPr>
      </w:pPr>
      <w:r w:rsidRPr="00326529">
        <w:rPr>
          <w:rFonts w:cs="Times New Roman"/>
          <w:szCs w:val="24"/>
        </w:rPr>
        <w:t>„Książeczka życia” - zostały one przekazane do gabinetów lekarskich NZOZ w Supraślu oraz Sobolewie,</w:t>
      </w:r>
    </w:p>
    <w:p w14:paraId="1CECE628" w14:textId="77777777" w:rsidR="00326529" w:rsidRDefault="005C3916" w:rsidP="00FE70E3">
      <w:pPr>
        <w:pStyle w:val="Akapitzlist"/>
        <w:numPr>
          <w:ilvl w:val="0"/>
          <w:numId w:val="190"/>
        </w:numPr>
        <w:rPr>
          <w:rFonts w:cs="Times New Roman"/>
          <w:szCs w:val="24"/>
        </w:rPr>
      </w:pPr>
      <w:r w:rsidRPr="00326529">
        <w:rPr>
          <w:rFonts w:cs="Times New Roman"/>
          <w:szCs w:val="24"/>
        </w:rPr>
        <w:t>program „Trening Umysłu”- profilaktyka zapobiegania zaburzeniom pamięci i koncentracji u osób starszych poprzez stymulowanie pracy mózgu za pomocą ćwiczeń umysłowych,</w:t>
      </w:r>
    </w:p>
    <w:p w14:paraId="748C4031" w14:textId="2E6DE618" w:rsidR="00326529" w:rsidRDefault="005C3916" w:rsidP="00FE70E3">
      <w:pPr>
        <w:pStyle w:val="Akapitzlist"/>
        <w:numPr>
          <w:ilvl w:val="0"/>
          <w:numId w:val="190"/>
        </w:numPr>
        <w:rPr>
          <w:rFonts w:cs="Times New Roman"/>
          <w:szCs w:val="24"/>
        </w:rPr>
      </w:pPr>
      <w:r w:rsidRPr="00326529">
        <w:rPr>
          <w:rFonts w:cs="Times New Roman"/>
          <w:szCs w:val="24"/>
        </w:rPr>
        <w:t xml:space="preserve">„Cyfrowy senior” - projekt stowarzyszenia </w:t>
      </w:r>
      <w:proofErr w:type="spellStart"/>
      <w:r w:rsidRPr="00326529">
        <w:rPr>
          <w:rFonts w:cs="Times New Roman"/>
          <w:szCs w:val="24"/>
        </w:rPr>
        <w:t>Europartner</w:t>
      </w:r>
      <w:proofErr w:type="spellEnd"/>
      <w:r w:rsidRPr="00326529">
        <w:rPr>
          <w:rFonts w:cs="Times New Roman"/>
          <w:szCs w:val="24"/>
        </w:rPr>
        <w:t xml:space="preserve"> Akademii Klub Integracji Europejskiej (podstawowe funkcje komputera, przeglądanie i analiza informacji, narzędzia służące ochronie, bankowość elektroniczna, komunikacja z wykorzystaniem narzędzi cyfrowych i aplikacji, komunikacja za pomocą poczty elektronicznej, aktywność obywatelska online: e-kultura, e-edukacja oraz e-urząd, zakładanie poczty elektronicznej, poszukiwanie i filtrowanie informacji, stosunki towarzyskie i rozwijanie hobby, wiadomości lokalne i planowanie podróży (galeria zdjęć na www.seniorsuprasl.pl),</w:t>
      </w:r>
    </w:p>
    <w:p w14:paraId="0F083C29" w14:textId="08DBBE84" w:rsidR="005C3916" w:rsidRDefault="005C3916" w:rsidP="00FE70E3">
      <w:pPr>
        <w:pStyle w:val="Akapitzlist"/>
        <w:numPr>
          <w:ilvl w:val="0"/>
          <w:numId w:val="190"/>
        </w:numPr>
        <w:rPr>
          <w:rFonts w:cs="Times New Roman"/>
          <w:szCs w:val="24"/>
        </w:rPr>
      </w:pPr>
      <w:r w:rsidRPr="00326529">
        <w:rPr>
          <w:rFonts w:cs="Times New Roman"/>
          <w:szCs w:val="24"/>
        </w:rPr>
        <w:t>„Senior na Czasie”- projekt był realizowany z Narodowym Bankiem Polskim oraz Komendą Wojewódzką Policji w Białymstoku w ramach programu edukacji ekonomicznej dla osób starszych na terenie Gminy Supraśl. Seniorzy dowiedzieli się o metodach działania finansowych i jak zachować ostrożność w sytuacjach zagrożenia</w:t>
      </w:r>
      <w:r w:rsidR="00326529">
        <w:rPr>
          <w:rFonts w:cs="Times New Roman"/>
          <w:szCs w:val="24"/>
        </w:rPr>
        <w:t>.</w:t>
      </w:r>
    </w:p>
    <w:p w14:paraId="43C55159" w14:textId="0F7C3840" w:rsidR="00326529" w:rsidRDefault="00326529" w:rsidP="00326529">
      <w:pPr>
        <w:rPr>
          <w:rFonts w:cs="Times New Roman"/>
          <w:szCs w:val="24"/>
        </w:rPr>
      </w:pPr>
    </w:p>
    <w:p w14:paraId="2B86B04A" w14:textId="6925D3D5" w:rsidR="00B25ED6" w:rsidRDefault="00B25ED6" w:rsidP="00326529">
      <w:pPr>
        <w:rPr>
          <w:rFonts w:cs="Times New Roman"/>
          <w:szCs w:val="24"/>
        </w:rPr>
      </w:pPr>
    </w:p>
    <w:p w14:paraId="6B3C811F" w14:textId="77777777" w:rsidR="00B25ED6" w:rsidRPr="00326529" w:rsidRDefault="00B25ED6" w:rsidP="00326529">
      <w:pPr>
        <w:rPr>
          <w:rFonts w:cs="Times New Roman"/>
          <w:szCs w:val="24"/>
        </w:rPr>
      </w:pPr>
    </w:p>
    <w:p w14:paraId="49F8A5F2" w14:textId="77777777" w:rsidR="005C3916" w:rsidRPr="005C3916" w:rsidRDefault="005C3916" w:rsidP="005C3916">
      <w:pPr>
        <w:rPr>
          <w:rFonts w:cs="Times New Roman"/>
          <w:szCs w:val="24"/>
        </w:rPr>
      </w:pPr>
      <w:r w:rsidRPr="005C3916">
        <w:rPr>
          <w:rFonts w:cs="Times New Roman"/>
          <w:szCs w:val="24"/>
        </w:rPr>
        <w:lastRenderedPageBreak/>
        <w:t>Gmina Gródek</w:t>
      </w:r>
    </w:p>
    <w:p w14:paraId="6302FF77" w14:textId="0DCF7149" w:rsidR="005C3916" w:rsidRPr="005C3916" w:rsidRDefault="005C3916" w:rsidP="005C3916">
      <w:pPr>
        <w:rPr>
          <w:rFonts w:cs="Times New Roman"/>
          <w:szCs w:val="24"/>
        </w:rPr>
      </w:pPr>
      <w:r w:rsidRPr="005C3916">
        <w:rPr>
          <w:rFonts w:cs="Times New Roman"/>
          <w:szCs w:val="24"/>
        </w:rPr>
        <w:t>W 2020 r</w:t>
      </w:r>
      <w:r w:rsidR="00A931B5">
        <w:rPr>
          <w:rFonts w:cs="Times New Roman"/>
          <w:szCs w:val="24"/>
        </w:rPr>
        <w:t>.</w:t>
      </w:r>
      <w:r w:rsidRPr="005C3916">
        <w:rPr>
          <w:rFonts w:cs="Times New Roman"/>
          <w:szCs w:val="24"/>
        </w:rPr>
        <w:t xml:space="preserve"> był realizowany projekt „Aktywność siłą wspólnoty Gminy Gródek”, współfinansowany ze środków Europejskiego Funduszu Społecznego w ramach Regionalnego Programu Operacyjnego Województwa Podlaskiego na lata 2014-2020. Beneficjentami projektu było 25 mieszkańców Gminy Gródek, bezrobotnych, zagrożonych ubóstwem lub wykluczeniem społecznym i korzystających ze świadczeń pomocy społecznej. W ramach projektu dodatkowo odbyły się działania animacyjne. Było to 12 spotkań warsztatowych z seniorami (w każdym spotkaniu udział wzięło średnio 12 osób). Link do strony Gminnym Centrum Kultury: www.gckgrodek.pl Facebook: www.facebook.com/aktywnyseniorgrodek.</w:t>
      </w:r>
    </w:p>
    <w:p w14:paraId="050F6E2C" w14:textId="0B326DF0" w:rsidR="005C3916" w:rsidRDefault="005C3916" w:rsidP="005C3916">
      <w:pPr>
        <w:rPr>
          <w:rFonts w:cs="Times New Roman"/>
          <w:szCs w:val="24"/>
        </w:rPr>
      </w:pPr>
      <w:r w:rsidRPr="005C3916">
        <w:rPr>
          <w:rFonts w:cs="Times New Roman"/>
          <w:szCs w:val="24"/>
        </w:rPr>
        <w:t>Gmina Radziłów</w:t>
      </w:r>
    </w:p>
    <w:p w14:paraId="28B0446A" w14:textId="77777777" w:rsidR="00B25ED6" w:rsidRPr="005C3916" w:rsidRDefault="00B25ED6" w:rsidP="005C3916">
      <w:pPr>
        <w:rPr>
          <w:rFonts w:cs="Times New Roman"/>
          <w:szCs w:val="24"/>
        </w:rPr>
      </w:pPr>
    </w:p>
    <w:p w14:paraId="42BC6BCF" w14:textId="77777777" w:rsidR="005C3916" w:rsidRPr="005C3916" w:rsidRDefault="005C3916" w:rsidP="005C3916">
      <w:pPr>
        <w:rPr>
          <w:rFonts w:cs="Times New Roman"/>
          <w:szCs w:val="24"/>
        </w:rPr>
      </w:pPr>
      <w:r w:rsidRPr="005C3916">
        <w:rPr>
          <w:rFonts w:cs="Times New Roman"/>
          <w:szCs w:val="24"/>
        </w:rPr>
        <w:t>Miasto Siemiatycze</w:t>
      </w:r>
    </w:p>
    <w:p w14:paraId="5180BBCA" w14:textId="77777777" w:rsidR="005C3916" w:rsidRPr="005C3916" w:rsidRDefault="005C3916" w:rsidP="005C3916">
      <w:pPr>
        <w:rPr>
          <w:rFonts w:cs="Times New Roman"/>
          <w:szCs w:val="24"/>
        </w:rPr>
      </w:pPr>
      <w:r w:rsidRPr="005C3916">
        <w:rPr>
          <w:rFonts w:cs="Times New Roman"/>
          <w:szCs w:val="24"/>
        </w:rPr>
        <w:t>Na terenie Miasta Siemiatycze realizowano:</w:t>
      </w:r>
    </w:p>
    <w:p w14:paraId="300AE8E8" w14:textId="77777777" w:rsidR="00B25ED6" w:rsidRDefault="005C3916" w:rsidP="00FE70E3">
      <w:pPr>
        <w:pStyle w:val="Akapitzlist"/>
        <w:numPr>
          <w:ilvl w:val="0"/>
          <w:numId w:val="192"/>
        </w:numPr>
        <w:rPr>
          <w:rFonts w:cs="Times New Roman"/>
          <w:szCs w:val="24"/>
        </w:rPr>
      </w:pPr>
      <w:r w:rsidRPr="00B25ED6">
        <w:rPr>
          <w:rFonts w:cs="Times New Roman"/>
          <w:szCs w:val="24"/>
        </w:rPr>
        <w:t>„Kartę Seniora” - Program skierowany do mieszkańców Siemiatycz 65+ lat. Program ma na celu wspieranie seniorów poprzez promowanie pozytywnego wizerunku oraz zwiększenie aktywnego uczestnictwa seniorów w życiu społeczności Miasta Siemiatycze. Program wspierało 10 partnerów oferujących zniżki posiadaczom kary. W 2020 r. wydano 80 Kart Seniora,</w:t>
      </w:r>
    </w:p>
    <w:p w14:paraId="0FADAB79" w14:textId="77777777" w:rsidR="00B25ED6" w:rsidRDefault="005C3916" w:rsidP="00FE70E3">
      <w:pPr>
        <w:pStyle w:val="Akapitzlist"/>
        <w:numPr>
          <w:ilvl w:val="0"/>
          <w:numId w:val="192"/>
        </w:numPr>
        <w:rPr>
          <w:rFonts w:cs="Times New Roman"/>
          <w:szCs w:val="24"/>
        </w:rPr>
      </w:pPr>
      <w:r w:rsidRPr="00B25ED6">
        <w:rPr>
          <w:rFonts w:cs="Times New Roman"/>
          <w:szCs w:val="24"/>
        </w:rPr>
        <w:t>udostępniano posty z zajęciami online dla studentów UTW na kanale YouTube w ramach akcji „Senior w domu”,</w:t>
      </w:r>
    </w:p>
    <w:p w14:paraId="199B7F82" w14:textId="77777777" w:rsidR="00B25ED6" w:rsidRDefault="005C3916" w:rsidP="00FE70E3">
      <w:pPr>
        <w:pStyle w:val="Akapitzlist"/>
        <w:numPr>
          <w:ilvl w:val="0"/>
          <w:numId w:val="192"/>
        </w:numPr>
        <w:rPr>
          <w:rFonts w:cs="Times New Roman"/>
          <w:szCs w:val="24"/>
        </w:rPr>
      </w:pPr>
      <w:r w:rsidRPr="00B25ED6">
        <w:rPr>
          <w:rFonts w:cs="Times New Roman"/>
          <w:szCs w:val="24"/>
        </w:rPr>
        <w:t>w IX. Siemiatyckiej Wieczornej „Dysze” (biegu ulicznym na 10 km) startujący w kategoriach wiekowych: mężczyźni powyżej 65 roku życia i kobiety powyżej 60 roku życia nie ponosili opłaty wpisowej do zawodów,</w:t>
      </w:r>
    </w:p>
    <w:p w14:paraId="10F25F92" w14:textId="77777777" w:rsidR="00B25ED6" w:rsidRDefault="005C3916" w:rsidP="00FE70E3">
      <w:pPr>
        <w:pStyle w:val="Akapitzlist"/>
        <w:numPr>
          <w:ilvl w:val="0"/>
          <w:numId w:val="192"/>
        </w:numPr>
        <w:rPr>
          <w:rFonts w:cs="Times New Roman"/>
          <w:szCs w:val="24"/>
        </w:rPr>
      </w:pPr>
      <w:r w:rsidRPr="00B25ED6">
        <w:rPr>
          <w:rFonts w:cs="Times New Roman"/>
          <w:szCs w:val="24"/>
        </w:rPr>
        <w:t>projekt „Aktywny Senior”, „Spotkajmy się przy kawie” - integracja seniorów, zagospodarowanie czasu wolnego (Siemiatycki Ośrodek Kultury ) - sok.siemiatycze.eu ,</w:t>
      </w:r>
    </w:p>
    <w:p w14:paraId="311F3F23" w14:textId="77777777" w:rsidR="00B25ED6" w:rsidRDefault="005C3916" w:rsidP="00FE70E3">
      <w:pPr>
        <w:pStyle w:val="Akapitzlist"/>
        <w:numPr>
          <w:ilvl w:val="0"/>
          <w:numId w:val="192"/>
        </w:numPr>
        <w:rPr>
          <w:rFonts w:cs="Times New Roman"/>
          <w:szCs w:val="24"/>
        </w:rPr>
      </w:pPr>
      <w:r w:rsidRPr="00B25ED6">
        <w:rPr>
          <w:rFonts w:cs="Times New Roman"/>
          <w:szCs w:val="24"/>
        </w:rPr>
        <w:t>projekt z przeciwdziałania przemocy pt.: „Stop przemocy- słuchaj ja też jestem ważny” - warsztaty profilaktyczne z zakresu przeciwdziałania przemocy w rodzinie skierowane do seniorów z Miasta Siemiatycze.</w:t>
      </w:r>
    </w:p>
    <w:p w14:paraId="6431D804" w14:textId="77777777" w:rsidR="00B25ED6" w:rsidRDefault="005C3916" w:rsidP="00FE70E3">
      <w:pPr>
        <w:pStyle w:val="Akapitzlist"/>
        <w:numPr>
          <w:ilvl w:val="0"/>
          <w:numId w:val="192"/>
        </w:numPr>
        <w:rPr>
          <w:rFonts w:cs="Times New Roman"/>
          <w:szCs w:val="24"/>
        </w:rPr>
      </w:pPr>
      <w:r w:rsidRPr="00B25ED6">
        <w:rPr>
          <w:rFonts w:cs="Times New Roman"/>
          <w:szCs w:val="24"/>
        </w:rPr>
        <w:t>asystent osobisty osoby niepełnosprawnej - wsparcie w wykonywaniu codziennych czynności oraz funkcjonowaniu w życiu społecznym osób niepełnosprawnych.</w:t>
      </w:r>
    </w:p>
    <w:p w14:paraId="1DE736F1" w14:textId="6627342E" w:rsidR="005C3916" w:rsidRDefault="005C3916" w:rsidP="00B25ED6">
      <w:pPr>
        <w:rPr>
          <w:rFonts w:cs="Times New Roman"/>
          <w:szCs w:val="24"/>
        </w:rPr>
      </w:pPr>
      <w:r w:rsidRPr="00B25ED6">
        <w:rPr>
          <w:rFonts w:cs="Times New Roman"/>
          <w:szCs w:val="24"/>
        </w:rPr>
        <w:t>Ponadto założona została grupa wsparcia dla seniorów na Messenger - pozyskiwanie informacji na temat zdrowia, pomocy i potrzeby wsparcia psychologicznego grupie seniorów - 14 osób - Siemiatycki Ośrodek Kultury - Messenger - SOK.</w:t>
      </w:r>
    </w:p>
    <w:p w14:paraId="0909B3CA" w14:textId="77777777" w:rsidR="00B25ED6" w:rsidRPr="00B25ED6" w:rsidRDefault="00B25ED6" w:rsidP="00B25ED6">
      <w:pPr>
        <w:rPr>
          <w:rFonts w:cs="Times New Roman"/>
          <w:szCs w:val="24"/>
        </w:rPr>
      </w:pPr>
    </w:p>
    <w:p w14:paraId="4A337984" w14:textId="77777777" w:rsidR="005C3916" w:rsidRPr="005C3916" w:rsidRDefault="005C3916" w:rsidP="005C3916">
      <w:pPr>
        <w:rPr>
          <w:rFonts w:cs="Times New Roman"/>
          <w:szCs w:val="24"/>
        </w:rPr>
      </w:pPr>
      <w:r w:rsidRPr="005C3916">
        <w:rPr>
          <w:rFonts w:cs="Times New Roman"/>
          <w:szCs w:val="24"/>
        </w:rPr>
        <w:t>Gmina Rudka</w:t>
      </w:r>
    </w:p>
    <w:p w14:paraId="33C99F1C" w14:textId="77777777" w:rsidR="005C3916" w:rsidRPr="005C3916" w:rsidRDefault="005C3916" w:rsidP="005C3916">
      <w:pPr>
        <w:rPr>
          <w:rFonts w:cs="Times New Roman"/>
          <w:szCs w:val="24"/>
        </w:rPr>
      </w:pPr>
      <w:r w:rsidRPr="005C3916">
        <w:rPr>
          <w:rFonts w:cs="Times New Roman"/>
          <w:szCs w:val="24"/>
        </w:rPr>
        <w:t xml:space="preserve">W 2020 r. Urząd Gminy Rudka rozpoczął realizację projektu nr RPPD.09.01.00-20-0544/20 </w:t>
      </w:r>
      <w:proofErr w:type="spellStart"/>
      <w:r w:rsidRPr="005C3916">
        <w:rPr>
          <w:rFonts w:cs="Times New Roman"/>
          <w:szCs w:val="24"/>
        </w:rPr>
        <w:t>pn</w:t>
      </w:r>
      <w:proofErr w:type="spellEnd"/>
      <w:r w:rsidRPr="005C3916">
        <w:rPr>
          <w:rFonts w:cs="Times New Roman"/>
          <w:szCs w:val="24"/>
        </w:rPr>
        <w:t>: „W grupie siła”. Uczestnikami projektu było 20 osób starszych zamieszkujących teren gminy. W 2020 r. odbyły się spotkania w ramach, których były: poruszane wszelkie zagadnienia dotyczące możliwości otrzymania pomocy i wsparcia osobom starszym, przedstawiono formy kształcenia osób starszych oraz przykłady działalności edukacyjnej i kulturalnej w okolicy Gminy Rudka, z seniorami przygotowano ,,Koperty życia” oraz przy pomocy pracownika socjalnego wypełniono karty informacyjne. Druk można pobrać ze strony internetowej: (https://kopertazycia.pl/materialy-do- pobrania), a także otrzymać w siedzibie Klubu Seniora.</w:t>
      </w:r>
    </w:p>
    <w:p w14:paraId="26DD696F" w14:textId="77777777" w:rsidR="00B25ED6" w:rsidRDefault="00B25ED6" w:rsidP="005C3916">
      <w:pPr>
        <w:rPr>
          <w:rFonts w:cs="Times New Roman"/>
          <w:szCs w:val="24"/>
        </w:rPr>
      </w:pPr>
    </w:p>
    <w:p w14:paraId="58E9CD10" w14:textId="5442EF26" w:rsidR="005C3916" w:rsidRPr="005C3916" w:rsidRDefault="005C3916" w:rsidP="005C3916">
      <w:pPr>
        <w:rPr>
          <w:rFonts w:cs="Times New Roman"/>
          <w:szCs w:val="24"/>
        </w:rPr>
      </w:pPr>
      <w:r w:rsidRPr="005C3916">
        <w:rPr>
          <w:rFonts w:cs="Times New Roman"/>
          <w:szCs w:val="24"/>
        </w:rPr>
        <w:lastRenderedPageBreak/>
        <w:t>Gmina Wąsosz</w:t>
      </w:r>
    </w:p>
    <w:p w14:paraId="1C6CBB20" w14:textId="77777777" w:rsidR="005C3916" w:rsidRPr="005C3916" w:rsidRDefault="005C3916" w:rsidP="005C3916">
      <w:pPr>
        <w:rPr>
          <w:rFonts w:cs="Times New Roman"/>
          <w:szCs w:val="24"/>
        </w:rPr>
      </w:pPr>
      <w:r w:rsidRPr="005C3916">
        <w:rPr>
          <w:rFonts w:cs="Times New Roman"/>
          <w:szCs w:val="24"/>
        </w:rPr>
        <w:t>Ośrodek Pomocy Społecznej od czerwca 2020 r. realizuje projekt (w partnerstwie) pn. „Gmina Wąsosz - pomoc osobom potrzebującym wsparcia w codziennym funkcjonowaniu”. W projekcie brało udział 6 opiekunek, które przeszły kurs prowadzony przez PCK Oddział w Białymstoku i 11 osób niepełnosprawnych. W ramach projektu osoby opiekujące się pomagały przy prowadzeniu gospodarstwa domowego, bieżących czynnościach higienicznych, robieniu zakupów, posiłków, załatwianiu spraw urzędowych i medycznych, w utrzymywaniu kontaktów z rodziną, rozmawiają na różne tematy, wychodzą na wspólne spacery. Projekt był realizowany w partnerstwie ze spółdzielnia socjalną Go Active z Białegostoku (lider).</w:t>
      </w:r>
    </w:p>
    <w:p w14:paraId="06E86707" w14:textId="77777777" w:rsidR="00326529" w:rsidRDefault="00326529" w:rsidP="005C3916">
      <w:pPr>
        <w:rPr>
          <w:rFonts w:cs="Times New Roman"/>
          <w:szCs w:val="24"/>
        </w:rPr>
      </w:pPr>
    </w:p>
    <w:p w14:paraId="12538C13" w14:textId="40E0B0B8" w:rsidR="005C3916" w:rsidRPr="00326529" w:rsidRDefault="005C3916" w:rsidP="005C3916">
      <w:pPr>
        <w:rPr>
          <w:rFonts w:cs="Times New Roman"/>
          <w:b/>
          <w:bCs/>
          <w:szCs w:val="24"/>
        </w:rPr>
      </w:pPr>
      <w:r w:rsidRPr="00326529">
        <w:rPr>
          <w:rFonts w:cs="Times New Roman"/>
          <w:b/>
          <w:bCs/>
          <w:szCs w:val="24"/>
        </w:rPr>
        <w:t>Przykłady kilku dobrych praktyk na poziomie powiatu, gminy</w:t>
      </w:r>
    </w:p>
    <w:p w14:paraId="2A317963" w14:textId="77777777" w:rsidR="005C3916" w:rsidRPr="005C3916" w:rsidRDefault="005C3916" w:rsidP="005C3916">
      <w:pPr>
        <w:rPr>
          <w:rFonts w:cs="Times New Roman"/>
          <w:szCs w:val="24"/>
        </w:rPr>
      </w:pPr>
      <w:r w:rsidRPr="005C3916">
        <w:rPr>
          <w:rFonts w:cs="Times New Roman"/>
          <w:szCs w:val="24"/>
        </w:rPr>
        <w:t>Miasto Białystok</w:t>
      </w:r>
    </w:p>
    <w:p w14:paraId="470AA58E" w14:textId="43A6A888" w:rsidR="005C3916" w:rsidRPr="005C3916" w:rsidRDefault="005C3916" w:rsidP="005C3916">
      <w:pPr>
        <w:rPr>
          <w:rFonts w:cs="Times New Roman"/>
          <w:szCs w:val="24"/>
        </w:rPr>
      </w:pPr>
      <w:r w:rsidRPr="005C3916">
        <w:rPr>
          <w:rFonts w:cs="Times New Roman"/>
          <w:szCs w:val="24"/>
        </w:rPr>
        <w:t>W 2020 r</w:t>
      </w:r>
      <w:r w:rsidR="00A931B5">
        <w:rPr>
          <w:rFonts w:cs="Times New Roman"/>
          <w:szCs w:val="24"/>
        </w:rPr>
        <w:t>.</w:t>
      </w:r>
      <w:r w:rsidRPr="005C3916">
        <w:rPr>
          <w:rFonts w:cs="Times New Roman"/>
          <w:szCs w:val="24"/>
        </w:rPr>
        <w:t xml:space="preserve"> po raz kolejny ogłoszono konkurs na realizację zadania publicznego z zakresu pomocy społecznej pn. „Zwiększenie poczucia bezpieczeństwa seniorów w miejscu ich zamieszkania poprzez wsparcie w formie konsultacji i drobnych napraw technicznych”. Celem zadania było zwiększenie poziomu bezpieczeństwa osobistego starszych mieszkańców Białegostoku poprzez ograniczenie wystąpienia zagrożenia dla zdrowia z powodu niesprawności instalacji, sprzętów i urządzeń domowych. Projekt realizowała Fundacja „</w:t>
      </w:r>
      <w:proofErr w:type="spellStart"/>
      <w:r w:rsidRPr="005C3916">
        <w:rPr>
          <w:rFonts w:cs="Times New Roman"/>
          <w:szCs w:val="24"/>
        </w:rPr>
        <w:t>Spe</w:t>
      </w:r>
      <w:proofErr w:type="spellEnd"/>
      <w:r w:rsidRPr="005C3916">
        <w:rPr>
          <w:rFonts w:cs="Times New Roman"/>
          <w:szCs w:val="24"/>
        </w:rPr>
        <w:t xml:space="preserve"> </w:t>
      </w:r>
      <w:proofErr w:type="spellStart"/>
      <w:r w:rsidRPr="005C3916">
        <w:rPr>
          <w:rFonts w:cs="Times New Roman"/>
          <w:szCs w:val="24"/>
        </w:rPr>
        <w:t>Salvi</w:t>
      </w:r>
      <w:proofErr w:type="spellEnd"/>
      <w:r w:rsidRPr="005C3916">
        <w:rPr>
          <w:rFonts w:cs="Times New Roman"/>
          <w:szCs w:val="24"/>
        </w:rPr>
        <w:t>”. W ramach zadania seniorzy mogli korzystać z bezpłatnej pomocy fachowców przy drobnych naprawach domowych. Miasto chciało w ten sposób pomóc seniorom w wieku powyżej 60. roku życia, przede wszystkim osobom samotnym, dysponującym niskimi dochodami, schorowanym i niepełnosprawnym. Z takiej pomocy „złotej rączki” seniorzy skorzystali 500 razy. Zlecenia dotyczyły m.in. montażu lub naprawy klamek i zawiasów, przymocowania luster lub półek, skręcenia zepsutych mebli, wymiany żarówek, wyrwanych gniazdek i włączników elektrycznych, uszczelek w przeciekających kranach, baterii sanitarnych, przetkania odpływów itp.</w:t>
      </w:r>
    </w:p>
    <w:p w14:paraId="7E7E0336" w14:textId="77777777" w:rsidR="005C3916" w:rsidRPr="005C3916" w:rsidRDefault="005C3916" w:rsidP="005C3916">
      <w:pPr>
        <w:rPr>
          <w:rFonts w:cs="Times New Roman"/>
          <w:szCs w:val="24"/>
        </w:rPr>
      </w:pPr>
      <w:r w:rsidRPr="005C3916">
        <w:rPr>
          <w:rFonts w:cs="Times New Roman"/>
          <w:szCs w:val="24"/>
        </w:rPr>
        <w:t>Miasto Suwałki</w:t>
      </w:r>
    </w:p>
    <w:p w14:paraId="434E2B86" w14:textId="52389A30" w:rsidR="005C3916" w:rsidRPr="005C3916" w:rsidRDefault="005C3916" w:rsidP="005C3916">
      <w:pPr>
        <w:rPr>
          <w:rFonts w:cs="Times New Roman"/>
          <w:szCs w:val="24"/>
        </w:rPr>
      </w:pPr>
      <w:r w:rsidRPr="005C3916">
        <w:rPr>
          <w:rFonts w:cs="Times New Roman"/>
          <w:szCs w:val="24"/>
        </w:rPr>
        <w:t>Od maja 2019 r. w Mieście Suwałki ruszył program „Złota Rączka” dla seniorów. Program dedykowany jest mieszkańcom Suwałk w wieku powyżej 70 lat, samotnie zamieszkującym lub w wieku powyżej 60 lat z orzeczonym umiarkowanym lub znacznym stopniem niepełnosprawności. Program zapewnia nieodpłatną pomoc seniorom w drobnych naprawach np.: wymiana żarówek, gniazdek elektrycznych, uszczelek przeciekających w kranach itp. Miasto Suwałki powierzyło realizację zadania Spółdzielni Socjalnej „Perspektywa”. W 2020 r.</w:t>
      </w:r>
      <w:r w:rsidR="00326529">
        <w:rPr>
          <w:rFonts w:cs="Times New Roman"/>
          <w:szCs w:val="24"/>
        </w:rPr>
        <w:t xml:space="preserve"> </w:t>
      </w:r>
      <w:r w:rsidRPr="005C3916">
        <w:rPr>
          <w:rFonts w:cs="Times New Roman"/>
          <w:szCs w:val="24"/>
        </w:rPr>
        <w:t>wykonano 1100 usług.</w:t>
      </w:r>
    </w:p>
    <w:p w14:paraId="29667B7E" w14:textId="77777777" w:rsidR="00326529" w:rsidRDefault="00326529" w:rsidP="005C3916">
      <w:pPr>
        <w:rPr>
          <w:rFonts w:cs="Times New Roman"/>
          <w:szCs w:val="24"/>
        </w:rPr>
      </w:pPr>
    </w:p>
    <w:p w14:paraId="7B5F066F" w14:textId="607FFF00" w:rsidR="005C3916" w:rsidRPr="005C3916" w:rsidRDefault="005C3916" w:rsidP="005C3916">
      <w:pPr>
        <w:rPr>
          <w:rFonts w:cs="Times New Roman"/>
          <w:szCs w:val="24"/>
        </w:rPr>
      </w:pPr>
      <w:r w:rsidRPr="005C3916">
        <w:rPr>
          <w:rFonts w:cs="Times New Roman"/>
          <w:szCs w:val="24"/>
        </w:rPr>
        <w:t>Powiat Wysokomazowiecki</w:t>
      </w:r>
    </w:p>
    <w:p w14:paraId="0786D6AD" w14:textId="5B9C581B" w:rsidR="005C3916" w:rsidRDefault="005C3916" w:rsidP="005C3916">
      <w:pPr>
        <w:rPr>
          <w:rFonts w:cs="Times New Roman"/>
          <w:szCs w:val="24"/>
        </w:rPr>
      </w:pPr>
      <w:r w:rsidRPr="005C3916">
        <w:rPr>
          <w:rFonts w:cs="Times New Roman"/>
          <w:szCs w:val="24"/>
        </w:rPr>
        <w:t xml:space="preserve">W 2020 r. realizowano Innowacyjny Projekt Makroregionalny pn.: „Liderzy Kooperacji”, realizowany w ramach Programu Operacyjnego Wiedza, Edukacja, Rozwój (POWER) na lata 2014-2020, współfinansowany ze środków Europejskiego Funduszu Społecznego. Celem projektu było opracowanie oraz pilotażowe wdrożenie Modelu Kooperacji pomiędzy instytucjami pomocy społecznej i integracji społecznej a podmiotami innych polityk sektorowych istotnych z punktu widzenia włączenia społecznego i zwalczania ubóstwa dla gmin wiejskich na obszarze m.in. województwa podlaskiego. W Powiecie Wysokomazowieckim projekt realizowany był w 2 gminach wiejskich: w Gminie Wysokie Mazowieckie i w Gminie Kobylin-Borzymy. W Gminie Kobylin-Borzymy pomocą i wsparciem w ramach projektu objęto </w:t>
      </w:r>
      <w:r w:rsidRPr="005C3916">
        <w:rPr>
          <w:rFonts w:cs="Times New Roman"/>
          <w:szCs w:val="24"/>
        </w:rPr>
        <w:lastRenderedPageBreak/>
        <w:t>osoby starsze. Dzięki współpracy władz lokalnych i przedstawicieli instytucji powstał Klub Seniora jako nieformalna grupa działania licząca ponad - 30 osób, osoby starsze skorzystały ze wsparcia w formie usług rehabilitacyjnych z zakresu fizjoterapii, usług opiekuńczych i wsparcia psychologicznego. Odbyły się również zajęcia z fizjoterapeutą i dietetykiem. Ponadto zakupiono materiały pomocnicze, m.in. sprzęt do rehabilitacji a także Koperty życia, które przeznaczono dla osób przewlekle chorych, starszych i samotnych.</w:t>
      </w:r>
    </w:p>
    <w:p w14:paraId="17ECDAA7" w14:textId="77777777" w:rsidR="00326529" w:rsidRPr="005C3916" w:rsidRDefault="00326529" w:rsidP="005C3916">
      <w:pPr>
        <w:rPr>
          <w:rFonts w:cs="Times New Roman"/>
          <w:szCs w:val="24"/>
        </w:rPr>
      </w:pPr>
    </w:p>
    <w:p w14:paraId="5AE6522F" w14:textId="77777777" w:rsidR="005C3916" w:rsidRPr="005C3916" w:rsidRDefault="005C3916" w:rsidP="005C3916">
      <w:pPr>
        <w:rPr>
          <w:rFonts w:cs="Times New Roman"/>
          <w:szCs w:val="24"/>
        </w:rPr>
      </w:pPr>
      <w:r w:rsidRPr="005C3916">
        <w:rPr>
          <w:rFonts w:cs="Times New Roman"/>
          <w:szCs w:val="24"/>
        </w:rPr>
        <w:t>Powiat Hajnowski</w:t>
      </w:r>
    </w:p>
    <w:p w14:paraId="50EBBCC6" w14:textId="77777777" w:rsidR="005C3916" w:rsidRPr="005C3916" w:rsidRDefault="005C3916" w:rsidP="005C3916">
      <w:pPr>
        <w:rPr>
          <w:rFonts w:cs="Times New Roman"/>
          <w:szCs w:val="24"/>
        </w:rPr>
      </w:pPr>
      <w:r w:rsidRPr="005C3916">
        <w:rPr>
          <w:rFonts w:cs="Times New Roman"/>
          <w:szCs w:val="24"/>
        </w:rPr>
        <w:t>Inicjatywy dedykowane osobom starszym na terenie powiatu to m.in.:</w:t>
      </w:r>
    </w:p>
    <w:p w14:paraId="1EE2EE36" w14:textId="77777777" w:rsidR="00326529" w:rsidRDefault="005C3916" w:rsidP="00FE70E3">
      <w:pPr>
        <w:pStyle w:val="Akapitzlist"/>
        <w:numPr>
          <w:ilvl w:val="0"/>
          <w:numId w:val="191"/>
        </w:numPr>
        <w:rPr>
          <w:rFonts w:cs="Times New Roman"/>
          <w:szCs w:val="24"/>
        </w:rPr>
      </w:pPr>
      <w:r w:rsidRPr="00326529">
        <w:rPr>
          <w:rFonts w:cs="Times New Roman"/>
          <w:szCs w:val="24"/>
        </w:rPr>
        <w:t>Kampania Krajowego Instytutu Gospodarki Senioralnej MY+ (akcja miała na celu pomoc seniorom w kontakcie z najbliższym otoczeniem w czasie pandemii Covid-19),</w:t>
      </w:r>
    </w:p>
    <w:p w14:paraId="16C8FB79" w14:textId="77777777" w:rsidR="00326529" w:rsidRDefault="005C3916" w:rsidP="00FE70E3">
      <w:pPr>
        <w:pStyle w:val="Akapitzlist"/>
        <w:numPr>
          <w:ilvl w:val="0"/>
          <w:numId w:val="191"/>
        </w:numPr>
        <w:rPr>
          <w:rFonts w:cs="Times New Roman"/>
          <w:szCs w:val="24"/>
        </w:rPr>
      </w:pPr>
      <w:r w:rsidRPr="00326529">
        <w:rPr>
          <w:rFonts w:cs="Times New Roman"/>
          <w:szCs w:val="24"/>
        </w:rPr>
        <w:t xml:space="preserve">projekt New </w:t>
      </w:r>
      <w:proofErr w:type="spellStart"/>
      <w:r w:rsidRPr="00326529">
        <w:rPr>
          <w:rFonts w:cs="Times New Roman"/>
          <w:szCs w:val="24"/>
        </w:rPr>
        <w:t>Walking</w:t>
      </w:r>
      <w:proofErr w:type="spellEnd"/>
      <w:r w:rsidRPr="00326529">
        <w:rPr>
          <w:rFonts w:cs="Times New Roman"/>
          <w:szCs w:val="24"/>
        </w:rPr>
        <w:t xml:space="preserve"> na receptę - trening wzmacniający ciało, umysł i kondycję skierowany do mieszkańców powiatu Hajnowskiego,</w:t>
      </w:r>
    </w:p>
    <w:p w14:paraId="7605B2A9" w14:textId="77777777" w:rsidR="00326529" w:rsidRDefault="005C3916" w:rsidP="00FE70E3">
      <w:pPr>
        <w:pStyle w:val="Akapitzlist"/>
        <w:numPr>
          <w:ilvl w:val="0"/>
          <w:numId w:val="191"/>
        </w:numPr>
        <w:rPr>
          <w:rFonts w:cs="Times New Roman"/>
          <w:szCs w:val="24"/>
        </w:rPr>
      </w:pPr>
      <w:r w:rsidRPr="00326529">
        <w:rPr>
          <w:rFonts w:cs="Times New Roman"/>
          <w:szCs w:val="24"/>
        </w:rPr>
        <w:t>projekt Wsparcie dzieci umieszczonych w pieczy zastępczej w okresie epidemii COVID-19 - projekt obejmował wsparcie dzieci i osób stanowiących pieczę zastępczą (głównie dziadków),</w:t>
      </w:r>
    </w:p>
    <w:p w14:paraId="6AA1D51B" w14:textId="77777777" w:rsidR="00326529" w:rsidRDefault="005C3916" w:rsidP="00FE70E3">
      <w:pPr>
        <w:pStyle w:val="Akapitzlist"/>
        <w:numPr>
          <w:ilvl w:val="0"/>
          <w:numId w:val="191"/>
        </w:numPr>
        <w:rPr>
          <w:rFonts w:cs="Times New Roman"/>
          <w:szCs w:val="24"/>
        </w:rPr>
      </w:pPr>
      <w:r w:rsidRPr="00326529">
        <w:rPr>
          <w:rFonts w:cs="Times New Roman"/>
          <w:szCs w:val="24"/>
        </w:rPr>
        <w:t>kampania reklamowa konkursu „Seniorzy w akcji”,</w:t>
      </w:r>
    </w:p>
    <w:p w14:paraId="4D9E474A" w14:textId="77777777" w:rsidR="00326529" w:rsidRDefault="005C3916" w:rsidP="00FE70E3">
      <w:pPr>
        <w:pStyle w:val="Akapitzlist"/>
        <w:numPr>
          <w:ilvl w:val="0"/>
          <w:numId w:val="191"/>
        </w:numPr>
        <w:rPr>
          <w:rFonts w:cs="Times New Roman"/>
          <w:szCs w:val="24"/>
        </w:rPr>
      </w:pPr>
      <w:r w:rsidRPr="00326529">
        <w:rPr>
          <w:rFonts w:cs="Times New Roman"/>
          <w:szCs w:val="24"/>
        </w:rPr>
        <w:t>wsparcie psychologiczne z powodu pandemii Covid-19,</w:t>
      </w:r>
    </w:p>
    <w:p w14:paraId="611EBA13" w14:textId="4C21C22A" w:rsidR="005C3916" w:rsidRPr="00326529" w:rsidRDefault="00326529" w:rsidP="00FE70E3">
      <w:pPr>
        <w:pStyle w:val="Akapitzlist"/>
        <w:numPr>
          <w:ilvl w:val="0"/>
          <w:numId w:val="191"/>
        </w:numPr>
        <w:rPr>
          <w:rFonts w:cs="Times New Roman"/>
          <w:szCs w:val="24"/>
        </w:rPr>
      </w:pPr>
      <w:r>
        <w:rPr>
          <w:rFonts w:cs="Times New Roman"/>
          <w:szCs w:val="24"/>
        </w:rPr>
        <w:t>d</w:t>
      </w:r>
      <w:r w:rsidR="005C3916" w:rsidRPr="00326529">
        <w:rPr>
          <w:rFonts w:cs="Times New Roman"/>
          <w:szCs w:val="24"/>
        </w:rPr>
        <w:t>ziałalność Uniwersytetu III Wieku (spotkania integracyjne, wykład, wycieczki). Działalność innych organizacji pozarządowych i Stowarzyszeń takich jak: Polskie Stowarzyszenie Diabetyków - Oddział Rejonowy w Hajnówce ( obiady czwartkowe), Polski Związek Emerytów, Rencistów i Inwalidów Stowarzyszenie Wyższej Użyteczności - Oddziały w Hajnówce, Czeremsze i Narewce.</w:t>
      </w:r>
    </w:p>
    <w:p w14:paraId="37998BE1" w14:textId="77777777" w:rsidR="00326529" w:rsidRDefault="00326529" w:rsidP="005C3916">
      <w:pPr>
        <w:rPr>
          <w:rFonts w:cs="Times New Roman"/>
          <w:szCs w:val="24"/>
        </w:rPr>
      </w:pPr>
    </w:p>
    <w:p w14:paraId="518B5A5D" w14:textId="36094E1B" w:rsidR="005C3916" w:rsidRPr="00326529" w:rsidRDefault="005C3916" w:rsidP="005C3916">
      <w:pPr>
        <w:rPr>
          <w:rFonts w:cs="Times New Roman"/>
          <w:b/>
          <w:bCs/>
          <w:szCs w:val="24"/>
        </w:rPr>
      </w:pPr>
      <w:r w:rsidRPr="00326529">
        <w:rPr>
          <w:rFonts w:cs="Times New Roman"/>
          <w:b/>
          <w:bCs/>
          <w:szCs w:val="24"/>
        </w:rPr>
        <w:t xml:space="preserve">Przykłady innowacyjnych rozwiązań </w:t>
      </w:r>
    </w:p>
    <w:p w14:paraId="6A1679E6" w14:textId="77777777" w:rsidR="005C3916" w:rsidRPr="005C3916" w:rsidRDefault="005C3916" w:rsidP="005C3916">
      <w:pPr>
        <w:rPr>
          <w:rFonts w:cs="Times New Roman"/>
          <w:szCs w:val="24"/>
        </w:rPr>
      </w:pPr>
      <w:r w:rsidRPr="005C3916">
        <w:rPr>
          <w:rFonts w:cs="Times New Roman"/>
          <w:szCs w:val="24"/>
        </w:rPr>
        <w:t>Gmina Sokółka</w:t>
      </w:r>
    </w:p>
    <w:p w14:paraId="7B4F5DC5" w14:textId="64202151" w:rsidR="005C3916" w:rsidRPr="005C3916" w:rsidRDefault="005C3916" w:rsidP="005C3916">
      <w:pPr>
        <w:rPr>
          <w:rFonts w:cs="Times New Roman"/>
          <w:szCs w:val="24"/>
        </w:rPr>
      </w:pPr>
      <w:r w:rsidRPr="005C3916">
        <w:rPr>
          <w:rFonts w:cs="Times New Roman"/>
          <w:szCs w:val="24"/>
        </w:rPr>
        <w:t>W 2020 r</w:t>
      </w:r>
      <w:r w:rsidR="00A931B5">
        <w:rPr>
          <w:rFonts w:cs="Times New Roman"/>
          <w:szCs w:val="24"/>
        </w:rPr>
        <w:t>.</w:t>
      </w:r>
      <w:r w:rsidRPr="005C3916">
        <w:rPr>
          <w:rFonts w:cs="Times New Roman"/>
          <w:szCs w:val="24"/>
        </w:rPr>
        <w:t xml:space="preserve"> Ośrodek Pomocy Społecznej w Sokółce realizował projekt: „Wsparcie opieki nad osobami niesamodzielnymi poprzez wykorzystanie nowoczesnych technologii w formie </w:t>
      </w:r>
      <w:proofErr w:type="spellStart"/>
      <w:r w:rsidRPr="005C3916">
        <w:rPr>
          <w:rFonts w:cs="Times New Roman"/>
          <w:szCs w:val="24"/>
        </w:rPr>
        <w:t>teleopieki</w:t>
      </w:r>
      <w:proofErr w:type="spellEnd"/>
      <w:r w:rsidRPr="005C3916">
        <w:rPr>
          <w:rFonts w:cs="Times New Roman"/>
          <w:szCs w:val="24"/>
        </w:rPr>
        <w:t xml:space="preserve"> na terenie Gminy Sokółka” współfinansowany ze środków Unii Europejskiej w ramach Regionalnego Programu Operacyjnego Województwa Podlaskiego na lata 2014 - 2020. W ramach realizacji projektu na terenie Gminy Sokółka 90 osób w wieku 60+ zostało objętych kompleksowym wsparciem w postaci usług opiekuńczych oraz otrzymało dostęp do centrum </w:t>
      </w:r>
      <w:proofErr w:type="spellStart"/>
      <w:r w:rsidRPr="005C3916">
        <w:rPr>
          <w:rFonts w:cs="Times New Roman"/>
          <w:szCs w:val="24"/>
        </w:rPr>
        <w:t>teleopieki</w:t>
      </w:r>
      <w:proofErr w:type="spellEnd"/>
      <w:r w:rsidRPr="005C3916">
        <w:rPr>
          <w:rFonts w:cs="Times New Roman"/>
          <w:szCs w:val="24"/>
        </w:rPr>
        <w:t xml:space="preserve">. Celem projektu było zorganizowanie kompleksowego systemu opieki, umożliwiającego osobom niesamodzielnym jak najdłuższe bezpieczne pozostanie w ich środowisku oraz miejscu zamieszkania. </w:t>
      </w:r>
      <w:proofErr w:type="spellStart"/>
      <w:r w:rsidRPr="005C3916">
        <w:rPr>
          <w:rFonts w:cs="Times New Roman"/>
          <w:szCs w:val="24"/>
        </w:rPr>
        <w:t>Teleopieka</w:t>
      </w:r>
      <w:proofErr w:type="spellEnd"/>
      <w:r w:rsidRPr="005C3916">
        <w:rPr>
          <w:rFonts w:cs="Times New Roman"/>
          <w:szCs w:val="24"/>
        </w:rPr>
        <w:t xml:space="preserve"> jest to usługa wykorzystująca nowoczesne technologie </w:t>
      </w:r>
      <w:proofErr w:type="spellStart"/>
      <w:r w:rsidRPr="005C3916">
        <w:rPr>
          <w:rFonts w:cs="Times New Roman"/>
          <w:szCs w:val="24"/>
        </w:rPr>
        <w:t>informacyjno</w:t>
      </w:r>
      <w:proofErr w:type="spellEnd"/>
      <w:r w:rsidRPr="005C3916">
        <w:rPr>
          <w:rFonts w:cs="Times New Roman"/>
          <w:szCs w:val="24"/>
        </w:rPr>
        <w:t xml:space="preserve"> - komunikacyjne oraz nowe metody organizacji udzielania pomocy. Umożliwia wezwanie pomocy w przypadku nagłych zdarzeń wymagających interwencji opiekuna, zagrożenia bezpieczeństwa lub zdarzeń medycznych, które są problematyczne lub niebezpieczne. Pomoc wzywana jest przy użyciu urządzenia alarmowego i komunikacyjnego posiadającego przycisk SOS. Całodobowe Centrum </w:t>
      </w:r>
      <w:proofErr w:type="spellStart"/>
      <w:r w:rsidRPr="005C3916">
        <w:rPr>
          <w:rFonts w:cs="Times New Roman"/>
          <w:szCs w:val="24"/>
        </w:rPr>
        <w:t>Telemedyczne</w:t>
      </w:r>
      <w:proofErr w:type="spellEnd"/>
      <w:r w:rsidRPr="005C3916">
        <w:rPr>
          <w:rFonts w:cs="Times New Roman"/>
          <w:szCs w:val="24"/>
        </w:rPr>
        <w:t xml:space="preserve"> organizuje i zarządza procesem udzielania pomocy aktywując odpowiednie służby na terenie gminy lub przekazując opiekunom odpowiedzialnym za danego podopiecznego informacje o konieczności interwencji.</w:t>
      </w:r>
    </w:p>
    <w:p w14:paraId="6DAA1DD0" w14:textId="77777777" w:rsidR="00326529" w:rsidRDefault="00326529" w:rsidP="005C3916">
      <w:pPr>
        <w:rPr>
          <w:rFonts w:cs="Times New Roman"/>
          <w:szCs w:val="24"/>
        </w:rPr>
      </w:pPr>
    </w:p>
    <w:p w14:paraId="263A3DAF" w14:textId="77777777" w:rsidR="00B25ED6" w:rsidRDefault="00B25ED6" w:rsidP="005C3916">
      <w:pPr>
        <w:rPr>
          <w:rFonts w:cs="Times New Roman"/>
          <w:szCs w:val="24"/>
        </w:rPr>
      </w:pPr>
    </w:p>
    <w:p w14:paraId="2ECD3A04" w14:textId="17229EFE" w:rsidR="005C3916" w:rsidRPr="005C3916" w:rsidRDefault="005C3916" w:rsidP="005C3916">
      <w:pPr>
        <w:rPr>
          <w:rFonts w:cs="Times New Roman"/>
          <w:szCs w:val="24"/>
        </w:rPr>
      </w:pPr>
      <w:r w:rsidRPr="005C3916">
        <w:rPr>
          <w:rFonts w:cs="Times New Roman"/>
          <w:szCs w:val="24"/>
        </w:rPr>
        <w:lastRenderedPageBreak/>
        <w:t>Miasto Sejny</w:t>
      </w:r>
    </w:p>
    <w:p w14:paraId="12377137" w14:textId="3FAB0B0D" w:rsidR="005C3916" w:rsidRPr="005C3916" w:rsidRDefault="005C3916" w:rsidP="005C3916">
      <w:pPr>
        <w:rPr>
          <w:rFonts w:cs="Times New Roman"/>
          <w:szCs w:val="24"/>
        </w:rPr>
      </w:pPr>
      <w:r w:rsidRPr="005C3916">
        <w:rPr>
          <w:rFonts w:cs="Times New Roman"/>
          <w:szCs w:val="24"/>
        </w:rPr>
        <w:t>W 2020 r. MOPS w Sejnach kontynuował realizację projektu pt. „SAS” współfinansowany ze środków Europejskiego Funduszu Społecznego w ramach Regionalnego Programu Operacyjnego Województwa Podlaskiego na lata 2014 - 2020. Celem projektu było zwiększenie dostępu do wysokiej jakości usług społecznych na terenie Miasta Sejny. W ramach projektu w 2020</w:t>
      </w:r>
      <w:r w:rsidR="00A931B5">
        <w:rPr>
          <w:rFonts w:cs="Times New Roman"/>
          <w:szCs w:val="24"/>
        </w:rPr>
        <w:t xml:space="preserve"> r.</w:t>
      </w:r>
      <w:r w:rsidRPr="005C3916">
        <w:rPr>
          <w:rFonts w:cs="Times New Roman"/>
          <w:szCs w:val="24"/>
        </w:rPr>
        <w:t xml:space="preserve"> zorganizowano i sfinansowano: Klub Seniora - dla 20 osób niesamodzielnych, bezpłatne usługi opiekuńcze dla 15 osób starszych i niesamodzielnych, bezpłatne usługi asystenckie dla 10 osób niepełnosprawnych, centrum wsparcia opiekunów faktycznych tj. organizacja usługi </w:t>
      </w:r>
      <w:proofErr w:type="spellStart"/>
      <w:r w:rsidRPr="005C3916">
        <w:rPr>
          <w:rFonts w:cs="Times New Roman"/>
          <w:szCs w:val="24"/>
        </w:rPr>
        <w:t>wytchnieniowej</w:t>
      </w:r>
      <w:proofErr w:type="spellEnd"/>
      <w:r w:rsidRPr="005C3916">
        <w:rPr>
          <w:rFonts w:cs="Times New Roman"/>
          <w:szCs w:val="24"/>
        </w:rPr>
        <w:t xml:space="preserve"> dla 10 opiekunów faktycznych osób niepełnosprawnych, wsparcie w postaci poradnictwa prawnego i psychologicznego w wymiarze 60 godz. dla opiekuna faktycznego osoby niepełnosprawnej.</w:t>
      </w:r>
    </w:p>
    <w:p w14:paraId="7B6E4E9A" w14:textId="67450D77" w:rsidR="005C3916" w:rsidRDefault="005C3916" w:rsidP="00E7359C">
      <w:pPr>
        <w:rPr>
          <w:rFonts w:cs="Times New Roman"/>
          <w:b/>
          <w:color w:val="FF0000"/>
          <w:szCs w:val="24"/>
          <w:lang w:eastAsia="ar-SA"/>
        </w:rPr>
      </w:pPr>
    </w:p>
    <w:p w14:paraId="4B3ACFF2" w14:textId="2BE8DF1A" w:rsidR="005C3916" w:rsidRDefault="005C3916" w:rsidP="005C3916">
      <w:pPr>
        <w:pStyle w:val="Nagwek3"/>
      </w:pPr>
      <w:bookmarkStart w:id="258" w:name="_Toc77514010"/>
      <w:bookmarkStart w:id="259" w:name="_Toc80523167"/>
      <w:r w:rsidRPr="005C3916">
        <w:t xml:space="preserve">Działania związane z ochroną seniorów przed negatywnymi skutkami pandemii COVID-19, które zostały podjęte w 2020 r w województwie </w:t>
      </w:r>
      <w:r>
        <w:t>podlaskim</w:t>
      </w:r>
      <w:bookmarkEnd w:id="258"/>
      <w:bookmarkEnd w:id="259"/>
    </w:p>
    <w:p w14:paraId="1FC3A0F2" w14:textId="77777777" w:rsidR="000B1B06" w:rsidRPr="000B1B06" w:rsidRDefault="000B1B06" w:rsidP="000B1B06"/>
    <w:p w14:paraId="6600F81C" w14:textId="04EF4E0F" w:rsidR="005C3916" w:rsidRPr="005C3916" w:rsidRDefault="005C3916" w:rsidP="005C3916">
      <w:pPr>
        <w:rPr>
          <w:rFonts w:cs="Times New Roman"/>
          <w:szCs w:val="24"/>
        </w:rPr>
      </w:pPr>
      <w:r w:rsidRPr="005C3916">
        <w:rPr>
          <w:rFonts w:cs="Times New Roman"/>
          <w:szCs w:val="24"/>
        </w:rPr>
        <w:t>Regionalny Ośrodek Polityki Społecznej w Białymstoku realizował</w:t>
      </w:r>
      <w:r w:rsidR="00A32416">
        <w:rPr>
          <w:rFonts w:cs="Times New Roman"/>
          <w:szCs w:val="24"/>
        </w:rPr>
        <w:t>:</w:t>
      </w:r>
    </w:p>
    <w:p w14:paraId="5495171B" w14:textId="77777777" w:rsidR="00A32416" w:rsidRDefault="005C3916" w:rsidP="00FE70E3">
      <w:pPr>
        <w:pStyle w:val="Akapitzlist"/>
        <w:numPr>
          <w:ilvl w:val="0"/>
          <w:numId w:val="184"/>
        </w:numPr>
        <w:rPr>
          <w:rFonts w:cs="Times New Roman"/>
          <w:szCs w:val="24"/>
        </w:rPr>
      </w:pPr>
      <w:r w:rsidRPr="00A32416">
        <w:rPr>
          <w:rFonts w:cs="Times New Roman"/>
          <w:szCs w:val="24"/>
        </w:rPr>
        <w:t>projekt pn. „Bezpieczna przyszłość - wsparcie dla DPS z terenu województwa podlaskiego”. Projekt był współfinansowany ze środków Europejskiego Funduszu Społecznego, w ramach Programu Operacyjnego Wiedza Edukacja Rozwój na lata 2014-2020, Działanie 2.8 Rozwój usług społecznych świadczonych w środowisku lokalnym, Priorytet Inwestycyjny PI 9iv: Ułatwianie dostępu do przystępnych cenowo, trwałych oraz wysokiej jakości usług, w tym opieki zdrowotnej i usług socjalnych świadczonych w interesie ogólnym. Celem projektu było łagodzenie skutków pandemii COVID-19 oraz przeciwdziałanie jej negatywnym konsekwencjom, w szczególności dla osób znajdujących się w grupie ryzyka, poprzez zapewnienie właściwej opieki nad osobami przebywającymi w DPS. Projekt przyczynił się do ograniczenia skutków pandemii COVID-19 poprzez wsparcie personelu i pensjonariuszy Domów Pomocy Społecznej</w:t>
      </w:r>
    </w:p>
    <w:p w14:paraId="4F6E06EA" w14:textId="66D355F2" w:rsidR="005C3916" w:rsidRPr="00A32416" w:rsidRDefault="005C3916" w:rsidP="00FE70E3">
      <w:pPr>
        <w:pStyle w:val="Akapitzlist"/>
        <w:numPr>
          <w:ilvl w:val="0"/>
          <w:numId w:val="184"/>
        </w:numPr>
        <w:rPr>
          <w:rFonts w:cs="Times New Roman"/>
          <w:szCs w:val="24"/>
        </w:rPr>
      </w:pPr>
      <w:r w:rsidRPr="00A32416">
        <w:rPr>
          <w:rFonts w:cs="Times New Roman"/>
          <w:szCs w:val="24"/>
        </w:rPr>
        <w:t xml:space="preserve">projekt pn. „Wdrożenie działań mających na celu poprawę sytuacji epidemiologicznej związanej z zagrożeniem spowodowanym przez </w:t>
      </w:r>
      <w:proofErr w:type="spellStart"/>
      <w:r w:rsidRPr="00A32416">
        <w:rPr>
          <w:rFonts w:cs="Times New Roman"/>
          <w:szCs w:val="24"/>
        </w:rPr>
        <w:t>koronawirus</w:t>
      </w:r>
      <w:proofErr w:type="spellEnd"/>
      <w:r w:rsidRPr="00A32416">
        <w:rPr>
          <w:rFonts w:cs="Times New Roman"/>
          <w:szCs w:val="24"/>
        </w:rPr>
        <w:t xml:space="preserve"> SARS-CoV-2 na terenie województwa podlaskiego w obszarze systemu pomocy społecznej”. Projekt był współfinansowany ze środków Europejskiego Funduszu Społecznego, w ramach Regionalnego Programu Operacyjnego Województwa Podlaskiego na lata 2014-2020, Poddziałanie 7.2.1 Rozwój usług społecznych i zdrowotnych na rzecz osób zagrożonych wykluczeniem społecznym. Celem nadrzędnym projektu było zminimalizowanie zagrożenia utraty zdrowia i życia mieszkańców województwa podlaskiego objętych całodobową opieką w ramach systemu pomocy społecznej, osób najbardziej zagrożonych skutkami epidemii COVID-19. Liczba podmiotów lub instytucji objętych wsparciem w zakresie zwalczania lub przeciwdziałania skutkom pandemii COVID-19 w ramach projektu - 39.</w:t>
      </w:r>
    </w:p>
    <w:p w14:paraId="15487DE1" w14:textId="77777777" w:rsidR="00A32416" w:rsidRDefault="00A32416" w:rsidP="005C3916">
      <w:pPr>
        <w:rPr>
          <w:rFonts w:cs="Times New Roman"/>
          <w:szCs w:val="24"/>
        </w:rPr>
      </w:pPr>
    </w:p>
    <w:p w14:paraId="4B0C1F24" w14:textId="6B924BB2" w:rsidR="005C3916" w:rsidRPr="005C3916" w:rsidRDefault="005C3916" w:rsidP="005C3916">
      <w:pPr>
        <w:rPr>
          <w:rFonts w:cs="Times New Roman"/>
          <w:szCs w:val="24"/>
        </w:rPr>
      </w:pPr>
      <w:r w:rsidRPr="005C3916">
        <w:rPr>
          <w:rFonts w:cs="Times New Roman"/>
          <w:szCs w:val="24"/>
        </w:rPr>
        <w:t>Komenda Wojewódzka Policji w Białymstoku</w:t>
      </w:r>
      <w:r w:rsidR="00A32416">
        <w:rPr>
          <w:rFonts w:cs="Times New Roman"/>
          <w:szCs w:val="24"/>
        </w:rPr>
        <w:t>:</w:t>
      </w:r>
    </w:p>
    <w:p w14:paraId="35E18A35" w14:textId="182FE7C7" w:rsidR="00A32416" w:rsidRDefault="005C3916" w:rsidP="00FE70E3">
      <w:pPr>
        <w:pStyle w:val="Akapitzlist"/>
        <w:numPr>
          <w:ilvl w:val="0"/>
          <w:numId w:val="185"/>
        </w:numPr>
        <w:rPr>
          <w:rFonts w:cs="Times New Roman"/>
          <w:szCs w:val="24"/>
        </w:rPr>
      </w:pPr>
      <w:r w:rsidRPr="00A32416">
        <w:rPr>
          <w:rFonts w:cs="Times New Roman"/>
          <w:szCs w:val="24"/>
        </w:rPr>
        <w:t>dzielnicowi garnizonu podlaskiego od marca 2020 r</w:t>
      </w:r>
      <w:r w:rsidR="00A931B5">
        <w:rPr>
          <w:rFonts w:cs="Times New Roman"/>
          <w:szCs w:val="24"/>
        </w:rPr>
        <w:t>.</w:t>
      </w:r>
      <w:r w:rsidRPr="00A32416">
        <w:rPr>
          <w:rFonts w:cs="Times New Roman"/>
          <w:szCs w:val="24"/>
        </w:rPr>
        <w:t xml:space="preserve"> do chwili obecnej sprawdzają osoby starsze przebywające na kwarantannach. Podczas rozmów informują o zagrożeniach, a także oferują pomoc przy zapewnieniu podstawowych potrzeb życiowych,</w:t>
      </w:r>
    </w:p>
    <w:p w14:paraId="330637B9" w14:textId="7CD86EDD" w:rsidR="00A32416" w:rsidRDefault="005C3916" w:rsidP="00FE70E3">
      <w:pPr>
        <w:pStyle w:val="Akapitzlist"/>
        <w:numPr>
          <w:ilvl w:val="0"/>
          <w:numId w:val="185"/>
        </w:numPr>
        <w:rPr>
          <w:rFonts w:cs="Times New Roman"/>
          <w:szCs w:val="24"/>
        </w:rPr>
      </w:pPr>
      <w:r w:rsidRPr="00A32416">
        <w:rPr>
          <w:rFonts w:cs="Times New Roman"/>
          <w:szCs w:val="24"/>
        </w:rPr>
        <w:lastRenderedPageBreak/>
        <w:t>w grudniu 2020 r</w:t>
      </w:r>
      <w:r w:rsidR="00A931B5">
        <w:rPr>
          <w:rFonts w:cs="Times New Roman"/>
          <w:szCs w:val="24"/>
        </w:rPr>
        <w:t>.</w:t>
      </w:r>
      <w:r w:rsidRPr="00A32416">
        <w:rPr>
          <w:rFonts w:cs="Times New Roman"/>
          <w:szCs w:val="24"/>
        </w:rPr>
        <w:t xml:space="preserve"> dzielnicowi z Posterunku Policji w Lipsku udzielili pomocy starszej mieszkance wsi, której zabrakło żywności w czasie odbywania kwarantanny.</w:t>
      </w:r>
    </w:p>
    <w:p w14:paraId="4F9A91DA" w14:textId="10948B5A" w:rsidR="005C3916" w:rsidRDefault="005C3916" w:rsidP="00FE70E3">
      <w:pPr>
        <w:pStyle w:val="Akapitzlist"/>
        <w:numPr>
          <w:ilvl w:val="0"/>
          <w:numId w:val="185"/>
        </w:numPr>
        <w:rPr>
          <w:rFonts w:cs="Times New Roman"/>
          <w:szCs w:val="24"/>
        </w:rPr>
      </w:pPr>
      <w:r w:rsidRPr="00A32416">
        <w:rPr>
          <w:rFonts w:cs="Times New Roman"/>
          <w:szCs w:val="24"/>
        </w:rPr>
        <w:t xml:space="preserve">pracownicy i funkcjonariusze Policji podczas indywidualnych spotkań z seniorami przypominali o zasadach bezpieczeństwa związanych z </w:t>
      </w:r>
      <w:proofErr w:type="spellStart"/>
      <w:r w:rsidRPr="00A32416">
        <w:rPr>
          <w:rFonts w:cs="Times New Roman"/>
          <w:szCs w:val="24"/>
        </w:rPr>
        <w:t>Covid</w:t>
      </w:r>
      <w:proofErr w:type="spellEnd"/>
      <w:r w:rsidRPr="00A32416">
        <w:rPr>
          <w:rFonts w:cs="Times New Roman"/>
          <w:szCs w:val="24"/>
        </w:rPr>
        <w:t xml:space="preserve"> - 19 oraz prowadzili akcje rozdawania seniorom maseczek ochronnych.</w:t>
      </w:r>
    </w:p>
    <w:p w14:paraId="2DB2B8B0" w14:textId="77777777" w:rsidR="00A32416" w:rsidRPr="00A32416" w:rsidRDefault="00A32416" w:rsidP="00A32416">
      <w:pPr>
        <w:rPr>
          <w:rFonts w:cs="Times New Roman"/>
          <w:szCs w:val="24"/>
        </w:rPr>
      </w:pPr>
    </w:p>
    <w:p w14:paraId="77DA461D" w14:textId="3658E706" w:rsidR="005C3916" w:rsidRDefault="005C3916" w:rsidP="005C3916">
      <w:pPr>
        <w:rPr>
          <w:rFonts w:cs="Times New Roman"/>
          <w:szCs w:val="24"/>
        </w:rPr>
      </w:pPr>
      <w:r w:rsidRPr="005C3916">
        <w:rPr>
          <w:rFonts w:cs="Times New Roman"/>
          <w:szCs w:val="24"/>
        </w:rPr>
        <w:t>W lutym 2020 r</w:t>
      </w:r>
      <w:r w:rsidR="00A931B5">
        <w:rPr>
          <w:rFonts w:cs="Times New Roman"/>
          <w:szCs w:val="24"/>
        </w:rPr>
        <w:t>.</w:t>
      </w:r>
      <w:r w:rsidRPr="005C3916">
        <w:rPr>
          <w:rFonts w:cs="Times New Roman"/>
          <w:szCs w:val="24"/>
        </w:rPr>
        <w:t xml:space="preserve"> Wydział Prewencji Komendy Wojewódzkiej Policji w Białymstoku przygotował akcję informacyjno-edukacyjną pn. „Uniwersytet bezpiecznego Seniora”. skierowaną do seniorów z miasta Białystok i powiatu białostockiego. Celem tej inicjatywy było podniesienie poziomu bezpieczeństwa seniorów poprzez zwiększenie świadomości dotyczącej współczesnych zagrożeń finansowych oraz przestępstw popełnianych na ich szkodę. Z uwagi na panującą sytuację epidemiczną w kraju, realizacja powyższej inicjatywy została przeniesiona na późniejszy termin.</w:t>
      </w:r>
    </w:p>
    <w:p w14:paraId="1C6DE940" w14:textId="77777777" w:rsidR="00A32416" w:rsidRPr="005C3916" w:rsidRDefault="00A32416" w:rsidP="005C3916">
      <w:pPr>
        <w:rPr>
          <w:rFonts w:cs="Times New Roman"/>
          <w:szCs w:val="24"/>
        </w:rPr>
      </w:pPr>
    </w:p>
    <w:p w14:paraId="0BC0B249" w14:textId="56AB1908" w:rsidR="005C3916" w:rsidRPr="005C3916" w:rsidRDefault="005C3916" w:rsidP="005C3916">
      <w:pPr>
        <w:rPr>
          <w:rFonts w:cs="Times New Roman"/>
          <w:szCs w:val="24"/>
        </w:rPr>
      </w:pPr>
      <w:r w:rsidRPr="005C3916">
        <w:rPr>
          <w:rFonts w:cs="Times New Roman"/>
          <w:szCs w:val="24"/>
        </w:rPr>
        <w:t>Miasto Białystok</w:t>
      </w:r>
      <w:r w:rsidR="00A32416">
        <w:rPr>
          <w:rFonts w:cs="Times New Roman"/>
          <w:szCs w:val="24"/>
        </w:rPr>
        <w:t>:</w:t>
      </w:r>
    </w:p>
    <w:p w14:paraId="5184F085" w14:textId="77777777" w:rsidR="00A32416" w:rsidRDefault="005C3916" w:rsidP="00FE70E3">
      <w:pPr>
        <w:pStyle w:val="Akapitzlist"/>
        <w:numPr>
          <w:ilvl w:val="0"/>
          <w:numId w:val="186"/>
        </w:numPr>
        <w:rPr>
          <w:rFonts w:cs="Times New Roman"/>
          <w:szCs w:val="24"/>
        </w:rPr>
      </w:pPr>
      <w:r w:rsidRPr="00A32416">
        <w:rPr>
          <w:rFonts w:cs="Times New Roman"/>
          <w:szCs w:val="24"/>
        </w:rPr>
        <w:t>dnia 20 marca 2020 r. Miejski Ośrodek Pomocy Rodzinie w Białymstoku powołał koordynatorów pomocy oraz wdrożył procedury udzielania wsparcia skierowanego do osób starszych, samotnych, chorych i niepełnosprawnych zgłaszających potrzebę otrzymania pomocy w formie żywnościowej lub zrobienia niezbędnych zakupów. Wsparcie oferowane przez MOPR obejmowało m.in. zakup leków, żywności, ciepłych posiłków oraz środków czystości. Dostarczaniem pomocy zajmowali się współpracujący z MOPR wolontariusze z organizacji pozarządowych, harcerze oraz - w sytuacji osób w kwarantannie - żołnierze Wojsk Obrony Terytorialnej. W przypadku osób starszych, samotnych, niepełnosprawnych posiadających własne środki finansowe na zaspokojenie niezbędnych potrzeb życiowych, pracownicy MOPR przyjmujący zgłoszenie zlecali wolontariuszom potrzebę dokonania zakupów za środki finansowe osoby zgłaszającej potrzeby i dostarczali zakupy do miejsca zamieszkania,</w:t>
      </w:r>
    </w:p>
    <w:p w14:paraId="68BEE4C9" w14:textId="77777777" w:rsidR="00A32416" w:rsidRDefault="005C3916" w:rsidP="00FE70E3">
      <w:pPr>
        <w:pStyle w:val="Akapitzlist"/>
        <w:numPr>
          <w:ilvl w:val="0"/>
          <w:numId w:val="186"/>
        </w:numPr>
        <w:rPr>
          <w:rFonts w:cs="Times New Roman"/>
          <w:szCs w:val="24"/>
        </w:rPr>
      </w:pPr>
      <w:r w:rsidRPr="00A32416">
        <w:rPr>
          <w:rFonts w:cs="Times New Roman"/>
          <w:szCs w:val="24"/>
        </w:rPr>
        <w:t>w okresie od 20 października 2020 r. do 31 grudnia 2020 r. w ramach rządowego Programu „Wspieraj Seniora”, seniorom udzielane było wsparcie mające na celu ograniczenie konieczności wychodzenia starszych mieszkańców miasta z domu, w związku z zagrożeniem zakażeniem Covid-19. Wsparciem objęto 62 osoby (59 osób w wieku powyżej 70 r. ż. i 3 osoby poniżej tego wieku). Zrealizowane usługi wsparcia obejmowały głównie dostarczenie do domu osoby starszej zakupów artykułów spożywczych, środków higieny osobistej oraz leków. Dzięki Programowi seniorzy, którzy w obowiązującym stanie epidemii na obszarze Rzeczypospolitej Polskiej zdecydowali się na pozostanie w domu i nie mogli liczyć na wsparcie rodziny, mieli zabezpieczone artykuły podstawowej potrzeby. W realizację zadania zaangażowanych było 83 pracowników MOPR. Pomoc seniorom świadczyło 15 wolontariuszy, z którymi MOPR w Białymstoku zawarł porozumienie o wykonywaniu świadczeń woluntarystycznych oraz 14 osób, które podjęły współpracę na podstawie zawartej umowy zlecenia,</w:t>
      </w:r>
    </w:p>
    <w:p w14:paraId="73B56BC1" w14:textId="4361ECEE" w:rsidR="00A32416" w:rsidRDefault="005C3916" w:rsidP="00FE70E3">
      <w:pPr>
        <w:pStyle w:val="Akapitzlist"/>
        <w:numPr>
          <w:ilvl w:val="0"/>
          <w:numId w:val="186"/>
        </w:numPr>
        <w:rPr>
          <w:rFonts w:cs="Times New Roman"/>
          <w:szCs w:val="24"/>
        </w:rPr>
      </w:pPr>
      <w:r w:rsidRPr="00A32416">
        <w:rPr>
          <w:rFonts w:cs="Times New Roman"/>
          <w:szCs w:val="24"/>
        </w:rPr>
        <w:t>miasto realizowało program „Pomoc osobom niepełnosprawnym poszkodowanym w wyniku żywiołu lub sytuacji kryzysowych wywołanych chorobami zakaźnymi” finansowanego ze środków PFRON, w ramach którego starsze osoby niepełnosprawne, które na skutek wystąpienia zagrożenia epidemicznego oraz stanu epidemii utraciły, w okresie od dnia 9 marca 2020 r</w:t>
      </w:r>
      <w:r w:rsidR="00A931B5">
        <w:rPr>
          <w:rFonts w:cs="Times New Roman"/>
          <w:szCs w:val="24"/>
        </w:rPr>
        <w:t>.</w:t>
      </w:r>
      <w:r w:rsidRPr="00A32416">
        <w:rPr>
          <w:rFonts w:cs="Times New Roman"/>
          <w:szCs w:val="24"/>
        </w:rPr>
        <w:t xml:space="preserve"> do dnia 16 listopada 2020 r</w:t>
      </w:r>
      <w:r w:rsidR="00A931B5">
        <w:rPr>
          <w:rFonts w:cs="Times New Roman"/>
          <w:szCs w:val="24"/>
        </w:rPr>
        <w:t>.</w:t>
      </w:r>
      <w:r w:rsidRPr="00A32416">
        <w:rPr>
          <w:rFonts w:cs="Times New Roman"/>
          <w:szCs w:val="24"/>
        </w:rPr>
        <w:t xml:space="preserve">, możliwość korzystania (przez </w:t>
      </w:r>
      <w:r w:rsidRPr="00A32416">
        <w:rPr>
          <w:rFonts w:cs="Times New Roman"/>
          <w:szCs w:val="24"/>
        </w:rPr>
        <w:lastRenderedPageBreak/>
        <w:t>okres co najmniej 5 kolejnych następujących po sobie dni roboczych) z opieki świadczonej w placówce rehabilitacyjnej mogły otrzymać pomoc finansową w wysokości 500 zł miesięcznie (maksymalnie na pięć miesięcy) w formie dofinansowania kosztów związanych z zapewnieniem opieki w warunkach domowych. Uprawnieni do otrzymania ww. pomocy byli m. in. podopieczni dziennych domów pomocy społecznej. Z powyższej pomocy skorzystało 36 osób po 60 roku życia.</w:t>
      </w:r>
    </w:p>
    <w:p w14:paraId="7124BEB7" w14:textId="77777777" w:rsidR="00A32416" w:rsidRDefault="005C3916" w:rsidP="00FE70E3">
      <w:pPr>
        <w:pStyle w:val="Akapitzlist"/>
        <w:numPr>
          <w:ilvl w:val="0"/>
          <w:numId w:val="186"/>
        </w:numPr>
        <w:rPr>
          <w:rFonts w:cs="Times New Roman"/>
          <w:szCs w:val="24"/>
        </w:rPr>
      </w:pPr>
      <w:r w:rsidRPr="00A32416">
        <w:rPr>
          <w:rFonts w:cs="Times New Roman"/>
          <w:szCs w:val="24"/>
        </w:rPr>
        <w:t xml:space="preserve">mieszkańcy Białegostoku, którzy przeżywali kryzys związany z rozprzestrzenianiem się </w:t>
      </w:r>
      <w:proofErr w:type="spellStart"/>
      <w:r w:rsidRPr="00A32416">
        <w:rPr>
          <w:rFonts w:cs="Times New Roman"/>
          <w:szCs w:val="24"/>
        </w:rPr>
        <w:t>koronawirusa</w:t>
      </w:r>
      <w:proofErr w:type="spellEnd"/>
      <w:r w:rsidRPr="00A32416">
        <w:rPr>
          <w:rFonts w:cs="Times New Roman"/>
          <w:szCs w:val="24"/>
        </w:rPr>
        <w:t>, czuli niepokój, lęk, obniżony nastrój, mieli możliwość skorzystania z całodobowego, nieodpłatnego wsparcia specjalistów Ośrodka Interwencji Kryzysowej Miejskiego Ośrodka Pomocy Rodzinie w Białymstoku w formie interwencji kryzysowej, wsparcia psychologicznego, pedagogicznego, rodzinnego, prawnego czy socjalnego. Miasto Białystok pozyskało również do współpracy wolontariuszy z kilku białostockich organizacji pozarządowych, którzy udzielali seniorom wsparcia psychologicznego w formie telefonicznej,</w:t>
      </w:r>
    </w:p>
    <w:p w14:paraId="30BBF8F9" w14:textId="77777777" w:rsidR="00A32416" w:rsidRDefault="005C3916" w:rsidP="00FE70E3">
      <w:pPr>
        <w:pStyle w:val="Akapitzlist"/>
        <w:numPr>
          <w:ilvl w:val="0"/>
          <w:numId w:val="186"/>
        </w:numPr>
        <w:rPr>
          <w:rFonts w:cs="Times New Roman"/>
          <w:szCs w:val="24"/>
        </w:rPr>
      </w:pPr>
      <w:r w:rsidRPr="00A32416">
        <w:rPr>
          <w:rFonts w:cs="Times New Roman"/>
          <w:szCs w:val="24"/>
        </w:rPr>
        <w:t>ponadto organizacja współpracująca Miastem Białystok - Caritas Archidiecezji Białostockiej - wychodząc naprzeciw potrzebom osób starszych uruchomiła telefon zaufania dla seniorów. Osoby starsze, które czują się samotne, mają wątpliwości jak przetrwać okres odosobnienia, mogły zgłosić się do Caritas w celu otrzymania wsparcia.</w:t>
      </w:r>
    </w:p>
    <w:p w14:paraId="0280C551" w14:textId="77777777" w:rsidR="00A32416" w:rsidRDefault="005C3916" w:rsidP="00FE70E3">
      <w:pPr>
        <w:pStyle w:val="Akapitzlist"/>
        <w:numPr>
          <w:ilvl w:val="0"/>
          <w:numId w:val="186"/>
        </w:numPr>
        <w:rPr>
          <w:rFonts w:cs="Times New Roman"/>
          <w:szCs w:val="24"/>
        </w:rPr>
      </w:pPr>
      <w:r w:rsidRPr="00A32416">
        <w:rPr>
          <w:rFonts w:cs="Times New Roman"/>
          <w:szCs w:val="24"/>
        </w:rPr>
        <w:t>Miasto Białystok dostarczyło środki ochrony osobistej jak również środki dezynfekujące osobom najbardziej potrzebującym przebywającym w Domach Pomocy Społecznej, hospicjum w Białymstoku, noclegowniom dla bezdomnych oraz współpracującym z Miastem organizacjom pozarządowym,</w:t>
      </w:r>
    </w:p>
    <w:p w14:paraId="694894F2" w14:textId="178C7568" w:rsidR="005C3916" w:rsidRPr="00A32416" w:rsidRDefault="005C3916" w:rsidP="00FE70E3">
      <w:pPr>
        <w:pStyle w:val="Akapitzlist"/>
        <w:numPr>
          <w:ilvl w:val="0"/>
          <w:numId w:val="186"/>
        </w:numPr>
        <w:rPr>
          <w:rFonts w:cs="Times New Roman"/>
          <w:szCs w:val="24"/>
        </w:rPr>
      </w:pPr>
      <w:r w:rsidRPr="00A32416">
        <w:rPr>
          <w:rFonts w:cs="Times New Roman"/>
          <w:szCs w:val="24"/>
        </w:rPr>
        <w:t>w dniach od 22 kwietnia do 29 maja 2020 r. najbardziej potrzebujący seniorzy w wieku 65 lat i więcej otrzymali od Miasta Białystok bezpłatnie bawełniane maseczki wielokrotnego użytku. Trafiły one bezpośrednio do skrzynek pocztowych zainteresowanych po uprzednim zgłoszeniu telefonicznym. Osoby starsze nie musiały przychodzić po nie osobiście do Urzędu. Procedura taka stanowiła dodatkową ochronę seniorów przed kontaktem bezpośrednim. Do Departamentu Spraw Społecznych w Urzędu Miejskiego w Białymstoku wpłynęło 7 630 zgłoszeń. Każdy senior w wieku 65 lat i powyżej, który skontaktował się z Urzędem Miejskim w Białymstoku, otrzymał zamówioną maseczkę do domu.</w:t>
      </w:r>
    </w:p>
    <w:p w14:paraId="255CC7EA" w14:textId="77777777" w:rsidR="00A32416" w:rsidRDefault="00A32416" w:rsidP="005C3916">
      <w:pPr>
        <w:rPr>
          <w:rFonts w:cs="Times New Roman"/>
          <w:szCs w:val="24"/>
        </w:rPr>
      </w:pPr>
    </w:p>
    <w:p w14:paraId="68EE49A9" w14:textId="62D18C11" w:rsidR="005C3916" w:rsidRPr="005C3916" w:rsidRDefault="005C3916" w:rsidP="005C3916">
      <w:pPr>
        <w:rPr>
          <w:rFonts w:cs="Times New Roman"/>
          <w:szCs w:val="24"/>
        </w:rPr>
      </w:pPr>
      <w:r w:rsidRPr="005C3916">
        <w:rPr>
          <w:rFonts w:cs="Times New Roman"/>
          <w:szCs w:val="24"/>
        </w:rPr>
        <w:t>Ponadto na terenie województwa podlaskiego realizowano w 2020 r.</w:t>
      </w:r>
      <w:r w:rsidR="00A32416">
        <w:rPr>
          <w:rFonts w:cs="Times New Roman"/>
          <w:szCs w:val="24"/>
        </w:rPr>
        <w:t xml:space="preserve"> </w:t>
      </w:r>
      <w:r w:rsidRPr="005C3916">
        <w:rPr>
          <w:rFonts w:cs="Times New Roman"/>
          <w:szCs w:val="24"/>
        </w:rPr>
        <w:t xml:space="preserve">Program „Wspieraj Seniora”, którego celem było wsparcie finansowe gmin w zakresie realizacji zadania własnego, określonego w art. 17 ust. 2 pkt 4 ustawy z dnia 12 marca 2004 r. o pomocy społecznej (Dz. U. z 2020 r. poz. 1876, z </w:t>
      </w:r>
      <w:proofErr w:type="spellStart"/>
      <w:r w:rsidRPr="005C3916">
        <w:rPr>
          <w:rFonts w:cs="Times New Roman"/>
          <w:szCs w:val="24"/>
        </w:rPr>
        <w:t>późn</w:t>
      </w:r>
      <w:proofErr w:type="spellEnd"/>
      <w:r w:rsidRPr="005C3916">
        <w:rPr>
          <w:rFonts w:cs="Times New Roman"/>
          <w:szCs w:val="24"/>
        </w:rPr>
        <w:t xml:space="preserve">. zm.), tj. podejmowania innych zadań z zakresu pomocy społecznej wynikających z rozeznanych potrzeb gminy, do których w czasie obowiązywania pandemii zaliczyć należy działania na rzecz ochrony Seniorów przed zakażeniem </w:t>
      </w:r>
      <w:proofErr w:type="spellStart"/>
      <w:r w:rsidRPr="005C3916">
        <w:rPr>
          <w:rFonts w:cs="Times New Roman"/>
          <w:szCs w:val="24"/>
        </w:rPr>
        <w:t>Covid</w:t>
      </w:r>
      <w:proofErr w:type="spellEnd"/>
      <w:r w:rsidRPr="005C3916">
        <w:rPr>
          <w:rFonts w:cs="Times New Roman"/>
          <w:szCs w:val="24"/>
        </w:rPr>
        <w:t>- 19.</w:t>
      </w:r>
      <w:r w:rsidR="00A32416">
        <w:rPr>
          <w:rFonts w:cs="Times New Roman"/>
          <w:szCs w:val="24"/>
        </w:rPr>
        <w:t xml:space="preserve"> </w:t>
      </w:r>
      <w:r w:rsidRPr="005C3916">
        <w:rPr>
          <w:rFonts w:cs="Times New Roman"/>
          <w:szCs w:val="24"/>
        </w:rPr>
        <w:t xml:space="preserve">Strategicznym celem programu jest zapewnienie usługi wsparcia seniorom, którzy w obowiązującym stanie epidemii zdecydują się na pozostanie w domu, nie mając możliwości zabezpieczenia sobie artykułów podstawowej potrzeby we własnym zakresie, w tym artykułów spożywczych oraz środków higieny </w:t>
      </w:r>
      <w:proofErr w:type="spellStart"/>
      <w:r w:rsidRPr="005C3916">
        <w:rPr>
          <w:rFonts w:cs="Times New Roman"/>
          <w:szCs w:val="24"/>
        </w:rPr>
        <w:t>osobistej.Program</w:t>
      </w:r>
      <w:proofErr w:type="spellEnd"/>
      <w:r w:rsidRPr="005C3916">
        <w:rPr>
          <w:rFonts w:cs="Times New Roman"/>
          <w:szCs w:val="24"/>
        </w:rPr>
        <w:t xml:space="preserve"> adresowany był do:</w:t>
      </w:r>
    </w:p>
    <w:p w14:paraId="5A62A4BE" w14:textId="77777777" w:rsidR="00A32416" w:rsidRDefault="005C3916" w:rsidP="00FE70E3">
      <w:pPr>
        <w:pStyle w:val="Akapitzlist"/>
        <w:numPr>
          <w:ilvl w:val="0"/>
          <w:numId w:val="187"/>
        </w:numPr>
        <w:rPr>
          <w:rFonts w:cs="Times New Roman"/>
          <w:szCs w:val="24"/>
        </w:rPr>
      </w:pPr>
      <w:r w:rsidRPr="00A32416">
        <w:rPr>
          <w:rFonts w:cs="Times New Roman"/>
          <w:szCs w:val="24"/>
        </w:rPr>
        <w:t xml:space="preserve">seniorów, którzy pozostaną w domu w związku z zagrożeniem </w:t>
      </w:r>
      <w:proofErr w:type="spellStart"/>
      <w:r w:rsidRPr="00A32416">
        <w:rPr>
          <w:rFonts w:cs="Times New Roman"/>
          <w:szCs w:val="24"/>
        </w:rPr>
        <w:t>Covid</w:t>
      </w:r>
      <w:proofErr w:type="spellEnd"/>
      <w:r w:rsidRPr="00A32416">
        <w:rPr>
          <w:rFonts w:cs="Times New Roman"/>
          <w:szCs w:val="24"/>
        </w:rPr>
        <w:t xml:space="preserve"> - 19,</w:t>
      </w:r>
    </w:p>
    <w:p w14:paraId="69818F40" w14:textId="333A307B" w:rsidR="005C3916" w:rsidRPr="00A32416" w:rsidRDefault="005C3916" w:rsidP="00FE70E3">
      <w:pPr>
        <w:pStyle w:val="Akapitzlist"/>
        <w:numPr>
          <w:ilvl w:val="0"/>
          <w:numId w:val="187"/>
        </w:numPr>
        <w:rPr>
          <w:rFonts w:cs="Times New Roman"/>
          <w:szCs w:val="24"/>
        </w:rPr>
      </w:pPr>
      <w:r w:rsidRPr="00A32416">
        <w:rPr>
          <w:rFonts w:cs="Times New Roman"/>
          <w:szCs w:val="24"/>
        </w:rPr>
        <w:t xml:space="preserve">osób poniżej 70 roku życia, którzy pozostaną w domu w związku z zagrożeniem zakażenia Coid-19, w przypadku braku możliwości realizacji we własnym zakresie niezbędnych </w:t>
      </w:r>
      <w:r w:rsidRPr="00A32416">
        <w:rPr>
          <w:rFonts w:cs="Times New Roman"/>
          <w:szCs w:val="24"/>
        </w:rPr>
        <w:lastRenderedPageBreak/>
        <w:t>potrzeb wynikających ze stanu zdrowia oraz sytuacji rodzinnej i społecznej tych osób. Ocena sytuacji i udzielenia wsparcia osobom potrzebującym należy do decyzji ośrodka pomocy społecznej.</w:t>
      </w:r>
    </w:p>
    <w:p w14:paraId="51E231C2" w14:textId="77777777" w:rsidR="00A32416" w:rsidRDefault="005C3916" w:rsidP="005C3916">
      <w:pPr>
        <w:rPr>
          <w:rFonts w:cs="Times New Roman"/>
          <w:szCs w:val="24"/>
        </w:rPr>
      </w:pPr>
      <w:r w:rsidRPr="005C3916">
        <w:rPr>
          <w:rFonts w:cs="Times New Roman"/>
          <w:szCs w:val="24"/>
        </w:rPr>
        <w:t>Według stanu na dzień 31 grudnia 2020 r.:</w:t>
      </w:r>
    </w:p>
    <w:p w14:paraId="468F5DFA" w14:textId="77777777" w:rsidR="00A32416" w:rsidRDefault="005C3916" w:rsidP="00FE70E3">
      <w:pPr>
        <w:pStyle w:val="Akapitzlist"/>
        <w:numPr>
          <w:ilvl w:val="0"/>
          <w:numId w:val="188"/>
        </w:numPr>
        <w:rPr>
          <w:rFonts w:cs="Times New Roman"/>
          <w:szCs w:val="24"/>
        </w:rPr>
      </w:pPr>
      <w:r w:rsidRPr="00A32416">
        <w:rPr>
          <w:rFonts w:cs="Times New Roman"/>
          <w:szCs w:val="24"/>
        </w:rPr>
        <w:t>do programu „Wspieraj Seniora” w 2020 r. przystąpiło 99 gmin z województwa podlaskiego, które otrzymały środki finansowe na realizację ww. programu, z tego rzeczywista liczba gmin, które realizowały program wyniosła - 63,</w:t>
      </w:r>
    </w:p>
    <w:p w14:paraId="13936767" w14:textId="77777777" w:rsidR="00A32416" w:rsidRDefault="005C3916" w:rsidP="00FE70E3">
      <w:pPr>
        <w:pStyle w:val="Akapitzlist"/>
        <w:numPr>
          <w:ilvl w:val="0"/>
          <w:numId w:val="188"/>
        </w:numPr>
        <w:rPr>
          <w:rFonts w:cs="Times New Roman"/>
          <w:szCs w:val="24"/>
        </w:rPr>
      </w:pPr>
      <w:r w:rsidRPr="00A32416">
        <w:rPr>
          <w:rFonts w:cs="Times New Roman"/>
          <w:szCs w:val="24"/>
        </w:rPr>
        <w:t>rzeczywista liczba zgłoszeń zrealizowanych przez ośrodki pomocy społecznej w ramach przedmiotowego programu przyjętych zarówno za pośrednictwem infolinii, jak i bezpośrednio przez ośrodki wyniosła - 2</w:t>
      </w:r>
      <w:r w:rsidR="00A32416">
        <w:rPr>
          <w:rFonts w:cs="Times New Roman"/>
          <w:szCs w:val="24"/>
        </w:rPr>
        <w:t> </w:t>
      </w:r>
      <w:r w:rsidRPr="00A32416">
        <w:rPr>
          <w:rFonts w:cs="Times New Roman"/>
          <w:szCs w:val="24"/>
        </w:rPr>
        <w:t>960,</w:t>
      </w:r>
    </w:p>
    <w:p w14:paraId="4D390B6E" w14:textId="7443D49A" w:rsidR="00A32416" w:rsidRDefault="005C3916" w:rsidP="00FE70E3">
      <w:pPr>
        <w:pStyle w:val="Akapitzlist"/>
        <w:numPr>
          <w:ilvl w:val="0"/>
          <w:numId w:val="188"/>
        </w:numPr>
        <w:rPr>
          <w:rFonts w:cs="Times New Roman"/>
          <w:szCs w:val="24"/>
        </w:rPr>
      </w:pPr>
      <w:r w:rsidRPr="00A32416">
        <w:rPr>
          <w:rFonts w:cs="Times New Roman"/>
          <w:szCs w:val="24"/>
        </w:rPr>
        <w:t>rzeczywista liczba osób, którym udzielono wsparcia w ramach programu „Wspieraj Seniora” w 2020</w:t>
      </w:r>
      <w:r w:rsidR="00A931B5">
        <w:rPr>
          <w:rFonts w:cs="Times New Roman"/>
          <w:szCs w:val="24"/>
        </w:rPr>
        <w:t xml:space="preserve"> r.</w:t>
      </w:r>
      <w:r w:rsidRPr="00A32416">
        <w:rPr>
          <w:rFonts w:cs="Times New Roman"/>
          <w:szCs w:val="24"/>
        </w:rPr>
        <w:t>, zgłaszających się zarówno za pośrednictwem infolinii, jak i bezpośrednio do ośrodków pomocy społecznej wyniosła - 1</w:t>
      </w:r>
      <w:r w:rsidR="00A32416">
        <w:rPr>
          <w:rFonts w:cs="Times New Roman"/>
          <w:szCs w:val="24"/>
        </w:rPr>
        <w:t> </w:t>
      </w:r>
      <w:r w:rsidRPr="00A32416">
        <w:rPr>
          <w:rFonts w:cs="Times New Roman"/>
          <w:szCs w:val="24"/>
        </w:rPr>
        <w:t>326,</w:t>
      </w:r>
    </w:p>
    <w:p w14:paraId="46FA3C0C" w14:textId="387074AE" w:rsidR="005C3916" w:rsidRPr="00A32416" w:rsidRDefault="005C3916" w:rsidP="00FE70E3">
      <w:pPr>
        <w:pStyle w:val="Akapitzlist"/>
        <w:numPr>
          <w:ilvl w:val="0"/>
          <w:numId w:val="188"/>
        </w:numPr>
        <w:rPr>
          <w:rFonts w:cs="Times New Roman"/>
          <w:szCs w:val="24"/>
        </w:rPr>
      </w:pPr>
      <w:r w:rsidRPr="00A32416">
        <w:rPr>
          <w:rFonts w:cs="Times New Roman"/>
          <w:szCs w:val="24"/>
        </w:rPr>
        <w:t>wysokość środków wykorzystanych na realizację programu „Wspieraj Seniora” - edycja 2020 wyniosła 921 339, 34 zł.</w:t>
      </w:r>
    </w:p>
    <w:p w14:paraId="5D76A434" w14:textId="1FF839A6" w:rsidR="005C3916" w:rsidRPr="0092226B" w:rsidRDefault="005C3916" w:rsidP="005C3916">
      <w:pPr>
        <w:rPr>
          <w:rFonts w:cs="Times New Roman"/>
          <w:b/>
          <w:color w:val="FF0000"/>
          <w:szCs w:val="24"/>
          <w:lang w:eastAsia="ar-SA"/>
        </w:rPr>
      </w:pPr>
    </w:p>
    <w:p w14:paraId="396D61D9" w14:textId="2F0215BE" w:rsidR="00AC180B" w:rsidRDefault="00AC180B" w:rsidP="00AC180B">
      <w:pPr>
        <w:pStyle w:val="Nagwek3"/>
      </w:pPr>
      <w:bookmarkStart w:id="260" w:name="_Toc77514011"/>
      <w:bookmarkStart w:id="261" w:name="_Toc80523168"/>
      <w:r>
        <w:t>Infrastruktura społeczna oraz usługi świadczone osobom starszym w 2020 r.</w:t>
      </w:r>
      <w:bookmarkEnd w:id="260"/>
      <w:bookmarkEnd w:id="261"/>
    </w:p>
    <w:p w14:paraId="7E08EBD7" w14:textId="77777777" w:rsidR="000B1B06" w:rsidRPr="000B1B06" w:rsidRDefault="000B1B06" w:rsidP="000B1B06"/>
    <w:p w14:paraId="344F8FC2" w14:textId="45783BE6" w:rsidR="00AC180B" w:rsidRDefault="00AC180B" w:rsidP="00AC180B">
      <w:pPr>
        <w:rPr>
          <w:rFonts w:cs="Times New Roman"/>
          <w:szCs w:val="24"/>
        </w:rPr>
      </w:pPr>
      <w:r w:rsidRPr="00D96C8C">
        <w:rPr>
          <w:rFonts w:cs="Times New Roman"/>
          <w:szCs w:val="24"/>
        </w:rPr>
        <w:t xml:space="preserve">Szczegółowe informacje dotyczące usług oraz infrastruktury społecznej dostępnej dla osób starszych w województwie </w:t>
      </w:r>
      <w:r w:rsidR="005C3916">
        <w:rPr>
          <w:rFonts w:cs="Times New Roman"/>
          <w:szCs w:val="24"/>
        </w:rPr>
        <w:t>podlaskim</w:t>
      </w:r>
      <w:r>
        <w:rPr>
          <w:rFonts w:cs="Times New Roman"/>
          <w:szCs w:val="24"/>
        </w:rPr>
        <w:t xml:space="preserve"> w 2020 r. przedstawia poniższa tabela</w:t>
      </w:r>
    </w:p>
    <w:p w14:paraId="6B4ADBB7" w14:textId="77777777" w:rsidR="00DB1BC8" w:rsidRDefault="00DB1BC8" w:rsidP="003C1988">
      <w:pPr>
        <w:rPr>
          <w:color w:val="FF0000"/>
          <w:lang w:eastAsia="ar-SA"/>
        </w:rPr>
      </w:pPr>
    </w:p>
    <w:p w14:paraId="31DBFE4E" w14:textId="77777777" w:rsidR="00AC180B" w:rsidRDefault="00AC180B" w:rsidP="003C1988">
      <w:pPr>
        <w:rPr>
          <w:color w:val="FF0000"/>
          <w:lang w:eastAsia="ar-SA"/>
        </w:rPr>
      </w:pPr>
    </w:p>
    <w:p w14:paraId="5FB7D5DE" w14:textId="77777777" w:rsidR="00AC180B" w:rsidRPr="0092226B" w:rsidRDefault="00AC180B" w:rsidP="003C1988">
      <w:pPr>
        <w:rPr>
          <w:color w:val="FF0000"/>
          <w:lang w:eastAsia="ar-SA"/>
        </w:rPr>
        <w:sectPr w:rsidR="00AC180B" w:rsidRPr="0092226B" w:rsidSect="00DB6308">
          <w:pgSz w:w="11900" w:h="16838"/>
          <w:pgMar w:top="1384" w:right="1386" w:bottom="1038" w:left="1380" w:header="0" w:footer="567" w:gutter="0"/>
          <w:cols w:space="0" w:equalWidth="0">
            <w:col w:w="9140"/>
          </w:cols>
          <w:docGrid w:linePitch="360"/>
        </w:sectPr>
      </w:pPr>
    </w:p>
    <w:p w14:paraId="2A949631" w14:textId="2CFC498F" w:rsidR="004D48DD" w:rsidRPr="009476EB" w:rsidRDefault="004D48DD" w:rsidP="004D48DD">
      <w:pPr>
        <w:pStyle w:val="Legenda"/>
        <w:keepNext/>
        <w:rPr>
          <w:rFonts w:cs="Times New Roman"/>
          <w:b/>
          <w:i w:val="0"/>
          <w:color w:val="auto"/>
          <w:sz w:val="24"/>
        </w:rPr>
      </w:pPr>
      <w:bookmarkStart w:id="262" w:name="_Toc49171439"/>
      <w:r w:rsidRPr="009476EB">
        <w:rPr>
          <w:rFonts w:cs="Times New Roman"/>
          <w:b/>
          <w:i w:val="0"/>
          <w:color w:val="auto"/>
          <w:sz w:val="24"/>
        </w:rPr>
        <w:lastRenderedPageBreak/>
        <w:t xml:space="preserve">Tabela </w:t>
      </w:r>
      <w:r w:rsidR="005B094D">
        <w:rPr>
          <w:rFonts w:cs="Times New Roman"/>
          <w:b/>
          <w:i w:val="0"/>
          <w:color w:val="auto"/>
          <w:sz w:val="24"/>
        </w:rPr>
        <w:t>68</w:t>
      </w:r>
      <w:r w:rsidR="00054E88">
        <w:rPr>
          <w:rFonts w:cs="Times New Roman"/>
          <w:b/>
          <w:i w:val="0"/>
          <w:color w:val="auto"/>
          <w:sz w:val="24"/>
        </w:rPr>
        <w:t>.</w:t>
      </w:r>
      <w:r w:rsidRPr="009476EB">
        <w:rPr>
          <w:rFonts w:cs="Times New Roman"/>
          <w:b/>
          <w:i w:val="0"/>
          <w:color w:val="auto"/>
          <w:sz w:val="24"/>
        </w:rPr>
        <w:t xml:space="preserve"> Karta województwa podlaskiego</w:t>
      </w:r>
      <w:bookmarkEnd w:id="262"/>
    </w:p>
    <w:tbl>
      <w:tblPr>
        <w:tblStyle w:val="Tabelasiatki5ciemnaakcent2"/>
        <w:tblpPr w:leftFromText="142" w:rightFromText="142" w:vertAnchor="text" w:horzAnchor="margin" w:tblpXSpec="center" w:tblpY="1"/>
        <w:tblW w:w="14741" w:type="dxa"/>
        <w:tblLayout w:type="fixed"/>
        <w:tblLook w:val="04A0" w:firstRow="1" w:lastRow="0" w:firstColumn="1" w:lastColumn="0" w:noHBand="0" w:noVBand="1"/>
      </w:tblPr>
      <w:tblGrid>
        <w:gridCol w:w="2830"/>
        <w:gridCol w:w="3066"/>
        <w:gridCol w:w="53"/>
        <w:gridCol w:w="2895"/>
        <w:gridCol w:w="790"/>
        <w:gridCol w:w="2158"/>
        <w:gridCol w:w="2949"/>
      </w:tblGrid>
      <w:tr w:rsidR="00DE5711" w:rsidRPr="009476EB" w14:paraId="3AAFCF36" w14:textId="77777777" w:rsidTr="00DE5711">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29764E8A" w14:textId="3D409435" w:rsidR="009476EB" w:rsidRPr="00DE642C" w:rsidRDefault="009476EB" w:rsidP="00D576CB">
            <w:pPr>
              <w:spacing w:line="240" w:lineRule="auto"/>
              <w:jc w:val="center"/>
              <w:rPr>
                <w:rFonts w:cs="Times New Roman"/>
                <w:color w:val="auto"/>
                <w:sz w:val="20"/>
                <w:szCs w:val="20"/>
              </w:rPr>
            </w:pPr>
            <w:r w:rsidRPr="00DE642C">
              <w:rPr>
                <w:rFonts w:cs="Times New Roman"/>
                <w:color w:val="auto"/>
                <w:sz w:val="20"/>
                <w:szCs w:val="20"/>
              </w:rPr>
              <w:t>WOJEWÓDZTWO PODLASKIE</w:t>
            </w:r>
          </w:p>
        </w:tc>
      </w:tr>
      <w:tr w:rsidR="009476EB" w:rsidRPr="009476EB" w14:paraId="7B2643E3" w14:textId="77777777" w:rsidTr="00DE5711">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2152A8E6" w14:textId="5D4C23EE" w:rsidR="00D576CB" w:rsidRPr="00DE642C" w:rsidRDefault="00D576CB" w:rsidP="00D576CB">
            <w:pPr>
              <w:spacing w:line="240" w:lineRule="auto"/>
              <w:jc w:val="center"/>
              <w:rPr>
                <w:rFonts w:cs="Times New Roman"/>
                <w:color w:val="auto"/>
                <w:sz w:val="20"/>
                <w:szCs w:val="20"/>
              </w:rPr>
            </w:pPr>
            <w:r w:rsidRPr="00DE642C">
              <w:rPr>
                <w:rFonts w:cs="Times New Roman"/>
                <w:color w:val="auto"/>
                <w:sz w:val="20"/>
                <w:szCs w:val="20"/>
              </w:rPr>
              <w:t>USŁUGI SPOŁECZNE DLA OSÓB STARSZYCH / INFRASTRUKTURA POMOCY SPOLECZNEJ – DANE ZA 20</w:t>
            </w:r>
            <w:r w:rsidR="005B094D" w:rsidRPr="00DE642C">
              <w:rPr>
                <w:rFonts w:cs="Times New Roman"/>
                <w:color w:val="auto"/>
                <w:sz w:val="20"/>
                <w:szCs w:val="20"/>
              </w:rPr>
              <w:t>20</w:t>
            </w:r>
            <w:r w:rsidRPr="00DE642C">
              <w:rPr>
                <w:rFonts w:cs="Times New Roman"/>
                <w:color w:val="auto"/>
                <w:sz w:val="20"/>
                <w:szCs w:val="20"/>
              </w:rPr>
              <w:t xml:space="preserve"> R.</w:t>
            </w:r>
          </w:p>
        </w:tc>
      </w:tr>
      <w:tr w:rsidR="009476EB" w:rsidRPr="009476EB" w14:paraId="530D1E18" w14:textId="77777777" w:rsidTr="00DE5711">
        <w:trPr>
          <w:trHeight w:val="7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06074E7C" w14:textId="77777777" w:rsidR="00D576CB" w:rsidRPr="00DE642C" w:rsidRDefault="00D576CB" w:rsidP="00D576CB">
            <w:pPr>
              <w:spacing w:line="240" w:lineRule="auto"/>
              <w:rPr>
                <w:rFonts w:eastAsia="Times New Roman" w:cs="Times New Roman"/>
                <w:b w:val="0"/>
                <w:bCs w:val="0"/>
                <w:color w:val="auto"/>
                <w:sz w:val="20"/>
                <w:szCs w:val="20"/>
                <w:lang w:eastAsia="pl-PL"/>
              </w:rPr>
            </w:pPr>
            <w:r w:rsidRPr="00DE642C">
              <w:rPr>
                <w:rFonts w:eastAsia="Times New Roman" w:cs="Times New Roman"/>
                <w:color w:val="auto"/>
                <w:sz w:val="20"/>
                <w:szCs w:val="20"/>
                <w:lang w:eastAsia="pl-PL"/>
              </w:rPr>
              <w:t>Instytucje pomocy społecznej, w tym:</w:t>
            </w:r>
          </w:p>
        </w:tc>
        <w:tc>
          <w:tcPr>
            <w:tcW w:w="3066" w:type="dxa"/>
          </w:tcPr>
          <w:p w14:paraId="615A97A1" w14:textId="77777777" w:rsidR="00D576CB" w:rsidRPr="00DE642C" w:rsidRDefault="00D576CB" w:rsidP="00D576CB">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E642C">
              <w:rPr>
                <w:rFonts w:cs="Times New Roman"/>
                <w:b/>
                <w:sz w:val="20"/>
                <w:szCs w:val="20"/>
              </w:rPr>
              <w:t>Rodzaj placówki</w:t>
            </w:r>
          </w:p>
        </w:tc>
        <w:tc>
          <w:tcPr>
            <w:tcW w:w="2948" w:type="dxa"/>
            <w:gridSpan w:val="2"/>
          </w:tcPr>
          <w:p w14:paraId="6B77D83F" w14:textId="77777777" w:rsidR="00D576CB" w:rsidRPr="00DE642C" w:rsidRDefault="00D576CB" w:rsidP="00D576CB">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E642C">
              <w:rPr>
                <w:rFonts w:cs="Times New Roman"/>
                <w:b/>
                <w:sz w:val="20"/>
                <w:szCs w:val="20"/>
              </w:rPr>
              <w:t>Liczba placówek</w:t>
            </w:r>
          </w:p>
        </w:tc>
        <w:tc>
          <w:tcPr>
            <w:tcW w:w="2948" w:type="dxa"/>
            <w:gridSpan w:val="2"/>
          </w:tcPr>
          <w:p w14:paraId="6FAFE424" w14:textId="77777777" w:rsidR="00D576CB" w:rsidRPr="00DE642C" w:rsidRDefault="00D576CB" w:rsidP="00D576CB">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E642C">
              <w:rPr>
                <w:rFonts w:cs="Times New Roman"/>
                <w:b/>
                <w:sz w:val="20"/>
                <w:szCs w:val="20"/>
              </w:rPr>
              <w:t>Liczba miejsc dla osób starszych</w:t>
            </w:r>
          </w:p>
        </w:tc>
        <w:tc>
          <w:tcPr>
            <w:tcW w:w="2949" w:type="dxa"/>
          </w:tcPr>
          <w:p w14:paraId="49D031A3" w14:textId="77777777" w:rsidR="00D576CB" w:rsidRPr="00DE642C" w:rsidRDefault="00D576CB" w:rsidP="00D576CB">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Liczba korzystających osób starszych</w:t>
            </w:r>
          </w:p>
        </w:tc>
      </w:tr>
      <w:tr w:rsidR="008E1D2A" w:rsidRPr="009476EB" w14:paraId="2D613E27" w14:textId="77777777" w:rsidTr="00DE5711">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ABE93A7" w14:textId="77777777" w:rsidR="008E1D2A" w:rsidRPr="00DE642C" w:rsidRDefault="008E1D2A" w:rsidP="008E1D2A">
            <w:pPr>
              <w:spacing w:line="240" w:lineRule="auto"/>
              <w:rPr>
                <w:rFonts w:eastAsia="Times New Roman" w:cs="Times New Roman"/>
                <w:color w:val="auto"/>
                <w:sz w:val="20"/>
                <w:szCs w:val="20"/>
                <w:lang w:eastAsia="pl-PL"/>
              </w:rPr>
            </w:pPr>
          </w:p>
        </w:tc>
        <w:tc>
          <w:tcPr>
            <w:tcW w:w="3066" w:type="dxa"/>
          </w:tcPr>
          <w:p w14:paraId="3C333A2C" w14:textId="77777777" w:rsidR="008E1D2A" w:rsidRPr="00DE642C" w:rsidRDefault="008E1D2A" w:rsidP="008E1D2A">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Środowiskowe Domy Samopomocy</w:t>
            </w:r>
          </w:p>
        </w:tc>
        <w:tc>
          <w:tcPr>
            <w:tcW w:w="2948" w:type="dxa"/>
            <w:gridSpan w:val="2"/>
          </w:tcPr>
          <w:p w14:paraId="144B6EEC" w14:textId="2D2A1C5D"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24</w:t>
            </w:r>
          </w:p>
        </w:tc>
        <w:tc>
          <w:tcPr>
            <w:tcW w:w="2948" w:type="dxa"/>
            <w:gridSpan w:val="2"/>
          </w:tcPr>
          <w:p w14:paraId="2CEB0B68" w14:textId="5D77B80C"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918 (liczba wszystkich miejsc)</w:t>
            </w:r>
          </w:p>
        </w:tc>
        <w:tc>
          <w:tcPr>
            <w:tcW w:w="2949" w:type="dxa"/>
          </w:tcPr>
          <w:p w14:paraId="50216D0C" w14:textId="2BCDC616"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108</w:t>
            </w:r>
          </w:p>
        </w:tc>
      </w:tr>
      <w:tr w:rsidR="008E1D2A" w:rsidRPr="009476EB" w14:paraId="5C0B01EF" w14:textId="77777777" w:rsidTr="00DE5711">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69A1B03" w14:textId="77777777" w:rsidR="008E1D2A" w:rsidRPr="00DE642C" w:rsidRDefault="008E1D2A" w:rsidP="008E1D2A">
            <w:pPr>
              <w:spacing w:line="240" w:lineRule="auto"/>
              <w:rPr>
                <w:rFonts w:eastAsia="Times New Roman" w:cs="Times New Roman"/>
                <w:color w:val="auto"/>
                <w:sz w:val="20"/>
                <w:szCs w:val="20"/>
                <w:lang w:eastAsia="pl-PL"/>
              </w:rPr>
            </w:pPr>
          </w:p>
        </w:tc>
        <w:tc>
          <w:tcPr>
            <w:tcW w:w="3066" w:type="dxa"/>
          </w:tcPr>
          <w:p w14:paraId="610B0872" w14:textId="77777777" w:rsidR="008E1D2A" w:rsidRPr="00DE642C" w:rsidRDefault="008E1D2A" w:rsidP="008E1D2A">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Dzienne Domy Pomocy</w:t>
            </w:r>
          </w:p>
        </w:tc>
        <w:tc>
          <w:tcPr>
            <w:tcW w:w="2948" w:type="dxa"/>
            <w:gridSpan w:val="2"/>
          </w:tcPr>
          <w:p w14:paraId="7F4FECC1" w14:textId="7815E3A8"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2</w:t>
            </w:r>
          </w:p>
        </w:tc>
        <w:tc>
          <w:tcPr>
            <w:tcW w:w="2948" w:type="dxa"/>
            <w:gridSpan w:val="2"/>
          </w:tcPr>
          <w:p w14:paraId="383AA52B" w14:textId="716B4356"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70 (liczba wszystkich miejsc)</w:t>
            </w:r>
          </w:p>
        </w:tc>
        <w:tc>
          <w:tcPr>
            <w:tcW w:w="2949" w:type="dxa"/>
          </w:tcPr>
          <w:p w14:paraId="3CDF429B" w14:textId="053980ED"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59</w:t>
            </w:r>
          </w:p>
        </w:tc>
      </w:tr>
      <w:tr w:rsidR="008E1D2A" w:rsidRPr="009476EB" w14:paraId="67EDF0C7" w14:textId="77777777" w:rsidTr="00DE5711">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D560E8F" w14:textId="77777777" w:rsidR="008E1D2A" w:rsidRPr="00DE642C" w:rsidRDefault="008E1D2A" w:rsidP="008E1D2A">
            <w:pPr>
              <w:spacing w:line="240" w:lineRule="auto"/>
              <w:rPr>
                <w:rFonts w:eastAsia="Times New Roman" w:cs="Times New Roman"/>
                <w:color w:val="auto"/>
                <w:sz w:val="20"/>
                <w:szCs w:val="20"/>
                <w:lang w:eastAsia="pl-PL"/>
              </w:rPr>
            </w:pPr>
          </w:p>
        </w:tc>
        <w:tc>
          <w:tcPr>
            <w:tcW w:w="3066" w:type="dxa"/>
          </w:tcPr>
          <w:p w14:paraId="59794A88" w14:textId="77777777" w:rsidR="008E1D2A" w:rsidRPr="00DE642C" w:rsidRDefault="008E1D2A" w:rsidP="008E1D2A">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Noclegownie, schroniska i domy dla osób bezdomnych</w:t>
            </w:r>
          </w:p>
        </w:tc>
        <w:tc>
          <w:tcPr>
            <w:tcW w:w="2948" w:type="dxa"/>
            <w:gridSpan w:val="2"/>
          </w:tcPr>
          <w:p w14:paraId="1D2D214B" w14:textId="54165A0C"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12 ( w tym 8 noclegowni, 3 schroniska, 1 schronisko z usługami opiekuńczymi)</w:t>
            </w:r>
          </w:p>
        </w:tc>
        <w:tc>
          <w:tcPr>
            <w:tcW w:w="2948" w:type="dxa"/>
            <w:gridSpan w:val="2"/>
          </w:tcPr>
          <w:p w14:paraId="67630493" w14:textId="4C36BE17"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187 (liczba wszystkich miejsc, w tym 151 miejsc - noclegownie oraz 36 miejsc schroniska)</w:t>
            </w:r>
          </w:p>
        </w:tc>
        <w:tc>
          <w:tcPr>
            <w:tcW w:w="2949" w:type="dxa"/>
          </w:tcPr>
          <w:p w14:paraId="5CB35C6F" w14:textId="5EB717C4"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140</w:t>
            </w:r>
          </w:p>
        </w:tc>
      </w:tr>
      <w:tr w:rsidR="008E1D2A" w:rsidRPr="009476EB" w14:paraId="7ED5261B" w14:textId="77777777" w:rsidTr="00DE5711">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E3AF60F" w14:textId="77777777" w:rsidR="008E1D2A" w:rsidRPr="00DE642C" w:rsidRDefault="008E1D2A" w:rsidP="008E1D2A">
            <w:pPr>
              <w:spacing w:line="240" w:lineRule="auto"/>
              <w:rPr>
                <w:rFonts w:eastAsia="Times New Roman" w:cs="Times New Roman"/>
                <w:color w:val="auto"/>
                <w:sz w:val="20"/>
                <w:szCs w:val="20"/>
                <w:lang w:eastAsia="pl-PL"/>
              </w:rPr>
            </w:pPr>
          </w:p>
        </w:tc>
        <w:tc>
          <w:tcPr>
            <w:tcW w:w="3066" w:type="dxa"/>
          </w:tcPr>
          <w:p w14:paraId="26FE6947" w14:textId="77777777" w:rsidR="008E1D2A" w:rsidRPr="00DE642C" w:rsidRDefault="008E1D2A" w:rsidP="008E1D2A">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Ogrzewalnie</w:t>
            </w:r>
          </w:p>
        </w:tc>
        <w:tc>
          <w:tcPr>
            <w:tcW w:w="2948" w:type="dxa"/>
            <w:gridSpan w:val="2"/>
          </w:tcPr>
          <w:p w14:paraId="09199BBE" w14:textId="34C3B959"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3</w:t>
            </w:r>
          </w:p>
        </w:tc>
        <w:tc>
          <w:tcPr>
            <w:tcW w:w="2948" w:type="dxa"/>
            <w:gridSpan w:val="2"/>
          </w:tcPr>
          <w:p w14:paraId="36787E6C" w14:textId="4B45B72A"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58 (liczba wszystkich miejsc)</w:t>
            </w:r>
          </w:p>
        </w:tc>
        <w:tc>
          <w:tcPr>
            <w:tcW w:w="2949" w:type="dxa"/>
          </w:tcPr>
          <w:p w14:paraId="4796CA21" w14:textId="63DC0AEF"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279</w:t>
            </w:r>
          </w:p>
        </w:tc>
      </w:tr>
      <w:tr w:rsidR="008E1D2A" w:rsidRPr="009476EB" w14:paraId="044C496A" w14:textId="77777777" w:rsidTr="00DE5711">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223DD02" w14:textId="77777777" w:rsidR="008E1D2A" w:rsidRPr="00DE642C" w:rsidRDefault="008E1D2A" w:rsidP="008E1D2A">
            <w:pPr>
              <w:spacing w:line="240" w:lineRule="auto"/>
              <w:rPr>
                <w:rFonts w:eastAsia="Times New Roman" w:cs="Times New Roman"/>
                <w:color w:val="auto"/>
                <w:sz w:val="20"/>
                <w:szCs w:val="20"/>
                <w:lang w:eastAsia="pl-PL"/>
              </w:rPr>
            </w:pPr>
          </w:p>
        </w:tc>
        <w:tc>
          <w:tcPr>
            <w:tcW w:w="3066" w:type="dxa"/>
          </w:tcPr>
          <w:p w14:paraId="44E271AA" w14:textId="77777777" w:rsidR="008E1D2A" w:rsidRPr="00DE642C" w:rsidRDefault="008E1D2A" w:rsidP="008E1D2A">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Kluby Samopomocy</w:t>
            </w:r>
          </w:p>
        </w:tc>
        <w:tc>
          <w:tcPr>
            <w:tcW w:w="2948" w:type="dxa"/>
            <w:gridSpan w:val="2"/>
          </w:tcPr>
          <w:p w14:paraId="3E2F5BBA" w14:textId="073DC3BD"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w:t>
            </w:r>
          </w:p>
        </w:tc>
        <w:tc>
          <w:tcPr>
            <w:tcW w:w="2948" w:type="dxa"/>
            <w:gridSpan w:val="2"/>
          </w:tcPr>
          <w:p w14:paraId="39DEC7A9" w14:textId="55833730"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25 (liczba wszystkich miejsc)</w:t>
            </w:r>
          </w:p>
        </w:tc>
        <w:tc>
          <w:tcPr>
            <w:tcW w:w="2949" w:type="dxa"/>
          </w:tcPr>
          <w:p w14:paraId="329E771C" w14:textId="789138BA"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368</w:t>
            </w:r>
          </w:p>
        </w:tc>
      </w:tr>
      <w:tr w:rsidR="008E1D2A" w:rsidRPr="009476EB" w14:paraId="3F6BBCAF" w14:textId="77777777" w:rsidTr="00DE5711">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DA90B9F" w14:textId="77777777" w:rsidR="008E1D2A" w:rsidRPr="00DE642C" w:rsidRDefault="008E1D2A" w:rsidP="008E1D2A">
            <w:pPr>
              <w:spacing w:line="240" w:lineRule="auto"/>
              <w:rPr>
                <w:rFonts w:eastAsia="Times New Roman" w:cs="Times New Roman"/>
                <w:color w:val="auto"/>
                <w:sz w:val="20"/>
                <w:szCs w:val="20"/>
                <w:lang w:eastAsia="pl-PL"/>
              </w:rPr>
            </w:pPr>
          </w:p>
        </w:tc>
        <w:tc>
          <w:tcPr>
            <w:tcW w:w="3066" w:type="dxa"/>
          </w:tcPr>
          <w:p w14:paraId="592FC1BB" w14:textId="77777777" w:rsidR="008E1D2A" w:rsidRPr="00DE642C" w:rsidRDefault="008E1D2A" w:rsidP="008E1D2A">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eastAsia="Calibri" w:cs="Times New Roman"/>
                <w:sz w:val="20"/>
                <w:szCs w:val="20"/>
              </w:rPr>
              <w:t>Placówki zapewniające całodobową opiekę osobom niepełnosprawnym, przewlekle chorym lub osobom w podeszłym wieku</w:t>
            </w:r>
          </w:p>
        </w:tc>
        <w:tc>
          <w:tcPr>
            <w:tcW w:w="2948" w:type="dxa"/>
            <w:gridSpan w:val="2"/>
          </w:tcPr>
          <w:p w14:paraId="1827FD3A" w14:textId="5888233F"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22</w:t>
            </w:r>
          </w:p>
        </w:tc>
        <w:tc>
          <w:tcPr>
            <w:tcW w:w="2948" w:type="dxa"/>
            <w:gridSpan w:val="2"/>
          </w:tcPr>
          <w:p w14:paraId="512A48D3" w14:textId="6789F99B"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815 (liczba wszystkich miejsc z tego</w:t>
            </w:r>
          </w:p>
        </w:tc>
        <w:tc>
          <w:tcPr>
            <w:tcW w:w="2949" w:type="dxa"/>
          </w:tcPr>
          <w:p w14:paraId="5E38ADAD" w14:textId="42DBF6A1"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22</w:t>
            </w:r>
          </w:p>
        </w:tc>
      </w:tr>
      <w:tr w:rsidR="008E1D2A" w:rsidRPr="009476EB" w14:paraId="15E33334" w14:textId="77777777" w:rsidTr="00DE5711">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3326290" w14:textId="77777777" w:rsidR="008E1D2A" w:rsidRPr="00DE642C" w:rsidRDefault="008E1D2A" w:rsidP="008E1D2A">
            <w:pPr>
              <w:spacing w:line="240" w:lineRule="auto"/>
              <w:rPr>
                <w:rFonts w:eastAsia="Times New Roman" w:cs="Times New Roman"/>
                <w:color w:val="auto"/>
                <w:sz w:val="20"/>
                <w:szCs w:val="20"/>
                <w:lang w:eastAsia="pl-PL"/>
              </w:rPr>
            </w:pPr>
          </w:p>
        </w:tc>
        <w:tc>
          <w:tcPr>
            <w:tcW w:w="3066" w:type="dxa"/>
          </w:tcPr>
          <w:p w14:paraId="5EFBF1BF" w14:textId="77777777" w:rsidR="008E1D2A" w:rsidRPr="00DE642C" w:rsidRDefault="008E1D2A" w:rsidP="008E1D2A">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Domy Pomocy Społecznej</w:t>
            </w:r>
          </w:p>
        </w:tc>
        <w:tc>
          <w:tcPr>
            <w:tcW w:w="2948" w:type="dxa"/>
            <w:gridSpan w:val="2"/>
          </w:tcPr>
          <w:p w14:paraId="02761883" w14:textId="151BBE5D"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23</w:t>
            </w:r>
          </w:p>
        </w:tc>
        <w:tc>
          <w:tcPr>
            <w:tcW w:w="2948" w:type="dxa"/>
            <w:gridSpan w:val="2"/>
          </w:tcPr>
          <w:p w14:paraId="07971131" w14:textId="369FD10D"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2.378 (liczba wszystkich miejsc)</w:t>
            </w:r>
          </w:p>
        </w:tc>
        <w:tc>
          <w:tcPr>
            <w:tcW w:w="2949" w:type="dxa"/>
          </w:tcPr>
          <w:p w14:paraId="497B2FBD" w14:textId="6D9908C3"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1236</w:t>
            </w:r>
          </w:p>
        </w:tc>
      </w:tr>
      <w:tr w:rsidR="009476EB" w:rsidRPr="009476EB" w14:paraId="4C48314E" w14:textId="77777777" w:rsidTr="00DE5711">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8301C5F" w14:textId="77777777" w:rsidR="00D576CB" w:rsidRPr="00DE642C" w:rsidRDefault="00D576CB" w:rsidP="00D576CB">
            <w:pPr>
              <w:spacing w:line="240" w:lineRule="auto"/>
              <w:rPr>
                <w:rFonts w:eastAsia="Times New Roman" w:cs="Times New Roman"/>
                <w:color w:val="auto"/>
                <w:sz w:val="20"/>
                <w:szCs w:val="20"/>
                <w:lang w:eastAsia="pl-PL"/>
              </w:rPr>
            </w:pPr>
          </w:p>
        </w:tc>
        <w:tc>
          <w:tcPr>
            <w:tcW w:w="3066" w:type="dxa"/>
          </w:tcPr>
          <w:p w14:paraId="78BD311D" w14:textId="77777777" w:rsidR="00D576CB" w:rsidRPr="00DE642C" w:rsidRDefault="00D576CB" w:rsidP="00D576CB">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Mieszkania chronione ogółem</w:t>
            </w:r>
          </w:p>
        </w:tc>
        <w:tc>
          <w:tcPr>
            <w:tcW w:w="2948" w:type="dxa"/>
            <w:gridSpan w:val="2"/>
          </w:tcPr>
          <w:p w14:paraId="0D12261E" w14:textId="77777777" w:rsidR="00D576CB" w:rsidRPr="00DE642C" w:rsidRDefault="00D576CB" w:rsidP="00D576CB">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19</w:t>
            </w:r>
          </w:p>
        </w:tc>
        <w:tc>
          <w:tcPr>
            <w:tcW w:w="2948" w:type="dxa"/>
            <w:gridSpan w:val="2"/>
          </w:tcPr>
          <w:p w14:paraId="0C4CF4B0" w14:textId="77777777" w:rsidR="00D576CB" w:rsidRPr="00DE642C" w:rsidRDefault="00D576CB" w:rsidP="00D576CB">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55 (liczba wszystkich miejsc)</w:t>
            </w:r>
          </w:p>
        </w:tc>
        <w:tc>
          <w:tcPr>
            <w:tcW w:w="2949" w:type="dxa"/>
          </w:tcPr>
          <w:p w14:paraId="7F53C8B8" w14:textId="645C4E4C" w:rsidR="00D576CB" w:rsidRPr="00DE642C" w:rsidRDefault="008E1D2A" w:rsidP="00D576CB">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2</w:t>
            </w:r>
          </w:p>
        </w:tc>
      </w:tr>
      <w:tr w:rsidR="008E1D2A" w:rsidRPr="009476EB" w14:paraId="53F33B3E" w14:textId="77777777" w:rsidTr="00DE5711">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8985DEC" w14:textId="77777777" w:rsidR="008E1D2A" w:rsidRPr="00DE642C" w:rsidRDefault="008E1D2A" w:rsidP="008E1D2A">
            <w:pPr>
              <w:spacing w:line="240" w:lineRule="auto"/>
              <w:rPr>
                <w:rFonts w:eastAsia="Times New Roman" w:cs="Times New Roman"/>
                <w:color w:val="auto"/>
                <w:sz w:val="20"/>
                <w:szCs w:val="20"/>
                <w:lang w:eastAsia="pl-PL"/>
              </w:rPr>
            </w:pPr>
          </w:p>
        </w:tc>
        <w:tc>
          <w:tcPr>
            <w:tcW w:w="3066" w:type="dxa"/>
          </w:tcPr>
          <w:p w14:paraId="5857DF61" w14:textId="77777777" w:rsidR="008E1D2A" w:rsidRPr="00DE642C" w:rsidRDefault="008E1D2A" w:rsidP="008E1D2A">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Ośrodki Interwencji Kryzysowej ogółem</w:t>
            </w:r>
          </w:p>
        </w:tc>
        <w:tc>
          <w:tcPr>
            <w:tcW w:w="2948" w:type="dxa"/>
            <w:gridSpan w:val="2"/>
          </w:tcPr>
          <w:p w14:paraId="3E21725E" w14:textId="76AC2E49"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5</w:t>
            </w:r>
          </w:p>
        </w:tc>
        <w:tc>
          <w:tcPr>
            <w:tcW w:w="2948" w:type="dxa"/>
            <w:gridSpan w:val="2"/>
          </w:tcPr>
          <w:p w14:paraId="242D49BB" w14:textId="1C256A07"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41 (liczba wszystkich miejsc)</w:t>
            </w:r>
          </w:p>
        </w:tc>
        <w:tc>
          <w:tcPr>
            <w:tcW w:w="2949" w:type="dxa"/>
          </w:tcPr>
          <w:p w14:paraId="78724CA5" w14:textId="4A311457"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w:t>
            </w:r>
          </w:p>
        </w:tc>
      </w:tr>
      <w:tr w:rsidR="008E1D2A" w:rsidRPr="009476EB" w14:paraId="37B40A69" w14:textId="77777777" w:rsidTr="00DE5711">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534A98B" w14:textId="77777777" w:rsidR="008E1D2A" w:rsidRPr="00DE642C" w:rsidRDefault="008E1D2A" w:rsidP="008E1D2A">
            <w:pPr>
              <w:spacing w:line="240" w:lineRule="auto"/>
              <w:rPr>
                <w:rFonts w:eastAsia="Times New Roman" w:cs="Times New Roman"/>
                <w:color w:val="auto"/>
                <w:sz w:val="20"/>
                <w:szCs w:val="20"/>
                <w:lang w:eastAsia="pl-PL"/>
              </w:rPr>
            </w:pPr>
          </w:p>
        </w:tc>
        <w:tc>
          <w:tcPr>
            <w:tcW w:w="3066" w:type="dxa"/>
          </w:tcPr>
          <w:p w14:paraId="4059022D" w14:textId="77777777" w:rsidR="008E1D2A" w:rsidRPr="00DE642C" w:rsidRDefault="008E1D2A" w:rsidP="008E1D2A">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Jednostki specjalistycznego poradnictwa</w:t>
            </w:r>
          </w:p>
        </w:tc>
        <w:tc>
          <w:tcPr>
            <w:tcW w:w="2948" w:type="dxa"/>
            <w:gridSpan w:val="2"/>
          </w:tcPr>
          <w:p w14:paraId="31B55988" w14:textId="322281FF"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3</w:t>
            </w:r>
          </w:p>
        </w:tc>
        <w:tc>
          <w:tcPr>
            <w:tcW w:w="2948" w:type="dxa"/>
            <w:gridSpan w:val="2"/>
          </w:tcPr>
          <w:p w14:paraId="15388070" w14:textId="21C887E3"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184 (liczba wszystkich miejsc)</w:t>
            </w:r>
          </w:p>
        </w:tc>
        <w:tc>
          <w:tcPr>
            <w:tcW w:w="2949" w:type="dxa"/>
          </w:tcPr>
          <w:p w14:paraId="33A40DD9" w14:textId="3AC2EBEC"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35</w:t>
            </w:r>
          </w:p>
        </w:tc>
      </w:tr>
      <w:tr w:rsidR="008E1D2A" w:rsidRPr="009476EB" w14:paraId="3263A8C4" w14:textId="77777777" w:rsidTr="00DE5711">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7C8402C" w14:textId="77777777" w:rsidR="008E1D2A" w:rsidRPr="00DE642C" w:rsidRDefault="008E1D2A" w:rsidP="008E1D2A">
            <w:pPr>
              <w:spacing w:line="240" w:lineRule="auto"/>
              <w:rPr>
                <w:rFonts w:eastAsia="Times New Roman" w:cs="Times New Roman"/>
                <w:sz w:val="20"/>
                <w:szCs w:val="20"/>
                <w:lang w:eastAsia="pl-PL"/>
              </w:rPr>
            </w:pPr>
          </w:p>
        </w:tc>
        <w:tc>
          <w:tcPr>
            <w:tcW w:w="3066" w:type="dxa"/>
          </w:tcPr>
          <w:p w14:paraId="78529832" w14:textId="6F9B2632" w:rsidR="008E1D2A" w:rsidRPr="00DE642C" w:rsidRDefault="008E1D2A" w:rsidP="008E1D2A">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Placówki wsparcia dziennego</w:t>
            </w:r>
          </w:p>
        </w:tc>
        <w:tc>
          <w:tcPr>
            <w:tcW w:w="2948" w:type="dxa"/>
            <w:gridSpan w:val="2"/>
          </w:tcPr>
          <w:p w14:paraId="13A5A98F" w14:textId="62E19945"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52 (ogółem)</w:t>
            </w:r>
          </w:p>
        </w:tc>
        <w:tc>
          <w:tcPr>
            <w:tcW w:w="2948" w:type="dxa"/>
            <w:gridSpan w:val="2"/>
          </w:tcPr>
          <w:p w14:paraId="55667BEF" w14:textId="03C1D26C"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1.048 (ogółem)</w:t>
            </w:r>
          </w:p>
        </w:tc>
        <w:tc>
          <w:tcPr>
            <w:tcW w:w="2949" w:type="dxa"/>
          </w:tcPr>
          <w:p w14:paraId="57AD6760" w14:textId="3DB2315B"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820</w:t>
            </w:r>
          </w:p>
        </w:tc>
      </w:tr>
      <w:tr w:rsidR="009476EB" w:rsidRPr="009476EB" w14:paraId="662CEDCE" w14:textId="77777777" w:rsidTr="00DE5711">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1002A0D" w14:textId="77777777" w:rsidR="00D576CB" w:rsidRPr="00DE642C" w:rsidRDefault="00D576CB" w:rsidP="00D576CB">
            <w:pPr>
              <w:spacing w:line="240" w:lineRule="auto"/>
              <w:rPr>
                <w:rFonts w:eastAsia="Times New Roman" w:cs="Times New Roman"/>
                <w:color w:val="auto"/>
                <w:sz w:val="20"/>
                <w:szCs w:val="20"/>
                <w:lang w:eastAsia="pl-PL"/>
              </w:rPr>
            </w:pPr>
          </w:p>
        </w:tc>
        <w:tc>
          <w:tcPr>
            <w:tcW w:w="3066" w:type="dxa"/>
          </w:tcPr>
          <w:p w14:paraId="4E59E846" w14:textId="77777777" w:rsidR="00D576CB" w:rsidRPr="00DE642C" w:rsidRDefault="00D576CB" w:rsidP="00D576CB">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Placówki Senior+, w tym:</w:t>
            </w:r>
          </w:p>
        </w:tc>
        <w:tc>
          <w:tcPr>
            <w:tcW w:w="8845" w:type="dxa"/>
            <w:gridSpan w:val="5"/>
          </w:tcPr>
          <w:p w14:paraId="6A309E11" w14:textId="77777777" w:rsidR="00D576CB" w:rsidRPr="00DE642C" w:rsidRDefault="00D576CB" w:rsidP="00D576CB">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064E07" w:rsidRPr="009476EB" w14:paraId="0F9E7A0A" w14:textId="77777777" w:rsidTr="00064E0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4ABECCC" w14:textId="77777777" w:rsidR="00064E07" w:rsidRPr="00DE642C" w:rsidRDefault="00064E07" w:rsidP="008E1D2A">
            <w:pPr>
              <w:spacing w:line="240" w:lineRule="auto"/>
              <w:rPr>
                <w:rFonts w:eastAsia="Times New Roman" w:cs="Times New Roman"/>
                <w:color w:val="auto"/>
                <w:sz w:val="20"/>
                <w:szCs w:val="20"/>
                <w:lang w:eastAsia="pl-PL"/>
              </w:rPr>
            </w:pPr>
          </w:p>
        </w:tc>
        <w:tc>
          <w:tcPr>
            <w:tcW w:w="3066" w:type="dxa"/>
          </w:tcPr>
          <w:p w14:paraId="32A83CB4" w14:textId="77777777" w:rsidR="00064E07" w:rsidRPr="00DE642C" w:rsidRDefault="00064E07" w:rsidP="008E1D2A">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Domy Dziennego Pobytu</w:t>
            </w:r>
          </w:p>
        </w:tc>
        <w:tc>
          <w:tcPr>
            <w:tcW w:w="2948" w:type="dxa"/>
            <w:gridSpan w:val="2"/>
          </w:tcPr>
          <w:p w14:paraId="7B2DA31F" w14:textId="459DF6CA" w:rsidR="00064E07" w:rsidRPr="00DE642C" w:rsidRDefault="00064E07"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4</w:t>
            </w:r>
          </w:p>
        </w:tc>
        <w:tc>
          <w:tcPr>
            <w:tcW w:w="2948" w:type="dxa"/>
            <w:gridSpan w:val="2"/>
          </w:tcPr>
          <w:p w14:paraId="20D7E562" w14:textId="36A9A5B0" w:rsidR="00064E07" w:rsidRPr="00DE642C" w:rsidRDefault="00064E07"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sz w:val="20"/>
                <w:szCs w:val="20"/>
              </w:rPr>
              <w:t>125</w:t>
            </w:r>
          </w:p>
        </w:tc>
        <w:tc>
          <w:tcPr>
            <w:tcW w:w="2949" w:type="dxa"/>
            <w:vMerge w:val="restart"/>
            <w:vAlign w:val="center"/>
          </w:tcPr>
          <w:p w14:paraId="1587A3AA" w14:textId="6D4EB8EF" w:rsidR="00064E07" w:rsidRPr="00064E07" w:rsidRDefault="00064E07" w:rsidP="00064E07">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820</w:t>
            </w:r>
          </w:p>
        </w:tc>
      </w:tr>
      <w:tr w:rsidR="00064E07" w:rsidRPr="009476EB" w14:paraId="2F7DFF0E" w14:textId="77777777" w:rsidTr="00064E07">
        <w:trPr>
          <w:trHeight w:val="85"/>
        </w:trPr>
        <w:tc>
          <w:tcPr>
            <w:cnfStyle w:val="001000000000" w:firstRow="0" w:lastRow="0" w:firstColumn="1" w:lastColumn="0" w:oddVBand="0" w:evenVBand="0" w:oddHBand="0" w:evenHBand="0" w:firstRowFirstColumn="0" w:firstRowLastColumn="0" w:lastRowFirstColumn="0" w:lastRowLastColumn="0"/>
            <w:tcW w:w="2830" w:type="dxa"/>
            <w:vMerge/>
          </w:tcPr>
          <w:p w14:paraId="4DBC9DD6" w14:textId="77777777" w:rsidR="00064E07" w:rsidRPr="00DE642C" w:rsidRDefault="00064E07" w:rsidP="008E1D2A">
            <w:pPr>
              <w:spacing w:line="240" w:lineRule="auto"/>
              <w:rPr>
                <w:rFonts w:eastAsia="Times New Roman" w:cs="Times New Roman"/>
                <w:color w:val="auto"/>
                <w:sz w:val="20"/>
                <w:szCs w:val="20"/>
                <w:lang w:eastAsia="pl-PL"/>
              </w:rPr>
            </w:pPr>
          </w:p>
        </w:tc>
        <w:tc>
          <w:tcPr>
            <w:tcW w:w="3066" w:type="dxa"/>
          </w:tcPr>
          <w:p w14:paraId="57FFEA2A" w14:textId="77777777" w:rsidR="00064E07" w:rsidRPr="00DE642C" w:rsidRDefault="00064E07" w:rsidP="008E1D2A">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Kluby Senior+</w:t>
            </w:r>
          </w:p>
        </w:tc>
        <w:tc>
          <w:tcPr>
            <w:tcW w:w="2948" w:type="dxa"/>
            <w:gridSpan w:val="2"/>
          </w:tcPr>
          <w:p w14:paraId="0FC73BC8" w14:textId="70E46BE7" w:rsidR="00064E07" w:rsidRPr="00DE642C" w:rsidRDefault="00064E07"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sz w:val="20"/>
                <w:szCs w:val="20"/>
              </w:rPr>
              <w:t>42</w:t>
            </w:r>
          </w:p>
        </w:tc>
        <w:tc>
          <w:tcPr>
            <w:tcW w:w="2948" w:type="dxa"/>
            <w:gridSpan w:val="2"/>
          </w:tcPr>
          <w:p w14:paraId="694D180F" w14:textId="0F4B6419" w:rsidR="00064E07" w:rsidRPr="00DE642C" w:rsidRDefault="00064E07"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sz w:val="20"/>
                <w:szCs w:val="20"/>
              </w:rPr>
              <w:t>785</w:t>
            </w:r>
          </w:p>
        </w:tc>
        <w:tc>
          <w:tcPr>
            <w:tcW w:w="2949" w:type="dxa"/>
            <w:vMerge/>
            <w:vAlign w:val="center"/>
          </w:tcPr>
          <w:p w14:paraId="4DA0DE53" w14:textId="1448770F" w:rsidR="00064E07" w:rsidRPr="00DE642C" w:rsidRDefault="00064E07" w:rsidP="00064E07">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9476EB" w:rsidRPr="009476EB" w14:paraId="531195D5" w14:textId="77777777" w:rsidTr="00DE5711">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38A304C9" w14:textId="77777777" w:rsidR="00D576CB" w:rsidRPr="00DE642C" w:rsidRDefault="00D576CB" w:rsidP="00D576CB">
            <w:pPr>
              <w:spacing w:line="240" w:lineRule="auto"/>
              <w:rPr>
                <w:rFonts w:eastAsia="Times New Roman" w:cs="Times New Roman"/>
                <w:b w:val="0"/>
                <w:bCs w:val="0"/>
                <w:color w:val="auto"/>
                <w:sz w:val="20"/>
                <w:szCs w:val="20"/>
                <w:lang w:eastAsia="pl-PL"/>
              </w:rPr>
            </w:pPr>
            <w:r w:rsidRPr="00DE642C">
              <w:rPr>
                <w:rFonts w:eastAsia="Times New Roman" w:cs="Times New Roman"/>
                <w:color w:val="auto"/>
                <w:sz w:val="20"/>
                <w:szCs w:val="20"/>
                <w:lang w:eastAsia="pl-PL"/>
              </w:rPr>
              <w:t>Usługi świadczone osobom starszym</w:t>
            </w:r>
          </w:p>
        </w:tc>
        <w:tc>
          <w:tcPr>
            <w:tcW w:w="3119" w:type="dxa"/>
            <w:gridSpan w:val="2"/>
          </w:tcPr>
          <w:p w14:paraId="60FB7087" w14:textId="77777777" w:rsidR="00D576CB" w:rsidRPr="00DE642C" w:rsidRDefault="00D576CB" w:rsidP="00D576CB">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Rodzaj usług</w:t>
            </w:r>
          </w:p>
        </w:tc>
        <w:tc>
          <w:tcPr>
            <w:tcW w:w="3685" w:type="dxa"/>
            <w:gridSpan w:val="2"/>
          </w:tcPr>
          <w:p w14:paraId="2918DF42" w14:textId="77777777" w:rsidR="00D576CB" w:rsidRPr="00DE642C" w:rsidRDefault="00D576CB" w:rsidP="00D576CB">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Liczba osób starszych objętych pomocą</w:t>
            </w:r>
          </w:p>
        </w:tc>
        <w:tc>
          <w:tcPr>
            <w:tcW w:w="5107" w:type="dxa"/>
            <w:gridSpan w:val="2"/>
          </w:tcPr>
          <w:p w14:paraId="3A39B640" w14:textId="77777777" w:rsidR="00D576CB" w:rsidRPr="00DE642C" w:rsidRDefault="00D576CB" w:rsidP="00D576CB">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Wysokość środków przeznaczonych na usługi</w:t>
            </w:r>
          </w:p>
        </w:tc>
      </w:tr>
      <w:tr w:rsidR="008E1D2A" w:rsidRPr="009476EB" w14:paraId="364D969F" w14:textId="77777777" w:rsidTr="00DE5711">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64ADEB63" w14:textId="77777777" w:rsidR="008E1D2A" w:rsidRPr="00DE642C" w:rsidRDefault="008E1D2A" w:rsidP="008E1D2A">
            <w:pPr>
              <w:spacing w:line="240" w:lineRule="auto"/>
              <w:rPr>
                <w:rFonts w:eastAsia="Times New Roman" w:cs="Times New Roman"/>
                <w:b w:val="0"/>
                <w:bCs w:val="0"/>
                <w:color w:val="auto"/>
                <w:sz w:val="20"/>
                <w:szCs w:val="20"/>
                <w:lang w:eastAsia="pl-PL"/>
              </w:rPr>
            </w:pPr>
          </w:p>
        </w:tc>
        <w:tc>
          <w:tcPr>
            <w:tcW w:w="3119" w:type="dxa"/>
            <w:gridSpan w:val="2"/>
          </w:tcPr>
          <w:p w14:paraId="7F2C1B17" w14:textId="77777777" w:rsidR="008E1D2A" w:rsidRPr="00DE642C" w:rsidRDefault="008E1D2A" w:rsidP="008E1D2A">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Usługi opiekuńcze ogółem (w tym ze środków własnych)</w:t>
            </w:r>
          </w:p>
        </w:tc>
        <w:tc>
          <w:tcPr>
            <w:tcW w:w="3685" w:type="dxa"/>
            <w:gridSpan w:val="2"/>
          </w:tcPr>
          <w:p w14:paraId="5A18314C" w14:textId="0D34F227"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1967 (w tym realizujących usługi opiekuńcze w ramach zadań własnych)</w:t>
            </w:r>
          </w:p>
        </w:tc>
        <w:tc>
          <w:tcPr>
            <w:tcW w:w="5107" w:type="dxa"/>
            <w:gridSpan w:val="2"/>
          </w:tcPr>
          <w:p w14:paraId="6D2818D5" w14:textId="6A1E4D2C"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16</w:t>
            </w:r>
            <w:r w:rsidR="00DE642C" w:rsidRPr="00DE642C">
              <w:rPr>
                <w:sz w:val="20"/>
                <w:szCs w:val="20"/>
              </w:rPr>
              <w:t> </w:t>
            </w:r>
            <w:r w:rsidRPr="00DE642C">
              <w:rPr>
                <w:sz w:val="20"/>
                <w:szCs w:val="20"/>
              </w:rPr>
              <w:t>073</w:t>
            </w:r>
            <w:r w:rsidR="00DE642C" w:rsidRPr="00DE642C">
              <w:rPr>
                <w:sz w:val="20"/>
                <w:szCs w:val="20"/>
              </w:rPr>
              <w:t xml:space="preserve"> </w:t>
            </w:r>
            <w:r w:rsidRPr="00DE642C">
              <w:rPr>
                <w:sz w:val="20"/>
                <w:szCs w:val="20"/>
              </w:rPr>
              <w:t>096 zł</w:t>
            </w:r>
          </w:p>
        </w:tc>
      </w:tr>
      <w:tr w:rsidR="009476EB" w:rsidRPr="009476EB" w14:paraId="7F477636" w14:textId="77777777" w:rsidTr="00DE5711">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59981353" w14:textId="77777777" w:rsidR="00D576CB" w:rsidRPr="00DE642C" w:rsidRDefault="00D576CB" w:rsidP="00D576CB">
            <w:pPr>
              <w:spacing w:line="240" w:lineRule="auto"/>
              <w:rPr>
                <w:rFonts w:eastAsia="Times New Roman" w:cs="Times New Roman"/>
                <w:b w:val="0"/>
                <w:bCs w:val="0"/>
                <w:color w:val="auto"/>
                <w:sz w:val="20"/>
                <w:szCs w:val="20"/>
                <w:lang w:eastAsia="pl-PL"/>
              </w:rPr>
            </w:pPr>
          </w:p>
        </w:tc>
        <w:tc>
          <w:tcPr>
            <w:tcW w:w="11911" w:type="dxa"/>
            <w:gridSpan w:val="6"/>
          </w:tcPr>
          <w:p w14:paraId="3A2A2E85" w14:textId="77777777" w:rsidR="00D576CB" w:rsidRPr="00DE642C" w:rsidRDefault="00D576CB" w:rsidP="00D576CB">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w tym:</w:t>
            </w:r>
          </w:p>
        </w:tc>
      </w:tr>
      <w:tr w:rsidR="008E1D2A" w:rsidRPr="009476EB" w14:paraId="0E4FD5D9" w14:textId="77777777" w:rsidTr="00DE5711">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738EE3E9" w14:textId="77777777" w:rsidR="008E1D2A" w:rsidRPr="00DE642C" w:rsidRDefault="008E1D2A" w:rsidP="008E1D2A">
            <w:pPr>
              <w:spacing w:line="240" w:lineRule="auto"/>
              <w:rPr>
                <w:rFonts w:eastAsia="Times New Roman" w:cs="Times New Roman"/>
                <w:b w:val="0"/>
                <w:bCs w:val="0"/>
                <w:color w:val="auto"/>
                <w:sz w:val="20"/>
                <w:szCs w:val="20"/>
                <w:lang w:eastAsia="pl-PL"/>
              </w:rPr>
            </w:pPr>
          </w:p>
        </w:tc>
        <w:tc>
          <w:tcPr>
            <w:tcW w:w="3119" w:type="dxa"/>
            <w:gridSpan w:val="2"/>
          </w:tcPr>
          <w:p w14:paraId="4BCA49DF" w14:textId="77777777" w:rsidR="008E1D2A" w:rsidRPr="00DE642C" w:rsidRDefault="008E1D2A" w:rsidP="008E1D2A">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specjalistyczne usługi opiekuńcze</w:t>
            </w:r>
          </w:p>
        </w:tc>
        <w:tc>
          <w:tcPr>
            <w:tcW w:w="3685" w:type="dxa"/>
            <w:gridSpan w:val="2"/>
          </w:tcPr>
          <w:p w14:paraId="2A80BCF7" w14:textId="130DDE8B"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91</w:t>
            </w:r>
          </w:p>
        </w:tc>
        <w:tc>
          <w:tcPr>
            <w:tcW w:w="5107" w:type="dxa"/>
            <w:gridSpan w:val="2"/>
          </w:tcPr>
          <w:p w14:paraId="27DE181D" w14:textId="7CADB862"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879</w:t>
            </w:r>
            <w:r w:rsidR="00DE642C" w:rsidRPr="00DE642C">
              <w:rPr>
                <w:sz w:val="20"/>
                <w:szCs w:val="20"/>
              </w:rPr>
              <w:t xml:space="preserve"> </w:t>
            </w:r>
            <w:r w:rsidRPr="00DE642C">
              <w:rPr>
                <w:sz w:val="20"/>
                <w:szCs w:val="20"/>
              </w:rPr>
              <w:t>349 zł</w:t>
            </w:r>
          </w:p>
        </w:tc>
      </w:tr>
      <w:tr w:rsidR="008E1D2A" w:rsidRPr="009476EB" w14:paraId="7D42D383" w14:textId="77777777" w:rsidTr="00DE571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0" w:type="dxa"/>
            <w:vMerge/>
          </w:tcPr>
          <w:p w14:paraId="27CB99FC" w14:textId="77777777" w:rsidR="008E1D2A" w:rsidRPr="00DE642C" w:rsidRDefault="008E1D2A" w:rsidP="008E1D2A">
            <w:pPr>
              <w:spacing w:line="240" w:lineRule="auto"/>
              <w:rPr>
                <w:rFonts w:eastAsia="Times New Roman" w:cs="Times New Roman"/>
                <w:b w:val="0"/>
                <w:bCs w:val="0"/>
                <w:color w:val="auto"/>
                <w:sz w:val="20"/>
                <w:szCs w:val="20"/>
                <w:lang w:eastAsia="pl-PL"/>
              </w:rPr>
            </w:pPr>
          </w:p>
        </w:tc>
        <w:tc>
          <w:tcPr>
            <w:tcW w:w="3119" w:type="dxa"/>
            <w:gridSpan w:val="2"/>
          </w:tcPr>
          <w:p w14:paraId="48DF1C35" w14:textId="77777777" w:rsidR="008E1D2A" w:rsidRPr="00DE642C" w:rsidRDefault="008E1D2A" w:rsidP="008E1D2A">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specjalistyczne usługi opiekuńcze w miejscu zamieszkania dla osób z zaburzeniami psychicznymi</w:t>
            </w:r>
          </w:p>
        </w:tc>
        <w:tc>
          <w:tcPr>
            <w:tcW w:w="3685" w:type="dxa"/>
            <w:gridSpan w:val="2"/>
          </w:tcPr>
          <w:p w14:paraId="3249F7EB" w14:textId="56EB8AC1"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146</w:t>
            </w:r>
          </w:p>
        </w:tc>
        <w:tc>
          <w:tcPr>
            <w:tcW w:w="5107" w:type="dxa"/>
            <w:gridSpan w:val="2"/>
          </w:tcPr>
          <w:p w14:paraId="5AB8C3F7" w14:textId="441E4E52"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w:t>
            </w:r>
            <w:r w:rsidR="00DE642C" w:rsidRPr="00DE642C">
              <w:rPr>
                <w:sz w:val="20"/>
                <w:szCs w:val="20"/>
              </w:rPr>
              <w:t> </w:t>
            </w:r>
            <w:r w:rsidRPr="00DE642C">
              <w:rPr>
                <w:sz w:val="20"/>
                <w:szCs w:val="20"/>
              </w:rPr>
              <w:t>446</w:t>
            </w:r>
            <w:r w:rsidR="00DE642C" w:rsidRPr="00DE642C">
              <w:rPr>
                <w:sz w:val="20"/>
                <w:szCs w:val="20"/>
              </w:rPr>
              <w:t xml:space="preserve"> </w:t>
            </w:r>
            <w:r w:rsidRPr="00DE642C">
              <w:rPr>
                <w:sz w:val="20"/>
                <w:szCs w:val="20"/>
              </w:rPr>
              <w:t>605 zł</w:t>
            </w:r>
          </w:p>
        </w:tc>
      </w:tr>
      <w:tr w:rsidR="009476EB" w:rsidRPr="009476EB" w14:paraId="6E3A98BB" w14:textId="77777777" w:rsidTr="00DE5711">
        <w:trPr>
          <w:trHeight w:val="19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07B9414E" w14:textId="77777777" w:rsidR="00D576CB" w:rsidRPr="00DE642C" w:rsidRDefault="00D576CB" w:rsidP="00D576CB">
            <w:pPr>
              <w:spacing w:line="240" w:lineRule="auto"/>
              <w:rPr>
                <w:rFonts w:eastAsia="Times New Roman" w:cs="Times New Roman"/>
                <w:b w:val="0"/>
                <w:bCs w:val="0"/>
                <w:color w:val="auto"/>
                <w:sz w:val="20"/>
                <w:szCs w:val="20"/>
                <w:lang w:eastAsia="pl-PL"/>
              </w:rPr>
            </w:pPr>
            <w:r w:rsidRPr="00DE642C">
              <w:rPr>
                <w:rFonts w:eastAsia="Times New Roman" w:cs="Times New Roman"/>
                <w:color w:val="auto"/>
                <w:sz w:val="20"/>
                <w:szCs w:val="20"/>
                <w:lang w:eastAsia="pl-PL"/>
              </w:rPr>
              <w:t>Świadczenia pieniężne przyznane osobom starszym</w:t>
            </w:r>
          </w:p>
        </w:tc>
        <w:tc>
          <w:tcPr>
            <w:tcW w:w="3119" w:type="dxa"/>
            <w:gridSpan w:val="2"/>
          </w:tcPr>
          <w:p w14:paraId="690AF26C" w14:textId="77777777" w:rsidR="00D576CB" w:rsidRPr="00DE642C" w:rsidRDefault="00D576CB" w:rsidP="00D576CB">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Nazwa świadczenia</w:t>
            </w:r>
          </w:p>
        </w:tc>
        <w:tc>
          <w:tcPr>
            <w:tcW w:w="3685" w:type="dxa"/>
            <w:gridSpan w:val="2"/>
          </w:tcPr>
          <w:p w14:paraId="64031610" w14:textId="77777777" w:rsidR="00D576CB" w:rsidRPr="00DE642C" w:rsidRDefault="00D576CB" w:rsidP="00D576CB">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Liczba osób starszych</w:t>
            </w:r>
          </w:p>
        </w:tc>
        <w:tc>
          <w:tcPr>
            <w:tcW w:w="5107" w:type="dxa"/>
            <w:gridSpan w:val="2"/>
          </w:tcPr>
          <w:p w14:paraId="6572552D" w14:textId="77777777" w:rsidR="00D576CB" w:rsidRPr="00DE642C" w:rsidRDefault="00D576CB" w:rsidP="00D576CB">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Kwota świadczenia</w:t>
            </w:r>
          </w:p>
        </w:tc>
      </w:tr>
      <w:tr w:rsidR="008E1D2A" w:rsidRPr="009476EB" w14:paraId="7C95BE41" w14:textId="77777777" w:rsidTr="00DE5711">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590221A9" w14:textId="77777777" w:rsidR="008E1D2A" w:rsidRPr="00DE642C" w:rsidRDefault="008E1D2A" w:rsidP="008E1D2A">
            <w:pPr>
              <w:spacing w:line="240" w:lineRule="auto"/>
              <w:rPr>
                <w:rFonts w:eastAsia="Times New Roman" w:cs="Times New Roman"/>
                <w:b w:val="0"/>
                <w:bCs w:val="0"/>
                <w:color w:val="auto"/>
                <w:sz w:val="20"/>
                <w:szCs w:val="20"/>
                <w:lang w:eastAsia="pl-PL"/>
              </w:rPr>
            </w:pPr>
          </w:p>
        </w:tc>
        <w:tc>
          <w:tcPr>
            <w:tcW w:w="3119" w:type="dxa"/>
            <w:gridSpan w:val="2"/>
          </w:tcPr>
          <w:p w14:paraId="41D2479B" w14:textId="77777777" w:rsidR="008E1D2A" w:rsidRPr="00DE642C" w:rsidRDefault="008E1D2A" w:rsidP="008E1D2A">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Zasiłek stały</w:t>
            </w:r>
          </w:p>
        </w:tc>
        <w:tc>
          <w:tcPr>
            <w:tcW w:w="3685" w:type="dxa"/>
            <w:gridSpan w:val="2"/>
          </w:tcPr>
          <w:p w14:paraId="3B11DEC6" w14:textId="3728CECA"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1 808</w:t>
            </w:r>
          </w:p>
        </w:tc>
        <w:tc>
          <w:tcPr>
            <w:tcW w:w="5107" w:type="dxa"/>
            <w:gridSpan w:val="2"/>
          </w:tcPr>
          <w:p w14:paraId="379C2720" w14:textId="7E23A3C9"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9 607 024 zł</w:t>
            </w:r>
          </w:p>
        </w:tc>
      </w:tr>
      <w:tr w:rsidR="008E1D2A" w:rsidRPr="009476EB" w14:paraId="6B47E4D9" w14:textId="77777777" w:rsidTr="00DE5711">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17B0B655" w14:textId="77777777" w:rsidR="008E1D2A" w:rsidRPr="00DE642C" w:rsidRDefault="008E1D2A" w:rsidP="008E1D2A">
            <w:pPr>
              <w:spacing w:line="240" w:lineRule="auto"/>
              <w:rPr>
                <w:rFonts w:eastAsia="Times New Roman" w:cs="Times New Roman"/>
                <w:b w:val="0"/>
                <w:bCs w:val="0"/>
                <w:color w:val="auto"/>
                <w:sz w:val="20"/>
                <w:szCs w:val="20"/>
                <w:lang w:eastAsia="pl-PL"/>
              </w:rPr>
            </w:pPr>
          </w:p>
        </w:tc>
        <w:tc>
          <w:tcPr>
            <w:tcW w:w="3119" w:type="dxa"/>
            <w:gridSpan w:val="2"/>
          </w:tcPr>
          <w:p w14:paraId="714F91F3" w14:textId="77777777" w:rsidR="008E1D2A" w:rsidRPr="00DE642C" w:rsidRDefault="008E1D2A" w:rsidP="008E1D2A">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Zasiłek okresowy</w:t>
            </w:r>
          </w:p>
        </w:tc>
        <w:tc>
          <w:tcPr>
            <w:tcW w:w="3685" w:type="dxa"/>
            <w:gridSpan w:val="2"/>
          </w:tcPr>
          <w:p w14:paraId="149F0487" w14:textId="560D817E"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1 760</w:t>
            </w:r>
          </w:p>
        </w:tc>
        <w:tc>
          <w:tcPr>
            <w:tcW w:w="5107" w:type="dxa"/>
            <w:gridSpan w:val="2"/>
          </w:tcPr>
          <w:p w14:paraId="337D5C3A" w14:textId="72AC378F"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3 550 521 zł</w:t>
            </w:r>
          </w:p>
        </w:tc>
      </w:tr>
      <w:tr w:rsidR="008E1D2A" w:rsidRPr="009476EB" w14:paraId="5EB3FA89" w14:textId="77777777" w:rsidTr="00DE5711">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4023597C" w14:textId="77777777" w:rsidR="008E1D2A" w:rsidRPr="00DE642C" w:rsidRDefault="008E1D2A" w:rsidP="008E1D2A">
            <w:pPr>
              <w:spacing w:line="240" w:lineRule="auto"/>
              <w:rPr>
                <w:rFonts w:eastAsia="Times New Roman" w:cs="Times New Roman"/>
                <w:b w:val="0"/>
                <w:bCs w:val="0"/>
                <w:color w:val="auto"/>
                <w:sz w:val="20"/>
                <w:szCs w:val="20"/>
                <w:lang w:eastAsia="pl-PL"/>
              </w:rPr>
            </w:pPr>
          </w:p>
        </w:tc>
        <w:tc>
          <w:tcPr>
            <w:tcW w:w="3119" w:type="dxa"/>
            <w:gridSpan w:val="2"/>
          </w:tcPr>
          <w:p w14:paraId="272CBF3E" w14:textId="77777777" w:rsidR="008E1D2A" w:rsidRPr="00DE642C" w:rsidRDefault="008E1D2A" w:rsidP="008E1D2A">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Zasiłek celowy</w:t>
            </w:r>
          </w:p>
        </w:tc>
        <w:tc>
          <w:tcPr>
            <w:tcW w:w="3685" w:type="dxa"/>
            <w:gridSpan w:val="2"/>
          </w:tcPr>
          <w:p w14:paraId="7AB17527" w14:textId="47E643EB"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1 973</w:t>
            </w:r>
          </w:p>
        </w:tc>
        <w:tc>
          <w:tcPr>
            <w:tcW w:w="5107" w:type="dxa"/>
            <w:gridSpan w:val="2"/>
          </w:tcPr>
          <w:p w14:paraId="04E84BE3" w14:textId="112FB050" w:rsidR="008E1D2A" w:rsidRPr="00DE642C" w:rsidRDefault="008E1D2A" w:rsidP="008E1D2A">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2 282 700 zł</w:t>
            </w:r>
          </w:p>
        </w:tc>
      </w:tr>
      <w:tr w:rsidR="008E1D2A" w:rsidRPr="009476EB" w14:paraId="4F4B19A0" w14:textId="77777777" w:rsidTr="00DE5711">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399F4704" w14:textId="77777777" w:rsidR="008E1D2A" w:rsidRPr="00DE642C" w:rsidRDefault="008E1D2A" w:rsidP="008E1D2A">
            <w:pPr>
              <w:spacing w:line="240" w:lineRule="auto"/>
              <w:rPr>
                <w:rFonts w:eastAsia="Times New Roman" w:cs="Times New Roman"/>
                <w:b w:val="0"/>
                <w:bCs w:val="0"/>
                <w:color w:val="auto"/>
                <w:sz w:val="20"/>
                <w:szCs w:val="20"/>
                <w:lang w:eastAsia="pl-PL"/>
              </w:rPr>
            </w:pPr>
          </w:p>
        </w:tc>
        <w:tc>
          <w:tcPr>
            <w:tcW w:w="3119" w:type="dxa"/>
            <w:gridSpan w:val="2"/>
          </w:tcPr>
          <w:p w14:paraId="2E7437DA" w14:textId="77777777" w:rsidR="008E1D2A" w:rsidRPr="00DE642C" w:rsidRDefault="008E1D2A" w:rsidP="008E1D2A">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Specjalny zasiłek celowy</w:t>
            </w:r>
          </w:p>
        </w:tc>
        <w:tc>
          <w:tcPr>
            <w:tcW w:w="3685" w:type="dxa"/>
            <w:gridSpan w:val="2"/>
          </w:tcPr>
          <w:p w14:paraId="3B8F600A" w14:textId="2407585D"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1 078</w:t>
            </w:r>
          </w:p>
        </w:tc>
        <w:tc>
          <w:tcPr>
            <w:tcW w:w="5107" w:type="dxa"/>
            <w:gridSpan w:val="2"/>
          </w:tcPr>
          <w:p w14:paraId="0664422B" w14:textId="46FF9C03" w:rsidR="008E1D2A" w:rsidRPr="00DE642C" w:rsidRDefault="008E1D2A" w:rsidP="008E1D2A">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736 259 zł</w:t>
            </w:r>
          </w:p>
        </w:tc>
      </w:tr>
      <w:tr w:rsidR="009E3ECB" w:rsidRPr="009476EB" w14:paraId="6FC88049" w14:textId="77777777" w:rsidTr="00DE5711">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0F22FD33" w14:textId="77777777" w:rsidR="009E3ECB" w:rsidRPr="00DE642C" w:rsidRDefault="009E3ECB" w:rsidP="00D576CB">
            <w:pPr>
              <w:spacing w:line="240" w:lineRule="auto"/>
              <w:rPr>
                <w:rFonts w:cs="Times New Roman"/>
                <w:b w:val="0"/>
                <w:color w:val="auto"/>
                <w:sz w:val="20"/>
                <w:szCs w:val="20"/>
                <w:lang w:eastAsia="pl-PL"/>
              </w:rPr>
            </w:pPr>
            <w:r w:rsidRPr="00DE642C">
              <w:rPr>
                <w:rFonts w:cs="Times New Roman"/>
                <w:color w:val="auto"/>
                <w:sz w:val="20"/>
                <w:szCs w:val="20"/>
                <w:lang w:eastAsia="pl-PL"/>
              </w:rPr>
              <w:t>Największe problemy/niedogodności w świadczeniu opieki nad osobami starszymi (np. zasoby kadrowe, rzeczowe, finansowe itp.)</w:t>
            </w:r>
          </w:p>
        </w:tc>
        <w:tc>
          <w:tcPr>
            <w:tcW w:w="11911" w:type="dxa"/>
            <w:gridSpan w:val="6"/>
          </w:tcPr>
          <w:p w14:paraId="4C583A7C" w14:textId="4B510118" w:rsidR="009E3ECB" w:rsidRPr="00DE642C" w:rsidRDefault="009E3ECB" w:rsidP="00D576CB">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b/>
                <w:sz w:val="20"/>
                <w:szCs w:val="20"/>
              </w:rPr>
              <w:t>1.</w:t>
            </w:r>
            <w:r w:rsidR="00DE5711" w:rsidRPr="00DE642C">
              <w:rPr>
                <w:sz w:val="20"/>
                <w:szCs w:val="20"/>
              </w:rPr>
              <w:t xml:space="preserve">  </w:t>
            </w:r>
            <w:r w:rsidR="00DE5711" w:rsidRPr="00DE642C">
              <w:rPr>
                <w:rFonts w:cs="Times New Roman"/>
                <w:sz w:val="20"/>
                <w:szCs w:val="20"/>
              </w:rPr>
              <w:t>Brak zasobów kadrowych (brak wykwalifikowanej kadry).</w:t>
            </w:r>
          </w:p>
        </w:tc>
      </w:tr>
      <w:tr w:rsidR="00DE5711" w:rsidRPr="009476EB" w14:paraId="5273C4A7" w14:textId="77777777" w:rsidTr="00DE5711">
        <w:trPr>
          <w:trHeight w:val="444"/>
        </w:trPr>
        <w:tc>
          <w:tcPr>
            <w:cnfStyle w:val="001000000000" w:firstRow="0" w:lastRow="0" w:firstColumn="1" w:lastColumn="0" w:oddVBand="0" w:evenVBand="0" w:oddHBand="0" w:evenHBand="0" w:firstRowFirstColumn="0" w:firstRowLastColumn="0" w:lastRowFirstColumn="0" w:lastRowLastColumn="0"/>
            <w:tcW w:w="2830" w:type="dxa"/>
            <w:vMerge/>
          </w:tcPr>
          <w:p w14:paraId="287F35E9" w14:textId="77777777" w:rsidR="00DE5711" w:rsidRPr="00DE642C" w:rsidRDefault="00DE5711" w:rsidP="00D576CB">
            <w:pPr>
              <w:spacing w:line="240" w:lineRule="auto"/>
              <w:rPr>
                <w:rFonts w:cs="Times New Roman"/>
                <w:sz w:val="20"/>
                <w:szCs w:val="20"/>
                <w:lang w:eastAsia="pl-PL"/>
              </w:rPr>
            </w:pPr>
          </w:p>
        </w:tc>
        <w:tc>
          <w:tcPr>
            <w:tcW w:w="11911" w:type="dxa"/>
            <w:gridSpan w:val="6"/>
          </w:tcPr>
          <w:p w14:paraId="3343FDFE" w14:textId="1069F21B" w:rsidR="00DE5711" w:rsidRPr="00DE642C" w:rsidRDefault="00DE5711" w:rsidP="00D576CB">
            <w:pPr>
              <w:spacing w:line="240"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2.</w:t>
            </w:r>
            <w:r w:rsidRPr="00DE642C">
              <w:rPr>
                <w:sz w:val="20"/>
                <w:szCs w:val="20"/>
              </w:rPr>
              <w:t xml:space="preserve"> </w:t>
            </w:r>
            <w:r w:rsidRPr="00DE642C">
              <w:rPr>
                <w:rFonts w:cs="Times New Roman"/>
                <w:sz w:val="20"/>
                <w:szCs w:val="20"/>
              </w:rPr>
              <w:t xml:space="preserve"> Brak wyspecjalizowanych instytucji/osób świadczących całodobową opiekę osobom starszym, samotnym.</w:t>
            </w:r>
          </w:p>
        </w:tc>
      </w:tr>
      <w:tr w:rsidR="009E3ECB" w:rsidRPr="009476EB" w14:paraId="6E85563A" w14:textId="77777777" w:rsidTr="00DE5711">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79EE572B" w14:textId="77777777" w:rsidR="009E3ECB" w:rsidRPr="00DE642C" w:rsidRDefault="009E3ECB" w:rsidP="00D576CB">
            <w:pPr>
              <w:spacing w:line="240" w:lineRule="auto"/>
              <w:rPr>
                <w:rFonts w:cs="Times New Roman"/>
                <w:color w:val="auto"/>
                <w:sz w:val="20"/>
                <w:szCs w:val="20"/>
                <w:lang w:eastAsia="pl-PL"/>
              </w:rPr>
            </w:pPr>
          </w:p>
        </w:tc>
        <w:tc>
          <w:tcPr>
            <w:tcW w:w="11911" w:type="dxa"/>
            <w:gridSpan w:val="6"/>
          </w:tcPr>
          <w:p w14:paraId="47930721" w14:textId="189C01F3" w:rsidR="009E3ECB" w:rsidRPr="00DE642C" w:rsidRDefault="00DE5711" w:rsidP="00D576CB">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b/>
                <w:sz w:val="20"/>
                <w:szCs w:val="20"/>
              </w:rPr>
              <w:t>3</w:t>
            </w:r>
            <w:r w:rsidR="009E3ECB" w:rsidRPr="00DE642C">
              <w:rPr>
                <w:rFonts w:cs="Times New Roman"/>
                <w:b/>
                <w:sz w:val="20"/>
                <w:szCs w:val="20"/>
              </w:rPr>
              <w:t>.</w:t>
            </w:r>
            <w:r w:rsidR="009E3ECB" w:rsidRPr="00DE642C">
              <w:rPr>
                <w:rFonts w:cs="Times New Roman"/>
                <w:sz w:val="20"/>
                <w:szCs w:val="20"/>
              </w:rPr>
              <w:t xml:space="preserve"> </w:t>
            </w:r>
            <w:r w:rsidRPr="00DE642C">
              <w:rPr>
                <w:sz w:val="20"/>
                <w:szCs w:val="20"/>
              </w:rPr>
              <w:t xml:space="preserve"> </w:t>
            </w:r>
            <w:r w:rsidRPr="00DE642C">
              <w:rPr>
                <w:rFonts w:cs="Times New Roman"/>
                <w:sz w:val="20"/>
                <w:szCs w:val="20"/>
              </w:rPr>
              <w:t>Mała liczba podmiotów świadczących usługi opiekuńcze.</w:t>
            </w:r>
          </w:p>
        </w:tc>
      </w:tr>
      <w:tr w:rsidR="009E3ECB" w:rsidRPr="009476EB" w14:paraId="360F906D" w14:textId="77777777" w:rsidTr="00DE5711">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0C49D5BA" w14:textId="77777777" w:rsidR="009E3ECB" w:rsidRPr="00DE642C" w:rsidRDefault="009E3ECB" w:rsidP="00D576CB">
            <w:pPr>
              <w:spacing w:line="240" w:lineRule="auto"/>
              <w:rPr>
                <w:rFonts w:cs="Times New Roman"/>
                <w:color w:val="auto"/>
                <w:sz w:val="20"/>
                <w:szCs w:val="20"/>
                <w:lang w:eastAsia="pl-PL"/>
              </w:rPr>
            </w:pPr>
          </w:p>
        </w:tc>
        <w:tc>
          <w:tcPr>
            <w:tcW w:w="11911" w:type="dxa"/>
            <w:gridSpan w:val="6"/>
          </w:tcPr>
          <w:p w14:paraId="4D25969B" w14:textId="04D3CC6D" w:rsidR="009E3ECB" w:rsidRPr="00DE642C" w:rsidRDefault="00DE5711" w:rsidP="00D576CB">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b/>
                <w:sz w:val="20"/>
                <w:szCs w:val="20"/>
              </w:rPr>
              <w:t>4</w:t>
            </w:r>
            <w:r w:rsidR="009E3ECB" w:rsidRPr="00DE642C">
              <w:rPr>
                <w:rFonts w:cs="Times New Roman"/>
                <w:b/>
                <w:sz w:val="20"/>
                <w:szCs w:val="20"/>
              </w:rPr>
              <w:t>.</w:t>
            </w:r>
            <w:r w:rsidR="009E3ECB" w:rsidRPr="00DE642C">
              <w:rPr>
                <w:rFonts w:cs="Times New Roman"/>
                <w:sz w:val="20"/>
                <w:szCs w:val="20"/>
              </w:rPr>
              <w:t xml:space="preserve"> </w:t>
            </w:r>
            <w:r w:rsidRPr="00DE642C">
              <w:rPr>
                <w:sz w:val="20"/>
                <w:szCs w:val="20"/>
              </w:rPr>
              <w:t xml:space="preserve"> </w:t>
            </w:r>
            <w:r w:rsidRPr="00DE642C">
              <w:rPr>
                <w:rFonts w:cs="Times New Roman"/>
                <w:sz w:val="20"/>
                <w:szCs w:val="20"/>
              </w:rPr>
              <w:t>Niskie wynagrodzenia osób świadczących usługi opiekuńcze.</w:t>
            </w:r>
          </w:p>
        </w:tc>
      </w:tr>
      <w:tr w:rsidR="009E3ECB" w:rsidRPr="009476EB" w14:paraId="6C7D8D94" w14:textId="77777777" w:rsidTr="00DE5711">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17A2E6BA" w14:textId="77777777" w:rsidR="009E3ECB" w:rsidRPr="00DE642C" w:rsidRDefault="009E3ECB" w:rsidP="00D576CB">
            <w:pPr>
              <w:spacing w:line="240" w:lineRule="auto"/>
              <w:rPr>
                <w:rFonts w:cs="Times New Roman"/>
                <w:sz w:val="20"/>
                <w:szCs w:val="20"/>
                <w:lang w:eastAsia="pl-PL"/>
              </w:rPr>
            </w:pPr>
          </w:p>
        </w:tc>
        <w:tc>
          <w:tcPr>
            <w:tcW w:w="11911" w:type="dxa"/>
            <w:gridSpan w:val="6"/>
          </w:tcPr>
          <w:p w14:paraId="5F7A28D6" w14:textId="20F88EA5" w:rsidR="009E3ECB" w:rsidRPr="00DE642C" w:rsidRDefault="00DE5711" w:rsidP="00D576CB">
            <w:pPr>
              <w:spacing w:line="240" w:lineRule="auto"/>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5</w:t>
            </w:r>
            <w:r w:rsidR="009E3ECB" w:rsidRPr="00DE642C">
              <w:rPr>
                <w:rFonts w:cs="Times New Roman"/>
                <w:b/>
                <w:sz w:val="20"/>
                <w:szCs w:val="20"/>
              </w:rPr>
              <w:t xml:space="preserve">. </w:t>
            </w:r>
            <w:r w:rsidRPr="00DE642C">
              <w:rPr>
                <w:sz w:val="20"/>
                <w:szCs w:val="20"/>
              </w:rPr>
              <w:t xml:space="preserve"> </w:t>
            </w:r>
            <w:r w:rsidRPr="00DE642C">
              <w:rPr>
                <w:rFonts w:cs="Times New Roman"/>
                <w:bCs/>
                <w:sz w:val="20"/>
                <w:szCs w:val="20"/>
              </w:rPr>
              <w:t>Wyczerpanie psychofizyczne opiekunów/wypalenie zawodowe.</w:t>
            </w:r>
          </w:p>
        </w:tc>
      </w:tr>
      <w:tr w:rsidR="009E3ECB" w:rsidRPr="009476EB" w14:paraId="789062AE" w14:textId="77777777" w:rsidTr="00DE5711">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2F2F7BBE" w14:textId="77777777" w:rsidR="009E3ECB" w:rsidRPr="00DE642C" w:rsidRDefault="009E3ECB" w:rsidP="00D576CB">
            <w:pPr>
              <w:spacing w:line="240" w:lineRule="auto"/>
              <w:rPr>
                <w:rFonts w:cs="Times New Roman"/>
                <w:sz w:val="20"/>
                <w:szCs w:val="20"/>
                <w:lang w:eastAsia="pl-PL"/>
              </w:rPr>
            </w:pPr>
          </w:p>
        </w:tc>
        <w:tc>
          <w:tcPr>
            <w:tcW w:w="11911" w:type="dxa"/>
            <w:gridSpan w:val="6"/>
          </w:tcPr>
          <w:p w14:paraId="4BAAF546" w14:textId="5D4B213F" w:rsidR="009E3ECB" w:rsidRPr="00DE642C" w:rsidRDefault="00DE5711" w:rsidP="00D576CB">
            <w:pPr>
              <w:spacing w:line="240"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6</w:t>
            </w:r>
            <w:r w:rsidR="009E3ECB" w:rsidRPr="00DE642C">
              <w:rPr>
                <w:rFonts w:cs="Times New Roman"/>
                <w:b/>
                <w:sz w:val="20"/>
                <w:szCs w:val="20"/>
              </w:rPr>
              <w:t xml:space="preserve">. </w:t>
            </w:r>
            <w:r w:rsidRPr="00DE642C">
              <w:rPr>
                <w:sz w:val="20"/>
                <w:szCs w:val="20"/>
              </w:rPr>
              <w:t xml:space="preserve"> </w:t>
            </w:r>
            <w:r w:rsidRPr="00DE642C">
              <w:rPr>
                <w:rFonts w:cs="Times New Roman"/>
                <w:bCs/>
                <w:sz w:val="20"/>
                <w:szCs w:val="20"/>
              </w:rPr>
              <w:t>Duża odległość między siedzibą Ośrodka, a miejscem zamieszkania osób korzystających z usług opiekuńczych.</w:t>
            </w:r>
          </w:p>
        </w:tc>
      </w:tr>
      <w:tr w:rsidR="009E3ECB" w:rsidRPr="009476EB" w14:paraId="5288FD15" w14:textId="77777777" w:rsidTr="00DE5711">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3D464901" w14:textId="77777777" w:rsidR="009E3ECB" w:rsidRPr="00DE642C" w:rsidRDefault="009E3ECB" w:rsidP="00D576CB">
            <w:pPr>
              <w:spacing w:line="240" w:lineRule="auto"/>
              <w:rPr>
                <w:rFonts w:cs="Times New Roman"/>
                <w:sz w:val="20"/>
                <w:szCs w:val="20"/>
                <w:lang w:eastAsia="pl-PL"/>
              </w:rPr>
            </w:pPr>
          </w:p>
        </w:tc>
        <w:tc>
          <w:tcPr>
            <w:tcW w:w="11911" w:type="dxa"/>
            <w:gridSpan w:val="6"/>
          </w:tcPr>
          <w:p w14:paraId="4C6B7C36" w14:textId="1A325E3E" w:rsidR="009E3ECB" w:rsidRPr="00DE642C" w:rsidRDefault="00DE5711" w:rsidP="00D576CB">
            <w:pPr>
              <w:spacing w:line="240" w:lineRule="auto"/>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7</w:t>
            </w:r>
            <w:r w:rsidR="009E3ECB" w:rsidRPr="00DE642C">
              <w:rPr>
                <w:rFonts w:cs="Times New Roman"/>
                <w:b/>
                <w:sz w:val="20"/>
                <w:szCs w:val="20"/>
              </w:rPr>
              <w:t xml:space="preserve">. </w:t>
            </w:r>
            <w:r w:rsidRPr="00DE642C">
              <w:rPr>
                <w:sz w:val="20"/>
                <w:szCs w:val="20"/>
              </w:rPr>
              <w:t xml:space="preserve"> </w:t>
            </w:r>
            <w:r w:rsidRPr="00DE642C">
              <w:rPr>
                <w:rFonts w:cs="Times New Roman"/>
                <w:bCs/>
                <w:sz w:val="20"/>
                <w:szCs w:val="20"/>
              </w:rPr>
              <w:t>Niewystarczająca liczba miejsc w zakładach pielęgnacyjno-opiekuńczych.</w:t>
            </w:r>
          </w:p>
        </w:tc>
      </w:tr>
      <w:tr w:rsidR="009E3ECB" w:rsidRPr="009476EB" w14:paraId="70D74ECA" w14:textId="77777777" w:rsidTr="00DE5711">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4BCF05DF" w14:textId="77777777" w:rsidR="009E3ECB" w:rsidRPr="00DE642C" w:rsidRDefault="009E3ECB" w:rsidP="00D576CB">
            <w:pPr>
              <w:spacing w:line="240" w:lineRule="auto"/>
              <w:rPr>
                <w:rFonts w:cs="Times New Roman"/>
                <w:sz w:val="20"/>
                <w:szCs w:val="20"/>
                <w:lang w:eastAsia="pl-PL"/>
              </w:rPr>
            </w:pPr>
          </w:p>
        </w:tc>
        <w:tc>
          <w:tcPr>
            <w:tcW w:w="11911" w:type="dxa"/>
            <w:gridSpan w:val="6"/>
          </w:tcPr>
          <w:p w14:paraId="60211960" w14:textId="1911A147" w:rsidR="009E3ECB" w:rsidRPr="00DE642C" w:rsidRDefault="00DE5711" w:rsidP="00D576CB">
            <w:pPr>
              <w:spacing w:line="240" w:lineRule="auto"/>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8</w:t>
            </w:r>
            <w:r w:rsidR="009E3ECB" w:rsidRPr="00DE642C">
              <w:rPr>
                <w:rFonts w:cs="Times New Roman"/>
                <w:b/>
                <w:sz w:val="20"/>
                <w:szCs w:val="20"/>
              </w:rPr>
              <w:t xml:space="preserve">. </w:t>
            </w:r>
            <w:r w:rsidRPr="00DE642C">
              <w:rPr>
                <w:sz w:val="20"/>
                <w:szCs w:val="20"/>
              </w:rPr>
              <w:t xml:space="preserve"> </w:t>
            </w:r>
            <w:r w:rsidRPr="00DE642C">
              <w:rPr>
                <w:rFonts w:cs="Times New Roman"/>
                <w:bCs/>
                <w:sz w:val="20"/>
                <w:szCs w:val="20"/>
              </w:rPr>
              <w:t>Brak współpracy z rodziną, w zakresie zapewnienia opieki osobom starszym.</w:t>
            </w:r>
          </w:p>
        </w:tc>
      </w:tr>
      <w:tr w:rsidR="009E3ECB" w:rsidRPr="009476EB" w14:paraId="68F00629" w14:textId="77777777" w:rsidTr="00DE5711">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6541E1CB" w14:textId="77777777" w:rsidR="009E3ECB" w:rsidRPr="00DE642C" w:rsidRDefault="009E3ECB" w:rsidP="00D576CB">
            <w:pPr>
              <w:spacing w:line="240" w:lineRule="auto"/>
              <w:rPr>
                <w:rFonts w:cs="Times New Roman"/>
                <w:sz w:val="20"/>
                <w:szCs w:val="20"/>
                <w:lang w:eastAsia="pl-PL"/>
              </w:rPr>
            </w:pPr>
          </w:p>
        </w:tc>
        <w:tc>
          <w:tcPr>
            <w:tcW w:w="11911" w:type="dxa"/>
            <w:gridSpan w:val="6"/>
          </w:tcPr>
          <w:p w14:paraId="2B800296" w14:textId="3D1E967F" w:rsidR="009E3ECB" w:rsidRPr="00DE642C" w:rsidRDefault="00DE5711" w:rsidP="00D576CB">
            <w:pPr>
              <w:spacing w:line="240" w:lineRule="auto"/>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9</w:t>
            </w:r>
            <w:r w:rsidR="009E3ECB" w:rsidRPr="00DE642C">
              <w:rPr>
                <w:rFonts w:cs="Times New Roman"/>
                <w:b/>
                <w:sz w:val="20"/>
                <w:szCs w:val="20"/>
              </w:rPr>
              <w:t xml:space="preserve">. </w:t>
            </w:r>
            <w:r w:rsidRPr="00DE642C">
              <w:rPr>
                <w:sz w:val="20"/>
                <w:szCs w:val="20"/>
              </w:rPr>
              <w:t xml:space="preserve"> </w:t>
            </w:r>
            <w:r w:rsidRPr="00DE642C">
              <w:rPr>
                <w:rFonts w:cs="Times New Roman"/>
                <w:bCs/>
                <w:sz w:val="20"/>
                <w:szCs w:val="20"/>
              </w:rPr>
              <w:t>Rezygnacja osób starszych z usług opiekuńczych, w związku z ponoszeniem za nie odpłatności.</w:t>
            </w:r>
          </w:p>
        </w:tc>
      </w:tr>
      <w:tr w:rsidR="009476EB" w:rsidRPr="009476EB" w14:paraId="53BE2756" w14:textId="77777777" w:rsidTr="00DE5711">
        <w:trPr>
          <w:trHeight w:val="442"/>
        </w:trPr>
        <w:tc>
          <w:tcPr>
            <w:cnfStyle w:val="001000000000" w:firstRow="0" w:lastRow="0" w:firstColumn="1" w:lastColumn="0" w:oddVBand="0" w:evenVBand="0" w:oddHBand="0" w:evenHBand="0" w:firstRowFirstColumn="0" w:firstRowLastColumn="0" w:lastRowFirstColumn="0" w:lastRowLastColumn="0"/>
            <w:tcW w:w="2830" w:type="dxa"/>
          </w:tcPr>
          <w:p w14:paraId="0E247074" w14:textId="1E9E7FD4" w:rsidR="00D576CB" w:rsidRPr="00DE642C" w:rsidRDefault="00D576CB" w:rsidP="00D576CB">
            <w:pPr>
              <w:spacing w:line="240" w:lineRule="auto"/>
              <w:rPr>
                <w:rFonts w:cs="Times New Roman"/>
                <w:color w:val="auto"/>
                <w:sz w:val="20"/>
                <w:szCs w:val="20"/>
                <w:lang w:eastAsia="pl-PL"/>
              </w:rPr>
            </w:pPr>
            <w:r w:rsidRPr="00DE642C">
              <w:rPr>
                <w:rFonts w:cs="Times New Roman"/>
                <w:color w:val="auto"/>
                <w:sz w:val="20"/>
                <w:szCs w:val="20"/>
                <w:lang w:eastAsia="pl-PL"/>
              </w:rPr>
              <w:t xml:space="preserve">Stopień zaspokojenia </w:t>
            </w:r>
            <w:r w:rsidR="009476EB" w:rsidRPr="00DE642C">
              <w:rPr>
                <w:sz w:val="20"/>
                <w:szCs w:val="20"/>
              </w:rPr>
              <w:t xml:space="preserve"> </w:t>
            </w:r>
            <w:r w:rsidR="009476EB" w:rsidRPr="00DE642C">
              <w:rPr>
                <w:rFonts w:cs="Times New Roman"/>
                <w:color w:val="auto"/>
                <w:sz w:val="20"/>
                <w:szCs w:val="20"/>
                <w:lang w:eastAsia="pl-PL"/>
              </w:rPr>
              <w:t>potrzeb w zakresie usług opiekuńczych</w:t>
            </w:r>
          </w:p>
        </w:tc>
        <w:tc>
          <w:tcPr>
            <w:tcW w:w="11911" w:type="dxa"/>
            <w:gridSpan w:val="6"/>
          </w:tcPr>
          <w:p w14:paraId="26FAD73A" w14:textId="2F5DED54" w:rsidR="00D576CB" w:rsidRPr="00DE642C" w:rsidRDefault="00D576CB" w:rsidP="00D576CB">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b/>
                <w:sz w:val="20"/>
                <w:szCs w:val="20"/>
              </w:rPr>
              <w:t>1.</w:t>
            </w:r>
            <w:r w:rsidR="009476EB" w:rsidRPr="00DE642C">
              <w:rPr>
                <w:rFonts w:cs="Times New Roman"/>
                <w:b/>
                <w:sz w:val="20"/>
                <w:szCs w:val="20"/>
              </w:rPr>
              <w:t xml:space="preserve"> </w:t>
            </w:r>
            <w:r w:rsidR="009476EB" w:rsidRPr="00DE642C">
              <w:rPr>
                <w:rFonts w:cs="Times New Roman"/>
                <w:sz w:val="20"/>
                <w:szCs w:val="20"/>
              </w:rPr>
              <w:t>Usługi opiekuńcze w miejscu zamieszkania są tańsze od usług stacjonarnych. Przez co dają możliwość objęcia nimi większej liczby osób potrzebujących, nie są też ograniczone możliwościami lokalowymi.</w:t>
            </w:r>
          </w:p>
          <w:p w14:paraId="001F91AF" w14:textId="119EABB0" w:rsidR="00D576CB" w:rsidRPr="00DE642C" w:rsidRDefault="00D576CB" w:rsidP="00D576CB">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b/>
                <w:sz w:val="20"/>
                <w:szCs w:val="20"/>
              </w:rPr>
              <w:t>2.</w:t>
            </w:r>
            <w:r w:rsidR="009476EB" w:rsidRPr="00DE642C">
              <w:rPr>
                <w:rFonts w:cs="Times New Roman"/>
                <w:sz w:val="20"/>
                <w:szCs w:val="20"/>
              </w:rPr>
              <w:t xml:space="preserve"> Obserwuje się stały wzrost zainteresowania tą formą pomocy. Każdego roku osoby najstarsze są największą grupą odbiorców usług opiekuńczych.</w:t>
            </w:r>
          </w:p>
          <w:p w14:paraId="5624903C" w14:textId="77777777" w:rsidR="00D576CB" w:rsidRPr="00DE642C" w:rsidRDefault="00D576CB" w:rsidP="00D576CB">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b/>
                <w:sz w:val="20"/>
                <w:szCs w:val="20"/>
              </w:rPr>
              <w:t>3.</w:t>
            </w:r>
            <w:r w:rsidRPr="00DE642C">
              <w:rPr>
                <w:rFonts w:cs="Times New Roman"/>
                <w:sz w:val="20"/>
                <w:szCs w:val="20"/>
              </w:rPr>
              <w:t xml:space="preserve"> Usługi opiekuńcze zapewniane są wszystkim potrzebującym, zgodnie ze zgłoszonymi potrzebami. </w:t>
            </w:r>
          </w:p>
        </w:tc>
      </w:tr>
    </w:tbl>
    <w:p w14:paraId="40F7F8CA" w14:textId="77777777" w:rsidR="005C6286" w:rsidRPr="005C6286" w:rsidRDefault="005C6286" w:rsidP="005C6286">
      <w:pPr>
        <w:tabs>
          <w:tab w:val="left" w:pos="5400"/>
        </w:tabs>
        <w:rPr>
          <w:rFonts w:eastAsia="Times New Roman" w:cs="Times New Roman"/>
          <w:b/>
          <w:szCs w:val="24"/>
          <w:lang w:eastAsia="pl-PL"/>
        </w:rPr>
      </w:pPr>
      <w:r w:rsidRPr="005C6286">
        <w:rPr>
          <w:rFonts w:eastAsia="Times New Roman" w:cs="Times New Roman"/>
          <w:b/>
          <w:szCs w:val="24"/>
          <w:lang w:eastAsia="pl-PL"/>
        </w:rPr>
        <w:t xml:space="preserve">Źródło: Dane Wojewody </w:t>
      </w:r>
      <w:r>
        <w:rPr>
          <w:rFonts w:eastAsia="Times New Roman" w:cs="Times New Roman"/>
          <w:b/>
          <w:szCs w:val="24"/>
          <w:lang w:eastAsia="pl-PL"/>
        </w:rPr>
        <w:t>Podlaskiego</w:t>
      </w:r>
      <w:r w:rsidRPr="005C6286">
        <w:rPr>
          <w:rFonts w:eastAsia="Times New Roman" w:cs="Times New Roman"/>
          <w:b/>
          <w:szCs w:val="24"/>
          <w:lang w:eastAsia="pl-PL"/>
        </w:rPr>
        <w:t xml:space="preserve">. </w:t>
      </w:r>
    </w:p>
    <w:p w14:paraId="04104277" w14:textId="77777777" w:rsidR="00DB1BC8" w:rsidRPr="0092226B" w:rsidRDefault="00DB1BC8" w:rsidP="00FE70E3">
      <w:pPr>
        <w:pStyle w:val="Nagwek2"/>
        <w:numPr>
          <w:ilvl w:val="0"/>
          <w:numId w:val="12"/>
        </w:numPr>
        <w:rPr>
          <w:rFonts w:eastAsia="Times New Roman"/>
          <w:color w:val="FF0000"/>
          <w:lang w:eastAsia="ar-SA"/>
        </w:rPr>
        <w:sectPr w:rsidR="00DB1BC8" w:rsidRPr="0092226B" w:rsidSect="00DB6308">
          <w:pgSz w:w="16838" w:h="11900" w:orient="landscape"/>
          <w:pgMar w:top="1380" w:right="1384" w:bottom="1386" w:left="1038" w:header="0" w:footer="567" w:gutter="0"/>
          <w:cols w:space="0" w:equalWidth="0">
            <w:col w:w="9140"/>
          </w:cols>
          <w:docGrid w:linePitch="360"/>
        </w:sectPr>
      </w:pPr>
    </w:p>
    <w:p w14:paraId="7ED283FA" w14:textId="77777777" w:rsidR="00510B2E" w:rsidRPr="0092226B" w:rsidRDefault="0012413B" w:rsidP="00FE70E3">
      <w:pPr>
        <w:pStyle w:val="Nagwek2"/>
        <w:numPr>
          <w:ilvl w:val="1"/>
          <w:numId w:val="12"/>
        </w:numPr>
        <w:spacing w:before="240" w:after="240"/>
        <w:rPr>
          <w:rFonts w:eastAsia="Times New Roman" w:cs="Times New Roman"/>
          <w:color w:val="FF0000"/>
          <w:sz w:val="40"/>
          <w:lang w:eastAsia="ar-SA"/>
        </w:rPr>
      </w:pPr>
      <w:r>
        <w:rPr>
          <w:rFonts w:eastAsia="Times New Roman" w:cs="Times New Roman"/>
          <w:color w:val="FF0000"/>
          <w:sz w:val="40"/>
          <w:lang w:eastAsia="ar-SA"/>
        </w:rPr>
        <w:lastRenderedPageBreak/>
        <w:t xml:space="preserve"> </w:t>
      </w:r>
      <w:bookmarkStart w:id="263" w:name="_Toc80523169"/>
      <w:r w:rsidR="00B25D75" w:rsidRPr="0012413B">
        <w:rPr>
          <w:rFonts w:eastAsia="Times New Roman" w:cs="Times New Roman"/>
          <w:sz w:val="40"/>
          <w:lang w:eastAsia="ar-SA"/>
        </w:rPr>
        <w:t xml:space="preserve">Województwo </w:t>
      </w:r>
      <w:r w:rsidR="005F0A32" w:rsidRPr="0012413B">
        <w:rPr>
          <w:rFonts w:eastAsia="Times New Roman" w:cs="Times New Roman"/>
          <w:sz w:val="40"/>
          <w:lang w:eastAsia="ar-SA"/>
        </w:rPr>
        <w:t>p</w:t>
      </w:r>
      <w:r w:rsidR="00475EFA" w:rsidRPr="0012413B">
        <w:rPr>
          <w:rFonts w:eastAsia="Times New Roman" w:cs="Times New Roman"/>
          <w:sz w:val="40"/>
          <w:lang w:eastAsia="ar-SA"/>
        </w:rPr>
        <w:t>omorskie</w:t>
      </w:r>
      <w:bookmarkEnd w:id="263"/>
    </w:p>
    <w:p w14:paraId="73D307BD" w14:textId="77777777" w:rsidR="006E7700" w:rsidRPr="006E7700" w:rsidRDefault="006E7700" w:rsidP="006E7700">
      <w:pPr>
        <w:pStyle w:val="Akapitzlist"/>
        <w:keepNext/>
        <w:keepLines/>
        <w:numPr>
          <w:ilvl w:val="1"/>
          <w:numId w:val="1"/>
        </w:numPr>
        <w:spacing w:before="120" w:after="120"/>
        <w:contextualSpacing w:val="0"/>
        <w:outlineLvl w:val="1"/>
        <w:rPr>
          <w:rFonts w:eastAsiaTheme="majorEastAsia" w:cstheme="majorBidi"/>
          <w:b/>
          <w:vanish/>
          <w:color w:val="ED7D31" w:themeColor="accent2"/>
          <w:sz w:val="34"/>
          <w:szCs w:val="26"/>
          <w:lang w:eastAsia="ar-SA"/>
        </w:rPr>
      </w:pPr>
      <w:bookmarkStart w:id="264" w:name="_Toc80523170"/>
      <w:bookmarkStart w:id="265" w:name="_Toc77514013"/>
      <w:bookmarkEnd w:id="264"/>
    </w:p>
    <w:p w14:paraId="6D1E093A" w14:textId="374CA4CC" w:rsidR="00E725D4" w:rsidRDefault="00E725D4" w:rsidP="006E7700">
      <w:pPr>
        <w:pStyle w:val="Nagwek3"/>
        <w:rPr>
          <w:lang w:eastAsia="ar-SA"/>
        </w:rPr>
      </w:pPr>
      <w:bookmarkStart w:id="266" w:name="_Toc80523171"/>
      <w:r w:rsidRPr="00E725D4">
        <w:rPr>
          <w:lang w:eastAsia="ar-SA"/>
        </w:rPr>
        <w:t>Aktywność ekonomiczna i warunki bytowe</w:t>
      </w:r>
      <w:bookmarkEnd w:id="265"/>
      <w:bookmarkEnd w:id="266"/>
    </w:p>
    <w:p w14:paraId="125AEC2C" w14:textId="77777777" w:rsidR="000B1B06" w:rsidRPr="000B1B06" w:rsidRDefault="000B1B06" w:rsidP="000B1B06">
      <w:pPr>
        <w:rPr>
          <w:lang w:eastAsia="ar-SA"/>
        </w:rPr>
      </w:pPr>
    </w:p>
    <w:p w14:paraId="3454D634" w14:textId="77777777" w:rsidR="00E725D4" w:rsidRPr="00E725D4" w:rsidRDefault="00E725D4" w:rsidP="00E725D4">
      <w:pPr>
        <w:rPr>
          <w:rFonts w:cs="Times New Roman"/>
          <w:szCs w:val="24"/>
        </w:rPr>
      </w:pPr>
      <w:r w:rsidRPr="00E725D4">
        <w:rPr>
          <w:rFonts w:cs="Times New Roman"/>
          <w:szCs w:val="24"/>
        </w:rPr>
        <w:t>W 2020 r. w województwie pomorskim przeciętny miesięczny dochód rozporządzalny przypadający na 1 osobę w gospodarstwach domowych wyniósł  1799 zł. Na dochód rozporządzalny gospodarstwa domowego składają się przede wszystkim dochody z pracy najemnej oraz dochody ze świadczeń społecznych. W 2020 r. ich udział w dochodzie rozporządzalnym wyniósł odpowiednio 53,8% i 31,3%. W 2020 r. przeciętne miesięczne wydatki na 1 osobę w gospodarstwach domowych wyniosły 1329 zł.  Na żywność i napoje bezalkoholowe gospodarstwa domowe przeznaczały przeciętnie 27,3% ogólnej kwoty wydatków, na opłaty z tytułu użytkowania mieszkania lub domu i za korzystanie z nośników energii  - 18,4%, a na zdrowie – 5,3%.</w:t>
      </w:r>
    </w:p>
    <w:p w14:paraId="35AA6487" w14:textId="77777777" w:rsidR="00E725D4" w:rsidRPr="00E725D4" w:rsidRDefault="00E725D4" w:rsidP="00E725D4">
      <w:pPr>
        <w:rPr>
          <w:rFonts w:cs="Times New Roman"/>
          <w:szCs w:val="24"/>
        </w:rPr>
      </w:pPr>
    </w:p>
    <w:p w14:paraId="64DF6E80" w14:textId="77777777" w:rsidR="00E725D4" w:rsidRPr="00E725D4" w:rsidRDefault="00E725D4" w:rsidP="00E725D4">
      <w:pPr>
        <w:rPr>
          <w:rFonts w:cs="Times New Roman"/>
          <w:szCs w:val="24"/>
        </w:rPr>
      </w:pPr>
      <w:r w:rsidRPr="00E725D4">
        <w:rPr>
          <w:rFonts w:cs="Times New Roman"/>
          <w:szCs w:val="24"/>
        </w:rPr>
        <w:t>W 2020 r. swoją sytuację materialną jako bardzo dobrą i raczej dobrą oceniło 50,0% gospodarstw domowych. Udział gospodarstw określających swoją sytuację materialną jako przeciętną wyniósł 43,1%, a raczej złą i złą ukształtował się na poziomie 6,9%.</w:t>
      </w:r>
    </w:p>
    <w:p w14:paraId="6A9F0E12" w14:textId="77777777" w:rsidR="00E725D4" w:rsidRPr="00E725D4" w:rsidRDefault="00E725D4" w:rsidP="00E725D4">
      <w:pPr>
        <w:pStyle w:val="Akapitzlist"/>
        <w:ind w:left="360"/>
        <w:rPr>
          <w:rFonts w:cs="Times New Roman"/>
          <w:szCs w:val="24"/>
        </w:rPr>
      </w:pPr>
    </w:p>
    <w:p w14:paraId="72EBC61E" w14:textId="77777777" w:rsidR="00E725D4" w:rsidRPr="00E725D4" w:rsidRDefault="00E725D4" w:rsidP="00E725D4">
      <w:pPr>
        <w:rPr>
          <w:rFonts w:cs="Times New Roman"/>
          <w:szCs w:val="24"/>
        </w:rPr>
      </w:pPr>
      <w:r w:rsidRPr="00E725D4">
        <w:rPr>
          <w:rFonts w:cs="Times New Roman"/>
          <w:szCs w:val="24"/>
        </w:rPr>
        <w:t>W analizowanym roku przeciętna liczba osób w gospodarstwie domowym ukształtowała się na poziomie 2,56. Przeciętna powierzchnia użytkowa mieszkania zajmowana przez gospodarstwo domowe wyniosła 72,28 m</w:t>
      </w:r>
      <w:r w:rsidRPr="00E725D4">
        <w:rPr>
          <w:rFonts w:cs="Times New Roman"/>
          <w:szCs w:val="24"/>
          <w:vertAlign w:val="superscript"/>
        </w:rPr>
        <w:t>2</w:t>
      </w:r>
      <w:r w:rsidRPr="00E725D4">
        <w:rPr>
          <w:rFonts w:cs="Times New Roman"/>
          <w:szCs w:val="24"/>
        </w:rPr>
        <w:t>.</w:t>
      </w:r>
    </w:p>
    <w:p w14:paraId="5A1C5738" w14:textId="77777777" w:rsidR="00E725D4" w:rsidRPr="00E725D4" w:rsidRDefault="00E725D4" w:rsidP="00E725D4">
      <w:pPr>
        <w:pStyle w:val="Akapitzlist"/>
        <w:ind w:left="360"/>
        <w:rPr>
          <w:rFonts w:cs="Times New Roman"/>
          <w:szCs w:val="24"/>
        </w:rPr>
      </w:pPr>
    </w:p>
    <w:p w14:paraId="0C4AF5F5" w14:textId="4F77FDC1" w:rsidR="00E725D4" w:rsidRDefault="00E725D4" w:rsidP="00E725D4">
      <w:pPr>
        <w:pStyle w:val="Legenda"/>
        <w:keepNext/>
        <w:rPr>
          <w:rFonts w:cs="Times New Roman"/>
          <w:b/>
          <w:i w:val="0"/>
          <w:color w:val="auto"/>
          <w:sz w:val="24"/>
        </w:rPr>
      </w:pPr>
      <w:r w:rsidRPr="00432294">
        <w:rPr>
          <w:rFonts w:cs="Times New Roman"/>
          <w:b/>
          <w:i w:val="0"/>
          <w:color w:val="auto"/>
          <w:sz w:val="24"/>
        </w:rPr>
        <w:t xml:space="preserve">Tabela </w:t>
      </w:r>
      <w:r w:rsidR="005B094D">
        <w:rPr>
          <w:rFonts w:cs="Times New Roman"/>
          <w:b/>
          <w:i w:val="0"/>
          <w:color w:val="auto"/>
          <w:sz w:val="24"/>
        </w:rPr>
        <w:t>69</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Aktywność ekonomiczna osób starszych w województwie pomorskim</w:t>
      </w:r>
    </w:p>
    <w:tbl>
      <w:tblPr>
        <w:tblStyle w:val="Tabelasiatki6kolorowaakcent24"/>
        <w:tblpPr w:leftFromText="141" w:rightFromText="141" w:vertAnchor="text" w:tblpXSpec="center" w:tblpY="1"/>
        <w:tblW w:w="9067" w:type="dxa"/>
        <w:tblLayout w:type="fixed"/>
        <w:tblLook w:val="04A0" w:firstRow="1" w:lastRow="0" w:firstColumn="1" w:lastColumn="0" w:noHBand="0" w:noVBand="1"/>
      </w:tblPr>
      <w:tblGrid>
        <w:gridCol w:w="1417"/>
        <w:gridCol w:w="3969"/>
        <w:gridCol w:w="3681"/>
      </w:tblGrid>
      <w:tr w:rsidR="00E725D4" w:rsidRPr="0026268D" w14:paraId="1DA09BCB" w14:textId="77777777" w:rsidTr="00044103">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067" w:type="dxa"/>
            <w:gridSpan w:val="3"/>
          </w:tcPr>
          <w:p w14:paraId="32CA8016" w14:textId="77777777" w:rsidR="00E725D4" w:rsidRPr="0026268D" w:rsidRDefault="00E725D4" w:rsidP="00044103">
            <w:pPr>
              <w:spacing w:line="240" w:lineRule="auto"/>
              <w:jc w:val="center"/>
              <w:rPr>
                <w:rFonts w:cs="Times New Roman"/>
                <w:b w:val="0"/>
                <w:bCs w:val="0"/>
                <w:color w:val="auto"/>
                <w:sz w:val="20"/>
                <w:szCs w:val="20"/>
              </w:rPr>
            </w:pPr>
            <w:r w:rsidRPr="0026268D">
              <w:rPr>
                <w:rFonts w:cs="Times New Roman"/>
                <w:b w:val="0"/>
                <w:bCs w:val="0"/>
                <w:color w:val="auto"/>
                <w:sz w:val="20"/>
                <w:szCs w:val="20"/>
                <w:lang w:eastAsia="pl-PL"/>
              </w:rPr>
              <w:t>AKTYWNOŚĆ EKONOMICZNA OSÓB STARSZYCH – DANE ZA 2020 R.</w:t>
            </w:r>
          </w:p>
        </w:tc>
      </w:tr>
      <w:tr w:rsidR="00E725D4" w:rsidRPr="0026268D" w14:paraId="5C7BE597" w14:textId="77777777" w:rsidTr="00B27D68">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386" w:type="dxa"/>
            <w:gridSpan w:val="2"/>
          </w:tcPr>
          <w:p w14:paraId="35857F62" w14:textId="77777777" w:rsidR="00E725D4" w:rsidRPr="0026268D" w:rsidRDefault="00E725D4" w:rsidP="00044103">
            <w:pPr>
              <w:spacing w:line="240" w:lineRule="auto"/>
              <w:rPr>
                <w:rFonts w:cs="Times New Roman"/>
                <w:b w:val="0"/>
                <w:bCs w:val="0"/>
                <w:color w:val="auto"/>
                <w:sz w:val="20"/>
                <w:szCs w:val="20"/>
              </w:rPr>
            </w:pPr>
            <w:r w:rsidRPr="0026268D">
              <w:rPr>
                <w:rFonts w:cs="Times New Roman"/>
                <w:b w:val="0"/>
                <w:bCs w:val="0"/>
                <w:color w:val="auto"/>
                <w:sz w:val="20"/>
                <w:szCs w:val="20"/>
              </w:rPr>
              <w:t>Podział</w:t>
            </w:r>
          </w:p>
        </w:tc>
        <w:tc>
          <w:tcPr>
            <w:tcW w:w="3681" w:type="dxa"/>
          </w:tcPr>
          <w:p w14:paraId="5D7494C3" w14:textId="77777777" w:rsidR="00E725D4" w:rsidRPr="0026268D" w:rsidRDefault="00E725D4" w:rsidP="00044103">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26268D">
              <w:rPr>
                <w:rFonts w:cs="Times New Roman"/>
                <w:b/>
                <w:color w:val="auto"/>
                <w:sz w:val="20"/>
                <w:szCs w:val="20"/>
              </w:rPr>
              <w:t>Liczba</w:t>
            </w:r>
          </w:p>
        </w:tc>
      </w:tr>
      <w:tr w:rsidR="00E725D4" w:rsidRPr="0026268D" w14:paraId="1895FF2F" w14:textId="77777777" w:rsidTr="00044103">
        <w:trPr>
          <w:trHeight w:val="224"/>
        </w:trPr>
        <w:tc>
          <w:tcPr>
            <w:cnfStyle w:val="001000000000" w:firstRow="0" w:lastRow="0" w:firstColumn="1" w:lastColumn="0" w:oddVBand="0" w:evenVBand="0" w:oddHBand="0" w:evenHBand="0" w:firstRowFirstColumn="0" w:firstRowLastColumn="0" w:lastRowFirstColumn="0" w:lastRowLastColumn="0"/>
            <w:tcW w:w="1417" w:type="dxa"/>
            <w:vMerge w:val="restart"/>
          </w:tcPr>
          <w:p w14:paraId="1823A926" w14:textId="77777777" w:rsidR="00E725D4" w:rsidRPr="0026268D" w:rsidRDefault="00E725D4" w:rsidP="00044103">
            <w:pPr>
              <w:spacing w:line="240" w:lineRule="auto"/>
              <w:rPr>
                <w:rFonts w:cs="Times New Roman"/>
                <w:bCs w:val="0"/>
                <w:color w:val="auto"/>
                <w:sz w:val="20"/>
                <w:szCs w:val="20"/>
                <w:lang w:eastAsia="pl-PL"/>
              </w:rPr>
            </w:pPr>
            <w:r w:rsidRPr="0026268D">
              <w:rPr>
                <w:rFonts w:cs="Times New Roman"/>
                <w:b w:val="0"/>
                <w:bCs w:val="0"/>
                <w:color w:val="auto"/>
                <w:sz w:val="20"/>
                <w:szCs w:val="20"/>
                <w:lang w:eastAsia="pl-PL"/>
              </w:rPr>
              <w:t>Osoby aktywne zawodowo razem (w tys.)</w:t>
            </w:r>
          </w:p>
        </w:tc>
        <w:tc>
          <w:tcPr>
            <w:tcW w:w="3969" w:type="dxa"/>
          </w:tcPr>
          <w:p w14:paraId="2B1CE1BC"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ogółem</w:t>
            </w:r>
          </w:p>
        </w:tc>
        <w:tc>
          <w:tcPr>
            <w:tcW w:w="3681" w:type="dxa"/>
          </w:tcPr>
          <w:p w14:paraId="0E0CB55A"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1057</w:t>
            </w:r>
          </w:p>
        </w:tc>
      </w:tr>
      <w:tr w:rsidR="00E725D4" w:rsidRPr="0026268D" w14:paraId="39C4399F" w14:textId="77777777" w:rsidTr="00B27D68">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417" w:type="dxa"/>
            <w:vMerge/>
          </w:tcPr>
          <w:p w14:paraId="4D6B7E79" w14:textId="77777777" w:rsidR="00E725D4" w:rsidRPr="0026268D" w:rsidRDefault="00E725D4" w:rsidP="00044103">
            <w:pPr>
              <w:spacing w:line="240" w:lineRule="auto"/>
              <w:rPr>
                <w:rFonts w:cs="Times New Roman"/>
                <w:bCs w:val="0"/>
                <w:color w:val="auto"/>
                <w:sz w:val="20"/>
                <w:szCs w:val="20"/>
                <w:lang w:eastAsia="pl-PL"/>
              </w:rPr>
            </w:pPr>
          </w:p>
        </w:tc>
        <w:tc>
          <w:tcPr>
            <w:tcW w:w="3969" w:type="dxa"/>
          </w:tcPr>
          <w:p w14:paraId="2FDFBDFA"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w tym w wieku 60+</w:t>
            </w:r>
          </w:p>
        </w:tc>
        <w:tc>
          <w:tcPr>
            <w:tcW w:w="3681" w:type="dxa"/>
          </w:tcPr>
          <w:p w14:paraId="3587E761"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93</w:t>
            </w:r>
          </w:p>
        </w:tc>
      </w:tr>
      <w:tr w:rsidR="00E725D4" w:rsidRPr="0026268D" w14:paraId="5FFC6D4A" w14:textId="77777777" w:rsidTr="00044103">
        <w:trPr>
          <w:trHeight w:val="285"/>
        </w:trPr>
        <w:tc>
          <w:tcPr>
            <w:cnfStyle w:val="001000000000" w:firstRow="0" w:lastRow="0" w:firstColumn="1" w:lastColumn="0" w:oddVBand="0" w:evenVBand="0" w:oddHBand="0" w:evenHBand="0" w:firstRowFirstColumn="0" w:firstRowLastColumn="0" w:lastRowFirstColumn="0" w:lastRowLastColumn="0"/>
            <w:tcW w:w="1417" w:type="dxa"/>
            <w:vMerge w:val="restart"/>
          </w:tcPr>
          <w:p w14:paraId="37E36A3F" w14:textId="77777777" w:rsidR="00E725D4" w:rsidRPr="0026268D" w:rsidRDefault="00E725D4" w:rsidP="00044103">
            <w:pPr>
              <w:spacing w:line="240" w:lineRule="auto"/>
              <w:rPr>
                <w:rFonts w:cs="Times New Roman"/>
                <w:bCs w:val="0"/>
                <w:color w:val="auto"/>
                <w:sz w:val="20"/>
                <w:szCs w:val="20"/>
                <w:lang w:eastAsia="pl-PL"/>
              </w:rPr>
            </w:pPr>
            <w:r w:rsidRPr="0026268D">
              <w:rPr>
                <w:rFonts w:cs="Times New Roman"/>
                <w:b w:val="0"/>
                <w:bCs w:val="0"/>
                <w:color w:val="auto"/>
                <w:sz w:val="20"/>
                <w:szCs w:val="20"/>
                <w:lang w:eastAsia="pl-PL"/>
              </w:rPr>
              <w:t xml:space="preserve">Osoby aktywne zawodowo </w:t>
            </w:r>
            <w:r w:rsidRPr="0026268D">
              <w:rPr>
                <w:rFonts w:cs="Times New Roman"/>
                <w:b w:val="0"/>
                <w:bCs w:val="0"/>
                <w:color w:val="auto"/>
                <w:sz w:val="20"/>
                <w:szCs w:val="20"/>
                <w:lang w:eastAsia="pl-PL"/>
              </w:rPr>
              <w:br/>
              <w:t>– pracujący (w tys.)</w:t>
            </w:r>
          </w:p>
        </w:tc>
        <w:tc>
          <w:tcPr>
            <w:tcW w:w="3969" w:type="dxa"/>
          </w:tcPr>
          <w:p w14:paraId="2A6FB26D"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Ogółem</w:t>
            </w:r>
          </w:p>
        </w:tc>
        <w:tc>
          <w:tcPr>
            <w:tcW w:w="3681" w:type="dxa"/>
          </w:tcPr>
          <w:p w14:paraId="1A1CDAA3"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1024</w:t>
            </w:r>
          </w:p>
        </w:tc>
      </w:tr>
      <w:tr w:rsidR="00E725D4" w:rsidRPr="0026268D" w14:paraId="7A43B031" w14:textId="77777777" w:rsidTr="00B27D68">
        <w:trPr>
          <w:cnfStyle w:val="000000100000" w:firstRow="0" w:lastRow="0" w:firstColumn="0" w:lastColumn="0" w:oddVBand="0" w:evenVBand="0" w:oddHBand="1"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1417" w:type="dxa"/>
            <w:vMerge/>
          </w:tcPr>
          <w:p w14:paraId="71F9940F" w14:textId="77777777" w:rsidR="00E725D4" w:rsidRPr="0026268D" w:rsidRDefault="00E725D4" w:rsidP="00044103">
            <w:pPr>
              <w:spacing w:line="240" w:lineRule="auto"/>
              <w:rPr>
                <w:rFonts w:cs="Times New Roman"/>
                <w:bCs w:val="0"/>
                <w:color w:val="auto"/>
                <w:sz w:val="20"/>
                <w:szCs w:val="20"/>
                <w:lang w:eastAsia="pl-PL"/>
              </w:rPr>
            </w:pPr>
          </w:p>
        </w:tc>
        <w:tc>
          <w:tcPr>
            <w:tcW w:w="3969" w:type="dxa"/>
          </w:tcPr>
          <w:p w14:paraId="0EB1FE09"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w tym w wieku 60+</w:t>
            </w:r>
          </w:p>
        </w:tc>
        <w:tc>
          <w:tcPr>
            <w:tcW w:w="3681" w:type="dxa"/>
          </w:tcPr>
          <w:p w14:paraId="5D6B590A"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92</w:t>
            </w:r>
          </w:p>
        </w:tc>
      </w:tr>
      <w:tr w:rsidR="00E725D4" w:rsidRPr="0026268D" w14:paraId="172231DD" w14:textId="77777777" w:rsidTr="00044103">
        <w:trPr>
          <w:trHeight w:val="224"/>
        </w:trPr>
        <w:tc>
          <w:tcPr>
            <w:cnfStyle w:val="001000000000" w:firstRow="0" w:lastRow="0" w:firstColumn="1" w:lastColumn="0" w:oddVBand="0" w:evenVBand="0" w:oddHBand="0" w:evenHBand="0" w:firstRowFirstColumn="0" w:firstRowLastColumn="0" w:lastRowFirstColumn="0" w:lastRowLastColumn="0"/>
            <w:tcW w:w="1417" w:type="dxa"/>
            <w:vMerge w:val="restart"/>
          </w:tcPr>
          <w:p w14:paraId="11CB46A8" w14:textId="77777777" w:rsidR="00E725D4" w:rsidRPr="0026268D" w:rsidRDefault="00E725D4" w:rsidP="00044103">
            <w:pPr>
              <w:spacing w:line="240" w:lineRule="auto"/>
              <w:rPr>
                <w:rFonts w:cs="Times New Roman"/>
                <w:bCs w:val="0"/>
                <w:color w:val="auto"/>
                <w:sz w:val="20"/>
                <w:szCs w:val="20"/>
                <w:lang w:eastAsia="pl-PL"/>
              </w:rPr>
            </w:pPr>
            <w:r w:rsidRPr="0026268D">
              <w:rPr>
                <w:rFonts w:cs="Times New Roman"/>
                <w:b w:val="0"/>
                <w:bCs w:val="0"/>
                <w:color w:val="auto"/>
                <w:sz w:val="20"/>
                <w:szCs w:val="20"/>
                <w:lang w:eastAsia="pl-PL"/>
              </w:rPr>
              <w:t>Osoby bierne zawodowo (w tys.)</w:t>
            </w:r>
          </w:p>
        </w:tc>
        <w:tc>
          <w:tcPr>
            <w:tcW w:w="3969" w:type="dxa"/>
          </w:tcPr>
          <w:p w14:paraId="3E626270"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ogółem</w:t>
            </w:r>
          </w:p>
        </w:tc>
        <w:tc>
          <w:tcPr>
            <w:tcW w:w="3681" w:type="dxa"/>
          </w:tcPr>
          <w:p w14:paraId="5F67407F"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754</w:t>
            </w:r>
          </w:p>
        </w:tc>
      </w:tr>
      <w:tr w:rsidR="00E725D4" w:rsidRPr="0026268D" w14:paraId="684FFC06" w14:textId="77777777" w:rsidTr="0004410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417" w:type="dxa"/>
            <w:vMerge/>
          </w:tcPr>
          <w:p w14:paraId="15DFAA14" w14:textId="77777777" w:rsidR="00E725D4" w:rsidRPr="0026268D" w:rsidRDefault="00E725D4" w:rsidP="00044103">
            <w:pPr>
              <w:spacing w:line="240" w:lineRule="auto"/>
              <w:rPr>
                <w:rFonts w:cs="Times New Roman"/>
                <w:bCs w:val="0"/>
                <w:color w:val="auto"/>
                <w:sz w:val="20"/>
                <w:szCs w:val="20"/>
                <w:lang w:eastAsia="pl-PL"/>
              </w:rPr>
            </w:pPr>
          </w:p>
        </w:tc>
        <w:tc>
          <w:tcPr>
            <w:tcW w:w="3969" w:type="dxa"/>
          </w:tcPr>
          <w:p w14:paraId="408C7CFC"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w tym w wieku 60+</w:t>
            </w:r>
          </w:p>
        </w:tc>
        <w:tc>
          <w:tcPr>
            <w:tcW w:w="3681" w:type="dxa"/>
          </w:tcPr>
          <w:p w14:paraId="68A3A078"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451</w:t>
            </w:r>
          </w:p>
        </w:tc>
      </w:tr>
      <w:tr w:rsidR="00E725D4" w:rsidRPr="0026268D" w14:paraId="0A055FCB" w14:textId="77777777" w:rsidTr="00044103">
        <w:trPr>
          <w:trHeight w:val="285"/>
        </w:trPr>
        <w:tc>
          <w:tcPr>
            <w:cnfStyle w:val="001000000000" w:firstRow="0" w:lastRow="0" w:firstColumn="1" w:lastColumn="0" w:oddVBand="0" w:evenVBand="0" w:oddHBand="0" w:evenHBand="0" w:firstRowFirstColumn="0" w:firstRowLastColumn="0" w:lastRowFirstColumn="0" w:lastRowLastColumn="0"/>
            <w:tcW w:w="1417" w:type="dxa"/>
            <w:vMerge w:val="restart"/>
          </w:tcPr>
          <w:p w14:paraId="5F84699D" w14:textId="77777777" w:rsidR="00E725D4" w:rsidRPr="0026268D" w:rsidRDefault="00E725D4" w:rsidP="00044103">
            <w:pPr>
              <w:spacing w:line="240" w:lineRule="auto"/>
              <w:rPr>
                <w:rFonts w:cs="Times New Roman"/>
                <w:bCs w:val="0"/>
                <w:color w:val="auto"/>
                <w:sz w:val="20"/>
                <w:szCs w:val="20"/>
                <w:lang w:eastAsia="pl-PL"/>
              </w:rPr>
            </w:pPr>
            <w:r w:rsidRPr="0026268D">
              <w:rPr>
                <w:rFonts w:cs="Times New Roman"/>
                <w:b w:val="0"/>
                <w:bCs w:val="0"/>
                <w:color w:val="auto"/>
                <w:sz w:val="20"/>
                <w:szCs w:val="20"/>
                <w:lang w:eastAsia="pl-PL"/>
              </w:rPr>
              <w:t>Współczynnik aktywności zawodowej %</w:t>
            </w:r>
          </w:p>
        </w:tc>
        <w:tc>
          <w:tcPr>
            <w:tcW w:w="3969" w:type="dxa"/>
          </w:tcPr>
          <w:p w14:paraId="75D49A67"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Ogółem</w:t>
            </w:r>
          </w:p>
        </w:tc>
        <w:tc>
          <w:tcPr>
            <w:tcW w:w="3681" w:type="dxa"/>
          </w:tcPr>
          <w:p w14:paraId="7834509C"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58,4</w:t>
            </w:r>
          </w:p>
        </w:tc>
      </w:tr>
      <w:tr w:rsidR="00E725D4" w:rsidRPr="0026268D" w14:paraId="273C15A5" w14:textId="77777777" w:rsidTr="0004410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17" w:type="dxa"/>
            <w:vMerge/>
          </w:tcPr>
          <w:p w14:paraId="0B38B09D" w14:textId="77777777" w:rsidR="00E725D4" w:rsidRPr="0026268D" w:rsidRDefault="00E725D4" w:rsidP="00044103">
            <w:pPr>
              <w:spacing w:line="240" w:lineRule="auto"/>
              <w:rPr>
                <w:rFonts w:cs="Times New Roman"/>
                <w:bCs w:val="0"/>
                <w:color w:val="auto"/>
                <w:sz w:val="20"/>
                <w:szCs w:val="20"/>
                <w:lang w:eastAsia="pl-PL"/>
              </w:rPr>
            </w:pPr>
          </w:p>
        </w:tc>
        <w:tc>
          <w:tcPr>
            <w:tcW w:w="3969" w:type="dxa"/>
          </w:tcPr>
          <w:p w14:paraId="18DC1D8D"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w tym w wieku 60+</w:t>
            </w:r>
          </w:p>
        </w:tc>
        <w:tc>
          <w:tcPr>
            <w:tcW w:w="3681" w:type="dxa"/>
          </w:tcPr>
          <w:p w14:paraId="4F666BA2"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17,1</w:t>
            </w:r>
          </w:p>
        </w:tc>
      </w:tr>
      <w:tr w:rsidR="00E725D4" w:rsidRPr="0026268D" w14:paraId="48E6C451" w14:textId="77777777" w:rsidTr="00044103">
        <w:trPr>
          <w:trHeight w:val="143"/>
        </w:trPr>
        <w:tc>
          <w:tcPr>
            <w:cnfStyle w:val="001000000000" w:firstRow="0" w:lastRow="0" w:firstColumn="1" w:lastColumn="0" w:oddVBand="0" w:evenVBand="0" w:oddHBand="0" w:evenHBand="0" w:firstRowFirstColumn="0" w:firstRowLastColumn="0" w:lastRowFirstColumn="0" w:lastRowLastColumn="0"/>
            <w:tcW w:w="1417" w:type="dxa"/>
            <w:vMerge w:val="restart"/>
          </w:tcPr>
          <w:p w14:paraId="47173514" w14:textId="77777777" w:rsidR="00E725D4" w:rsidRPr="0026268D" w:rsidRDefault="00E725D4" w:rsidP="00044103">
            <w:pPr>
              <w:spacing w:line="240" w:lineRule="auto"/>
              <w:rPr>
                <w:rFonts w:cs="Times New Roman"/>
                <w:bCs w:val="0"/>
                <w:color w:val="auto"/>
                <w:sz w:val="20"/>
                <w:szCs w:val="20"/>
                <w:lang w:eastAsia="pl-PL"/>
              </w:rPr>
            </w:pPr>
            <w:r w:rsidRPr="0026268D">
              <w:rPr>
                <w:rFonts w:cs="Times New Roman"/>
                <w:b w:val="0"/>
                <w:bCs w:val="0"/>
                <w:color w:val="auto"/>
                <w:sz w:val="20"/>
                <w:szCs w:val="20"/>
                <w:lang w:eastAsia="pl-PL"/>
              </w:rPr>
              <w:t>Wskaźnik zatrudnienia %</w:t>
            </w:r>
          </w:p>
        </w:tc>
        <w:tc>
          <w:tcPr>
            <w:tcW w:w="3969" w:type="dxa"/>
          </w:tcPr>
          <w:p w14:paraId="605C2DCF"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ogółem</w:t>
            </w:r>
          </w:p>
        </w:tc>
        <w:tc>
          <w:tcPr>
            <w:tcW w:w="3681" w:type="dxa"/>
          </w:tcPr>
          <w:p w14:paraId="4B564D78"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56,5</w:t>
            </w:r>
          </w:p>
        </w:tc>
      </w:tr>
      <w:tr w:rsidR="00E725D4" w:rsidRPr="0026268D" w14:paraId="705FED81" w14:textId="77777777" w:rsidTr="00044103">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417" w:type="dxa"/>
            <w:vMerge/>
          </w:tcPr>
          <w:p w14:paraId="58063B74" w14:textId="77777777" w:rsidR="00E725D4" w:rsidRPr="0026268D" w:rsidRDefault="00E725D4" w:rsidP="00044103">
            <w:pPr>
              <w:spacing w:line="240" w:lineRule="auto"/>
              <w:rPr>
                <w:rFonts w:cs="Times New Roman"/>
                <w:bCs w:val="0"/>
                <w:color w:val="auto"/>
                <w:sz w:val="20"/>
                <w:szCs w:val="20"/>
                <w:lang w:eastAsia="pl-PL"/>
              </w:rPr>
            </w:pPr>
          </w:p>
        </w:tc>
        <w:tc>
          <w:tcPr>
            <w:tcW w:w="3969" w:type="dxa"/>
          </w:tcPr>
          <w:p w14:paraId="0223BDCA"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w tym w wieku 60+</w:t>
            </w:r>
          </w:p>
        </w:tc>
        <w:tc>
          <w:tcPr>
            <w:tcW w:w="3681" w:type="dxa"/>
          </w:tcPr>
          <w:p w14:paraId="3034B065"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16,9</w:t>
            </w:r>
          </w:p>
        </w:tc>
      </w:tr>
      <w:tr w:rsidR="00E725D4" w:rsidRPr="0026268D" w14:paraId="330B138F" w14:textId="77777777" w:rsidTr="00044103">
        <w:trPr>
          <w:trHeight w:val="282"/>
        </w:trPr>
        <w:tc>
          <w:tcPr>
            <w:cnfStyle w:val="001000000000" w:firstRow="0" w:lastRow="0" w:firstColumn="1" w:lastColumn="0" w:oddVBand="0" w:evenVBand="0" w:oddHBand="0" w:evenHBand="0" w:firstRowFirstColumn="0" w:firstRowLastColumn="0" w:lastRowFirstColumn="0" w:lastRowLastColumn="0"/>
            <w:tcW w:w="1417" w:type="dxa"/>
            <w:vMerge w:val="restart"/>
          </w:tcPr>
          <w:p w14:paraId="2B276467" w14:textId="77777777" w:rsidR="00E725D4" w:rsidRPr="0026268D" w:rsidRDefault="00E725D4" w:rsidP="00044103">
            <w:pPr>
              <w:spacing w:line="240" w:lineRule="auto"/>
              <w:rPr>
                <w:rFonts w:cs="Times New Roman"/>
                <w:bCs w:val="0"/>
                <w:color w:val="auto"/>
                <w:sz w:val="20"/>
                <w:szCs w:val="20"/>
                <w:lang w:eastAsia="pl-PL"/>
              </w:rPr>
            </w:pPr>
            <w:r w:rsidRPr="0026268D">
              <w:rPr>
                <w:rFonts w:eastAsia="Times New Roman" w:cs="Times New Roman"/>
                <w:b w:val="0"/>
                <w:bCs w:val="0"/>
                <w:color w:val="auto"/>
                <w:sz w:val="20"/>
                <w:szCs w:val="20"/>
                <w:lang w:eastAsia="pl-PL"/>
              </w:rPr>
              <w:t xml:space="preserve">Osoby bierne zawodowo  w wieku 60 lat i więcej według wybranych przyczyn bierności </w:t>
            </w:r>
            <w:r w:rsidRPr="0026268D">
              <w:rPr>
                <w:rFonts w:eastAsia="Times New Roman" w:cs="Times New Roman"/>
                <w:b w:val="0"/>
                <w:bCs w:val="0"/>
                <w:color w:val="auto"/>
                <w:sz w:val="20"/>
                <w:szCs w:val="20"/>
                <w:lang w:eastAsia="pl-PL"/>
              </w:rPr>
              <w:br/>
              <w:t>(w tys.)</w:t>
            </w:r>
          </w:p>
        </w:tc>
        <w:tc>
          <w:tcPr>
            <w:tcW w:w="3969" w:type="dxa"/>
          </w:tcPr>
          <w:p w14:paraId="214384AF"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ogółem</w:t>
            </w:r>
          </w:p>
        </w:tc>
        <w:tc>
          <w:tcPr>
            <w:tcW w:w="3681" w:type="dxa"/>
          </w:tcPr>
          <w:p w14:paraId="3645E911"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451</w:t>
            </w:r>
          </w:p>
        </w:tc>
      </w:tr>
      <w:tr w:rsidR="00E725D4" w:rsidRPr="0026268D" w14:paraId="324749CB" w14:textId="77777777" w:rsidTr="0004410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17" w:type="dxa"/>
            <w:vMerge/>
          </w:tcPr>
          <w:p w14:paraId="4AFA1B62" w14:textId="77777777" w:rsidR="00E725D4" w:rsidRPr="0026268D" w:rsidRDefault="00E725D4" w:rsidP="00044103">
            <w:pPr>
              <w:spacing w:line="240" w:lineRule="auto"/>
              <w:rPr>
                <w:rFonts w:eastAsia="Times New Roman" w:cs="Times New Roman"/>
                <w:color w:val="auto"/>
                <w:sz w:val="20"/>
                <w:szCs w:val="20"/>
                <w:lang w:eastAsia="pl-PL"/>
              </w:rPr>
            </w:pPr>
          </w:p>
        </w:tc>
        <w:tc>
          <w:tcPr>
            <w:tcW w:w="7650" w:type="dxa"/>
            <w:gridSpan w:val="2"/>
          </w:tcPr>
          <w:p w14:paraId="77F94E8C"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w tym:</w:t>
            </w:r>
          </w:p>
        </w:tc>
      </w:tr>
      <w:tr w:rsidR="00E725D4" w:rsidRPr="0026268D" w14:paraId="0BD7B231" w14:textId="77777777" w:rsidTr="00044103">
        <w:trPr>
          <w:trHeight w:val="280"/>
        </w:trPr>
        <w:tc>
          <w:tcPr>
            <w:cnfStyle w:val="001000000000" w:firstRow="0" w:lastRow="0" w:firstColumn="1" w:lastColumn="0" w:oddVBand="0" w:evenVBand="0" w:oddHBand="0" w:evenHBand="0" w:firstRowFirstColumn="0" w:firstRowLastColumn="0" w:lastRowFirstColumn="0" w:lastRowLastColumn="0"/>
            <w:tcW w:w="1417" w:type="dxa"/>
            <w:vMerge/>
          </w:tcPr>
          <w:p w14:paraId="73E6D12D" w14:textId="77777777" w:rsidR="00E725D4" w:rsidRPr="0026268D" w:rsidRDefault="00E725D4" w:rsidP="00044103">
            <w:pPr>
              <w:spacing w:line="240" w:lineRule="auto"/>
              <w:rPr>
                <w:rFonts w:eastAsia="Times New Roman" w:cs="Times New Roman"/>
                <w:color w:val="auto"/>
                <w:sz w:val="20"/>
                <w:szCs w:val="20"/>
                <w:lang w:eastAsia="pl-PL"/>
              </w:rPr>
            </w:pPr>
          </w:p>
        </w:tc>
        <w:tc>
          <w:tcPr>
            <w:tcW w:w="3969" w:type="dxa"/>
          </w:tcPr>
          <w:p w14:paraId="78F3A2C8"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26268D">
              <w:rPr>
                <w:rFonts w:eastAsia="Times New Roman" w:cs="Times New Roman"/>
                <w:color w:val="auto"/>
                <w:sz w:val="20"/>
                <w:szCs w:val="20"/>
                <w:lang w:eastAsia="pl-PL"/>
              </w:rPr>
              <w:t>osoby nieposzukujące pracy - razem</w:t>
            </w:r>
          </w:p>
        </w:tc>
        <w:tc>
          <w:tcPr>
            <w:tcW w:w="3681" w:type="dxa"/>
          </w:tcPr>
          <w:p w14:paraId="35B8C12D"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451</w:t>
            </w:r>
          </w:p>
        </w:tc>
      </w:tr>
      <w:tr w:rsidR="00E725D4" w:rsidRPr="0026268D" w14:paraId="4A36C3FF" w14:textId="77777777" w:rsidTr="0004410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17" w:type="dxa"/>
            <w:vMerge/>
          </w:tcPr>
          <w:p w14:paraId="6CDBC948" w14:textId="77777777" w:rsidR="00E725D4" w:rsidRPr="0026268D" w:rsidRDefault="00E725D4" w:rsidP="00044103">
            <w:pPr>
              <w:spacing w:line="240" w:lineRule="auto"/>
              <w:rPr>
                <w:rFonts w:eastAsia="Times New Roman" w:cs="Times New Roman"/>
                <w:color w:val="auto"/>
                <w:sz w:val="20"/>
                <w:szCs w:val="20"/>
                <w:lang w:eastAsia="pl-PL"/>
              </w:rPr>
            </w:pPr>
          </w:p>
        </w:tc>
        <w:tc>
          <w:tcPr>
            <w:tcW w:w="3969" w:type="dxa"/>
          </w:tcPr>
          <w:p w14:paraId="46C5B3EF"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eastAsia="Times New Roman" w:cs="Times New Roman"/>
                <w:color w:val="auto"/>
                <w:sz w:val="20"/>
                <w:szCs w:val="20"/>
                <w:lang w:eastAsia="pl-PL"/>
              </w:rPr>
              <w:t>osoby nieposzukujące pracy - emerytura</w:t>
            </w:r>
          </w:p>
        </w:tc>
        <w:tc>
          <w:tcPr>
            <w:tcW w:w="3681" w:type="dxa"/>
          </w:tcPr>
          <w:p w14:paraId="2994BD81"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405</w:t>
            </w:r>
          </w:p>
        </w:tc>
      </w:tr>
      <w:tr w:rsidR="00E725D4" w:rsidRPr="0026268D" w14:paraId="2926929B" w14:textId="77777777" w:rsidTr="00044103">
        <w:trPr>
          <w:trHeight w:val="280"/>
        </w:trPr>
        <w:tc>
          <w:tcPr>
            <w:cnfStyle w:val="001000000000" w:firstRow="0" w:lastRow="0" w:firstColumn="1" w:lastColumn="0" w:oddVBand="0" w:evenVBand="0" w:oddHBand="0" w:evenHBand="0" w:firstRowFirstColumn="0" w:firstRowLastColumn="0" w:lastRowFirstColumn="0" w:lastRowLastColumn="0"/>
            <w:tcW w:w="1417" w:type="dxa"/>
            <w:vMerge/>
          </w:tcPr>
          <w:p w14:paraId="3209E814" w14:textId="77777777" w:rsidR="00E725D4" w:rsidRPr="0026268D" w:rsidRDefault="00E725D4" w:rsidP="00044103">
            <w:pPr>
              <w:spacing w:line="240" w:lineRule="auto"/>
              <w:rPr>
                <w:rFonts w:eastAsia="Times New Roman" w:cs="Times New Roman"/>
                <w:color w:val="auto"/>
                <w:sz w:val="20"/>
                <w:szCs w:val="20"/>
                <w:lang w:eastAsia="pl-PL"/>
              </w:rPr>
            </w:pPr>
          </w:p>
        </w:tc>
        <w:tc>
          <w:tcPr>
            <w:tcW w:w="3969" w:type="dxa"/>
          </w:tcPr>
          <w:p w14:paraId="411903F5"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eastAsia="Times New Roman" w:cs="Times New Roman"/>
                <w:color w:val="auto"/>
                <w:sz w:val="20"/>
                <w:szCs w:val="20"/>
                <w:lang w:eastAsia="pl-PL"/>
              </w:rPr>
              <w:t>osoby nieposzukujące pracy - choroba, niepełnosprawność</w:t>
            </w:r>
          </w:p>
        </w:tc>
        <w:tc>
          <w:tcPr>
            <w:tcW w:w="3681" w:type="dxa"/>
          </w:tcPr>
          <w:p w14:paraId="77B9ACC9"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29</w:t>
            </w:r>
          </w:p>
        </w:tc>
      </w:tr>
      <w:tr w:rsidR="00E725D4" w:rsidRPr="0026268D" w14:paraId="22AC37CD" w14:textId="77777777" w:rsidTr="0004410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17" w:type="dxa"/>
            <w:vMerge w:val="restart"/>
          </w:tcPr>
          <w:p w14:paraId="47D31A40" w14:textId="77777777" w:rsidR="00E725D4" w:rsidRPr="0026268D" w:rsidRDefault="00E725D4" w:rsidP="00044103">
            <w:pPr>
              <w:spacing w:line="240" w:lineRule="auto"/>
              <w:rPr>
                <w:rFonts w:eastAsia="Times New Roman" w:cs="Times New Roman"/>
                <w:color w:val="auto"/>
                <w:sz w:val="20"/>
                <w:szCs w:val="20"/>
                <w:lang w:eastAsia="pl-PL"/>
              </w:rPr>
            </w:pPr>
            <w:r w:rsidRPr="0026268D">
              <w:rPr>
                <w:rFonts w:eastAsia="Times New Roman" w:cs="Times New Roman"/>
                <w:b w:val="0"/>
                <w:bCs w:val="0"/>
                <w:color w:val="auto"/>
                <w:sz w:val="20"/>
                <w:szCs w:val="20"/>
                <w:lang w:eastAsia="pl-PL"/>
              </w:rPr>
              <w:lastRenderedPageBreak/>
              <w:t>Osoby bezrobotne zarejestrowane w urzędach pracy (w tys.)</w:t>
            </w:r>
          </w:p>
        </w:tc>
        <w:tc>
          <w:tcPr>
            <w:tcW w:w="3969" w:type="dxa"/>
          </w:tcPr>
          <w:p w14:paraId="08A2F035"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ogółem</w:t>
            </w:r>
          </w:p>
        </w:tc>
        <w:tc>
          <w:tcPr>
            <w:tcW w:w="3681" w:type="dxa"/>
          </w:tcPr>
          <w:p w14:paraId="6DE5C465"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56,2</w:t>
            </w:r>
          </w:p>
        </w:tc>
      </w:tr>
      <w:tr w:rsidR="00E725D4" w:rsidRPr="0026268D" w14:paraId="4E604085" w14:textId="77777777" w:rsidTr="00044103">
        <w:trPr>
          <w:trHeight w:val="284"/>
        </w:trPr>
        <w:tc>
          <w:tcPr>
            <w:cnfStyle w:val="001000000000" w:firstRow="0" w:lastRow="0" w:firstColumn="1" w:lastColumn="0" w:oddVBand="0" w:evenVBand="0" w:oddHBand="0" w:evenHBand="0" w:firstRowFirstColumn="0" w:firstRowLastColumn="0" w:lastRowFirstColumn="0" w:lastRowLastColumn="0"/>
            <w:tcW w:w="1417" w:type="dxa"/>
            <w:vMerge/>
          </w:tcPr>
          <w:p w14:paraId="43E57689" w14:textId="77777777" w:rsidR="00E725D4" w:rsidRPr="0026268D" w:rsidRDefault="00E725D4" w:rsidP="00044103">
            <w:pPr>
              <w:spacing w:line="240" w:lineRule="auto"/>
              <w:rPr>
                <w:rFonts w:eastAsia="Times New Roman" w:cs="Times New Roman"/>
                <w:color w:val="auto"/>
                <w:sz w:val="20"/>
                <w:szCs w:val="20"/>
                <w:lang w:eastAsia="pl-PL"/>
              </w:rPr>
            </w:pPr>
          </w:p>
        </w:tc>
        <w:tc>
          <w:tcPr>
            <w:tcW w:w="3969" w:type="dxa"/>
          </w:tcPr>
          <w:p w14:paraId="55012F0C"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w tym w wieku 60+</w:t>
            </w:r>
          </w:p>
        </w:tc>
        <w:tc>
          <w:tcPr>
            <w:tcW w:w="3681" w:type="dxa"/>
          </w:tcPr>
          <w:p w14:paraId="2976D1ED"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3,1</w:t>
            </w:r>
          </w:p>
        </w:tc>
      </w:tr>
      <w:tr w:rsidR="00E725D4" w:rsidRPr="0026268D" w14:paraId="51FAA61A" w14:textId="77777777" w:rsidTr="00044103">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417" w:type="dxa"/>
            <w:vMerge w:val="restart"/>
          </w:tcPr>
          <w:p w14:paraId="5D981CD6" w14:textId="77777777" w:rsidR="00E725D4" w:rsidRPr="0026268D" w:rsidRDefault="00E725D4" w:rsidP="00044103">
            <w:pPr>
              <w:spacing w:line="240" w:lineRule="auto"/>
              <w:rPr>
                <w:rFonts w:eastAsia="Times New Roman" w:cs="Times New Roman"/>
                <w:color w:val="auto"/>
                <w:sz w:val="20"/>
                <w:szCs w:val="20"/>
                <w:lang w:eastAsia="pl-PL"/>
              </w:rPr>
            </w:pPr>
            <w:r w:rsidRPr="0026268D">
              <w:rPr>
                <w:rFonts w:eastAsia="Times New Roman" w:cs="Times New Roman"/>
                <w:b w:val="0"/>
                <w:bCs w:val="0"/>
                <w:color w:val="auto"/>
                <w:sz w:val="20"/>
                <w:szCs w:val="20"/>
                <w:lang w:eastAsia="pl-PL"/>
              </w:rPr>
              <w:t xml:space="preserve">Osoby pobierające renty </w:t>
            </w:r>
            <w:r w:rsidRPr="0026268D">
              <w:rPr>
                <w:rFonts w:eastAsia="Times New Roman" w:cs="Times New Roman"/>
                <w:b w:val="0"/>
                <w:bCs w:val="0"/>
                <w:color w:val="auto"/>
                <w:sz w:val="20"/>
                <w:szCs w:val="20"/>
                <w:lang w:eastAsia="pl-PL"/>
              </w:rPr>
              <w:br/>
              <w:t xml:space="preserve">i emerytury </w:t>
            </w:r>
          </w:p>
        </w:tc>
        <w:tc>
          <w:tcPr>
            <w:tcW w:w="7650" w:type="dxa"/>
            <w:gridSpan w:val="2"/>
          </w:tcPr>
          <w:p w14:paraId="2F971483" w14:textId="77777777" w:rsidR="00E725D4" w:rsidRPr="0026268D" w:rsidRDefault="00E725D4" w:rsidP="00044103">
            <w:pPr>
              <w:tabs>
                <w:tab w:val="left" w:pos="1725"/>
                <w:tab w:val="center" w:pos="2363"/>
              </w:tabs>
              <w:spacing w:line="240" w:lineRule="auto"/>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26268D">
              <w:rPr>
                <w:rFonts w:cs="Times New Roman"/>
                <w:b/>
                <w:color w:val="auto"/>
                <w:sz w:val="20"/>
                <w:szCs w:val="20"/>
              </w:rPr>
              <w:t>ZUS</w:t>
            </w:r>
          </w:p>
        </w:tc>
      </w:tr>
      <w:tr w:rsidR="00E725D4" w:rsidRPr="0026268D" w14:paraId="25737EC9" w14:textId="77777777" w:rsidTr="00044103">
        <w:trPr>
          <w:trHeight w:val="189"/>
        </w:trPr>
        <w:tc>
          <w:tcPr>
            <w:cnfStyle w:val="001000000000" w:firstRow="0" w:lastRow="0" w:firstColumn="1" w:lastColumn="0" w:oddVBand="0" w:evenVBand="0" w:oddHBand="0" w:evenHBand="0" w:firstRowFirstColumn="0" w:firstRowLastColumn="0" w:lastRowFirstColumn="0" w:lastRowLastColumn="0"/>
            <w:tcW w:w="1417" w:type="dxa"/>
            <w:vMerge/>
          </w:tcPr>
          <w:p w14:paraId="17C31C59" w14:textId="77777777" w:rsidR="00E725D4" w:rsidRPr="0026268D" w:rsidRDefault="00E725D4" w:rsidP="00044103">
            <w:pPr>
              <w:spacing w:line="240" w:lineRule="auto"/>
              <w:rPr>
                <w:rFonts w:eastAsia="Times New Roman" w:cs="Times New Roman"/>
                <w:color w:val="auto"/>
                <w:sz w:val="20"/>
                <w:szCs w:val="20"/>
                <w:lang w:eastAsia="pl-PL"/>
              </w:rPr>
            </w:pPr>
          </w:p>
        </w:tc>
        <w:tc>
          <w:tcPr>
            <w:tcW w:w="3969" w:type="dxa"/>
          </w:tcPr>
          <w:p w14:paraId="33234133" w14:textId="77777777" w:rsidR="00E725D4" w:rsidRPr="0026268D" w:rsidRDefault="00E725D4" w:rsidP="00044103">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26268D">
              <w:rPr>
                <w:rFonts w:cs="Times New Roman"/>
                <w:b/>
                <w:color w:val="auto"/>
                <w:sz w:val="20"/>
                <w:szCs w:val="20"/>
              </w:rPr>
              <w:t>Rodzaj świadczenia</w:t>
            </w:r>
          </w:p>
        </w:tc>
        <w:tc>
          <w:tcPr>
            <w:tcW w:w="3681" w:type="dxa"/>
          </w:tcPr>
          <w:p w14:paraId="6A890436" w14:textId="77777777" w:rsidR="00E725D4" w:rsidRPr="0026268D" w:rsidRDefault="00E725D4" w:rsidP="00044103">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26268D">
              <w:rPr>
                <w:rFonts w:cs="Times New Roman"/>
                <w:b/>
                <w:color w:val="auto"/>
                <w:sz w:val="20"/>
                <w:szCs w:val="20"/>
              </w:rPr>
              <w:t>Przeciętna miesięczna liczba emerytów i rencistów (w tys.)</w:t>
            </w:r>
          </w:p>
        </w:tc>
      </w:tr>
      <w:tr w:rsidR="00E725D4" w:rsidRPr="0026268D" w14:paraId="42D890F0" w14:textId="77777777" w:rsidTr="0004410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417" w:type="dxa"/>
            <w:vMerge/>
          </w:tcPr>
          <w:p w14:paraId="5AD39F76" w14:textId="77777777" w:rsidR="00E725D4" w:rsidRPr="0026268D" w:rsidRDefault="00E725D4" w:rsidP="00044103">
            <w:pPr>
              <w:spacing w:line="240" w:lineRule="auto"/>
              <w:rPr>
                <w:rFonts w:eastAsia="Times New Roman" w:cs="Times New Roman"/>
                <w:color w:val="auto"/>
                <w:sz w:val="20"/>
                <w:szCs w:val="20"/>
                <w:lang w:eastAsia="pl-PL"/>
              </w:rPr>
            </w:pPr>
          </w:p>
        </w:tc>
        <w:tc>
          <w:tcPr>
            <w:tcW w:w="3969" w:type="dxa"/>
          </w:tcPr>
          <w:p w14:paraId="039965C9"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Emerytury</w:t>
            </w:r>
          </w:p>
        </w:tc>
        <w:tc>
          <w:tcPr>
            <w:tcW w:w="3681" w:type="dxa"/>
          </w:tcPr>
          <w:p w14:paraId="2EE2836C"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338,0</w:t>
            </w:r>
          </w:p>
        </w:tc>
      </w:tr>
      <w:tr w:rsidR="00E725D4" w:rsidRPr="0026268D" w14:paraId="748CB2AB" w14:textId="77777777" w:rsidTr="00044103">
        <w:trPr>
          <w:trHeight w:val="142"/>
        </w:trPr>
        <w:tc>
          <w:tcPr>
            <w:cnfStyle w:val="001000000000" w:firstRow="0" w:lastRow="0" w:firstColumn="1" w:lastColumn="0" w:oddVBand="0" w:evenVBand="0" w:oddHBand="0" w:evenHBand="0" w:firstRowFirstColumn="0" w:firstRowLastColumn="0" w:lastRowFirstColumn="0" w:lastRowLastColumn="0"/>
            <w:tcW w:w="1417" w:type="dxa"/>
            <w:vMerge/>
          </w:tcPr>
          <w:p w14:paraId="093D24B4" w14:textId="77777777" w:rsidR="00E725D4" w:rsidRPr="0026268D" w:rsidRDefault="00E725D4" w:rsidP="00044103">
            <w:pPr>
              <w:spacing w:line="240" w:lineRule="auto"/>
              <w:rPr>
                <w:rFonts w:eastAsia="Times New Roman" w:cs="Times New Roman"/>
                <w:color w:val="auto"/>
                <w:sz w:val="20"/>
                <w:szCs w:val="20"/>
                <w:lang w:eastAsia="pl-PL"/>
              </w:rPr>
            </w:pPr>
          </w:p>
        </w:tc>
        <w:tc>
          <w:tcPr>
            <w:tcW w:w="3969" w:type="dxa"/>
          </w:tcPr>
          <w:p w14:paraId="09B5B4E2"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Renty z tytułu niezdolności do pracy</w:t>
            </w:r>
          </w:p>
        </w:tc>
        <w:tc>
          <w:tcPr>
            <w:tcW w:w="3681" w:type="dxa"/>
          </w:tcPr>
          <w:p w14:paraId="1AE8EB04"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36,3</w:t>
            </w:r>
          </w:p>
        </w:tc>
      </w:tr>
      <w:tr w:rsidR="00E725D4" w:rsidRPr="0026268D" w14:paraId="79A52535" w14:textId="77777777" w:rsidTr="00044103">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417" w:type="dxa"/>
            <w:vMerge/>
          </w:tcPr>
          <w:p w14:paraId="54AF4F7E" w14:textId="77777777" w:rsidR="00E725D4" w:rsidRPr="0026268D" w:rsidRDefault="00E725D4" w:rsidP="00044103">
            <w:pPr>
              <w:spacing w:line="240" w:lineRule="auto"/>
              <w:rPr>
                <w:rFonts w:eastAsia="Times New Roman" w:cs="Times New Roman"/>
                <w:color w:val="auto"/>
                <w:sz w:val="20"/>
                <w:szCs w:val="20"/>
                <w:lang w:eastAsia="pl-PL"/>
              </w:rPr>
            </w:pPr>
          </w:p>
        </w:tc>
        <w:tc>
          <w:tcPr>
            <w:tcW w:w="3969" w:type="dxa"/>
          </w:tcPr>
          <w:p w14:paraId="64897AE6"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Renty rodzinne</w:t>
            </w:r>
          </w:p>
        </w:tc>
        <w:tc>
          <w:tcPr>
            <w:tcW w:w="3681" w:type="dxa"/>
          </w:tcPr>
          <w:p w14:paraId="093CB980"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71,6</w:t>
            </w:r>
          </w:p>
        </w:tc>
      </w:tr>
      <w:tr w:rsidR="00E725D4" w:rsidRPr="0026268D" w14:paraId="4B0B8502" w14:textId="77777777" w:rsidTr="00044103">
        <w:trPr>
          <w:trHeight w:val="284"/>
        </w:trPr>
        <w:tc>
          <w:tcPr>
            <w:cnfStyle w:val="001000000000" w:firstRow="0" w:lastRow="0" w:firstColumn="1" w:lastColumn="0" w:oddVBand="0" w:evenVBand="0" w:oddHBand="0" w:evenHBand="0" w:firstRowFirstColumn="0" w:firstRowLastColumn="0" w:lastRowFirstColumn="0" w:lastRowLastColumn="0"/>
            <w:tcW w:w="1417" w:type="dxa"/>
            <w:vMerge/>
          </w:tcPr>
          <w:p w14:paraId="4F916DEB" w14:textId="77777777" w:rsidR="00E725D4" w:rsidRPr="0026268D" w:rsidRDefault="00E725D4" w:rsidP="00044103">
            <w:pPr>
              <w:spacing w:line="240" w:lineRule="auto"/>
              <w:rPr>
                <w:rFonts w:eastAsia="Times New Roman" w:cs="Times New Roman"/>
                <w:color w:val="auto"/>
                <w:sz w:val="20"/>
                <w:szCs w:val="20"/>
                <w:lang w:eastAsia="pl-PL"/>
              </w:rPr>
            </w:pPr>
          </w:p>
        </w:tc>
        <w:tc>
          <w:tcPr>
            <w:tcW w:w="7650" w:type="dxa"/>
            <w:gridSpan w:val="2"/>
          </w:tcPr>
          <w:p w14:paraId="1932C064" w14:textId="77777777" w:rsidR="00E725D4" w:rsidRPr="0026268D" w:rsidRDefault="00E725D4" w:rsidP="00044103">
            <w:pPr>
              <w:tabs>
                <w:tab w:val="left" w:pos="1507"/>
                <w:tab w:val="center" w:pos="2363"/>
              </w:tabs>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26268D">
              <w:rPr>
                <w:rFonts w:cs="Times New Roman"/>
                <w:b/>
                <w:color w:val="auto"/>
                <w:sz w:val="20"/>
                <w:szCs w:val="20"/>
              </w:rPr>
              <w:t>KRUS</w:t>
            </w:r>
          </w:p>
        </w:tc>
      </w:tr>
      <w:tr w:rsidR="00E725D4" w:rsidRPr="0026268D" w14:paraId="03348D4F" w14:textId="77777777" w:rsidTr="00044103">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417" w:type="dxa"/>
            <w:vMerge/>
          </w:tcPr>
          <w:p w14:paraId="13FA7EE9" w14:textId="77777777" w:rsidR="00E725D4" w:rsidRPr="0026268D" w:rsidRDefault="00E725D4" w:rsidP="00044103">
            <w:pPr>
              <w:spacing w:line="240" w:lineRule="auto"/>
              <w:rPr>
                <w:rFonts w:eastAsia="Times New Roman" w:cs="Times New Roman"/>
                <w:color w:val="auto"/>
                <w:sz w:val="20"/>
                <w:szCs w:val="20"/>
                <w:lang w:eastAsia="pl-PL"/>
              </w:rPr>
            </w:pPr>
          </w:p>
        </w:tc>
        <w:tc>
          <w:tcPr>
            <w:tcW w:w="3969" w:type="dxa"/>
          </w:tcPr>
          <w:p w14:paraId="0BE37AAD" w14:textId="77777777" w:rsidR="00E725D4" w:rsidRPr="0026268D" w:rsidRDefault="00E725D4" w:rsidP="00044103">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26268D">
              <w:rPr>
                <w:rFonts w:cs="Times New Roman"/>
                <w:b/>
                <w:color w:val="auto"/>
                <w:sz w:val="20"/>
                <w:szCs w:val="20"/>
              </w:rPr>
              <w:t>Rodzaj świadczenia</w:t>
            </w:r>
          </w:p>
        </w:tc>
        <w:tc>
          <w:tcPr>
            <w:tcW w:w="3681" w:type="dxa"/>
          </w:tcPr>
          <w:p w14:paraId="30E60402" w14:textId="77777777" w:rsidR="00E725D4" w:rsidRPr="0026268D" w:rsidRDefault="00E725D4" w:rsidP="00044103">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26268D">
              <w:rPr>
                <w:rFonts w:cs="Times New Roman"/>
                <w:b/>
                <w:color w:val="auto"/>
                <w:sz w:val="20"/>
                <w:szCs w:val="20"/>
              </w:rPr>
              <w:t>Przeciętna miesięczna liczba emerytów i rencistów (w tys.)</w:t>
            </w:r>
          </w:p>
        </w:tc>
      </w:tr>
      <w:tr w:rsidR="00E725D4" w:rsidRPr="0026268D" w14:paraId="09546611" w14:textId="77777777" w:rsidTr="00044103">
        <w:trPr>
          <w:trHeight w:val="79"/>
        </w:trPr>
        <w:tc>
          <w:tcPr>
            <w:cnfStyle w:val="001000000000" w:firstRow="0" w:lastRow="0" w:firstColumn="1" w:lastColumn="0" w:oddVBand="0" w:evenVBand="0" w:oddHBand="0" w:evenHBand="0" w:firstRowFirstColumn="0" w:firstRowLastColumn="0" w:lastRowFirstColumn="0" w:lastRowLastColumn="0"/>
            <w:tcW w:w="1417" w:type="dxa"/>
            <w:vMerge/>
          </w:tcPr>
          <w:p w14:paraId="121DB53E" w14:textId="77777777" w:rsidR="00E725D4" w:rsidRPr="0026268D" w:rsidRDefault="00E725D4" w:rsidP="00044103">
            <w:pPr>
              <w:spacing w:line="240" w:lineRule="auto"/>
              <w:rPr>
                <w:rFonts w:eastAsia="Times New Roman" w:cs="Times New Roman"/>
                <w:color w:val="auto"/>
                <w:sz w:val="20"/>
                <w:szCs w:val="20"/>
                <w:lang w:eastAsia="pl-PL"/>
              </w:rPr>
            </w:pPr>
          </w:p>
        </w:tc>
        <w:tc>
          <w:tcPr>
            <w:tcW w:w="3969" w:type="dxa"/>
          </w:tcPr>
          <w:p w14:paraId="18BEBF14"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Emerytury</w:t>
            </w:r>
          </w:p>
        </w:tc>
        <w:tc>
          <w:tcPr>
            <w:tcW w:w="3681" w:type="dxa"/>
          </w:tcPr>
          <w:p w14:paraId="68B52B8B"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26,0</w:t>
            </w:r>
          </w:p>
        </w:tc>
      </w:tr>
      <w:tr w:rsidR="00E725D4" w:rsidRPr="0026268D" w14:paraId="1A5AABD4" w14:textId="77777777" w:rsidTr="000441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17" w:type="dxa"/>
            <w:vMerge/>
          </w:tcPr>
          <w:p w14:paraId="05DC433E" w14:textId="77777777" w:rsidR="00E725D4" w:rsidRPr="0026268D" w:rsidRDefault="00E725D4" w:rsidP="00044103">
            <w:pPr>
              <w:spacing w:line="240" w:lineRule="auto"/>
              <w:rPr>
                <w:rFonts w:eastAsia="Times New Roman" w:cs="Times New Roman"/>
                <w:color w:val="auto"/>
                <w:sz w:val="20"/>
                <w:szCs w:val="20"/>
                <w:lang w:eastAsia="pl-PL"/>
              </w:rPr>
            </w:pPr>
          </w:p>
        </w:tc>
        <w:tc>
          <w:tcPr>
            <w:tcW w:w="3969" w:type="dxa"/>
          </w:tcPr>
          <w:p w14:paraId="6E0C4350"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Renty z tytułu niezdolności do pracy</w:t>
            </w:r>
          </w:p>
        </w:tc>
        <w:tc>
          <w:tcPr>
            <w:tcW w:w="3681" w:type="dxa"/>
          </w:tcPr>
          <w:p w14:paraId="677F5131" w14:textId="77777777" w:rsidR="00E725D4" w:rsidRPr="0026268D" w:rsidRDefault="00E725D4"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7,4</w:t>
            </w:r>
          </w:p>
        </w:tc>
      </w:tr>
      <w:tr w:rsidR="00E725D4" w:rsidRPr="0026268D" w14:paraId="2F37DF88" w14:textId="77777777" w:rsidTr="00044103">
        <w:trPr>
          <w:trHeight w:val="79"/>
        </w:trPr>
        <w:tc>
          <w:tcPr>
            <w:cnfStyle w:val="001000000000" w:firstRow="0" w:lastRow="0" w:firstColumn="1" w:lastColumn="0" w:oddVBand="0" w:evenVBand="0" w:oddHBand="0" w:evenHBand="0" w:firstRowFirstColumn="0" w:firstRowLastColumn="0" w:lastRowFirstColumn="0" w:lastRowLastColumn="0"/>
            <w:tcW w:w="1417" w:type="dxa"/>
            <w:vMerge/>
          </w:tcPr>
          <w:p w14:paraId="237EB47E" w14:textId="77777777" w:rsidR="00E725D4" w:rsidRPr="0026268D" w:rsidRDefault="00E725D4" w:rsidP="00044103">
            <w:pPr>
              <w:spacing w:line="240" w:lineRule="auto"/>
              <w:rPr>
                <w:rFonts w:eastAsia="Times New Roman" w:cs="Times New Roman"/>
                <w:color w:val="auto"/>
                <w:sz w:val="20"/>
                <w:szCs w:val="20"/>
                <w:lang w:eastAsia="pl-PL"/>
              </w:rPr>
            </w:pPr>
          </w:p>
        </w:tc>
        <w:tc>
          <w:tcPr>
            <w:tcW w:w="3969" w:type="dxa"/>
          </w:tcPr>
          <w:p w14:paraId="4EDEFC65"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Renty rodzinne</w:t>
            </w:r>
          </w:p>
        </w:tc>
        <w:tc>
          <w:tcPr>
            <w:tcW w:w="3681" w:type="dxa"/>
          </w:tcPr>
          <w:p w14:paraId="5B85987D" w14:textId="77777777" w:rsidR="00E725D4" w:rsidRPr="0026268D" w:rsidRDefault="00E725D4"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1,6</w:t>
            </w:r>
          </w:p>
        </w:tc>
      </w:tr>
    </w:tbl>
    <w:p w14:paraId="0D87425F" w14:textId="77777777" w:rsidR="00E725D4" w:rsidRPr="00E725D4" w:rsidRDefault="00E725D4" w:rsidP="00E725D4">
      <w:pPr>
        <w:tabs>
          <w:tab w:val="left" w:pos="5400"/>
        </w:tabs>
        <w:rPr>
          <w:rFonts w:eastAsia="Times New Roman" w:cs="Times New Roman"/>
          <w:b/>
          <w:szCs w:val="24"/>
          <w:lang w:eastAsia="pl-PL"/>
        </w:rPr>
      </w:pPr>
      <w:r w:rsidRPr="00E725D4">
        <w:rPr>
          <w:rFonts w:eastAsia="Times New Roman" w:cs="Times New Roman"/>
          <w:b/>
          <w:szCs w:val="24"/>
          <w:lang w:eastAsia="pl-PL"/>
        </w:rPr>
        <w:t xml:space="preserve">Źródło: GUS. </w:t>
      </w:r>
    </w:p>
    <w:p w14:paraId="1909E173" w14:textId="6012DDD9" w:rsidR="00E725D4" w:rsidRDefault="00E725D4" w:rsidP="00E7359C">
      <w:pPr>
        <w:rPr>
          <w:rFonts w:cs="Times New Roman"/>
          <w:b/>
          <w:color w:val="FF0000"/>
          <w:szCs w:val="24"/>
          <w:lang w:eastAsia="ar-SA"/>
        </w:rPr>
      </w:pPr>
    </w:p>
    <w:p w14:paraId="75774430" w14:textId="6487AE5D" w:rsidR="008E1D2A" w:rsidRDefault="005977EB" w:rsidP="008E1D2A">
      <w:pPr>
        <w:pStyle w:val="Nagwek3"/>
      </w:pPr>
      <w:bookmarkStart w:id="267" w:name="_Toc77514014"/>
      <w:bookmarkStart w:id="268" w:name="_Toc80523172"/>
      <w:r w:rsidRPr="005977EB">
        <w:t>Sytuacja osób niepełnosprawnych i ich opiekunów</w:t>
      </w:r>
      <w:bookmarkEnd w:id="267"/>
      <w:bookmarkEnd w:id="268"/>
    </w:p>
    <w:p w14:paraId="4ED5A712" w14:textId="7667CAFF" w:rsidR="008E1D2A" w:rsidRDefault="008E1D2A" w:rsidP="00E7359C">
      <w:pPr>
        <w:rPr>
          <w:rFonts w:cs="Times New Roman"/>
          <w:szCs w:val="24"/>
        </w:rPr>
      </w:pPr>
    </w:p>
    <w:p w14:paraId="5B342EBC" w14:textId="4A8ED0F4" w:rsidR="00B34652" w:rsidRDefault="00B34652" w:rsidP="005977EB">
      <w:pPr>
        <w:rPr>
          <w:lang w:eastAsia="ar-SA"/>
        </w:rPr>
      </w:pPr>
      <w:r w:rsidRPr="006C0584">
        <w:rPr>
          <w:rFonts w:cs="Times New Roman"/>
        </w:rPr>
        <w:t>Znaczna część osób korzystających z pomocy OPS to osoby starsze i niepełnosprawne. Przeważają osoby samotne bez bliskiej rodziny, jednoosobowe gospodarstwa domowe. Rodziny osób objętych pomocą nie są w stanie we własnym zakresie zapewnić należytej pomocy osobom potrzebującym, zazwyczaj wynika to z ich aktywności zawodowej, braku dodatkowych środków finansowych, złym stanem własnego zdrowia, odległym zamieszkaniem. Wśród rodzin seniorów liczne są bezdzietne małżeństwa lub  małżeństwa z dziećmi zamieszkującymi za granicą lub w dalszej odległości od rodziców, bez możliwości świadczenia bezpośredniej pomocy.</w:t>
      </w:r>
    </w:p>
    <w:p w14:paraId="0757B386" w14:textId="77777777" w:rsidR="00B34652" w:rsidRDefault="00B34652" w:rsidP="005977EB">
      <w:pPr>
        <w:rPr>
          <w:lang w:eastAsia="ar-SA"/>
        </w:rPr>
      </w:pPr>
    </w:p>
    <w:p w14:paraId="06E39BD7" w14:textId="7BF1D3CF" w:rsidR="005977EB" w:rsidRDefault="005977EB" w:rsidP="005977EB">
      <w:pPr>
        <w:rPr>
          <w:lang w:eastAsia="ar-SA"/>
        </w:rPr>
      </w:pPr>
      <w:r w:rsidRPr="005977EB">
        <w:rPr>
          <w:lang w:eastAsia="ar-SA"/>
        </w:rPr>
        <w:t>Wszystkie osoby niepełnosprawne wymagające wsparcia otrzymują je np. w postaci usług opiekuńczych lub specjalistycznych usług opiekuńczych. Osoby wymagające całodobowej opieki kierowane są do domów pomocy społecznej. Na bieżąco monitorowane są również środowiska, w których członek rodziny rezygnuje z zatrudnienia z uwagi na konieczność zapewnienia opieki osobie jej wymagającej. Coraz mniej opiekunów korzysta z zasiłku dla opiekuna z uwagi na kryteria dochodowe. Szczególnym wyzwaniem pozostają wymagają klienci, u których występują zaburzenia psychiczne. Dużą popularnością (w miarę możliwości podyktowanych aktualną sytuacją epidemiczną) cieszą się formy wsparcia dziennego – ŚDS, DDPS, Kluby samopomocy.</w:t>
      </w:r>
    </w:p>
    <w:p w14:paraId="42DE6DA0" w14:textId="77777777" w:rsidR="005977EB" w:rsidRDefault="005977EB" w:rsidP="00E7359C">
      <w:pPr>
        <w:rPr>
          <w:rFonts w:cs="Times New Roman"/>
          <w:b/>
          <w:color w:val="FF0000"/>
          <w:szCs w:val="24"/>
          <w:lang w:eastAsia="ar-SA"/>
        </w:rPr>
      </w:pPr>
    </w:p>
    <w:p w14:paraId="0E49B1D4" w14:textId="3A77E8A0" w:rsidR="008E1D2A" w:rsidRDefault="00B34652" w:rsidP="008E1D2A">
      <w:pPr>
        <w:pStyle w:val="Nagwek3"/>
      </w:pPr>
      <w:bookmarkStart w:id="269" w:name="_Toc77514015"/>
      <w:bookmarkStart w:id="270" w:name="_Toc80523173"/>
      <w:r w:rsidRPr="00B34652">
        <w:t xml:space="preserve">Działania i inicjatywy realizowane na rzecz osób starszych w województwie </w:t>
      </w:r>
      <w:r>
        <w:t>pomorskim</w:t>
      </w:r>
      <w:bookmarkEnd w:id="269"/>
      <w:bookmarkEnd w:id="270"/>
    </w:p>
    <w:p w14:paraId="29B48B1D" w14:textId="64C98E08" w:rsidR="008E1D2A" w:rsidRDefault="008E1D2A" w:rsidP="00E7359C">
      <w:pPr>
        <w:rPr>
          <w:rFonts w:cs="Times New Roman"/>
          <w:b/>
          <w:color w:val="FF0000"/>
          <w:szCs w:val="24"/>
          <w:lang w:eastAsia="ar-SA"/>
        </w:rPr>
      </w:pPr>
    </w:p>
    <w:p w14:paraId="11610E94" w14:textId="6C9C5FE6" w:rsidR="00B34652" w:rsidRPr="00B27D68" w:rsidRDefault="00B34652" w:rsidP="00B34652">
      <w:pPr>
        <w:rPr>
          <w:b/>
          <w:bCs/>
          <w:lang w:eastAsia="ar-SA"/>
        </w:rPr>
      </w:pPr>
      <w:r w:rsidRPr="00B27D68">
        <w:rPr>
          <w:b/>
          <w:bCs/>
          <w:lang w:eastAsia="ar-SA"/>
        </w:rPr>
        <w:t xml:space="preserve">Dokumenty i strategie na poziomie wojewódzkim </w:t>
      </w:r>
    </w:p>
    <w:p w14:paraId="619B03BD" w14:textId="75A42E5A" w:rsidR="00B34652" w:rsidRPr="00B34652" w:rsidRDefault="00B34652" w:rsidP="00B34652">
      <w:pPr>
        <w:rPr>
          <w:lang w:eastAsia="ar-SA"/>
        </w:rPr>
      </w:pPr>
      <w:r w:rsidRPr="00B34652">
        <w:rPr>
          <w:lang w:eastAsia="ar-SA"/>
        </w:rPr>
        <w:t xml:space="preserve">Regionalny Program Operacyjny Województwa Pomorskiego na lata 2014 – 2020 </w:t>
      </w:r>
    </w:p>
    <w:p w14:paraId="68E21C24" w14:textId="249E6DDD" w:rsidR="00B34652" w:rsidRPr="00B34652" w:rsidRDefault="00B34652" w:rsidP="00B34652">
      <w:pPr>
        <w:rPr>
          <w:lang w:eastAsia="ar-SA"/>
        </w:rPr>
      </w:pPr>
      <w:r w:rsidRPr="00B34652">
        <w:rPr>
          <w:lang w:eastAsia="ar-SA"/>
        </w:rPr>
        <w:t>Regionalny Program Operacyjny Województwa Pomorskiego na lata 2014-2020 (RPO WP 2014-2020) to program, którego celem jest podjęcie wyzwań rozwojowych stojących przed województwem pomorskim w sferze gospodarczej, edukacji, aktywności zawodowej i</w:t>
      </w:r>
      <w:r w:rsidR="00B27D68">
        <w:rPr>
          <w:lang w:eastAsia="ar-SA"/>
        </w:rPr>
        <w:t> </w:t>
      </w:r>
      <w:r w:rsidRPr="00B34652">
        <w:rPr>
          <w:lang w:eastAsia="ar-SA"/>
        </w:rPr>
        <w:t xml:space="preserve">społecznej, wykorzystania specyficznych potencjałów poszczególnych obszarów, systemu </w:t>
      </w:r>
      <w:r w:rsidRPr="00B34652">
        <w:rPr>
          <w:lang w:eastAsia="ar-SA"/>
        </w:rPr>
        <w:lastRenderedPageBreak/>
        <w:t>transportowego, energii i środowiska.</w:t>
      </w:r>
      <w:r w:rsidR="00B27D68">
        <w:rPr>
          <w:lang w:eastAsia="ar-SA"/>
        </w:rPr>
        <w:t xml:space="preserve"> </w:t>
      </w:r>
      <w:r w:rsidRPr="00B34652">
        <w:rPr>
          <w:lang w:eastAsia="ar-SA"/>
        </w:rPr>
        <w:t xml:space="preserve">RPO pozwala podmiotom na otrzymanie dofinansowania na działania na rzecz seniorów, m.in. poprzez projekty ukierunkowane na zwiększenie dostępu do </w:t>
      </w:r>
      <w:proofErr w:type="spellStart"/>
      <w:r w:rsidRPr="00B34652">
        <w:rPr>
          <w:lang w:eastAsia="ar-SA"/>
        </w:rPr>
        <w:t>zdeinstytucjonalizowanych</w:t>
      </w:r>
      <w:proofErr w:type="spellEnd"/>
      <w:r w:rsidRPr="00B34652">
        <w:rPr>
          <w:lang w:eastAsia="ar-SA"/>
        </w:rPr>
        <w:t>, spersonalizowanych i zintegrowanych usług społecznych, świadczonych w lokalnej społeczności, skierowanych do osób potrzebujących wsparcia w codziennym funkcjonowaniu, w szczególności do seniorów, osób z niepełnosprawnościami i z chorobami przewlekłymi oraz ich opiekunów w oparciu o diagnozę sytuacji problemowej.</w:t>
      </w:r>
    </w:p>
    <w:p w14:paraId="6500E1B8" w14:textId="77777777" w:rsidR="00B27D68" w:rsidRDefault="00B27D68" w:rsidP="00B34652">
      <w:pPr>
        <w:rPr>
          <w:lang w:eastAsia="ar-SA"/>
        </w:rPr>
      </w:pPr>
    </w:p>
    <w:p w14:paraId="455E7F86" w14:textId="74150229" w:rsidR="00B34652" w:rsidRPr="00B27D68" w:rsidRDefault="00B34652" w:rsidP="00B34652">
      <w:pPr>
        <w:rPr>
          <w:b/>
          <w:bCs/>
          <w:lang w:eastAsia="ar-SA"/>
        </w:rPr>
      </w:pPr>
      <w:r w:rsidRPr="00B27D68">
        <w:rPr>
          <w:b/>
          <w:bCs/>
          <w:lang w:eastAsia="ar-SA"/>
        </w:rPr>
        <w:t>Przykłady programów wspierających aktywność społeczną, kulturalną, edukacyjną, sportową i obywatelską osób starszych</w:t>
      </w:r>
    </w:p>
    <w:p w14:paraId="554F077A" w14:textId="59502DF8" w:rsidR="00B34652" w:rsidRPr="00B34652" w:rsidRDefault="00B34652" w:rsidP="00B34652">
      <w:pPr>
        <w:rPr>
          <w:lang w:eastAsia="ar-SA"/>
        </w:rPr>
      </w:pPr>
      <w:r w:rsidRPr="00B34652">
        <w:rPr>
          <w:lang w:eastAsia="ar-SA"/>
        </w:rPr>
        <w:t>W 2020 r</w:t>
      </w:r>
      <w:r w:rsidR="00A931B5">
        <w:rPr>
          <w:lang w:eastAsia="ar-SA"/>
        </w:rPr>
        <w:t>.</w:t>
      </w:r>
      <w:r w:rsidRPr="00B34652">
        <w:rPr>
          <w:lang w:eastAsia="ar-SA"/>
        </w:rPr>
        <w:t xml:space="preserve"> wiele działań podejmowanych na rzecz seniorów w ramach działalności kulturalnej, edukacyjnej, czy społecznej było wstrzymanych lub ograniczonych z uwagi na bezpieczeństwo tych osób i ochronę przed zachorowaniem na Covid-19.</w:t>
      </w:r>
    </w:p>
    <w:p w14:paraId="7F587D04" w14:textId="77777777" w:rsidR="00B34652" w:rsidRPr="00B34652" w:rsidRDefault="00B34652" w:rsidP="00B34652">
      <w:pPr>
        <w:rPr>
          <w:lang w:eastAsia="ar-SA"/>
        </w:rPr>
      </w:pPr>
    </w:p>
    <w:p w14:paraId="06030AA1" w14:textId="5B13EA1D" w:rsidR="00B34652" w:rsidRPr="00B34652" w:rsidRDefault="00B34652" w:rsidP="00B34652">
      <w:pPr>
        <w:rPr>
          <w:lang w:eastAsia="ar-SA"/>
        </w:rPr>
      </w:pPr>
      <w:r w:rsidRPr="00B34652">
        <w:rPr>
          <w:lang w:eastAsia="ar-SA"/>
        </w:rPr>
        <w:t>Pomorska Rada ds. Polityki Senioralnej</w:t>
      </w:r>
    </w:p>
    <w:p w14:paraId="3DBB75BE" w14:textId="77777777" w:rsidR="00B34652" w:rsidRPr="00B34652" w:rsidRDefault="00B34652" w:rsidP="00B34652">
      <w:pPr>
        <w:rPr>
          <w:lang w:eastAsia="ar-SA"/>
        </w:rPr>
      </w:pPr>
      <w:r w:rsidRPr="00B34652">
        <w:rPr>
          <w:lang w:eastAsia="ar-SA"/>
        </w:rPr>
        <w:t>Do zadań Rady należy w szczególności:</w:t>
      </w:r>
    </w:p>
    <w:p w14:paraId="508FBCBD" w14:textId="77777777" w:rsidR="00B27D68" w:rsidRDefault="00B34652" w:rsidP="00FE70E3">
      <w:pPr>
        <w:pStyle w:val="Akapitzlist"/>
        <w:numPr>
          <w:ilvl w:val="0"/>
          <w:numId w:val="194"/>
        </w:numPr>
        <w:rPr>
          <w:lang w:eastAsia="ar-SA"/>
        </w:rPr>
      </w:pPr>
      <w:r w:rsidRPr="00B34652">
        <w:rPr>
          <w:lang w:eastAsia="ar-SA"/>
        </w:rPr>
        <w:t>współtworzenie głównych kierunków polityki senioralnej w Województwie Pomorskim;</w:t>
      </w:r>
    </w:p>
    <w:p w14:paraId="4BB44E66" w14:textId="77777777" w:rsidR="00B27D68" w:rsidRDefault="00B34652" w:rsidP="00FE70E3">
      <w:pPr>
        <w:pStyle w:val="Akapitzlist"/>
        <w:numPr>
          <w:ilvl w:val="0"/>
          <w:numId w:val="194"/>
        </w:numPr>
        <w:rPr>
          <w:lang w:eastAsia="ar-SA"/>
        </w:rPr>
      </w:pPr>
      <w:r w:rsidRPr="00B34652">
        <w:rPr>
          <w:lang w:eastAsia="ar-SA"/>
        </w:rPr>
        <w:t>inicjowanie, opiniowanie propozycji rozwiązań na rzecz środowiska seniorów oraz wymiany i komunikacji międzypokoleniowej Województwa Pomorskiego, w tym programów działań dotyczących osób starszych;</w:t>
      </w:r>
    </w:p>
    <w:p w14:paraId="2E5C204F" w14:textId="77777777" w:rsidR="00B27D68" w:rsidRDefault="00B34652" w:rsidP="00FE70E3">
      <w:pPr>
        <w:pStyle w:val="Akapitzlist"/>
        <w:numPr>
          <w:ilvl w:val="0"/>
          <w:numId w:val="194"/>
        </w:numPr>
        <w:rPr>
          <w:lang w:eastAsia="ar-SA"/>
        </w:rPr>
      </w:pPr>
      <w:r w:rsidRPr="00B34652">
        <w:rPr>
          <w:lang w:eastAsia="ar-SA"/>
        </w:rPr>
        <w:t>wspieranie rozwoju, współpraca i aktywizacja środowisk działających na rzecz osób starszych w celu zwiększenia efektywności ich działań;</w:t>
      </w:r>
    </w:p>
    <w:p w14:paraId="4240294E" w14:textId="77777777" w:rsidR="00B27D68" w:rsidRDefault="00B34652" w:rsidP="00FE70E3">
      <w:pPr>
        <w:pStyle w:val="Akapitzlist"/>
        <w:numPr>
          <w:ilvl w:val="0"/>
          <w:numId w:val="194"/>
        </w:numPr>
        <w:rPr>
          <w:lang w:eastAsia="ar-SA"/>
        </w:rPr>
      </w:pPr>
      <w:r w:rsidRPr="00B34652">
        <w:rPr>
          <w:lang w:eastAsia="ar-SA"/>
        </w:rPr>
        <w:t>tworzenie płaszczyzny wymiany doświadczeń i dobrych praktyk w obszarze polityki senioralnej;</w:t>
      </w:r>
    </w:p>
    <w:p w14:paraId="0C47B4B3" w14:textId="09955DE7" w:rsidR="00B34652" w:rsidRPr="00B34652" w:rsidRDefault="00B34652" w:rsidP="00FE70E3">
      <w:pPr>
        <w:pStyle w:val="Akapitzlist"/>
        <w:numPr>
          <w:ilvl w:val="0"/>
          <w:numId w:val="194"/>
        </w:numPr>
        <w:rPr>
          <w:lang w:eastAsia="ar-SA"/>
        </w:rPr>
      </w:pPr>
      <w:r w:rsidRPr="00B34652">
        <w:rPr>
          <w:lang w:eastAsia="ar-SA"/>
        </w:rPr>
        <w:t>promowanie starzenia się w dobrym zdrowiu.</w:t>
      </w:r>
    </w:p>
    <w:p w14:paraId="35EBFA2A" w14:textId="7E25B86E" w:rsidR="00B34652" w:rsidRPr="00B34652" w:rsidRDefault="00B34652" w:rsidP="00B34652">
      <w:pPr>
        <w:rPr>
          <w:lang w:eastAsia="ar-SA"/>
        </w:rPr>
      </w:pPr>
      <w:r w:rsidRPr="00B34652">
        <w:rPr>
          <w:lang w:eastAsia="ar-SA"/>
        </w:rPr>
        <w:t>Tryb i zasady działania Pomorskiej Rady ds. Polityki Senioralnej zostały określone w Regulaminie Pomorskiej Rady ds. Polityki Senioralnej stanowiącym załącznik do Uchwały Nr 758/246/17 Zarządu Województwa Pomorskiego z dnia 27 czerwca 2017 r</w:t>
      </w:r>
      <w:r w:rsidR="00A931B5">
        <w:rPr>
          <w:lang w:eastAsia="ar-SA"/>
        </w:rPr>
        <w:t>.</w:t>
      </w:r>
      <w:r w:rsidRPr="00B34652">
        <w:rPr>
          <w:lang w:eastAsia="ar-SA"/>
        </w:rPr>
        <w:t>, zmienionej Uchwałą Nr 980/264/17 Zarządu Województwa Pomorskiego z dnia 29 sierpnia 2017 r</w:t>
      </w:r>
      <w:r w:rsidR="00A931B5">
        <w:rPr>
          <w:lang w:eastAsia="ar-SA"/>
        </w:rPr>
        <w:t>.</w:t>
      </w:r>
      <w:r w:rsidRPr="00B34652">
        <w:rPr>
          <w:lang w:eastAsia="ar-SA"/>
        </w:rPr>
        <w:t>.</w:t>
      </w:r>
    </w:p>
    <w:p w14:paraId="1C131E38" w14:textId="77777777" w:rsidR="00B34652" w:rsidRPr="00B34652" w:rsidRDefault="00B34652" w:rsidP="00B34652">
      <w:pPr>
        <w:rPr>
          <w:lang w:eastAsia="ar-SA"/>
        </w:rPr>
      </w:pPr>
    </w:p>
    <w:p w14:paraId="247B1E1E" w14:textId="233A92E4" w:rsidR="00B34652" w:rsidRPr="00B27D68" w:rsidRDefault="00B34652" w:rsidP="00B34652">
      <w:pPr>
        <w:rPr>
          <w:b/>
          <w:bCs/>
          <w:lang w:eastAsia="ar-SA"/>
        </w:rPr>
      </w:pPr>
      <w:r w:rsidRPr="00B27D68">
        <w:rPr>
          <w:b/>
          <w:bCs/>
          <w:lang w:eastAsia="ar-SA"/>
        </w:rPr>
        <w:t>Przykłady kilku dobrych praktyk na poziomie powiatu, gminy</w:t>
      </w:r>
    </w:p>
    <w:p w14:paraId="4A06EE63" w14:textId="77777777" w:rsidR="00B27D68" w:rsidRDefault="00B27D68" w:rsidP="00B34652">
      <w:pPr>
        <w:rPr>
          <w:lang w:eastAsia="ar-SA"/>
        </w:rPr>
      </w:pPr>
    </w:p>
    <w:p w14:paraId="6A0427A1" w14:textId="06F437B7" w:rsidR="00B34652" w:rsidRPr="00B34652" w:rsidRDefault="00B34652" w:rsidP="00B34652">
      <w:pPr>
        <w:rPr>
          <w:lang w:eastAsia="ar-SA"/>
        </w:rPr>
      </w:pPr>
      <w:r w:rsidRPr="00B34652">
        <w:rPr>
          <w:lang w:eastAsia="ar-SA"/>
        </w:rPr>
        <w:t>Powiat kartuski</w:t>
      </w:r>
    </w:p>
    <w:p w14:paraId="30A2B35B" w14:textId="77777777" w:rsidR="00B27D68" w:rsidRDefault="00B34652" w:rsidP="00B34652">
      <w:pPr>
        <w:rPr>
          <w:lang w:eastAsia="ar-SA"/>
        </w:rPr>
      </w:pPr>
      <w:r w:rsidRPr="00B34652">
        <w:rPr>
          <w:lang w:eastAsia="ar-SA"/>
        </w:rPr>
        <w:t>Wspólna realizacja z Gminą Sulęczyno i Gminą Stężyca, Fundacją Solidarności Międzypokoleniowej i Samopomocy Sąsiedzkiej S2 oraz Kaszubskim Uniwersytetem Ludowym projektu pn. „NESTOR – standard wsparcia seniorów powiatu kartuskiego”. Projekt zakłada:</w:t>
      </w:r>
    </w:p>
    <w:p w14:paraId="52903D75" w14:textId="77777777" w:rsidR="00B27D68" w:rsidRDefault="00B34652" w:rsidP="00FE70E3">
      <w:pPr>
        <w:pStyle w:val="Akapitzlist"/>
        <w:numPr>
          <w:ilvl w:val="0"/>
          <w:numId w:val="195"/>
        </w:numPr>
        <w:rPr>
          <w:lang w:eastAsia="ar-SA"/>
        </w:rPr>
      </w:pPr>
      <w:r w:rsidRPr="00B34652">
        <w:rPr>
          <w:lang w:eastAsia="ar-SA"/>
        </w:rPr>
        <w:t xml:space="preserve">objęcie mieszkańców Gmin Sierakowice, Stężyca i Sulęczyno wsparciem poprzez system </w:t>
      </w:r>
      <w:proofErr w:type="spellStart"/>
      <w:r w:rsidRPr="00B34652">
        <w:rPr>
          <w:lang w:eastAsia="ar-SA"/>
        </w:rPr>
        <w:t>teleopieki</w:t>
      </w:r>
      <w:proofErr w:type="spellEnd"/>
      <w:r w:rsidRPr="00B34652">
        <w:rPr>
          <w:lang w:eastAsia="ar-SA"/>
        </w:rPr>
        <w:t xml:space="preserve"> dla osób starszych, samotnych i niepełnosprawnych, które na co dzień mają problemy w samodzielnym funkcjonowaniu.</w:t>
      </w:r>
    </w:p>
    <w:p w14:paraId="3085CD19" w14:textId="6921D90A" w:rsidR="00B34652" w:rsidRPr="00B34652" w:rsidRDefault="00B34652" w:rsidP="00FE70E3">
      <w:pPr>
        <w:pStyle w:val="Akapitzlist"/>
        <w:numPr>
          <w:ilvl w:val="0"/>
          <w:numId w:val="195"/>
        </w:numPr>
        <w:rPr>
          <w:lang w:eastAsia="ar-SA"/>
        </w:rPr>
      </w:pPr>
      <w:r w:rsidRPr="00B34652">
        <w:rPr>
          <w:lang w:eastAsia="ar-SA"/>
        </w:rPr>
        <w:t>utworzenie Klubów Seniora dla osób poszukujących aktywności, towarzystwa i umiejętności funkcjonowania w zmieniającej się rzeczywistości otaczającego świata.</w:t>
      </w:r>
    </w:p>
    <w:p w14:paraId="1819F454" w14:textId="77777777" w:rsidR="00B34652" w:rsidRPr="00B34652" w:rsidRDefault="00B34652" w:rsidP="00B34652">
      <w:pPr>
        <w:rPr>
          <w:lang w:eastAsia="ar-SA"/>
        </w:rPr>
      </w:pPr>
    </w:p>
    <w:p w14:paraId="4BA21903" w14:textId="77777777" w:rsidR="00B27D68" w:rsidRDefault="00B27D68" w:rsidP="00B34652">
      <w:pPr>
        <w:rPr>
          <w:lang w:eastAsia="ar-SA"/>
        </w:rPr>
      </w:pPr>
    </w:p>
    <w:p w14:paraId="1C05474A" w14:textId="77777777" w:rsidR="00B27D68" w:rsidRDefault="00B27D68" w:rsidP="00B34652">
      <w:pPr>
        <w:rPr>
          <w:lang w:eastAsia="ar-SA"/>
        </w:rPr>
      </w:pPr>
    </w:p>
    <w:p w14:paraId="36BEEF7E" w14:textId="24A65485" w:rsidR="00B34652" w:rsidRPr="00B34652" w:rsidRDefault="00B34652" w:rsidP="00B34652">
      <w:pPr>
        <w:rPr>
          <w:lang w:eastAsia="ar-SA"/>
        </w:rPr>
      </w:pPr>
      <w:r w:rsidRPr="00B34652">
        <w:rPr>
          <w:lang w:eastAsia="ar-SA"/>
        </w:rPr>
        <w:lastRenderedPageBreak/>
        <w:t>Powiat tczewski</w:t>
      </w:r>
    </w:p>
    <w:p w14:paraId="6B74351D" w14:textId="545E9B33" w:rsidR="00B34652" w:rsidRPr="00B34652" w:rsidRDefault="00B34652" w:rsidP="00FE70E3">
      <w:pPr>
        <w:pStyle w:val="Akapitzlist"/>
        <w:numPr>
          <w:ilvl w:val="0"/>
          <w:numId w:val="196"/>
        </w:numPr>
        <w:rPr>
          <w:lang w:eastAsia="ar-SA"/>
        </w:rPr>
      </w:pPr>
      <w:r w:rsidRPr="00B34652">
        <w:rPr>
          <w:lang w:eastAsia="ar-SA"/>
        </w:rPr>
        <w:t>W ramach powiatowego programu polityki zdrowotnej pn.: „Recepta na raka – program</w:t>
      </w:r>
    </w:p>
    <w:p w14:paraId="36FFE3B0" w14:textId="082157C3" w:rsidR="00B27D68" w:rsidRDefault="00B34652" w:rsidP="00B34652">
      <w:pPr>
        <w:rPr>
          <w:lang w:eastAsia="ar-SA"/>
        </w:rPr>
      </w:pPr>
      <w:r w:rsidRPr="00B34652">
        <w:rPr>
          <w:lang w:eastAsia="ar-SA"/>
        </w:rPr>
        <w:t>wczesnego wykrywania raka płuc wśród mieszkańców powiatu tczewskiego” długoletni</w:t>
      </w:r>
      <w:r w:rsidR="00D6492C">
        <w:rPr>
          <w:lang w:eastAsia="ar-SA"/>
        </w:rPr>
        <w:t xml:space="preserve"> </w:t>
      </w:r>
      <w:r w:rsidRPr="00B34652">
        <w:rPr>
          <w:lang w:eastAsia="ar-SA"/>
        </w:rPr>
        <w:t xml:space="preserve">palacze w wieku 55-80 lat mogli skorzystać z konsultacji pulmonologicznych oraz badania klatki piersiowej metodą </w:t>
      </w:r>
      <w:proofErr w:type="spellStart"/>
      <w:r w:rsidRPr="00B34652">
        <w:rPr>
          <w:lang w:eastAsia="ar-SA"/>
        </w:rPr>
        <w:t>niskodawkowej</w:t>
      </w:r>
      <w:proofErr w:type="spellEnd"/>
      <w:r w:rsidRPr="00B34652">
        <w:rPr>
          <w:lang w:eastAsia="ar-SA"/>
        </w:rPr>
        <w:t xml:space="preserve"> tomografii komputerowej, z badań skorzystało  84 osób, w tym u 56 osób stwierdzono zmiany chorobowe wymagające dalszej diagnostyki lub leczenia</w:t>
      </w:r>
      <w:r w:rsidR="00B27D68">
        <w:rPr>
          <w:lang w:eastAsia="ar-SA"/>
        </w:rPr>
        <w:t>.</w:t>
      </w:r>
    </w:p>
    <w:p w14:paraId="2B860B49" w14:textId="1B94D018" w:rsidR="00B34652" w:rsidRPr="00B34652" w:rsidRDefault="00B34652" w:rsidP="00B34652">
      <w:pPr>
        <w:rPr>
          <w:lang w:eastAsia="ar-SA"/>
        </w:rPr>
      </w:pPr>
      <w:r w:rsidRPr="00B34652">
        <w:rPr>
          <w:lang w:eastAsia="ar-SA"/>
        </w:rPr>
        <w:t>Współudział Powiatu Tczewskiego w realizacji regionalnego programu polityki zdrowotnej Województwa Pomorskiego pn.: „Regionalny Program Polityki Zdrowotnej – szczepienia przeciw pneumokokom dla osób 65 + z grupy ryzyka”, łącznie zaszczepiono 140 mieszkańców powiatu tczewskiego w wieku 65+ z grupy ryzyka.</w:t>
      </w:r>
    </w:p>
    <w:p w14:paraId="506BA924" w14:textId="77777777" w:rsidR="00B34652" w:rsidRPr="00B34652" w:rsidRDefault="00B34652" w:rsidP="00B34652">
      <w:pPr>
        <w:rPr>
          <w:lang w:eastAsia="ar-SA"/>
        </w:rPr>
      </w:pPr>
    </w:p>
    <w:p w14:paraId="4D4497B4" w14:textId="77777777" w:rsidR="00B34652" w:rsidRPr="00B34652" w:rsidRDefault="00B34652" w:rsidP="00B34652">
      <w:pPr>
        <w:rPr>
          <w:lang w:eastAsia="ar-SA"/>
        </w:rPr>
      </w:pPr>
      <w:r w:rsidRPr="00B34652">
        <w:rPr>
          <w:lang w:eastAsia="ar-SA"/>
        </w:rPr>
        <w:t>Gmina Miejska Gdynia</w:t>
      </w:r>
    </w:p>
    <w:p w14:paraId="5A3D5335" w14:textId="77777777" w:rsidR="00B34652" w:rsidRPr="00B34652" w:rsidRDefault="00B34652" w:rsidP="00B34652">
      <w:pPr>
        <w:rPr>
          <w:lang w:eastAsia="ar-SA"/>
        </w:rPr>
      </w:pPr>
      <w:r w:rsidRPr="00B34652">
        <w:rPr>
          <w:lang w:eastAsia="ar-SA"/>
        </w:rPr>
        <w:t xml:space="preserve">Urban Lab i sieć Przystani (domów sąsiedzkich) - aktywności włączające różne grup mieszkańców i integrujące międzypokoleniowo. W 2020 r. działania różnego typu realizowane były w Przystaniach: Lipowa 15, Opata </w:t>
      </w:r>
      <w:proofErr w:type="spellStart"/>
      <w:r w:rsidRPr="00B34652">
        <w:rPr>
          <w:lang w:eastAsia="ar-SA"/>
        </w:rPr>
        <w:t>Hackiego</w:t>
      </w:r>
      <w:proofErr w:type="spellEnd"/>
      <w:r w:rsidRPr="00B34652">
        <w:rPr>
          <w:lang w:eastAsia="ar-SA"/>
        </w:rPr>
        <w:t xml:space="preserve"> 33, Chylońska 237 i Śmidowicza 49, głównie w formule on-line. Z oferty Przystani i Urban </w:t>
      </w:r>
      <w:proofErr w:type="spellStart"/>
      <w:r w:rsidRPr="00B34652">
        <w:rPr>
          <w:lang w:eastAsia="ar-SA"/>
        </w:rPr>
        <w:t>Labu</w:t>
      </w:r>
      <w:proofErr w:type="spellEnd"/>
      <w:r w:rsidRPr="00B34652">
        <w:rPr>
          <w:lang w:eastAsia="ar-SA"/>
        </w:rPr>
        <w:t xml:space="preserve"> skorzystało w 2020 r. 5823 osób, w tym także seniorzy.</w:t>
      </w:r>
    </w:p>
    <w:p w14:paraId="7DADF623" w14:textId="77777777" w:rsidR="00B34652" w:rsidRPr="00B34652" w:rsidRDefault="00B34652" w:rsidP="00B34652">
      <w:pPr>
        <w:rPr>
          <w:lang w:eastAsia="ar-SA"/>
        </w:rPr>
      </w:pPr>
    </w:p>
    <w:p w14:paraId="49E5AFD0" w14:textId="11CEAEE8" w:rsidR="00B34652" w:rsidRPr="00B34652" w:rsidRDefault="00B34652" w:rsidP="00B34652">
      <w:pPr>
        <w:rPr>
          <w:lang w:eastAsia="ar-SA"/>
        </w:rPr>
      </w:pPr>
      <w:r w:rsidRPr="00B34652">
        <w:rPr>
          <w:lang w:eastAsia="ar-SA"/>
        </w:rPr>
        <w:t>Gmina Debrzno</w:t>
      </w:r>
    </w:p>
    <w:p w14:paraId="0B96A106" w14:textId="77777777" w:rsidR="00B34652" w:rsidRPr="00B34652" w:rsidRDefault="00B34652" w:rsidP="00B34652">
      <w:pPr>
        <w:rPr>
          <w:lang w:eastAsia="ar-SA"/>
        </w:rPr>
      </w:pPr>
      <w:r w:rsidRPr="00B34652">
        <w:rPr>
          <w:lang w:eastAsia="ar-SA"/>
        </w:rPr>
        <w:t>Działania o charakterze prewencyjnym pn. „Bezpieczna zima naszych seniorów”, której celem jest dokładne rozeznanie aktualnych potrzeb osób starszych, samotnych i niepełnosprawnych objętych pomocą w formie usług opiekuńczych w sezonie zimowym. Podczas wizyt u osób starszych pracownicy socjalni sprawdzali zaopatrzenie w ciepłą odzież, obuwie, leki, możliwość przygotowania ciepłego posiłku, stan ogrzewania mieszkania, zaopatrzenie w opał lub inne nośniki ciepła, a także ustalali inne ważne potrzeby zgłaszane przez seniorów. W razie potrzeb została udzielona niezbędna pomoc m. in. w formie dopłaty do zakupu opału, leków czy też interwencji u administratora w sprawie niesprawnego pieca. Ponadto pracownicy Ośrodka współpracują z Posterunkiem Policji w Debrznie w zakresie informowania i monitorowania sytuacji osób zagrożonych zamarznięciem.</w:t>
      </w:r>
    </w:p>
    <w:p w14:paraId="2CAC0A38" w14:textId="77777777" w:rsidR="00B34652" w:rsidRPr="00B34652" w:rsidRDefault="00B34652" w:rsidP="00B34652">
      <w:pPr>
        <w:rPr>
          <w:lang w:eastAsia="ar-SA"/>
        </w:rPr>
      </w:pPr>
    </w:p>
    <w:p w14:paraId="5F10D22B" w14:textId="51DDAA03" w:rsidR="00B34652" w:rsidRPr="00B27D68" w:rsidRDefault="00B34652" w:rsidP="00B34652">
      <w:pPr>
        <w:rPr>
          <w:b/>
          <w:bCs/>
          <w:lang w:eastAsia="ar-SA"/>
        </w:rPr>
      </w:pPr>
      <w:r w:rsidRPr="00B27D68">
        <w:rPr>
          <w:b/>
          <w:bCs/>
          <w:lang w:eastAsia="ar-SA"/>
        </w:rPr>
        <w:t>Przykłady innowacyjnych rozwiązań</w:t>
      </w:r>
    </w:p>
    <w:p w14:paraId="235BB4EF" w14:textId="77777777" w:rsidR="00B34652" w:rsidRPr="00B34652" w:rsidRDefault="00B34652" w:rsidP="00B34652">
      <w:pPr>
        <w:rPr>
          <w:lang w:eastAsia="ar-SA"/>
        </w:rPr>
      </w:pPr>
    </w:p>
    <w:p w14:paraId="72A4BE99" w14:textId="3FD01872" w:rsidR="00B34652" w:rsidRPr="00B34652" w:rsidRDefault="00B34652" w:rsidP="00B34652">
      <w:pPr>
        <w:rPr>
          <w:lang w:eastAsia="ar-SA"/>
        </w:rPr>
      </w:pPr>
      <w:r w:rsidRPr="00B34652">
        <w:rPr>
          <w:lang w:eastAsia="ar-SA"/>
        </w:rPr>
        <w:t>Centrum Opieki Geriatrycznej w Sopocie</w:t>
      </w:r>
    </w:p>
    <w:p w14:paraId="3530EC11" w14:textId="77777777" w:rsidR="00B34652" w:rsidRPr="00B34652" w:rsidRDefault="00B34652" w:rsidP="00B34652">
      <w:pPr>
        <w:rPr>
          <w:lang w:eastAsia="ar-SA"/>
        </w:rPr>
      </w:pPr>
      <w:r w:rsidRPr="00B34652">
        <w:rPr>
          <w:lang w:eastAsia="ar-SA"/>
        </w:rPr>
        <w:t>Pod koniec 2019 r. otwarto w Sopocie wielospecjalistyczny ośrodek geriatryczno-rehabilitacyjny. W zakres opieki geriatrycznej wchodzi szeroko rozumiana opieka kompleksowa: przyszpitalne przychodnie geriatryczne i psychogeriatryczne, rehabilitacja i fizjoterapia, diagnostyka, a także oddziały dzienne i stacjonarne. Ośrodek wyposażony jest w nowoczesny sprzęt diagnostyczny i rehabilitacyjny. Jest to pierwszy szpital w woj. pomorskim, który kompleksowo opiekuje się osobami starszymi.</w:t>
      </w:r>
    </w:p>
    <w:p w14:paraId="30DD2503" w14:textId="77777777" w:rsidR="00B34652" w:rsidRPr="00B34652" w:rsidRDefault="00B34652" w:rsidP="00B34652">
      <w:pPr>
        <w:rPr>
          <w:lang w:eastAsia="ar-SA"/>
        </w:rPr>
      </w:pPr>
    </w:p>
    <w:p w14:paraId="3460A0D1" w14:textId="77777777" w:rsidR="00B34652" w:rsidRPr="00B34652" w:rsidRDefault="00B34652" w:rsidP="00B34652">
      <w:pPr>
        <w:rPr>
          <w:lang w:eastAsia="ar-SA"/>
        </w:rPr>
      </w:pPr>
      <w:r w:rsidRPr="00B34652">
        <w:rPr>
          <w:lang w:eastAsia="ar-SA"/>
        </w:rPr>
        <w:t>Platforma KWIDO</w:t>
      </w:r>
    </w:p>
    <w:p w14:paraId="6734E61F" w14:textId="1DAF5E7A" w:rsidR="00361C63" w:rsidRDefault="00B34652" w:rsidP="00B34652">
      <w:pPr>
        <w:rPr>
          <w:lang w:eastAsia="ar-SA"/>
        </w:rPr>
      </w:pPr>
      <w:r w:rsidRPr="00B34652">
        <w:rPr>
          <w:lang w:eastAsia="ar-SA"/>
        </w:rPr>
        <w:t xml:space="preserve">W 2020 r. w gminie Sopot rozpoczęły się prace nad realizacją projektu „Adaptacja platformy KWIDO celem opracowania nowego sposobu świadczenia usług publicznych opieki nad osobami starszymi i osłabionymi chorobami”. KWIDO to projekt zaawansowanej </w:t>
      </w:r>
      <w:proofErr w:type="spellStart"/>
      <w:r w:rsidRPr="00B34652">
        <w:rPr>
          <w:lang w:eastAsia="ar-SA"/>
        </w:rPr>
        <w:t>teleopieki</w:t>
      </w:r>
      <w:proofErr w:type="spellEnd"/>
      <w:r w:rsidRPr="00B34652">
        <w:rPr>
          <w:lang w:eastAsia="ar-SA"/>
        </w:rPr>
        <w:t xml:space="preserve"> połączonej z elementami </w:t>
      </w:r>
      <w:proofErr w:type="spellStart"/>
      <w:r w:rsidRPr="00B34652">
        <w:rPr>
          <w:lang w:eastAsia="ar-SA"/>
        </w:rPr>
        <w:t>telemedycyny</w:t>
      </w:r>
      <w:proofErr w:type="spellEnd"/>
      <w:r w:rsidRPr="00B34652">
        <w:rPr>
          <w:lang w:eastAsia="ar-SA"/>
        </w:rPr>
        <w:t xml:space="preserve">. Seniorzy korzystać będą z nowoczesnych tabletów </w:t>
      </w:r>
      <w:r w:rsidRPr="00B34652">
        <w:rPr>
          <w:lang w:eastAsia="ar-SA"/>
        </w:rPr>
        <w:lastRenderedPageBreak/>
        <w:t>wraz z opaskami do monitorowania stanu zdrowia i aktywności fizycznej. Zaletą systemu jest możliwość bezpośredniego kontaktu z lekarzem lub opiekunem dzięki rozmowom wideo „na żywo”. Specjaliści w razie zaobserwowania u uczestnika np. pierwszych objawów demencji, będą mogli od razu zareagować i pomóc seniorowi. W 2020 r</w:t>
      </w:r>
      <w:r w:rsidR="00A931B5">
        <w:rPr>
          <w:lang w:eastAsia="ar-SA"/>
        </w:rPr>
        <w:t>.</w:t>
      </w:r>
      <w:r w:rsidRPr="00B34652">
        <w:rPr>
          <w:lang w:eastAsia="ar-SA"/>
        </w:rPr>
        <w:t xml:space="preserve"> przeprowadzono etap testowania na 32 osobach, zaś na etap wdrożenia obejmie 100 osób. </w:t>
      </w:r>
    </w:p>
    <w:p w14:paraId="3E707882" w14:textId="77777777" w:rsidR="00361C63" w:rsidRDefault="00361C63" w:rsidP="00B34652">
      <w:pPr>
        <w:rPr>
          <w:lang w:eastAsia="ar-SA"/>
        </w:rPr>
      </w:pPr>
    </w:p>
    <w:p w14:paraId="3C14AD89" w14:textId="7BCBE545" w:rsidR="00B34652" w:rsidRPr="00B34652" w:rsidRDefault="00B34652" w:rsidP="00B34652">
      <w:pPr>
        <w:rPr>
          <w:lang w:eastAsia="ar-SA"/>
        </w:rPr>
      </w:pPr>
      <w:r w:rsidRPr="00B34652">
        <w:rPr>
          <w:lang w:eastAsia="ar-SA"/>
        </w:rPr>
        <w:t>„Pudełko życia”, „Koperta życia”</w:t>
      </w:r>
    </w:p>
    <w:p w14:paraId="005242EE" w14:textId="77777777" w:rsidR="00B34652" w:rsidRPr="00B34652" w:rsidRDefault="00B34652" w:rsidP="00B34652">
      <w:pPr>
        <w:rPr>
          <w:lang w:eastAsia="ar-SA"/>
        </w:rPr>
      </w:pPr>
      <w:r w:rsidRPr="00B34652">
        <w:rPr>
          <w:lang w:eastAsia="ar-SA"/>
        </w:rPr>
        <w:t xml:space="preserve">Kolejne rozwiązanie stosowane coraz powszechniej w zakresie wspierania seniorów oraz osób niepełnosprawnych. Jest to zestaw, który jest bezpłatnie przekazywany zainteresowanym, składa się z plastikowego pojemnika (lub koperty), oznaczonego specjalnym nadrukiem, karty informacyjnej oraz dwóch naklejek do umieszczenia na lodówce i wewnętrznej stronie drzwi wejściowych do mieszkania. Oznaczenie pozwala służbom zlokalizować pudełko. </w:t>
      </w:r>
    </w:p>
    <w:p w14:paraId="6EDE55FC" w14:textId="77777777" w:rsidR="00B34652" w:rsidRPr="00B34652" w:rsidRDefault="00B34652" w:rsidP="00B34652">
      <w:pPr>
        <w:rPr>
          <w:lang w:eastAsia="ar-SA"/>
        </w:rPr>
      </w:pPr>
      <w:r w:rsidRPr="00B34652">
        <w:rPr>
          <w:lang w:eastAsia="ar-SA"/>
        </w:rPr>
        <w:t>W pojemniku służby ratownicze znajdą informacje, takie jak: kontakt do rodziny, zdiagnozowane choroby i uczulenia, nazwy leków przypisanych na stałe przez lekarza oraz wskazanie miejsca, w którym senior przechowuję pełną dokumentację medyczną.</w:t>
      </w:r>
    </w:p>
    <w:p w14:paraId="6295A739" w14:textId="77777777" w:rsidR="00B34652" w:rsidRPr="00B34652" w:rsidRDefault="00B34652" w:rsidP="00B34652">
      <w:pPr>
        <w:rPr>
          <w:lang w:eastAsia="ar-SA"/>
        </w:rPr>
      </w:pPr>
      <w:r w:rsidRPr="00B34652">
        <w:rPr>
          <w:lang w:eastAsia="ar-SA"/>
        </w:rPr>
        <w:t>Przejrzysty system przechowywania informacji medycznej pozwala na szybsze i łatwiejsze udzielanie pomocy, a co za tym idzie – rośnie szansa na efektywne działania ratujące życie i zdrowie poszkodowanych. Głównym celem projektu jest ułatwienie niesienia pomocy wspomnianym mieszkańcom w sytuacji zagrożenia ich zdrowia lub życia.</w:t>
      </w:r>
    </w:p>
    <w:p w14:paraId="223D158B" w14:textId="77777777" w:rsidR="00B34652" w:rsidRPr="00B34652" w:rsidRDefault="00B34652" w:rsidP="00B34652">
      <w:pPr>
        <w:rPr>
          <w:lang w:eastAsia="ar-SA"/>
        </w:rPr>
      </w:pPr>
    </w:p>
    <w:p w14:paraId="17B5350D" w14:textId="5827844C" w:rsidR="00B34652" w:rsidRPr="00942717" w:rsidRDefault="00B34652" w:rsidP="00B34652">
      <w:pPr>
        <w:rPr>
          <w:lang w:val="en-US"/>
        </w:rPr>
      </w:pPr>
      <w:r w:rsidRPr="00942717">
        <w:rPr>
          <w:lang w:val="en-US"/>
        </w:rPr>
        <w:t>„</w:t>
      </w:r>
      <w:proofErr w:type="spellStart"/>
      <w:r w:rsidRPr="00942717">
        <w:rPr>
          <w:lang w:val="en-US"/>
        </w:rPr>
        <w:t>GreenSAM</w:t>
      </w:r>
      <w:proofErr w:type="spellEnd"/>
      <w:r w:rsidRPr="00942717">
        <w:rPr>
          <w:lang w:val="en-US"/>
        </w:rPr>
        <w:t xml:space="preserve">” – “Green Silver Age Mobility” w </w:t>
      </w:r>
      <w:proofErr w:type="spellStart"/>
      <w:r w:rsidRPr="00942717">
        <w:rPr>
          <w:lang w:val="en-US"/>
        </w:rPr>
        <w:t>Gdańsku</w:t>
      </w:r>
      <w:proofErr w:type="spellEnd"/>
    </w:p>
    <w:p w14:paraId="235AA30C" w14:textId="1DC0F98F" w:rsidR="00B34652" w:rsidRDefault="00B34652" w:rsidP="00B34652">
      <w:pPr>
        <w:rPr>
          <w:lang w:eastAsia="ar-SA"/>
        </w:rPr>
      </w:pPr>
      <w:r w:rsidRPr="00B34652">
        <w:rPr>
          <w:lang w:eastAsia="ar-SA"/>
        </w:rPr>
        <w:t>„</w:t>
      </w:r>
      <w:proofErr w:type="spellStart"/>
      <w:r w:rsidRPr="00B34652">
        <w:rPr>
          <w:lang w:eastAsia="ar-SA"/>
        </w:rPr>
        <w:t>GreenSAM</w:t>
      </w:r>
      <w:proofErr w:type="spellEnd"/>
      <w:r w:rsidRPr="00B34652">
        <w:rPr>
          <w:lang w:eastAsia="ar-SA"/>
        </w:rPr>
        <w:t xml:space="preserve">” – “Green Silver Age </w:t>
      </w:r>
      <w:proofErr w:type="spellStart"/>
      <w:r w:rsidRPr="00B34652">
        <w:rPr>
          <w:lang w:eastAsia="ar-SA"/>
        </w:rPr>
        <w:t>Mobility</w:t>
      </w:r>
      <w:proofErr w:type="spellEnd"/>
      <w:r w:rsidRPr="00B34652">
        <w:rPr>
          <w:lang w:eastAsia="ar-SA"/>
        </w:rPr>
        <w:t>” – czyli „Zielona Mobilność w Srebrnym Wieku” to europejski projekt z myślą o podniesieniu poziomu mobilności aktywnej seniorów. W 2020 r. zrealizowano jedno z najważniejszych celów projektu "</w:t>
      </w:r>
      <w:proofErr w:type="spellStart"/>
      <w:r w:rsidRPr="00B34652">
        <w:rPr>
          <w:lang w:eastAsia="ar-SA"/>
        </w:rPr>
        <w:t>GreenSAM</w:t>
      </w:r>
      <w:proofErr w:type="spellEnd"/>
      <w:r w:rsidRPr="00B34652">
        <w:rPr>
          <w:lang w:eastAsia="ar-SA"/>
        </w:rPr>
        <w:t>" tj. utworzenie Zespołu ds. aktywnej mobilności będący reprezentacją podmiotów zrzeszających seniorów. W ramach projektu została również przeprowadzona ankieta, w celu określenia barier w zakresie mobilności aktywnej seniorów oraz poprawy bezpieczeństwa w ruchu ulicznym. Ponadto zrealizowano cel projektu polegający na zakupie rowerów trójkołowych do wykorzystania przez grupy senioralne do promocji jazdy na rowerze wśród starszych mieszkańców miasta.</w:t>
      </w:r>
    </w:p>
    <w:p w14:paraId="62BFFF66" w14:textId="77777777" w:rsidR="00B34652" w:rsidRDefault="00B34652" w:rsidP="00E7359C">
      <w:pPr>
        <w:rPr>
          <w:rFonts w:cs="Times New Roman"/>
          <w:b/>
          <w:color w:val="FF0000"/>
          <w:szCs w:val="24"/>
          <w:lang w:eastAsia="ar-SA"/>
        </w:rPr>
      </w:pPr>
    </w:p>
    <w:p w14:paraId="74A0CA49" w14:textId="6C99E528" w:rsidR="008E1D2A" w:rsidRDefault="005977EB" w:rsidP="008E1D2A">
      <w:pPr>
        <w:pStyle w:val="Nagwek3"/>
      </w:pPr>
      <w:bookmarkStart w:id="271" w:name="_Toc77514016"/>
      <w:bookmarkStart w:id="272" w:name="_Toc80523174"/>
      <w:r w:rsidRPr="005977EB">
        <w:t xml:space="preserve">Działania związane z ochroną seniorów przed negatywnymi skutkami pandemii COVID-19, które zostały podjęte w 2020 r w województwie </w:t>
      </w:r>
      <w:r>
        <w:t>pomorskim</w:t>
      </w:r>
      <w:bookmarkEnd w:id="271"/>
      <w:bookmarkEnd w:id="272"/>
    </w:p>
    <w:p w14:paraId="761A93B0" w14:textId="06DE440B" w:rsidR="008E1D2A" w:rsidRDefault="008E1D2A" w:rsidP="00E7359C">
      <w:pPr>
        <w:rPr>
          <w:rFonts w:cs="Times New Roman"/>
          <w:b/>
          <w:color w:val="FF0000"/>
          <w:szCs w:val="24"/>
          <w:lang w:eastAsia="ar-SA"/>
        </w:rPr>
      </w:pPr>
    </w:p>
    <w:p w14:paraId="7F4A0C8E" w14:textId="2E57686E" w:rsidR="005977EB" w:rsidRPr="005977EB" w:rsidRDefault="005977EB" w:rsidP="005977EB">
      <w:pPr>
        <w:rPr>
          <w:lang w:eastAsia="ar-SA"/>
        </w:rPr>
      </w:pPr>
      <w:r w:rsidRPr="005977EB">
        <w:rPr>
          <w:lang w:eastAsia="ar-SA"/>
        </w:rPr>
        <w:t xml:space="preserve">W pierwszej fazie pandemii w 2020r. przeprowadzono rozpoznanie dotyczące osób starszych, które pozostają same w domach i </w:t>
      </w:r>
      <w:r w:rsidR="00D6492C">
        <w:rPr>
          <w:lang w:eastAsia="ar-SA"/>
        </w:rPr>
        <w:t xml:space="preserve"> </w:t>
      </w:r>
      <w:r w:rsidRPr="005977EB">
        <w:rPr>
          <w:lang w:eastAsia="ar-SA"/>
        </w:rPr>
        <w:t xml:space="preserve">mogłyby wymagać pomocy socjalnej, usługowej lub medycznej. Z powyższymi osobami oraz ich rodzinami utrzymywano stały kontakt w celu uzyskania informacji o potrzebie zorganizowania pomocy w ramach możliwości miejscowych OPS.  </w:t>
      </w:r>
    </w:p>
    <w:p w14:paraId="56D0AAD5" w14:textId="77777777" w:rsidR="005977EB" w:rsidRPr="005977EB" w:rsidRDefault="005977EB" w:rsidP="005977EB">
      <w:pPr>
        <w:rPr>
          <w:lang w:eastAsia="ar-SA"/>
        </w:rPr>
      </w:pPr>
    </w:p>
    <w:p w14:paraId="2C250A12" w14:textId="49A33704" w:rsidR="005977EB" w:rsidRPr="005977EB" w:rsidRDefault="005977EB" w:rsidP="005977EB">
      <w:pPr>
        <w:rPr>
          <w:lang w:eastAsia="ar-SA"/>
        </w:rPr>
      </w:pPr>
      <w:r w:rsidRPr="005977EB">
        <w:rPr>
          <w:lang w:eastAsia="ar-SA"/>
        </w:rPr>
        <w:t>Program „Wspieraj Seniora”</w:t>
      </w:r>
    </w:p>
    <w:p w14:paraId="24001B80" w14:textId="77777777" w:rsidR="005977EB" w:rsidRPr="005977EB" w:rsidRDefault="005977EB" w:rsidP="005977EB">
      <w:pPr>
        <w:rPr>
          <w:lang w:eastAsia="ar-SA"/>
        </w:rPr>
      </w:pPr>
      <w:r w:rsidRPr="005977EB">
        <w:rPr>
          <w:lang w:eastAsia="ar-SA"/>
        </w:rPr>
        <w:t xml:space="preserve">W związku z obowiązującą w Polsce pandemią </w:t>
      </w:r>
      <w:proofErr w:type="spellStart"/>
      <w:r w:rsidRPr="005977EB">
        <w:rPr>
          <w:lang w:eastAsia="ar-SA"/>
        </w:rPr>
        <w:t>koronawirusa</w:t>
      </w:r>
      <w:proofErr w:type="spellEnd"/>
      <w:r w:rsidRPr="005977EB">
        <w:rPr>
          <w:lang w:eastAsia="ar-SA"/>
        </w:rPr>
        <w:t xml:space="preserve"> wszystkie gminy województwa pomorskiego zapewniały usługę wsparcia Seniorom w wieku 70 lat i więcej, którzy w obowiązującym stanie epidemii zdecydowali się na pozostanie w domu a nie byli w stanie np. poprzez wsparcie rodziny zabezpieczyć sobie artykułów podstawowej potrzeby.</w:t>
      </w:r>
    </w:p>
    <w:p w14:paraId="2E455797" w14:textId="781BB3E7" w:rsidR="005977EB" w:rsidRPr="005977EB" w:rsidRDefault="005977EB" w:rsidP="005977EB">
      <w:pPr>
        <w:rPr>
          <w:lang w:eastAsia="ar-SA"/>
        </w:rPr>
      </w:pPr>
      <w:r w:rsidRPr="005977EB">
        <w:rPr>
          <w:lang w:eastAsia="ar-SA"/>
        </w:rPr>
        <w:lastRenderedPageBreak/>
        <w:t>W 2020 r</w:t>
      </w:r>
      <w:r w:rsidR="00A931B5">
        <w:rPr>
          <w:lang w:eastAsia="ar-SA"/>
        </w:rPr>
        <w:t>.</w:t>
      </w:r>
      <w:r w:rsidRPr="005977EB">
        <w:rPr>
          <w:lang w:eastAsia="ar-SA"/>
        </w:rPr>
        <w:t xml:space="preserve"> do realizacji Programu „Wspieraj Seniora” przystąpiło 87 gmin. Zarejestrowano w sumie 2 387 zgłoszeń, w tym 996 za pośrednictwem dedykowanej ogólnopolskiej infolinii oraz 1391 zgłoszeń, które wpłynęły bezpośrednio do ośrodków pomocy społecznej. Łącznie w ramach realizacji przedmiotowego Programu z pomocy skorzystało 1 707 Seniorów, w tym 623 osoby zgłosiły się poprzez infolinię, a 1 084 osoby zwróciły się do ośrodka pomocy społecznej nie korzystając z infolinii.</w:t>
      </w:r>
      <w:r w:rsidR="00B27D68">
        <w:rPr>
          <w:lang w:eastAsia="ar-SA"/>
        </w:rPr>
        <w:t xml:space="preserve"> </w:t>
      </w:r>
      <w:r w:rsidRPr="005977EB">
        <w:rPr>
          <w:lang w:eastAsia="ar-SA"/>
        </w:rPr>
        <w:t>Na realizację zadania gminy województwa pomorskiego otrzymały z budżetu państwa dotację w wysokości – 5 027 668 zł, z czego na realizację założonych celów Programu wydatkowały kwotę w wysokości – 2 069 487,79 zł. Główną formą realizacji programu było wsparcie świadczone przez kadrę ośrodków pomocy społecznej, zakup usług od sektora prywatnego, a także wsparcie uzyskane od organizacji pozarządowych i wolontariuszy.</w:t>
      </w:r>
    </w:p>
    <w:p w14:paraId="256F31E7" w14:textId="5806870C" w:rsidR="005977EB" w:rsidRPr="005977EB" w:rsidRDefault="005977EB" w:rsidP="005977EB">
      <w:pPr>
        <w:rPr>
          <w:lang w:eastAsia="ar-SA"/>
        </w:rPr>
      </w:pPr>
      <w:r w:rsidRPr="005977EB">
        <w:rPr>
          <w:lang w:eastAsia="ar-SA"/>
        </w:rPr>
        <w:t>Program „Wspieraj Seniora” zasadniczo przyczynił się do wsparcia gmin w zapewnieniu usługi wsparcia seniorom w wieku 70 lat i więcej, którzy w obowiązującym stanie epidemii zdecydowali się na pozostanie w domu a nie byli w stanie np. poprzez wsparcie rodziny zabezpieczyć sobie artykułów podstawowej potrzeby. Dodatkowe środki z budżetu państwa pozwoliły na premiowanie pracowników ośrodków pomocy społecznej szczególnie zaangażowanych w działania w ramach Programu, a także na zapewnienie dodatkowego bezpieczeństwa w formie zakupu środków ochrony indywidualnej osobom, które świadczyły usługi wsparcia Seniorom. Należy podkreślić, iż Program w wielu miejscowościach wpisał się i wzmocnił dotychczasową politykę gminy, która funkcjonowała w wielu miejscach już od marca 2020 r</w:t>
      </w:r>
      <w:r w:rsidR="00A931B5">
        <w:rPr>
          <w:lang w:eastAsia="ar-SA"/>
        </w:rPr>
        <w:t>.</w:t>
      </w:r>
      <w:r w:rsidRPr="005977EB">
        <w:rPr>
          <w:lang w:eastAsia="ar-SA"/>
        </w:rPr>
        <w:t xml:space="preserve">, mając na celu zminimalizowanie zagrożenia </w:t>
      </w:r>
      <w:proofErr w:type="spellStart"/>
      <w:r w:rsidRPr="005977EB">
        <w:rPr>
          <w:lang w:eastAsia="ar-SA"/>
        </w:rPr>
        <w:t>koronawirusem</w:t>
      </w:r>
      <w:proofErr w:type="spellEnd"/>
      <w:r w:rsidRPr="005977EB">
        <w:rPr>
          <w:lang w:eastAsia="ar-SA"/>
        </w:rPr>
        <w:t xml:space="preserve"> dla osób starszych, a także ich wsparcie w zakresie zapewniania podstawowych potrzeb.</w:t>
      </w:r>
      <w:r w:rsidR="00B27D68">
        <w:rPr>
          <w:lang w:eastAsia="ar-SA"/>
        </w:rPr>
        <w:t xml:space="preserve"> </w:t>
      </w:r>
      <w:r w:rsidRPr="005977EB">
        <w:rPr>
          <w:lang w:eastAsia="ar-SA"/>
        </w:rPr>
        <w:t>Program „Wspieraj Seniora” w wielu środowiskach był narzędziem, które znacząco ułatwiło rozeznanie sytuacji osób starszych w pandemii, także tych, którzy wcześniej nie korzystali ze wsparcia ośrodka pomocy społecznej. Dzięki temu, w ocenie pracowników OPS, wzrosło ogólne poczucie bezpieczeństwa Seniorów. Program był również szczególnie pomocny w gminach o słabo rozwiniętej infrastrukturze: mała liczba sklepów oraz połączeń komunikacji publicznej.</w:t>
      </w:r>
    </w:p>
    <w:p w14:paraId="35DA4462" w14:textId="77777777" w:rsidR="005977EB" w:rsidRPr="005977EB" w:rsidRDefault="005977EB" w:rsidP="005977EB">
      <w:pPr>
        <w:rPr>
          <w:lang w:eastAsia="ar-SA"/>
        </w:rPr>
      </w:pPr>
    </w:p>
    <w:p w14:paraId="3255B1BE" w14:textId="4D72D6B2" w:rsidR="005977EB" w:rsidRPr="005977EB" w:rsidRDefault="005977EB" w:rsidP="005977EB">
      <w:pPr>
        <w:rPr>
          <w:lang w:eastAsia="ar-SA"/>
        </w:rPr>
      </w:pPr>
      <w:r w:rsidRPr="005977EB">
        <w:rPr>
          <w:lang w:eastAsia="ar-SA"/>
        </w:rPr>
        <w:t>Dostarczanie posiłków do domów</w:t>
      </w:r>
    </w:p>
    <w:p w14:paraId="1C909261" w14:textId="77777777" w:rsidR="005977EB" w:rsidRPr="005977EB" w:rsidRDefault="005977EB" w:rsidP="005977EB">
      <w:pPr>
        <w:rPr>
          <w:lang w:eastAsia="ar-SA"/>
        </w:rPr>
      </w:pPr>
      <w:r w:rsidRPr="005977EB">
        <w:rPr>
          <w:lang w:eastAsia="ar-SA"/>
        </w:rPr>
        <w:t>W związku z epidemią wirusa SARS-CoV-2, w celu zwiększenia bezpieczeństwa zdrowotnego klientów powyżej 70 roku życia, korzystających z  pomocy w formie ciepłego posiłku wydawanego w gminnych stołówkach, pracownicy OPS dostarczali je bezpośrednio do miejsca zamieszkania tych osób z zachowaniem wszelkich zaleceń i zasad bezpieczeństwa w tym zakresie.</w:t>
      </w:r>
    </w:p>
    <w:p w14:paraId="714C4A3C" w14:textId="77777777" w:rsidR="005977EB" w:rsidRPr="005977EB" w:rsidRDefault="005977EB" w:rsidP="005977EB">
      <w:pPr>
        <w:rPr>
          <w:lang w:eastAsia="ar-SA"/>
        </w:rPr>
      </w:pPr>
    </w:p>
    <w:p w14:paraId="2F639E7F" w14:textId="158271D1" w:rsidR="005977EB" w:rsidRPr="005977EB" w:rsidRDefault="005977EB" w:rsidP="005977EB">
      <w:pPr>
        <w:rPr>
          <w:lang w:eastAsia="ar-SA"/>
        </w:rPr>
      </w:pPr>
      <w:r w:rsidRPr="005977EB">
        <w:rPr>
          <w:lang w:eastAsia="ar-SA"/>
        </w:rPr>
        <w:t xml:space="preserve">Maseczki ochronne </w:t>
      </w:r>
    </w:p>
    <w:p w14:paraId="1BC42E94" w14:textId="48551ED7" w:rsidR="005977EB" w:rsidRDefault="005977EB" w:rsidP="005977EB">
      <w:pPr>
        <w:rPr>
          <w:lang w:eastAsia="ar-SA"/>
        </w:rPr>
      </w:pPr>
      <w:r w:rsidRPr="005977EB">
        <w:rPr>
          <w:lang w:eastAsia="ar-SA"/>
        </w:rPr>
        <w:t xml:space="preserve">Akcja szycia maseczek ochronnych, której głównym celem projektu było zapewnienie seniorom środków ochrony przed </w:t>
      </w:r>
      <w:proofErr w:type="spellStart"/>
      <w:r w:rsidRPr="005977EB">
        <w:rPr>
          <w:lang w:eastAsia="ar-SA"/>
        </w:rPr>
        <w:t>koronawirusem</w:t>
      </w:r>
      <w:proofErr w:type="spellEnd"/>
      <w:r w:rsidRPr="005977EB">
        <w:rPr>
          <w:lang w:eastAsia="ar-SA"/>
        </w:rPr>
        <w:t xml:space="preserve">. W ramach projektu dostarczono środki bezpieczeństwa - maseczki wielokrotnego użytku. Ponadto w ramach wizyty opiekunów u seniorów prowadzone były rozmowy w celu rozpowszechnienia  informacji,  jak należy chronić się przed zarażeniem </w:t>
      </w:r>
      <w:proofErr w:type="spellStart"/>
      <w:r w:rsidRPr="005977EB">
        <w:rPr>
          <w:lang w:eastAsia="ar-SA"/>
        </w:rPr>
        <w:t>koronawirusem</w:t>
      </w:r>
      <w:proofErr w:type="spellEnd"/>
      <w:r w:rsidRPr="005977EB">
        <w:rPr>
          <w:lang w:eastAsia="ar-SA"/>
        </w:rPr>
        <w:t>.</w:t>
      </w:r>
    </w:p>
    <w:p w14:paraId="048CF5A0" w14:textId="77777777" w:rsidR="00B27D68" w:rsidRPr="005977EB" w:rsidRDefault="00B27D68" w:rsidP="005977EB">
      <w:pPr>
        <w:rPr>
          <w:lang w:eastAsia="ar-SA"/>
        </w:rPr>
      </w:pPr>
    </w:p>
    <w:p w14:paraId="503B9F55" w14:textId="77777777" w:rsidR="005977EB" w:rsidRPr="005977EB" w:rsidRDefault="005977EB" w:rsidP="005977EB">
      <w:pPr>
        <w:rPr>
          <w:lang w:eastAsia="ar-SA"/>
        </w:rPr>
      </w:pPr>
      <w:r w:rsidRPr="005977EB">
        <w:rPr>
          <w:lang w:eastAsia="ar-SA"/>
        </w:rPr>
        <w:t>Transport na szczepienie</w:t>
      </w:r>
    </w:p>
    <w:p w14:paraId="1A5C693B" w14:textId="2EB7B499" w:rsidR="005977EB" w:rsidRDefault="005977EB" w:rsidP="005977EB">
      <w:pPr>
        <w:rPr>
          <w:lang w:eastAsia="ar-SA"/>
        </w:rPr>
      </w:pPr>
      <w:r w:rsidRPr="005977EB">
        <w:rPr>
          <w:lang w:eastAsia="ar-SA"/>
        </w:rPr>
        <w:t>Osoby niepełnosprawne i seniorzy, którzy nie mogli samodzielnie dotrzeć do punktu szczepień, mieli możliwość skorzystania z zorganizowanego transportu do punktów szczepień w wyznaczonym dla nich terminie.</w:t>
      </w:r>
    </w:p>
    <w:p w14:paraId="58981145" w14:textId="77777777" w:rsidR="00B27D68" w:rsidRPr="005977EB" w:rsidRDefault="00B27D68" w:rsidP="005977EB">
      <w:pPr>
        <w:rPr>
          <w:lang w:eastAsia="ar-SA"/>
        </w:rPr>
      </w:pPr>
    </w:p>
    <w:p w14:paraId="69CB75B5" w14:textId="68F304D4" w:rsidR="005977EB" w:rsidRPr="005977EB" w:rsidRDefault="005977EB" w:rsidP="005977EB">
      <w:pPr>
        <w:rPr>
          <w:lang w:eastAsia="ar-SA"/>
        </w:rPr>
      </w:pPr>
      <w:r w:rsidRPr="005977EB">
        <w:rPr>
          <w:lang w:eastAsia="ar-SA"/>
        </w:rPr>
        <w:t>Regionalny Ośrodek Polityki Społecznej Urzędu Marszałkowskiego Województwa Pomorskiego w Gdańsku realizuje projekt dofinansowany z Funduszy Europejskich pn. „Pomorskie pomaga”</w:t>
      </w:r>
      <w:r w:rsidR="00B27D68">
        <w:rPr>
          <w:lang w:eastAsia="ar-SA"/>
        </w:rPr>
        <w:t xml:space="preserve"> </w:t>
      </w:r>
      <w:r w:rsidRPr="005977EB">
        <w:rPr>
          <w:lang w:eastAsia="ar-SA"/>
        </w:rPr>
        <w:t>Celem projektu jest łagodzenie skutków epidemii COVID-19 oraz przeciwdziałanie jej negatywnym konsekwencjom, w szczególności w stosunku do osób znajdujących się w grupie szczególnego ryzyka, jaką stanowią mieszkańcy i pracownicy domów pomocy społecznej, które na terenie województwa pomorskiego świadczą całodobową opiekę (wsparcie) w szczególności osobom starszym, z niepełnosprawnościami, przewlekle chorym.</w:t>
      </w:r>
    </w:p>
    <w:p w14:paraId="3D6F962B" w14:textId="77777777" w:rsidR="005977EB" w:rsidRPr="005977EB" w:rsidRDefault="005977EB" w:rsidP="005977EB">
      <w:pPr>
        <w:rPr>
          <w:lang w:eastAsia="ar-SA"/>
        </w:rPr>
      </w:pPr>
      <w:r w:rsidRPr="005977EB">
        <w:rPr>
          <w:lang w:eastAsia="ar-SA"/>
        </w:rPr>
        <w:t>Program realizowano poprzez:</w:t>
      </w:r>
    </w:p>
    <w:p w14:paraId="68459A52" w14:textId="77777777" w:rsidR="00B27D68" w:rsidRDefault="005977EB" w:rsidP="00FE70E3">
      <w:pPr>
        <w:pStyle w:val="Akapitzlist"/>
        <w:numPr>
          <w:ilvl w:val="0"/>
          <w:numId w:val="193"/>
        </w:numPr>
        <w:rPr>
          <w:lang w:eastAsia="ar-SA"/>
        </w:rPr>
      </w:pPr>
      <w:r w:rsidRPr="005977EB">
        <w:rPr>
          <w:lang w:eastAsia="ar-SA"/>
        </w:rPr>
        <w:t>dodatki do wynagrodzeń dla pracowników DPS wykonujących bezpośrednią pracę z pensjonariuszami,</w:t>
      </w:r>
    </w:p>
    <w:p w14:paraId="576A79C0" w14:textId="77777777" w:rsidR="00B27D68" w:rsidRDefault="005977EB" w:rsidP="00FE70E3">
      <w:pPr>
        <w:pStyle w:val="Akapitzlist"/>
        <w:numPr>
          <w:ilvl w:val="0"/>
          <w:numId w:val="193"/>
        </w:numPr>
        <w:rPr>
          <w:lang w:eastAsia="ar-SA"/>
        </w:rPr>
      </w:pPr>
      <w:r w:rsidRPr="005977EB">
        <w:rPr>
          <w:lang w:eastAsia="ar-SA"/>
        </w:rPr>
        <w:t>zapewnienie noclegów i wyżywienia dla pracowników DPS poza miejscem zamieszkania,</w:t>
      </w:r>
    </w:p>
    <w:p w14:paraId="2B1AAF54" w14:textId="2D46CFFC" w:rsidR="00E725D4" w:rsidRDefault="005977EB" w:rsidP="00FE70E3">
      <w:pPr>
        <w:pStyle w:val="Akapitzlist"/>
        <w:numPr>
          <w:ilvl w:val="0"/>
          <w:numId w:val="193"/>
        </w:numPr>
        <w:rPr>
          <w:lang w:eastAsia="ar-SA"/>
        </w:rPr>
      </w:pPr>
      <w:r w:rsidRPr="005977EB">
        <w:rPr>
          <w:lang w:eastAsia="ar-SA"/>
        </w:rPr>
        <w:t>zapewnienie tymczasowych miejsc przy każdym DPS na kwarantannę dla pensjonariuszy (m.in. poprzez pokrycie kosztów związanych z noclegiem, wyżywieniem i opieką nad osobami, które znajdować się będą w kwarantannie) – miejsca odbywania 14-dniowej kwarantanny przed przyjęciem do DPS / po powrocie ze szpitala.</w:t>
      </w:r>
    </w:p>
    <w:p w14:paraId="10A5B56A" w14:textId="77777777" w:rsidR="00B27D68" w:rsidRPr="00B27D68" w:rsidRDefault="00B27D68" w:rsidP="00B27D68">
      <w:pPr>
        <w:rPr>
          <w:lang w:eastAsia="ar-SA"/>
        </w:rPr>
      </w:pPr>
    </w:p>
    <w:p w14:paraId="2F038FF1" w14:textId="239BEFAC" w:rsidR="00AC180B" w:rsidRDefault="00AC180B" w:rsidP="00AC180B">
      <w:pPr>
        <w:pStyle w:val="Nagwek3"/>
      </w:pPr>
      <w:bookmarkStart w:id="273" w:name="_Toc77514017"/>
      <w:bookmarkStart w:id="274" w:name="_Toc80523175"/>
      <w:r>
        <w:t>Infrastruktura społeczna oraz usługi świadczone osobom starszym w 2020 r.</w:t>
      </w:r>
      <w:bookmarkEnd w:id="273"/>
      <w:bookmarkEnd w:id="274"/>
    </w:p>
    <w:p w14:paraId="30465DAC" w14:textId="77777777" w:rsidR="000B1B06" w:rsidRPr="000B1B06" w:rsidRDefault="000B1B06" w:rsidP="000B1B06"/>
    <w:p w14:paraId="36B5E811" w14:textId="5ADD213F" w:rsidR="00AC180B" w:rsidRDefault="00AC180B" w:rsidP="00AC180B">
      <w:pPr>
        <w:rPr>
          <w:rFonts w:cs="Times New Roman"/>
          <w:szCs w:val="24"/>
        </w:rPr>
      </w:pPr>
      <w:r w:rsidRPr="00D96C8C">
        <w:rPr>
          <w:rFonts w:cs="Times New Roman"/>
          <w:szCs w:val="24"/>
        </w:rPr>
        <w:t xml:space="preserve">Szczegółowe informacje dotyczące usług oraz infrastruktury społecznej dostępnej dla osób starszych w województwie </w:t>
      </w:r>
      <w:r w:rsidR="005C3916">
        <w:rPr>
          <w:rFonts w:cs="Times New Roman"/>
          <w:szCs w:val="24"/>
        </w:rPr>
        <w:t>pomorskim</w:t>
      </w:r>
      <w:r>
        <w:rPr>
          <w:rFonts w:cs="Times New Roman"/>
          <w:szCs w:val="24"/>
        </w:rPr>
        <w:t xml:space="preserve"> w 2020 r. przedstawia poniższa tabela</w:t>
      </w:r>
    </w:p>
    <w:p w14:paraId="7B94B401" w14:textId="77777777" w:rsidR="00AC180B" w:rsidRDefault="00AC180B" w:rsidP="00E7359C">
      <w:pPr>
        <w:rPr>
          <w:rFonts w:cs="Times New Roman"/>
          <w:color w:val="FF0000"/>
          <w:szCs w:val="24"/>
        </w:rPr>
      </w:pPr>
    </w:p>
    <w:p w14:paraId="12CA96C8" w14:textId="77777777" w:rsidR="00CC3B5A" w:rsidRPr="0092226B" w:rsidRDefault="00CC3B5A" w:rsidP="00E7359C">
      <w:pPr>
        <w:rPr>
          <w:rFonts w:cs="Times New Roman"/>
          <w:color w:val="FF0000"/>
          <w:szCs w:val="24"/>
        </w:rPr>
      </w:pPr>
      <w:r w:rsidRPr="0092226B">
        <w:rPr>
          <w:rFonts w:cs="Times New Roman"/>
          <w:color w:val="FF0000"/>
          <w:szCs w:val="24"/>
        </w:rPr>
        <w:t>.</w:t>
      </w:r>
    </w:p>
    <w:p w14:paraId="0107396C" w14:textId="77777777" w:rsidR="00753D91" w:rsidRPr="0092226B" w:rsidRDefault="00753D91" w:rsidP="003C1988">
      <w:pPr>
        <w:rPr>
          <w:rFonts w:cs="Times New Roman"/>
          <w:color w:val="FF0000"/>
          <w:szCs w:val="24"/>
        </w:rPr>
        <w:sectPr w:rsidR="00753D91" w:rsidRPr="0092226B" w:rsidSect="00DB6308">
          <w:pgSz w:w="11900" w:h="16838"/>
          <w:pgMar w:top="1384" w:right="1386" w:bottom="1038" w:left="1380" w:header="0" w:footer="567" w:gutter="0"/>
          <w:cols w:space="0" w:equalWidth="0">
            <w:col w:w="9140"/>
          </w:cols>
          <w:docGrid w:linePitch="360"/>
        </w:sectPr>
      </w:pPr>
    </w:p>
    <w:p w14:paraId="0D3291A5" w14:textId="2A491965" w:rsidR="004D48DD" w:rsidRPr="00B34652" w:rsidRDefault="004D48DD" w:rsidP="004D48DD">
      <w:pPr>
        <w:pStyle w:val="Legenda"/>
        <w:keepNext/>
        <w:rPr>
          <w:rFonts w:cs="Times New Roman"/>
          <w:b/>
          <w:i w:val="0"/>
          <w:color w:val="auto"/>
          <w:sz w:val="24"/>
        </w:rPr>
      </w:pPr>
      <w:bookmarkStart w:id="275" w:name="_Toc49171440"/>
      <w:r w:rsidRPr="00B34652">
        <w:rPr>
          <w:rFonts w:cs="Times New Roman"/>
          <w:b/>
          <w:i w:val="0"/>
          <w:color w:val="auto"/>
          <w:sz w:val="24"/>
        </w:rPr>
        <w:lastRenderedPageBreak/>
        <w:t xml:space="preserve">Tabela </w:t>
      </w:r>
      <w:r w:rsidR="006E7700">
        <w:rPr>
          <w:rFonts w:cs="Times New Roman"/>
          <w:b/>
          <w:i w:val="0"/>
          <w:color w:val="auto"/>
          <w:sz w:val="24"/>
        </w:rPr>
        <w:t>70</w:t>
      </w:r>
      <w:r w:rsidR="00054E88">
        <w:rPr>
          <w:rFonts w:cs="Times New Roman"/>
          <w:b/>
          <w:i w:val="0"/>
          <w:color w:val="auto"/>
          <w:sz w:val="24"/>
        </w:rPr>
        <w:t>.</w:t>
      </w:r>
      <w:r w:rsidR="006E7700">
        <w:rPr>
          <w:rFonts w:cs="Times New Roman"/>
          <w:b/>
          <w:i w:val="0"/>
          <w:color w:val="auto"/>
          <w:sz w:val="24"/>
        </w:rPr>
        <w:t xml:space="preserve"> </w:t>
      </w:r>
      <w:r w:rsidRPr="00B34652">
        <w:rPr>
          <w:rFonts w:cs="Times New Roman"/>
          <w:b/>
          <w:i w:val="0"/>
          <w:color w:val="auto"/>
          <w:sz w:val="24"/>
        </w:rPr>
        <w:t>Karta województwa pomorskiego</w:t>
      </w:r>
      <w:bookmarkEnd w:id="275"/>
    </w:p>
    <w:tbl>
      <w:tblPr>
        <w:tblStyle w:val="Tabelasiatki5ciemnaakcent2"/>
        <w:tblpPr w:leftFromText="142" w:rightFromText="142" w:vertAnchor="text" w:horzAnchor="margin" w:tblpXSpec="center" w:tblpY="1"/>
        <w:tblW w:w="14741" w:type="dxa"/>
        <w:tblLayout w:type="fixed"/>
        <w:tblLook w:val="04A0" w:firstRow="1" w:lastRow="0" w:firstColumn="1" w:lastColumn="0" w:noHBand="0" w:noVBand="1"/>
      </w:tblPr>
      <w:tblGrid>
        <w:gridCol w:w="2830"/>
        <w:gridCol w:w="3066"/>
        <w:gridCol w:w="53"/>
        <w:gridCol w:w="2895"/>
        <w:gridCol w:w="790"/>
        <w:gridCol w:w="2158"/>
        <w:gridCol w:w="2949"/>
      </w:tblGrid>
      <w:tr w:rsidR="00B34652" w:rsidRPr="00B34652" w14:paraId="468263CE" w14:textId="77777777" w:rsidTr="00B34652">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7499ACAD" w14:textId="578AD6EC" w:rsidR="00B34652" w:rsidRPr="00DE642C" w:rsidRDefault="00B34652" w:rsidP="00E86509">
            <w:pPr>
              <w:spacing w:line="240" w:lineRule="auto"/>
              <w:jc w:val="center"/>
              <w:rPr>
                <w:color w:val="auto"/>
                <w:sz w:val="20"/>
                <w:szCs w:val="20"/>
              </w:rPr>
            </w:pPr>
            <w:r w:rsidRPr="00DE642C">
              <w:rPr>
                <w:color w:val="auto"/>
                <w:sz w:val="20"/>
                <w:szCs w:val="20"/>
              </w:rPr>
              <w:t>WOJEWÓDZTWO POMORSKIE</w:t>
            </w:r>
          </w:p>
        </w:tc>
      </w:tr>
      <w:tr w:rsidR="00B34652" w:rsidRPr="00B34652" w14:paraId="67119321" w14:textId="77777777" w:rsidTr="00B34652">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680A1D43" w14:textId="5FB01565" w:rsidR="00753D91" w:rsidRPr="00DE642C" w:rsidRDefault="00753D91" w:rsidP="00E86509">
            <w:pPr>
              <w:spacing w:line="240" w:lineRule="auto"/>
              <w:jc w:val="center"/>
              <w:rPr>
                <w:color w:val="auto"/>
                <w:sz w:val="20"/>
                <w:szCs w:val="20"/>
              </w:rPr>
            </w:pPr>
            <w:r w:rsidRPr="00DE642C">
              <w:rPr>
                <w:color w:val="auto"/>
                <w:sz w:val="20"/>
                <w:szCs w:val="20"/>
              </w:rPr>
              <w:t>USŁUGI SPOŁECZNE DLA OSÓB STARSZYCH / INFRASTRUKTURA POMOCY SPOLECZNEJ – DANE ZA 20</w:t>
            </w:r>
            <w:r w:rsidR="00DE642C" w:rsidRPr="00DE642C">
              <w:rPr>
                <w:color w:val="auto"/>
                <w:sz w:val="20"/>
                <w:szCs w:val="20"/>
              </w:rPr>
              <w:t>20</w:t>
            </w:r>
            <w:r w:rsidRPr="00DE642C">
              <w:rPr>
                <w:color w:val="auto"/>
                <w:sz w:val="20"/>
                <w:szCs w:val="20"/>
              </w:rPr>
              <w:t xml:space="preserve"> R.</w:t>
            </w:r>
          </w:p>
        </w:tc>
      </w:tr>
      <w:tr w:rsidR="00B34652" w:rsidRPr="00B34652" w14:paraId="267D1E85" w14:textId="77777777" w:rsidTr="00B34652">
        <w:trPr>
          <w:trHeight w:val="7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28463DD8" w14:textId="77777777" w:rsidR="00753D91" w:rsidRPr="00DE642C" w:rsidRDefault="00753D91" w:rsidP="00E86509">
            <w:pPr>
              <w:spacing w:line="240" w:lineRule="auto"/>
              <w:rPr>
                <w:rFonts w:eastAsia="Times New Roman"/>
                <w:b w:val="0"/>
                <w:bCs w:val="0"/>
                <w:color w:val="auto"/>
                <w:sz w:val="20"/>
                <w:szCs w:val="20"/>
                <w:lang w:eastAsia="pl-PL"/>
              </w:rPr>
            </w:pPr>
            <w:r w:rsidRPr="00DE642C">
              <w:rPr>
                <w:rFonts w:eastAsia="Times New Roman"/>
                <w:color w:val="auto"/>
                <w:sz w:val="20"/>
                <w:szCs w:val="20"/>
                <w:lang w:eastAsia="pl-PL"/>
              </w:rPr>
              <w:t>Instytucje pomocy społecznej, w tym:</w:t>
            </w:r>
          </w:p>
        </w:tc>
        <w:tc>
          <w:tcPr>
            <w:tcW w:w="3066" w:type="dxa"/>
          </w:tcPr>
          <w:p w14:paraId="29BF4DAE" w14:textId="77777777" w:rsidR="00753D91" w:rsidRPr="00DE642C" w:rsidRDefault="00753D91"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642C">
              <w:rPr>
                <w:b/>
                <w:sz w:val="20"/>
                <w:szCs w:val="20"/>
              </w:rPr>
              <w:t>Rodzaj placówki</w:t>
            </w:r>
          </w:p>
        </w:tc>
        <w:tc>
          <w:tcPr>
            <w:tcW w:w="2948" w:type="dxa"/>
            <w:gridSpan w:val="2"/>
          </w:tcPr>
          <w:p w14:paraId="2B13C742" w14:textId="77777777" w:rsidR="00753D91" w:rsidRPr="00DE642C" w:rsidRDefault="00753D91"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642C">
              <w:rPr>
                <w:b/>
                <w:sz w:val="20"/>
                <w:szCs w:val="20"/>
              </w:rPr>
              <w:t>Liczba placówek</w:t>
            </w:r>
          </w:p>
        </w:tc>
        <w:tc>
          <w:tcPr>
            <w:tcW w:w="2948" w:type="dxa"/>
            <w:gridSpan w:val="2"/>
          </w:tcPr>
          <w:p w14:paraId="30CFE78C" w14:textId="77777777" w:rsidR="00753D91" w:rsidRPr="00DE642C" w:rsidRDefault="00753D91"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E642C">
              <w:rPr>
                <w:b/>
                <w:sz w:val="20"/>
                <w:szCs w:val="20"/>
              </w:rPr>
              <w:t>Liczba miejsc dla osób starszych</w:t>
            </w:r>
          </w:p>
        </w:tc>
        <w:tc>
          <w:tcPr>
            <w:tcW w:w="2949" w:type="dxa"/>
          </w:tcPr>
          <w:p w14:paraId="32F2C505" w14:textId="77777777" w:rsidR="00753D91" w:rsidRPr="00DE642C" w:rsidRDefault="00753D91"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DE642C">
              <w:rPr>
                <w:b/>
                <w:sz w:val="20"/>
                <w:szCs w:val="20"/>
              </w:rPr>
              <w:t>Liczba korzystających osób starszych</w:t>
            </w:r>
          </w:p>
        </w:tc>
      </w:tr>
      <w:tr w:rsidR="006F383C" w:rsidRPr="00B34652" w14:paraId="727372A8" w14:textId="77777777" w:rsidTr="00B34652">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2B8EEC1" w14:textId="77777777" w:rsidR="006F383C" w:rsidRPr="00DE642C" w:rsidRDefault="006F383C" w:rsidP="006F383C">
            <w:pPr>
              <w:spacing w:line="240" w:lineRule="auto"/>
              <w:rPr>
                <w:rFonts w:eastAsia="Times New Roman"/>
                <w:color w:val="auto"/>
                <w:sz w:val="20"/>
                <w:szCs w:val="20"/>
                <w:lang w:eastAsia="pl-PL"/>
              </w:rPr>
            </w:pPr>
          </w:p>
        </w:tc>
        <w:tc>
          <w:tcPr>
            <w:tcW w:w="3066" w:type="dxa"/>
          </w:tcPr>
          <w:p w14:paraId="5BAC0E9F" w14:textId="77777777" w:rsidR="006F383C" w:rsidRPr="00DE642C" w:rsidRDefault="006F383C" w:rsidP="006F383C">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Środowiskowe Domy Samopomocy</w:t>
            </w:r>
          </w:p>
        </w:tc>
        <w:tc>
          <w:tcPr>
            <w:tcW w:w="2948" w:type="dxa"/>
            <w:gridSpan w:val="2"/>
          </w:tcPr>
          <w:p w14:paraId="72B9BF8D" w14:textId="7C2778DC"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55</w:t>
            </w:r>
          </w:p>
        </w:tc>
        <w:tc>
          <w:tcPr>
            <w:tcW w:w="2948" w:type="dxa"/>
            <w:gridSpan w:val="2"/>
          </w:tcPr>
          <w:p w14:paraId="5AF68399" w14:textId="758E5D55"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856</w:t>
            </w:r>
          </w:p>
        </w:tc>
        <w:tc>
          <w:tcPr>
            <w:tcW w:w="2949" w:type="dxa"/>
          </w:tcPr>
          <w:p w14:paraId="3E237CB1" w14:textId="0F0A4F69"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585</w:t>
            </w:r>
          </w:p>
        </w:tc>
      </w:tr>
      <w:tr w:rsidR="006F383C" w:rsidRPr="00B34652" w14:paraId="5A57FC91" w14:textId="77777777" w:rsidTr="00B34652">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202877F" w14:textId="77777777" w:rsidR="006F383C" w:rsidRPr="00DE642C" w:rsidRDefault="006F383C" w:rsidP="006F383C">
            <w:pPr>
              <w:spacing w:line="240" w:lineRule="auto"/>
              <w:rPr>
                <w:rFonts w:eastAsia="Times New Roman"/>
                <w:color w:val="auto"/>
                <w:sz w:val="20"/>
                <w:szCs w:val="20"/>
                <w:lang w:eastAsia="pl-PL"/>
              </w:rPr>
            </w:pPr>
          </w:p>
        </w:tc>
        <w:tc>
          <w:tcPr>
            <w:tcW w:w="3066" w:type="dxa"/>
          </w:tcPr>
          <w:p w14:paraId="461505B4" w14:textId="77777777" w:rsidR="006F383C" w:rsidRPr="00DE642C" w:rsidRDefault="006F383C" w:rsidP="006F383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Dzienne Domy Pomocy</w:t>
            </w:r>
          </w:p>
        </w:tc>
        <w:tc>
          <w:tcPr>
            <w:tcW w:w="2948" w:type="dxa"/>
            <w:gridSpan w:val="2"/>
          </w:tcPr>
          <w:p w14:paraId="2F8899D1" w14:textId="0CF5D60D"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DE642C">
              <w:rPr>
                <w:sz w:val="20"/>
                <w:szCs w:val="20"/>
              </w:rPr>
              <w:t>16</w:t>
            </w:r>
          </w:p>
        </w:tc>
        <w:tc>
          <w:tcPr>
            <w:tcW w:w="2948" w:type="dxa"/>
            <w:gridSpan w:val="2"/>
          </w:tcPr>
          <w:p w14:paraId="2681AF15" w14:textId="75946197"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DE642C">
              <w:rPr>
                <w:sz w:val="20"/>
                <w:szCs w:val="20"/>
              </w:rPr>
              <w:t>572</w:t>
            </w:r>
          </w:p>
        </w:tc>
        <w:tc>
          <w:tcPr>
            <w:tcW w:w="2949" w:type="dxa"/>
          </w:tcPr>
          <w:p w14:paraId="58268F65" w14:textId="78BF6856"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DE642C">
              <w:rPr>
                <w:sz w:val="20"/>
                <w:szCs w:val="20"/>
              </w:rPr>
              <w:t>559</w:t>
            </w:r>
          </w:p>
        </w:tc>
      </w:tr>
      <w:tr w:rsidR="006F383C" w:rsidRPr="00B34652" w14:paraId="71894FE6" w14:textId="77777777" w:rsidTr="00B34652">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C812F92" w14:textId="77777777" w:rsidR="006F383C" w:rsidRPr="00DE642C" w:rsidRDefault="006F383C" w:rsidP="006F383C">
            <w:pPr>
              <w:spacing w:line="240" w:lineRule="auto"/>
              <w:rPr>
                <w:rFonts w:eastAsia="Times New Roman"/>
                <w:color w:val="auto"/>
                <w:sz w:val="20"/>
                <w:szCs w:val="20"/>
                <w:lang w:eastAsia="pl-PL"/>
              </w:rPr>
            </w:pPr>
          </w:p>
        </w:tc>
        <w:tc>
          <w:tcPr>
            <w:tcW w:w="3066" w:type="dxa"/>
          </w:tcPr>
          <w:p w14:paraId="030AFFA2" w14:textId="77777777" w:rsidR="006F383C" w:rsidRPr="00DE642C" w:rsidRDefault="006F383C" w:rsidP="006F383C">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Noclegownie, schroniska i domy dla osób bezdomnych</w:t>
            </w:r>
          </w:p>
        </w:tc>
        <w:tc>
          <w:tcPr>
            <w:tcW w:w="2948" w:type="dxa"/>
            <w:gridSpan w:val="2"/>
          </w:tcPr>
          <w:p w14:paraId="57FDAC9D" w14:textId="0139A6E3"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26</w:t>
            </w:r>
          </w:p>
        </w:tc>
        <w:tc>
          <w:tcPr>
            <w:tcW w:w="2948" w:type="dxa"/>
            <w:gridSpan w:val="2"/>
          </w:tcPr>
          <w:p w14:paraId="39D3D6CF" w14:textId="4980E798"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977</w:t>
            </w:r>
          </w:p>
        </w:tc>
        <w:tc>
          <w:tcPr>
            <w:tcW w:w="2949" w:type="dxa"/>
          </w:tcPr>
          <w:p w14:paraId="0EE49087" w14:textId="7D0401DB"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835</w:t>
            </w:r>
          </w:p>
        </w:tc>
      </w:tr>
      <w:tr w:rsidR="006F383C" w:rsidRPr="00B34652" w14:paraId="30BBD9BD" w14:textId="77777777" w:rsidTr="00B34652">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BCB27FC" w14:textId="77777777" w:rsidR="006F383C" w:rsidRPr="00DE642C" w:rsidRDefault="006F383C" w:rsidP="006F383C">
            <w:pPr>
              <w:spacing w:line="240" w:lineRule="auto"/>
              <w:rPr>
                <w:rFonts w:eastAsia="Times New Roman"/>
                <w:color w:val="auto"/>
                <w:sz w:val="20"/>
                <w:szCs w:val="20"/>
                <w:lang w:eastAsia="pl-PL"/>
              </w:rPr>
            </w:pPr>
          </w:p>
        </w:tc>
        <w:tc>
          <w:tcPr>
            <w:tcW w:w="3066" w:type="dxa"/>
          </w:tcPr>
          <w:p w14:paraId="7BC9CB14" w14:textId="77777777" w:rsidR="006F383C" w:rsidRPr="00DE642C" w:rsidRDefault="006F383C" w:rsidP="006F383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Ogrzewalnie</w:t>
            </w:r>
          </w:p>
        </w:tc>
        <w:tc>
          <w:tcPr>
            <w:tcW w:w="2948" w:type="dxa"/>
            <w:gridSpan w:val="2"/>
          </w:tcPr>
          <w:p w14:paraId="0780CAFC" w14:textId="25602D73"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DE642C">
              <w:rPr>
                <w:sz w:val="20"/>
                <w:szCs w:val="20"/>
              </w:rPr>
              <w:t>7</w:t>
            </w:r>
          </w:p>
        </w:tc>
        <w:tc>
          <w:tcPr>
            <w:tcW w:w="2948" w:type="dxa"/>
            <w:gridSpan w:val="2"/>
          </w:tcPr>
          <w:p w14:paraId="72F7DDD1" w14:textId="54BC454F"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DE642C">
              <w:rPr>
                <w:sz w:val="20"/>
                <w:szCs w:val="20"/>
              </w:rPr>
              <w:t>89</w:t>
            </w:r>
          </w:p>
        </w:tc>
        <w:tc>
          <w:tcPr>
            <w:tcW w:w="2949" w:type="dxa"/>
          </w:tcPr>
          <w:p w14:paraId="2A058494" w14:textId="1F52D8ED"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DE642C">
              <w:rPr>
                <w:sz w:val="20"/>
                <w:szCs w:val="20"/>
              </w:rPr>
              <w:t>43</w:t>
            </w:r>
          </w:p>
        </w:tc>
      </w:tr>
      <w:tr w:rsidR="006F383C" w:rsidRPr="00B34652" w14:paraId="15832471" w14:textId="77777777" w:rsidTr="00B34652">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19CF570" w14:textId="77777777" w:rsidR="006F383C" w:rsidRPr="00DE642C" w:rsidRDefault="006F383C" w:rsidP="006F383C">
            <w:pPr>
              <w:spacing w:line="240" w:lineRule="auto"/>
              <w:rPr>
                <w:rFonts w:eastAsia="Times New Roman"/>
                <w:color w:val="auto"/>
                <w:sz w:val="20"/>
                <w:szCs w:val="20"/>
                <w:lang w:eastAsia="pl-PL"/>
              </w:rPr>
            </w:pPr>
          </w:p>
        </w:tc>
        <w:tc>
          <w:tcPr>
            <w:tcW w:w="3066" w:type="dxa"/>
          </w:tcPr>
          <w:p w14:paraId="6D8091FE" w14:textId="77777777" w:rsidR="006F383C" w:rsidRPr="00DE642C" w:rsidRDefault="006F383C" w:rsidP="006F383C">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Kluby Samopomocy</w:t>
            </w:r>
          </w:p>
        </w:tc>
        <w:tc>
          <w:tcPr>
            <w:tcW w:w="2948" w:type="dxa"/>
            <w:gridSpan w:val="2"/>
          </w:tcPr>
          <w:p w14:paraId="786DA1F9" w14:textId="11BB3962"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19</w:t>
            </w:r>
          </w:p>
        </w:tc>
        <w:tc>
          <w:tcPr>
            <w:tcW w:w="2948" w:type="dxa"/>
            <w:gridSpan w:val="2"/>
          </w:tcPr>
          <w:p w14:paraId="20EBD275" w14:textId="301750F5"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283</w:t>
            </w:r>
          </w:p>
        </w:tc>
        <w:tc>
          <w:tcPr>
            <w:tcW w:w="2949" w:type="dxa"/>
          </w:tcPr>
          <w:p w14:paraId="11F595DE" w14:textId="7DE6E76A"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247</w:t>
            </w:r>
          </w:p>
        </w:tc>
      </w:tr>
      <w:tr w:rsidR="006F383C" w:rsidRPr="00B34652" w14:paraId="5F2E3D95" w14:textId="77777777" w:rsidTr="00B34652">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319BEC4" w14:textId="77777777" w:rsidR="006F383C" w:rsidRPr="00DE642C" w:rsidRDefault="006F383C" w:rsidP="006F383C">
            <w:pPr>
              <w:spacing w:line="240" w:lineRule="auto"/>
              <w:rPr>
                <w:rFonts w:eastAsia="Times New Roman"/>
                <w:color w:val="auto"/>
                <w:sz w:val="20"/>
                <w:szCs w:val="20"/>
                <w:lang w:eastAsia="pl-PL"/>
              </w:rPr>
            </w:pPr>
          </w:p>
        </w:tc>
        <w:tc>
          <w:tcPr>
            <w:tcW w:w="3066" w:type="dxa"/>
          </w:tcPr>
          <w:p w14:paraId="6DB85C7D" w14:textId="77777777" w:rsidR="006F383C" w:rsidRPr="00DE642C" w:rsidRDefault="006F383C" w:rsidP="006F383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Placówki zapewniające całodobową opiekę osobom niepełnosprawnym, przewlekle chorym lub osobom w podeszłym wieku</w:t>
            </w:r>
          </w:p>
        </w:tc>
        <w:tc>
          <w:tcPr>
            <w:tcW w:w="2948" w:type="dxa"/>
            <w:gridSpan w:val="2"/>
          </w:tcPr>
          <w:p w14:paraId="54C107D8" w14:textId="6BE5BB65"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DE642C">
              <w:rPr>
                <w:sz w:val="20"/>
                <w:szCs w:val="20"/>
              </w:rPr>
              <w:t>7</w:t>
            </w:r>
          </w:p>
        </w:tc>
        <w:tc>
          <w:tcPr>
            <w:tcW w:w="2948" w:type="dxa"/>
            <w:gridSpan w:val="2"/>
          </w:tcPr>
          <w:p w14:paraId="0C56BA9F" w14:textId="7513DBB4"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DE642C">
              <w:rPr>
                <w:sz w:val="20"/>
                <w:szCs w:val="20"/>
              </w:rPr>
              <w:t>274</w:t>
            </w:r>
          </w:p>
        </w:tc>
        <w:tc>
          <w:tcPr>
            <w:tcW w:w="2949" w:type="dxa"/>
          </w:tcPr>
          <w:p w14:paraId="76420E5F" w14:textId="5E78487C"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DE642C">
              <w:rPr>
                <w:sz w:val="20"/>
                <w:szCs w:val="20"/>
              </w:rPr>
              <w:t>245</w:t>
            </w:r>
          </w:p>
        </w:tc>
      </w:tr>
      <w:tr w:rsidR="006F383C" w:rsidRPr="00B34652" w14:paraId="1B312336" w14:textId="77777777" w:rsidTr="00B34652">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BFD6CB3" w14:textId="77777777" w:rsidR="006F383C" w:rsidRPr="00DE642C" w:rsidRDefault="006F383C" w:rsidP="006F383C">
            <w:pPr>
              <w:spacing w:line="240" w:lineRule="auto"/>
              <w:rPr>
                <w:rFonts w:eastAsia="Times New Roman"/>
                <w:color w:val="auto"/>
                <w:sz w:val="20"/>
                <w:szCs w:val="20"/>
                <w:lang w:eastAsia="pl-PL"/>
              </w:rPr>
            </w:pPr>
          </w:p>
        </w:tc>
        <w:tc>
          <w:tcPr>
            <w:tcW w:w="3066" w:type="dxa"/>
          </w:tcPr>
          <w:p w14:paraId="143FD444" w14:textId="77777777" w:rsidR="006F383C" w:rsidRPr="00DE642C" w:rsidRDefault="006F383C" w:rsidP="006F383C">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Domy Pomocy Społecznej</w:t>
            </w:r>
          </w:p>
        </w:tc>
        <w:tc>
          <w:tcPr>
            <w:tcW w:w="2948" w:type="dxa"/>
            <w:gridSpan w:val="2"/>
          </w:tcPr>
          <w:p w14:paraId="6FBEE1E2" w14:textId="522FEC81"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39</w:t>
            </w:r>
          </w:p>
        </w:tc>
        <w:tc>
          <w:tcPr>
            <w:tcW w:w="2948" w:type="dxa"/>
            <w:gridSpan w:val="2"/>
          </w:tcPr>
          <w:p w14:paraId="08EC8940" w14:textId="3D4601FF"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2 918</w:t>
            </w:r>
          </w:p>
        </w:tc>
        <w:tc>
          <w:tcPr>
            <w:tcW w:w="2949" w:type="dxa"/>
          </w:tcPr>
          <w:p w14:paraId="755A1052" w14:textId="1BFEC4A4"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2 498</w:t>
            </w:r>
          </w:p>
        </w:tc>
      </w:tr>
      <w:tr w:rsidR="006F383C" w:rsidRPr="00B34652" w14:paraId="5577D653" w14:textId="77777777" w:rsidTr="00B34652">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7208730" w14:textId="77777777" w:rsidR="006F383C" w:rsidRPr="00DE642C" w:rsidRDefault="006F383C" w:rsidP="006F383C">
            <w:pPr>
              <w:spacing w:line="240" w:lineRule="auto"/>
              <w:rPr>
                <w:rFonts w:eastAsia="Times New Roman"/>
                <w:color w:val="auto"/>
                <w:sz w:val="20"/>
                <w:szCs w:val="20"/>
                <w:lang w:eastAsia="pl-PL"/>
              </w:rPr>
            </w:pPr>
          </w:p>
        </w:tc>
        <w:tc>
          <w:tcPr>
            <w:tcW w:w="3066" w:type="dxa"/>
          </w:tcPr>
          <w:p w14:paraId="45EF1B99" w14:textId="77777777" w:rsidR="006F383C" w:rsidRPr="00DE642C" w:rsidRDefault="006F383C" w:rsidP="006F383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Mieszkania chronione ogółem</w:t>
            </w:r>
          </w:p>
        </w:tc>
        <w:tc>
          <w:tcPr>
            <w:tcW w:w="2948" w:type="dxa"/>
            <w:gridSpan w:val="2"/>
          </w:tcPr>
          <w:p w14:paraId="01028A49" w14:textId="4E3E757D"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DE642C">
              <w:rPr>
                <w:sz w:val="20"/>
                <w:szCs w:val="20"/>
              </w:rPr>
              <w:t>43</w:t>
            </w:r>
          </w:p>
        </w:tc>
        <w:tc>
          <w:tcPr>
            <w:tcW w:w="2948" w:type="dxa"/>
            <w:gridSpan w:val="2"/>
          </w:tcPr>
          <w:p w14:paraId="597FD3DB" w14:textId="7EA4E990"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DE642C">
              <w:rPr>
                <w:sz w:val="20"/>
                <w:szCs w:val="20"/>
              </w:rPr>
              <w:t>92</w:t>
            </w:r>
          </w:p>
        </w:tc>
        <w:tc>
          <w:tcPr>
            <w:tcW w:w="2949" w:type="dxa"/>
          </w:tcPr>
          <w:p w14:paraId="17EF6163" w14:textId="1CE0C8E1"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DE642C">
              <w:rPr>
                <w:sz w:val="20"/>
                <w:szCs w:val="20"/>
              </w:rPr>
              <w:t>33</w:t>
            </w:r>
          </w:p>
        </w:tc>
      </w:tr>
      <w:tr w:rsidR="006F383C" w:rsidRPr="00B34652" w14:paraId="5938141E" w14:textId="77777777" w:rsidTr="00B34652">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166134E" w14:textId="77777777" w:rsidR="006F383C" w:rsidRPr="00DE642C" w:rsidRDefault="006F383C" w:rsidP="006F383C">
            <w:pPr>
              <w:spacing w:line="240" w:lineRule="auto"/>
              <w:rPr>
                <w:rFonts w:eastAsia="Times New Roman"/>
                <w:color w:val="auto"/>
                <w:sz w:val="20"/>
                <w:szCs w:val="20"/>
                <w:lang w:eastAsia="pl-PL"/>
              </w:rPr>
            </w:pPr>
          </w:p>
        </w:tc>
        <w:tc>
          <w:tcPr>
            <w:tcW w:w="3066" w:type="dxa"/>
          </w:tcPr>
          <w:p w14:paraId="73FF796A" w14:textId="77777777" w:rsidR="006F383C" w:rsidRPr="00DE642C" w:rsidRDefault="006F383C" w:rsidP="006F383C">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Ośrodki Interwencji Kryzysowej ogółem</w:t>
            </w:r>
          </w:p>
        </w:tc>
        <w:tc>
          <w:tcPr>
            <w:tcW w:w="2948" w:type="dxa"/>
            <w:gridSpan w:val="2"/>
          </w:tcPr>
          <w:p w14:paraId="2AE1CEDF" w14:textId="3B8AE204"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10</w:t>
            </w:r>
          </w:p>
        </w:tc>
        <w:tc>
          <w:tcPr>
            <w:tcW w:w="2948" w:type="dxa"/>
            <w:gridSpan w:val="2"/>
          </w:tcPr>
          <w:p w14:paraId="33CA0220" w14:textId="567EF612"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15</w:t>
            </w:r>
          </w:p>
        </w:tc>
        <w:tc>
          <w:tcPr>
            <w:tcW w:w="2949" w:type="dxa"/>
          </w:tcPr>
          <w:p w14:paraId="67C0598B" w14:textId="6EC7D20B"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216</w:t>
            </w:r>
          </w:p>
        </w:tc>
      </w:tr>
      <w:tr w:rsidR="006F383C" w:rsidRPr="00B34652" w14:paraId="5AD769C8" w14:textId="77777777" w:rsidTr="00B34652">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768AEF2" w14:textId="77777777" w:rsidR="006F383C" w:rsidRPr="00DE642C" w:rsidRDefault="006F383C" w:rsidP="006F383C">
            <w:pPr>
              <w:spacing w:line="240" w:lineRule="auto"/>
              <w:rPr>
                <w:rFonts w:eastAsia="Times New Roman"/>
                <w:color w:val="auto"/>
                <w:sz w:val="20"/>
                <w:szCs w:val="20"/>
                <w:lang w:eastAsia="pl-PL"/>
              </w:rPr>
            </w:pPr>
          </w:p>
        </w:tc>
        <w:tc>
          <w:tcPr>
            <w:tcW w:w="3066" w:type="dxa"/>
          </w:tcPr>
          <w:p w14:paraId="660C50E7" w14:textId="77777777" w:rsidR="006F383C" w:rsidRPr="00DE642C" w:rsidRDefault="006F383C" w:rsidP="006F383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Jednostki specjalistycznego poradnictwa</w:t>
            </w:r>
          </w:p>
        </w:tc>
        <w:tc>
          <w:tcPr>
            <w:tcW w:w="2948" w:type="dxa"/>
            <w:gridSpan w:val="2"/>
          </w:tcPr>
          <w:p w14:paraId="0188A9B4" w14:textId="4AC4E89A"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DE642C">
              <w:rPr>
                <w:sz w:val="20"/>
                <w:szCs w:val="20"/>
              </w:rPr>
              <w:t>12</w:t>
            </w:r>
          </w:p>
        </w:tc>
        <w:tc>
          <w:tcPr>
            <w:tcW w:w="2948" w:type="dxa"/>
            <w:gridSpan w:val="2"/>
          </w:tcPr>
          <w:p w14:paraId="72E31490" w14:textId="78E0A1D6"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DE642C">
              <w:rPr>
                <w:sz w:val="20"/>
                <w:szCs w:val="20"/>
              </w:rPr>
              <w:t>247</w:t>
            </w:r>
          </w:p>
        </w:tc>
        <w:tc>
          <w:tcPr>
            <w:tcW w:w="2949" w:type="dxa"/>
          </w:tcPr>
          <w:p w14:paraId="0C98BEAB" w14:textId="09ADA787"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DE642C">
              <w:rPr>
                <w:sz w:val="20"/>
                <w:szCs w:val="20"/>
              </w:rPr>
              <w:t>188</w:t>
            </w:r>
          </w:p>
        </w:tc>
      </w:tr>
      <w:tr w:rsidR="006F383C" w:rsidRPr="00B34652" w14:paraId="6A8B3B45" w14:textId="77777777" w:rsidTr="00B34652">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8E278F6" w14:textId="77777777" w:rsidR="006F383C" w:rsidRPr="00DE642C" w:rsidRDefault="006F383C" w:rsidP="006F383C">
            <w:pPr>
              <w:spacing w:line="240" w:lineRule="auto"/>
              <w:rPr>
                <w:rFonts w:eastAsia="Times New Roman"/>
                <w:sz w:val="20"/>
                <w:szCs w:val="20"/>
                <w:lang w:eastAsia="pl-PL"/>
              </w:rPr>
            </w:pPr>
          </w:p>
        </w:tc>
        <w:tc>
          <w:tcPr>
            <w:tcW w:w="3066" w:type="dxa"/>
          </w:tcPr>
          <w:p w14:paraId="634746BD" w14:textId="21A5FB7C" w:rsidR="006F383C" w:rsidRPr="00DE642C" w:rsidRDefault="006F383C" w:rsidP="006F383C">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Placówki wsparcia dziennego</w:t>
            </w:r>
          </w:p>
        </w:tc>
        <w:tc>
          <w:tcPr>
            <w:tcW w:w="2948" w:type="dxa"/>
            <w:gridSpan w:val="2"/>
          </w:tcPr>
          <w:p w14:paraId="4071A48A" w14:textId="66008F40"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13</w:t>
            </w:r>
          </w:p>
        </w:tc>
        <w:tc>
          <w:tcPr>
            <w:tcW w:w="2948" w:type="dxa"/>
            <w:gridSpan w:val="2"/>
          </w:tcPr>
          <w:p w14:paraId="62C220D7" w14:textId="3E8486B5"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170</w:t>
            </w:r>
          </w:p>
        </w:tc>
        <w:tc>
          <w:tcPr>
            <w:tcW w:w="2949" w:type="dxa"/>
          </w:tcPr>
          <w:p w14:paraId="4C72C8B9" w14:textId="7D309C46"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DE642C">
              <w:rPr>
                <w:sz w:val="20"/>
                <w:szCs w:val="20"/>
              </w:rPr>
              <w:t>138</w:t>
            </w:r>
          </w:p>
        </w:tc>
      </w:tr>
      <w:tr w:rsidR="00B34652" w:rsidRPr="00B34652" w14:paraId="5E86BB4F" w14:textId="77777777" w:rsidTr="00B34652">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501F853" w14:textId="77777777" w:rsidR="00753D91" w:rsidRPr="00DE642C" w:rsidRDefault="00753D91" w:rsidP="00E86509">
            <w:pPr>
              <w:spacing w:line="240" w:lineRule="auto"/>
              <w:rPr>
                <w:rFonts w:eastAsia="Times New Roman"/>
                <w:color w:val="auto"/>
                <w:sz w:val="20"/>
                <w:szCs w:val="20"/>
                <w:lang w:eastAsia="pl-PL"/>
              </w:rPr>
            </w:pPr>
          </w:p>
        </w:tc>
        <w:tc>
          <w:tcPr>
            <w:tcW w:w="3066" w:type="dxa"/>
          </w:tcPr>
          <w:p w14:paraId="07A03364" w14:textId="77777777" w:rsidR="00753D91" w:rsidRPr="00DE642C" w:rsidRDefault="00753D91" w:rsidP="00E86509">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Placówki Senior+, w tym:</w:t>
            </w:r>
          </w:p>
        </w:tc>
        <w:tc>
          <w:tcPr>
            <w:tcW w:w="8845" w:type="dxa"/>
            <w:gridSpan w:val="5"/>
          </w:tcPr>
          <w:p w14:paraId="27E02F63" w14:textId="77777777" w:rsidR="00753D91" w:rsidRPr="00DE642C" w:rsidRDefault="00753D91" w:rsidP="00E86509">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64E07" w:rsidRPr="00B34652" w14:paraId="317AAF32" w14:textId="77777777" w:rsidTr="00064E0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1CCB770" w14:textId="77777777" w:rsidR="00064E07" w:rsidRPr="00DE642C" w:rsidRDefault="00064E07" w:rsidP="006F383C">
            <w:pPr>
              <w:spacing w:line="240" w:lineRule="auto"/>
              <w:rPr>
                <w:rFonts w:eastAsia="Times New Roman"/>
                <w:color w:val="auto"/>
                <w:sz w:val="20"/>
                <w:szCs w:val="20"/>
                <w:lang w:eastAsia="pl-PL"/>
              </w:rPr>
            </w:pPr>
          </w:p>
        </w:tc>
        <w:tc>
          <w:tcPr>
            <w:tcW w:w="3066" w:type="dxa"/>
          </w:tcPr>
          <w:p w14:paraId="55A6398C" w14:textId="77777777" w:rsidR="00064E07" w:rsidRPr="00DE642C" w:rsidRDefault="00064E07" w:rsidP="006F383C">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Domy Dziennego Pobytu</w:t>
            </w:r>
          </w:p>
        </w:tc>
        <w:tc>
          <w:tcPr>
            <w:tcW w:w="2948" w:type="dxa"/>
            <w:gridSpan w:val="2"/>
          </w:tcPr>
          <w:p w14:paraId="64FAA56C" w14:textId="7FD12BEC" w:rsidR="00064E07" w:rsidRPr="00DE642C" w:rsidRDefault="00064E07" w:rsidP="006F383C">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w:t>
            </w:r>
          </w:p>
        </w:tc>
        <w:tc>
          <w:tcPr>
            <w:tcW w:w="2948" w:type="dxa"/>
            <w:gridSpan w:val="2"/>
          </w:tcPr>
          <w:p w14:paraId="7EA8F9D8" w14:textId="1E879624" w:rsidR="00064E07" w:rsidRPr="00DE642C" w:rsidRDefault="00064E07" w:rsidP="006F383C">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350</w:t>
            </w:r>
          </w:p>
        </w:tc>
        <w:tc>
          <w:tcPr>
            <w:tcW w:w="2949" w:type="dxa"/>
            <w:vMerge w:val="restart"/>
            <w:vAlign w:val="center"/>
          </w:tcPr>
          <w:p w14:paraId="3385DCF7" w14:textId="5CF21D5C" w:rsidR="00064E07" w:rsidRPr="00DE642C" w:rsidRDefault="00064E07" w:rsidP="00064E07">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1 202</w:t>
            </w:r>
          </w:p>
        </w:tc>
      </w:tr>
      <w:tr w:rsidR="00064E07" w:rsidRPr="00B34652" w14:paraId="18E92149" w14:textId="77777777" w:rsidTr="00B34652">
        <w:trPr>
          <w:trHeight w:val="85"/>
        </w:trPr>
        <w:tc>
          <w:tcPr>
            <w:cnfStyle w:val="001000000000" w:firstRow="0" w:lastRow="0" w:firstColumn="1" w:lastColumn="0" w:oddVBand="0" w:evenVBand="0" w:oddHBand="0" w:evenHBand="0" w:firstRowFirstColumn="0" w:firstRowLastColumn="0" w:lastRowFirstColumn="0" w:lastRowLastColumn="0"/>
            <w:tcW w:w="2830" w:type="dxa"/>
            <w:vMerge/>
          </w:tcPr>
          <w:p w14:paraId="4A9FE53C" w14:textId="77777777" w:rsidR="00064E07" w:rsidRPr="00DE642C" w:rsidRDefault="00064E07" w:rsidP="006F383C">
            <w:pPr>
              <w:spacing w:line="240" w:lineRule="auto"/>
              <w:rPr>
                <w:rFonts w:eastAsia="Times New Roman"/>
                <w:color w:val="auto"/>
                <w:sz w:val="20"/>
                <w:szCs w:val="20"/>
                <w:lang w:eastAsia="pl-PL"/>
              </w:rPr>
            </w:pPr>
          </w:p>
        </w:tc>
        <w:tc>
          <w:tcPr>
            <w:tcW w:w="3066" w:type="dxa"/>
          </w:tcPr>
          <w:p w14:paraId="732A00FE" w14:textId="77777777" w:rsidR="00064E07" w:rsidRPr="00DE642C" w:rsidRDefault="00064E07" w:rsidP="006F383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Kluby Senior+</w:t>
            </w:r>
          </w:p>
        </w:tc>
        <w:tc>
          <w:tcPr>
            <w:tcW w:w="2948" w:type="dxa"/>
            <w:gridSpan w:val="2"/>
          </w:tcPr>
          <w:p w14:paraId="2D74F414" w14:textId="22E02939" w:rsidR="00064E07" w:rsidRPr="00DE642C" w:rsidRDefault="00064E07" w:rsidP="006F383C">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w:t>
            </w:r>
          </w:p>
        </w:tc>
        <w:tc>
          <w:tcPr>
            <w:tcW w:w="2948" w:type="dxa"/>
            <w:gridSpan w:val="2"/>
          </w:tcPr>
          <w:p w14:paraId="7AC47B01" w14:textId="493266C8" w:rsidR="00064E07" w:rsidRPr="00DE642C" w:rsidRDefault="00064E07" w:rsidP="006F383C">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640</w:t>
            </w:r>
          </w:p>
        </w:tc>
        <w:tc>
          <w:tcPr>
            <w:tcW w:w="2949" w:type="dxa"/>
            <w:vMerge/>
          </w:tcPr>
          <w:p w14:paraId="5EAFCA1A" w14:textId="542DC433" w:rsidR="00064E07" w:rsidRPr="00DE642C" w:rsidRDefault="00064E07" w:rsidP="006F383C">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B34652" w:rsidRPr="00B34652" w14:paraId="0F527DE8" w14:textId="77777777" w:rsidTr="00B34652">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2BD56F65" w14:textId="77777777" w:rsidR="00753D91" w:rsidRPr="00DE642C" w:rsidRDefault="00753D91" w:rsidP="00E86509">
            <w:pPr>
              <w:spacing w:line="240" w:lineRule="auto"/>
              <w:rPr>
                <w:rFonts w:eastAsia="Times New Roman"/>
                <w:b w:val="0"/>
                <w:bCs w:val="0"/>
                <w:color w:val="auto"/>
                <w:sz w:val="20"/>
                <w:szCs w:val="20"/>
                <w:lang w:eastAsia="pl-PL"/>
              </w:rPr>
            </w:pPr>
            <w:r w:rsidRPr="00DE642C">
              <w:rPr>
                <w:rFonts w:eastAsia="Times New Roman"/>
                <w:color w:val="auto"/>
                <w:sz w:val="20"/>
                <w:szCs w:val="20"/>
                <w:lang w:eastAsia="pl-PL"/>
              </w:rPr>
              <w:t>Usługi świadczone osobom starszym</w:t>
            </w:r>
          </w:p>
        </w:tc>
        <w:tc>
          <w:tcPr>
            <w:tcW w:w="3119" w:type="dxa"/>
            <w:gridSpan w:val="2"/>
          </w:tcPr>
          <w:p w14:paraId="361F4B56" w14:textId="77777777" w:rsidR="00753D91" w:rsidRPr="00DE642C" w:rsidRDefault="00753D91" w:rsidP="00E86509">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DE642C">
              <w:rPr>
                <w:b/>
                <w:sz w:val="20"/>
                <w:szCs w:val="20"/>
              </w:rPr>
              <w:t>Rodzaj usług</w:t>
            </w:r>
          </w:p>
        </w:tc>
        <w:tc>
          <w:tcPr>
            <w:tcW w:w="3685" w:type="dxa"/>
            <w:gridSpan w:val="2"/>
          </w:tcPr>
          <w:p w14:paraId="6999ED51" w14:textId="77777777" w:rsidR="00753D91" w:rsidRPr="00DE642C" w:rsidRDefault="00753D91" w:rsidP="00E86509">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DE642C">
              <w:rPr>
                <w:b/>
                <w:sz w:val="20"/>
                <w:szCs w:val="20"/>
              </w:rPr>
              <w:t>Liczba osób starszych objętych pomocą</w:t>
            </w:r>
          </w:p>
        </w:tc>
        <w:tc>
          <w:tcPr>
            <w:tcW w:w="5107" w:type="dxa"/>
            <w:gridSpan w:val="2"/>
          </w:tcPr>
          <w:p w14:paraId="51323CC7" w14:textId="77777777" w:rsidR="00753D91" w:rsidRPr="00DE642C" w:rsidRDefault="00753D91" w:rsidP="00E86509">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DE642C">
              <w:rPr>
                <w:b/>
                <w:sz w:val="20"/>
                <w:szCs w:val="20"/>
              </w:rPr>
              <w:t>Wysokość środków przeznaczonych na usługi</w:t>
            </w:r>
          </w:p>
        </w:tc>
      </w:tr>
      <w:tr w:rsidR="006F383C" w:rsidRPr="00B34652" w14:paraId="2CCC4447" w14:textId="77777777" w:rsidTr="00B34652">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6AB4D810" w14:textId="77777777" w:rsidR="006F383C" w:rsidRPr="00DE642C" w:rsidRDefault="006F383C" w:rsidP="006F383C">
            <w:pPr>
              <w:spacing w:line="240" w:lineRule="auto"/>
              <w:rPr>
                <w:rFonts w:eastAsia="Times New Roman"/>
                <w:b w:val="0"/>
                <w:bCs w:val="0"/>
                <w:color w:val="auto"/>
                <w:sz w:val="20"/>
                <w:szCs w:val="20"/>
                <w:lang w:eastAsia="pl-PL"/>
              </w:rPr>
            </w:pPr>
          </w:p>
        </w:tc>
        <w:tc>
          <w:tcPr>
            <w:tcW w:w="3119" w:type="dxa"/>
            <w:gridSpan w:val="2"/>
          </w:tcPr>
          <w:p w14:paraId="36D1D327" w14:textId="77777777" w:rsidR="006F383C" w:rsidRPr="00DE642C" w:rsidRDefault="006F383C" w:rsidP="006F383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Usługi opiekuńcze ogółem</w:t>
            </w:r>
          </w:p>
        </w:tc>
        <w:tc>
          <w:tcPr>
            <w:tcW w:w="3685" w:type="dxa"/>
            <w:gridSpan w:val="2"/>
          </w:tcPr>
          <w:p w14:paraId="2A9E43E1" w14:textId="76B9C63E"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6 780</w:t>
            </w:r>
          </w:p>
        </w:tc>
        <w:tc>
          <w:tcPr>
            <w:tcW w:w="5107" w:type="dxa"/>
            <w:gridSpan w:val="2"/>
          </w:tcPr>
          <w:p w14:paraId="149ED7DF" w14:textId="7A56F14E"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49 627</w:t>
            </w:r>
            <w:r w:rsidR="00DE642C" w:rsidRPr="00DE642C">
              <w:rPr>
                <w:sz w:val="20"/>
                <w:szCs w:val="20"/>
              </w:rPr>
              <w:t> </w:t>
            </w:r>
            <w:r w:rsidRPr="00DE642C">
              <w:rPr>
                <w:sz w:val="20"/>
                <w:szCs w:val="20"/>
              </w:rPr>
              <w:t>665</w:t>
            </w:r>
            <w:r w:rsidR="00DE642C" w:rsidRPr="00DE642C">
              <w:rPr>
                <w:sz w:val="20"/>
                <w:szCs w:val="20"/>
              </w:rPr>
              <w:t xml:space="preserve"> zł</w:t>
            </w:r>
          </w:p>
        </w:tc>
      </w:tr>
      <w:tr w:rsidR="00B34652" w:rsidRPr="00B34652" w14:paraId="5C08203D" w14:textId="77777777" w:rsidTr="00B34652">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33642F76" w14:textId="77777777" w:rsidR="00010F36" w:rsidRPr="00DE642C" w:rsidRDefault="00010F36" w:rsidP="00E86509">
            <w:pPr>
              <w:spacing w:line="240" w:lineRule="auto"/>
              <w:rPr>
                <w:rFonts w:eastAsia="Times New Roman"/>
                <w:b w:val="0"/>
                <w:bCs w:val="0"/>
                <w:color w:val="auto"/>
                <w:sz w:val="20"/>
                <w:szCs w:val="20"/>
                <w:lang w:eastAsia="pl-PL"/>
              </w:rPr>
            </w:pPr>
          </w:p>
        </w:tc>
        <w:tc>
          <w:tcPr>
            <w:tcW w:w="11911" w:type="dxa"/>
            <w:gridSpan w:val="6"/>
          </w:tcPr>
          <w:p w14:paraId="257D8947" w14:textId="77777777" w:rsidR="00010F36" w:rsidRPr="00DE642C" w:rsidRDefault="00010F36" w:rsidP="00E86509">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w tym:</w:t>
            </w:r>
          </w:p>
        </w:tc>
      </w:tr>
      <w:tr w:rsidR="006F383C" w:rsidRPr="00B34652" w14:paraId="3EB2A6ED" w14:textId="77777777" w:rsidTr="00B34652">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3EC9ADE2" w14:textId="77777777" w:rsidR="006F383C" w:rsidRPr="00DE642C" w:rsidRDefault="006F383C" w:rsidP="006F383C">
            <w:pPr>
              <w:spacing w:line="240" w:lineRule="auto"/>
              <w:rPr>
                <w:rFonts w:eastAsia="Times New Roman"/>
                <w:b w:val="0"/>
                <w:bCs w:val="0"/>
                <w:color w:val="auto"/>
                <w:sz w:val="20"/>
                <w:szCs w:val="20"/>
                <w:lang w:eastAsia="pl-PL"/>
              </w:rPr>
            </w:pPr>
          </w:p>
        </w:tc>
        <w:tc>
          <w:tcPr>
            <w:tcW w:w="3119" w:type="dxa"/>
            <w:gridSpan w:val="2"/>
          </w:tcPr>
          <w:p w14:paraId="5A209C41" w14:textId="77777777" w:rsidR="006F383C" w:rsidRPr="00DE642C" w:rsidRDefault="006F383C" w:rsidP="006F383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specjalistyczne usługi opiekuńcze</w:t>
            </w:r>
          </w:p>
        </w:tc>
        <w:tc>
          <w:tcPr>
            <w:tcW w:w="3685" w:type="dxa"/>
            <w:gridSpan w:val="2"/>
          </w:tcPr>
          <w:p w14:paraId="30174BB2" w14:textId="219B0E19"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88</w:t>
            </w:r>
          </w:p>
        </w:tc>
        <w:tc>
          <w:tcPr>
            <w:tcW w:w="5107" w:type="dxa"/>
            <w:gridSpan w:val="2"/>
          </w:tcPr>
          <w:p w14:paraId="08BFBC97" w14:textId="5B4E4D96"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420</w:t>
            </w:r>
            <w:r w:rsidR="00DE642C" w:rsidRPr="00DE642C">
              <w:rPr>
                <w:sz w:val="20"/>
                <w:szCs w:val="20"/>
              </w:rPr>
              <w:t> </w:t>
            </w:r>
            <w:r w:rsidRPr="00DE642C">
              <w:rPr>
                <w:sz w:val="20"/>
                <w:szCs w:val="20"/>
              </w:rPr>
              <w:t>436</w:t>
            </w:r>
            <w:r w:rsidR="00DE642C" w:rsidRPr="00DE642C">
              <w:rPr>
                <w:sz w:val="20"/>
                <w:szCs w:val="20"/>
              </w:rPr>
              <w:t xml:space="preserve"> zł</w:t>
            </w:r>
          </w:p>
        </w:tc>
      </w:tr>
      <w:tr w:rsidR="006F383C" w:rsidRPr="00B34652" w14:paraId="0865CF77" w14:textId="77777777" w:rsidTr="00B3465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0" w:type="dxa"/>
            <w:vMerge/>
          </w:tcPr>
          <w:p w14:paraId="66BAA32B" w14:textId="77777777" w:rsidR="006F383C" w:rsidRPr="00DE642C" w:rsidRDefault="006F383C" w:rsidP="006F383C">
            <w:pPr>
              <w:spacing w:line="240" w:lineRule="auto"/>
              <w:rPr>
                <w:rFonts w:eastAsia="Times New Roman"/>
                <w:b w:val="0"/>
                <w:bCs w:val="0"/>
                <w:color w:val="auto"/>
                <w:sz w:val="20"/>
                <w:szCs w:val="20"/>
                <w:lang w:eastAsia="pl-PL"/>
              </w:rPr>
            </w:pPr>
          </w:p>
        </w:tc>
        <w:tc>
          <w:tcPr>
            <w:tcW w:w="3119" w:type="dxa"/>
            <w:gridSpan w:val="2"/>
          </w:tcPr>
          <w:p w14:paraId="211296FE" w14:textId="77777777" w:rsidR="006F383C" w:rsidRPr="00DE642C" w:rsidRDefault="006F383C" w:rsidP="006F383C">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specjalistyczne usługi opiekuńcze w miejscu zamieszkania dla osób z zaburzeniami psychicznymi</w:t>
            </w:r>
          </w:p>
        </w:tc>
        <w:tc>
          <w:tcPr>
            <w:tcW w:w="3685" w:type="dxa"/>
            <w:gridSpan w:val="2"/>
          </w:tcPr>
          <w:p w14:paraId="6137571A" w14:textId="51A7FBA5"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420</w:t>
            </w:r>
          </w:p>
        </w:tc>
        <w:tc>
          <w:tcPr>
            <w:tcW w:w="5107" w:type="dxa"/>
            <w:gridSpan w:val="2"/>
          </w:tcPr>
          <w:p w14:paraId="23156F91" w14:textId="41CB2E83"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5 004</w:t>
            </w:r>
            <w:r w:rsidR="00DE642C" w:rsidRPr="00DE642C">
              <w:rPr>
                <w:sz w:val="20"/>
                <w:szCs w:val="20"/>
              </w:rPr>
              <w:t> </w:t>
            </w:r>
            <w:r w:rsidRPr="00DE642C">
              <w:rPr>
                <w:sz w:val="20"/>
                <w:szCs w:val="20"/>
              </w:rPr>
              <w:t>479</w:t>
            </w:r>
            <w:r w:rsidR="00DE642C" w:rsidRPr="00DE642C">
              <w:rPr>
                <w:sz w:val="20"/>
                <w:szCs w:val="20"/>
              </w:rPr>
              <w:t xml:space="preserve"> zł</w:t>
            </w:r>
          </w:p>
        </w:tc>
      </w:tr>
      <w:tr w:rsidR="00B34652" w:rsidRPr="00B34652" w14:paraId="11365565" w14:textId="77777777" w:rsidTr="00B34652">
        <w:trPr>
          <w:trHeight w:val="19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44D4CE23" w14:textId="77777777" w:rsidR="00753D91" w:rsidRPr="00DE642C" w:rsidRDefault="00753D91" w:rsidP="00E86509">
            <w:pPr>
              <w:spacing w:line="240" w:lineRule="auto"/>
              <w:rPr>
                <w:rFonts w:eastAsia="Times New Roman"/>
                <w:b w:val="0"/>
                <w:bCs w:val="0"/>
                <w:color w:val="auto"/>
                <w:sz w:val="20"/>
                <w:szCs w:val="20"/>
                <w:lang w:eastAsia="pl-PL"/>
              </w:rPr>
            </w:pPr>
            <w:r w:rsidRPr="00DE642C">
              <w:rPr>
                <w:rFonts w:eastAsia="Times New Roman"/>
                <w:color w:val="auto"/>
                <w:sz w:val="20"/>
                <w:szCs w:val="20"/>
                <w:lang w:eastAsia="pl-PL"/>
              </w:rPr>
              <w:t>Świadczenia pieniężne przyznane osobom starszym</w:t>
            </w:r>
          </w:p>
        </w:tc>
        <w:tc>
          <w:tcPr>
            <w:tcW w:w="3119" w:type="dxa"/>
            <w:gridSpan w:val="2"/>
          </w:tcPr>
          <w:p w14:paraId="32F5009D" w14:textId="77777777" w:rsidR="00753D91" w:rsidRPr="00DE642C" w:rsidRDefault="00753D91"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DE642C">
              <w:rPr>
                <w:b/>
                <w:sz w:val="20"/>
                <w:szCs w:val="20"/>
              </w:rPr>
              <w:t>Nazwa świadczenia</w:t>
            </w:r>
          </w:p>
        </w:tc>
        <w:tc>
          <w:tcPr>
            <w:tcW w:w="3685" w:type="dxa"/>
            <w:gridSpan w:val="2"/>
          </w:tcPr>
          <w:p w14:paraId="7C255016" w14:textId="77777777" w:rsidR="00753D91" w:rsidRPr="00DE642C" w:rsidRDefault="00753D91"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DE642C">
              <w:rPr>
                <w:b/>
                <w:sz w:val="20"/>
                <w:szCs w:val="20"/>
              </w:rPr>
              <w:t>Liczba osób starszych</w:t>
            </w:r>
          </w:p>
        </w:tc>
        <w:tc>
          <w:tcPr>
            <w:tcW w:w="5107" w:type="dxa"/>
            <w:gridSpan w:val="2"/>
          </w:tcPr>
          <w:p w14:paraId="3E7E6004" w14:textId="77777777" w:rsidR="00753D91" w:rsidRPr="00DE642C" w:rsidRDefault="00753D91" w:rsidP="00E86509">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DE642C">
              <w:rPr>
                <w:b/>
                <w:sz w:val="20"/>
                <w:szCs w:val="20"/>
              </w:rPr>
              <w:t>Kwota świadczenia</w:t>
            </w:r>
          </w:p>
        </w:tc>
      </w:tr>
      <w:tr w:rsidR="006F383C" w:rsidRPr="00B34652" w14:paraId="3341E0B6" w14:textId="77777777" w:rsidTr="00B34652">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6C76B24B" w14:textId="77777777" w:rsidR="006F383C" w:rsidRPr="00DE642C" w:rsidRDefault="006F383C" w:rsidP="006F383C">
            <w:pPr>
              <w:spacing w:line="240" w:lineRule="auto"/>
              <w:rPr>
                <w:rFonts w:eastAsia="Times New Roman"/>
                <w:b w:val="0"/>
                <w:bCs w:val="0"/>
                <w:color w:val="auto"/>
                <w:sz w:val="20"/>
                <w:szCs w:val="20"/>
                <w:lang w:eastAsia="pl-PL"/>
              </w:rPr>
            </w:pPr>
          </w:p>
        </w:tc>
        <w:tc>
          <w:tcPr>
            <w:tcW w:w="3119" w:type="dxa"/>
            <w:gridSpan w:val="2"/>
          </w:tcPr>
          <w:p w14:paraId="20A2E6B4" w14:textId="77777777" w:rsidR="006F383C" w:rsidRPr="00DE642C" w:rsidRDefault="006F383C" w:rsidP="006F383C">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Zasiłek stały</w:t>
            </w:r>
          </w:p>
        </w:tc>
        <w:tc>
          <w:tcPr>
            <w:tcW w:w="3685" w:type="dxa"/>
            <w:gridSpan w:val="2"/>
          </w:tcPr>
          <w:p w14:paraId="247939D2" w14:textId="657B0A17"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5 254</w:t>
            </w:r>
          </w:p>
        </w:tc>
        <w:tc>
          <w:tcPr>
            <w:tcW w:w="5107" w:type="dxa"/>
            <w:gridSpan w:val="2"/>
          </w:tcPr>
          <w:p w14:paraId="59ABEA21" w14:textId="10CD5C6F"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66 161</w:t>
            </w:r>
            <w:r w:rsidR="00DE642C" w:rsidRPr="00DE642C">
              <w:rPr>
                <w:sz w:val="20"/>
                <w:szCs w:val="20"/>
              </w:rPr>
              <w:t> </w:t>
            </w:r>
            <w:r w:rsidRPr="00DE642C">
              <w:rPr>
                <w:sz w:val="20"/>
                <w:szCs w:val="20"/>
              </w:rPr>
              <w:t>070</w:t>
            </w:r>
            <w:r w:rsidR="00DE642C" w:rsidRPr="00DE642C">
              <w:rPr>
                <w:sz w:val="20"/>
                <w:szCs w:val="20"/>
              </w:rPr>
              <w:t xml:space="preserve"> zł</w:t>
            </w:r>
          </w:p>
        </w:tc>
      </w:tr>
      <w:tr w:rsidR="006F383C" w:rsidRPr="00B34652" w14:paraId="24EBBAC7" w14:textId="77777777" w:rsidTr="00B34652">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01566F1A" w14:textId="77777777" w:rsidR="006F383C" w:rsidRPr="00DE642C" w:rsidRDefault="006F383C" w:rsidP="006F383C">
            <w:pPr>
              <w:spacing w:line="240" w:lineRule="auto"/>
              <w:rPr>
                <w:rFonts w:eastAsia="Times New Roman"/>
                <w:b w:val="0"/>
                <w:bCs w:val="0"/>
                <w:color w:val="auto"/>
                <w:sz w:val="20"/>
                <w:szCs w:val="20"/>
                <w:lang w:eastAsia="pl-PL"/>
              </w:rPr>
            </w:pPr>
          </w:p>
        </w:tc>
        <w:tc>
          <w:tcPr>
            <w:tcW w:w="3119" w:type="dxa"/>
            <w:gridSpan w:val="2"/>
          </w:tcPr>
          <w:p w14:paraId="6BF0E8C6" w14:textId="77777777" w:rsidR="006F383C" w:rsidRPr="00DE642C" w:rsidRDefault="006F383C" w:rsidP="006F383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Zasiłek okresowy</w:t>
            </w:r>
          </w:p>
        </w:tc>
        <w:tc>
          <w:tcPr>
            <w:tcW w:w="3685" w:type="dxa"/>
            <w:gridSpan w:val="2"/>
          </w:tcPr>
          <w:p w14:paraId="141ED3D8" w14:textId="22590E31"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1 288</w:t>
            </w:r>
          </w:p>
        </w:tc>
        <w:tc>
          <w:tcPr>
            <w:tcW w:w="5107" w:type="dxa"/>
            <w:gridSpan w:val="2"/>
          </w:tcPr>
          <w:p w14:paraId="7DB1B14C" w14:textId="582D7439"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3 308</w:t>
            </w:r>
            <w:r w:rsidR="00DE642C" w:rsidRPr="00DE642C">
              <w:rPr>
                <w:sz w:val="20"/>
                <w:szCs w:val="20"/>
              </w:rPr>
              <w:t> </w:t>
            </w:r>
            <w:r w:rsidRPr="00DE642C">
              <w:rPr>
                <w:sz w:val="20"/>
                <w:szCs w:val="20"/>
              </w:rPr>
              <w:t>033</w:t>
            </w:r>
            <w:r w:rsidR="00DE642C" w:rsidRPr="00DE642C">
              <w:rPr>
                <w:sz w:val="20"/>
                <w:szCs w:val="20"/>
              </w:rPr>
              <w:t xml:space="preserve"> zł</w:t>
            </w:r>
          </w:p>
        </w:tc>
      </w:tr>
      <w:tr w:rsidR="006F383C" w:rsidRPr="00B34652" w14:paraId="3F5AA06C" w14:textId="77777777" w:rsidTr="00B34652">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02693C0A" w14:textId="77777777" w:rsidR="006F383C" w:rsidRPr="00DE642C" w:rsidRDefault="006F383C" w:rsidP="006F383C">
            <w:pPr>
              <w:spacing w:line="240" w:lineRule="auto"/>
              <w:rPr>
                <w:rFonts w:eastAsia="Times New Roman"/>
                <w:b w:val="0"/>
                <w:bCs w:val="0"/>
                <w:color w:val="auto"/>
                <w:sz w:val="20"/>
                <w:szCs w:val="20"/>
                <w:lang w:eastAsia="pl-PL"/>
              </w:rPr>
            </w:pPr>
          </w:p>
        </w:tc>
        <w:tc>
          <w:tcPr>
            <w:tcW w:w="3119" w:type="dxa"/>
            <w:gridSpan w:val="2"/>
          </w:tcPr>
          <w:p w14:paraId="1A30F3A6" w14:textId="77777777" w:rsidR="006F383C" w:rsidRPr="00DE642C" w:rsidRDefault="006F383C" w:rsidP="006F383C">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Zasiłek celowy</w:t>
            </w:r>
          </w:p>
        </w:tc>
        <w:tc>
          <w:tcPr>
            <w:tcW w:w="3685" w:type="dxa"/>
            <w:gridSpan w:val="2"/>
          </w:tcPr>
          <w:p w14:paraId="62FFDAA2" w14:textId="0C345D4F"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4 799</w:t>
            </w:r>
          </w:p>
        </w:tc>
        <w:tc>
          <w:tcPr>
            <w:tcW w:w="5107" w:type="dxa"/>
            <w:gridSpan w:val="2"/>
          </w:tcPr>
          <w:p w14:paraId="0C735398" w14:textId="31AAB42E" w:rsidR="006F383C" w:rsidRPr="00DE642C" w:rsidRDefault="006F383C" w:rsidP="006F383C">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DE642C">
              <w:rPr>
                <w:sz w:val="20"/>
                <w:szCs w:val="20"/>
              </w:rPr>
              <w:t>5 972</w:t>
            </w:r>
            <w:r w:rsidR="00DE642C" w:rsidRPr="00DE642C">
              <w:rPr>
                <w:sz w:val="20"/>
                <w:szCs w:val="20"/>
              </w:rPr>
              <w:t> </w:t>
            </w:r>
            <w:r w:rsidRPr="00DE642C">
              <w:rPr>
                <w:sz w:val="20"/>
                <w:szCs w:val="20"/>
              </w:rPr>
              <w:t>785</w:t>
            </w:r>
            <w:r w:rsidR="00DE642C" w:rsidRPr="00DE642C">
              <w:rPr>
                <w:sz w:val="20"/>
                <w:szCs w:val="20"/>
              </w:rPr>
              <w:t xml:space="preserve"> zł</w:t>
            </w:r>
          </w:p>
        </w:tc>
      </w:tr>
      <w:tr w:rsidR="006F383C" w:rsidRPr="00B34652" w14:paraId="5D33ED62" w14:textId="77777777" w:rsidTr="00B34652">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12C91D8A" w14:textId="77777777" w:rsidR="006F383C" w:rsidRPr="00DE642C" w:rsidRDefault="006F383C" w:rsidP="006F383C">
            <w:pPr>
              <w:spacing w:line="240" w:lineRule="auto"/>
              <w:rPr>
                <w:rFonts w:eastAsia="Times New Roman"/>
                <w:b w:val="0"/>
                <w:bCs w:val="0"/>
                <w:color w:val="auto"/>
                <w:sz w:val="20"/>
                <w:szCs w:val="20"/>
                <w:lang w:eastAsia="pl-PL"/>
              </w:rPr>
            </w:pPr>
          </w:p>
        </w:tc>
        <w:tc>
          <w:tcPr>
            <w:tcW w:w="3119" w:type="dxa"/>
            <w:gridSpan w:val="2"/>
          </w:tcPr>
          <w:p w14:paraId="487EE37D" w14:textId="77777777" w:rsidR="006F383C" w:rsidRPr="00DE642C" w:rsidRDefault="006F383C" w:rsidP="006F383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Specjalny zasiłek celowy</w:t>
            </w:r>
          </w:p>
        </w:tc>
        <w:tc>
          <w:tcPr>
            <w:tcW w:w="3685" w:type="dxa"/>
            <w:gridSpan w:val="2"/>
          </w:tcPr>
          <w:p w14:paraId="46EA20A1" w14:textId="38B613B3"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2 892</w:t>
            </w:r>
          </w:p>
        </w:tc>
        <w:tc>
          <w:tcPr>
            <w:tcW w:w="5107" w:type="dxa"/>
            <w:gridSpan w:val="2"/>
          </w:tcPr>
          <w:p w14:paraId="1EF2A1BF" w14:textId="02BA1A9F" w:rsidR="006F383C" w:rsidRPr="00DE642C" w:rsidRDefault="006F383C" w:rsidP="006F383C">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DE642C">
              <w:rPr>
                <w:sz w:val="20"/>
                <w:szCs w:val="20"/>
              </w:rPr>
              <w:t>3 345</w:t>
            </w:r>
            <w:r w:rsidR="00DE642C" w:rsidRPr="00DE642C">
              <w:rPr>
                <w:sz w:val="20"/>
                <w:szCs w:val="20"/>
              </w:rPr>
              <w:t> </w:t>
            </w:r>
            <w:r w:rsidRPr="00DE642C">
              <w:rPr>
                <w:sz w:val="20"/>
                <w:szCs w:val="20"/>
              </w:rPr>
              <w:t>484</w:t>
            </w:r>
            <w:r w:rsidR="00DE642C" w:rsidRPr="00DE642C">
              <w:rPr>
                <w:sz w:val="20"/>
                <w:szCs w:val="20"/>
              </w:rPr>
              <w:t xml:space="preserve"> zł</w:t>
            </w:r>
          </w:p>
        </w:tc>
      </w:tr>
      <w:tr w:rsidR="00B34652" w:rsidRPr="00B34652" w14:paraId="652F62CE" w14:textId="77777777" w:rsidTr="00B34652">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2C26B001" w14:textId="77777777" w:rsidR="00753D91" w:rsidRPr="00DE642C" w:rsidRDefault="00753D91" w:rsidP="00E86509">
            <w:pPr>
              <w:spacing w:line="240" w:lineRule="auto"/>
              <w:rPr>
                <w:b w:val="0"/>
                <w:color w:val="auto"/>
                <w:sz w:val="20"/>
                <w:szCs w:val="20"/>
                <w:lang w:eastAsia="pl-PL"/>
              </w:rPr>
            </w:pPr>
            <w:r w:rsidRPr="00DE642C">
              <w:rPr>
                <w:color w:val="auto"/>
                <w:sz w:val="20"/>
                <w:szCs w:val="20"/>
                <w:lang w:eastAsia="pl-PL"/>
              </w:rPr>
              <w:t>Największe problemy/niedogodności w świadczeniu opieki nad osobami starszymi (np. zasoby kadrowe, rzeczowe, finansowe itp.)</w:t>
            </w:r>
          </w:p>
        </w:tc>
        <w:tc>
          <w:tcPr>
            <w:tcW w:w="11911" w:type="dxa"/>
            <w:gridSpan w:val="6"/>
          </w:tcPr>
          <w:p w14:paraId="633AE350" w14:textId="4FFA8B55" w:rsidR="00753D91" w:rsidRPr="00DE642C" w:rsidRDefault="006F383C" w:rsidP="00FE70E3">
            <w:pPr>
              <w:pStyle w:val="Standard"/>
              <w:numPr>
                <w:ilvl w:val="0"/>
                <w:numId w:val="26"/>
              </w:numPr>
              <w:autoSpaceDE w:val="0"/>
              <w:snapToGrid w:val="0"/>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642C">
              <w:rPr>
                <w:rFonts w:ascii="Times New Roman" w:hAnsi="Times New Roman" w:cs="Times New Roman"/>
                <w:sz w:val="20"/>
                <w:szCs w:val="20"/>
              </w:rPr>
              <w:t>Brak mobilności opiekunów (brak infrastruktury komunikacji publicznej), szczególnie w gminach wiejskich.</w:t>
            </w:r>
          </w:p>
        </w:tc>
      </w:tr>
      <w:tr w:rsidR="00B34652" w:rsidRPr="00B34652" w14:paraId="6686A1AF" w14:textId="77777777" w:rsidTr="00B34652">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65EE6482" w14:textId="77777777" w:rsidR="00753D91" w:rsidRPr="00DE642C" w:rsidRDefault="00753D91" w:rsidP="00E86509">
            <w:pPr>
              <w:spacing w:line="240" w:lineRule="auto"/>
              <w:rPr>
                <w:color w:val="auto"/>
                <w:sz w:val="20"/>
                <w:szCs w:val="20"/>
                <w:lang w:eastAsia="pl-PL"/>
              </w:rPr>
            </w:pPr>
          </w:p>
        </w:tc>
        <w:tc>
          <w:tcPr>
            <w:tcW w:w="11911" w:type="dxa"/>
            <w:gridSpan w:val="6"/>
          </w:tcPr>
          <w:p w14:paraId="5B5DD882" w14:textId="388FF425" w:rsidR="006F383C" w:rsidRPr="00DE642C" w:rsidRDefault="006F383C" w:rsidP="00FE70E3">
            <w:pPr>
              <w:pStyle w:val="Standard"/>
              <w:numPr>
                <w:ilvl w:val="0"/>
                <w:numId w:val="26"/>
              </w:numPr>
              <w:ind w:left="322" w:hanging="32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642C">
              <w:rPr>
                <w:rFonts w:ascii="Times New Roman" w:hAnsi="Times New Roman" w:cs="Times New Roman"/>
                <w:sz w:val="20"/>
                <w:szCs w:val="20"/>
              </w:rPr>
              <w:t>Ograniczone zasoby kadrowe - duże trudności w znalezieniu osób chętnych do pracy w charakterze opiekuna ze względu na</w:t>
            </w:r>
          </w:p>
          <w:p w14:paraId="0592A9BE" w14:textId="3A47D6CF" w:rsidR="00753D91" w:rsidRPr="00DE642C" w:rsidRDefault="006F383C" w:rsidP="006F383C">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642C">
              <w:rPr>
                <w:rFonts w:ascii="Times New Roman" w:hAnsi="Times New Roman" w:cs="Times New Roman"/>
                <w:sz w:val="20"/>
                <w:szCs w:val="20"/>
              </w:rPr>
              <w:t>formę zatrudnienia (umowa zlecenie), nienormowany czas pracy oraz wysokość wynagrodzenia pracowników, które jest nieadekwatne do świadczonej pracy.</w:t>
            </w:r>
          </w:p>
        </w:tc>
      </w:tr>
      <w:tr w:rsidR="00B34652" w:rsidRPr="00B34652" w14:paraId="2D5DBEE6" w14:textId="77777777" w:rsidTr="00B34652">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55F5913D" w14:textId="77777777" w:rsidR="00753D91" w:rsidRPr="00DE642C" w:rsidRDefault="00753D91" w:rsidP="00E86509">
            <w:pPr>
              <w:spacing w:line="240" w:lineRule="auto"/>
              <w:rPr>
                <w:color w:val="auto"/>
                <w:sz w:val="20"/>
                <w:szCs w:val="20"/>
                <w:lang w:eastAsia="pl-PL"/>
              </w:rPr>
            </w:pPr>
          </w:p>
        </w:tc>
        <w:tc>
          <w:tcPr>
            <w:tcW w:w="11911" w:type="dxa"/>
            <w:gridSpan w:val="6"/>
          </w:tcPr>
          <w:p w14:paraId="48D1A2C2" w14:textId="577D5A68" w:rsidR="00753D91" w:rsidRPr="00DE642C" w:rsidRDefault="006F383C" w:rsidP="00FE70E3">
            <w:pPr>
              <w:pStyle w:val="Standard"/>
              <w:numPr>
                <w:ilvl w:val="0"/>
                <w:numId w:val="26"/>
              </w:num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642C">
              <w:rPr>
                <w:rFonts w:ascii="Times New Roman" w:hAnsi="Times New Roman" w:cs="Times New Roman"/>
                <w:sz w:val="20"/>
                <w:szCs w:val="20"/>
              </w:rPr>
              <w:t>Niewystarczające środki finansowe gminy na uruchomienie ośrodków wsparcia dziennego dla seniorów.</w:t>
            </w:r>
          </w:p>
        </w:tc>
      </w:tr>
      <w:tr w:rsidR="00B34652" w:rsidRPr="00B34652" w14:paraId="5C84B8FC" w14:textId="77777777" w:rsidTr="00B34652">
        <w:trPr>
          <w:trHeight w:val="442"/>
        </w:trPr>
        <w:tc>
          <w:tcPr>
            <w:cnfStyle w:val="001000000000" w:firstRow="0" w:lastRow="0" w:firstColumn="1" w:lastColumn="0" w:oddVBand="0" w:evenVBand="0" w:oddHBand="0" w:evenHBand="0" w:firstRowFirstColumn="0" w:firstRowLastColumn="0" w:lastRowFirstColumn="0" w:lastRowLastColumn="0"/>
            <w:tcW w:w="2830" w:type="dxa"/>
          </w:tcPr>
          <w:p w14:paraId="0EA9DDBD" w14:textId="77777777" w:rsidR="00753D91" w:rsidRPr="00DE642C" w:rsidRDefault="00753D91" w:rsidP="00E86509">
            <w:pPr>
              <w:spacing w:line="240" w:lineRule="auto"/>
              <w:rPr>
                <w:color w:val="auto"/>
                <w:sz w:val="20"/>
                <w:szCs w:val="20"/>
                <w:lang w:eastAsia="pl-PL"/>
              </w:rPr>
            </w:pPr>
            <w:r w:rsidRPr="00DE642C">
              <w:rPr>
                <w:color w:val="auto"/>
                <w:sz w:val="20"/>
                <w:szCs w:val="20"/>
                <w:lang w:eastAsia="pl-PL"/>
              </w:rPr>
              <w:t>Stopień zaspokojenia potrzeb w zakresie usług opiekuńczych</w:t>
            </w:r>
          </w:p>
        </w:tc>
        <w:tc>
          <w:tcPr>
            <w:tcW w:w="11911" w:type="dxa"/>
            <w:gridSpan w:val="6"/>
          </w:tcPr>
          <w:p w14:paraId="25AC42A0" w14:textId="4556262A" w:rsidR="00753D91" w:rsidRPr="00DE642C" w:rsidRDefault="006F383C" w:rsidP="00E86509">
            <w:pPr>
              <w:pStyle w:val="Standar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642C">
              <w:rPr>
                <w:rFonts w:ascii="Times New Roman" w:hAnsi="Times New Roman" w:cs="Times New Roman"/>
                <w:sz w:val="20"/>
                <w:szCs w:val="20"/>
              </w:rPr>
              <w:t>Potrzeby te w województwie pomorskim są zaspokojone w stopniu wystarczającym. Każda osoba wymagająca świadczenia usług opiekuńczych na jej rzecz oraz spełniająca kryteria określone w ustawie o pomocy społecznej, zostaje objętą tym świadczeniem. Z  uwagi na ograniczone środki, jakimi dysponują gminy, w niektórych przypadkach po ustaleniach pracownika socjalnego z osobą wymagającą opieki lub jej rodziną, wymiar świadczonych usług zostaje pomniejszony do możliwości finansowych gminy. Poza wykorzystaniem budżetu własnego gminy, usługi realizowane są także w ramach prac społecznie użytecznych oraz usług opiekuńczych dla osób niepełnosprawnych realizowanych w ramach Solidarnościowego Funduszu Wsparcia Osób Niepełnosprawnych.</w:t>
            </w:r>
          </w:p>
        </w:tc>
      </w:tr>
    </w:tbl>
    <w:p w14:paraId="6AB9729C" w14:textId="77777777" w:rsidR="005C6286" w:rsidRPr="005C6286" w:rsidRDefault="005C6286" w:rsidP="005C6286">
      <w:pPr>
        <w:tabs>
          <w:tab w:val="left" w:pos="5400"/>
        </w:tabs>
        <w:rPr>
          <w:rFonts w:eastAsia="Times New Roman" w:cs="Times New Roman"/>
          <w:b/>
          <w:szCs w:val="24"/>
          <w:lang w:eastAsia="pl-PL"/>
        </w:rPr>
      </w:pPr>
      <w:r w:rsidRPr="005C6286">
        <w:rPr>
          <w:rFonts w:eastAsia="Times New Roman" w:cs="Times New Roman"/>
          <w:b/>
          <w:szCs w:val="24"/>
          <w:lang w:eastAsia="pl-PL"/>
        </w:rPr>
        <w:t xml:space="preserve">Źródło: Dane Wojewody </w:t>
      </w:r>
      <w:r>
        <w:rPr>
          <w:rFonts w:eastAsia="Times New Roman" w:cs="Times New Roman"/>
          <w:b/>
          <w:szCs w:val="24"/>
          <w:lang w:eastAsia="pl-PL"/>
        </w:rPr>
        <w:t>Pomorskiego</w:t>
      </w:r>
      <w:r w:rsidRPr="005C6286">
        <w:rPr>
          <w:rFonts w:eastAsia="Times New Roman" w:cs="Times New Roman"/>
          <w:b/>
          <w:szCs w:val="24"/>
          <w:lang w:eastAsia="pl-PL"/>
        </w:rPr>
        <w:t xml:space="preserve">. </w:t>
      </w:r>
    </w:p>
    <w:p w14:paraId="676ECD6B" w14:textId="77777777" w:rsidR="00753D91" w:rsidRPr="0092226B" w:rsidRDefault="00753D91" w:rsidP="00FE70E3">
      <w:pPr>
        <w:pStyle w:val="Nagwek2"/>
        <w:numPr>
          <w:ilvl w:val="0"/>
          <w:numId w:val="12"/>
        </w:numPr>
        <w:spacing w:before="0"/>
        <w:rPr>
          <w:rFonts w:eastAsia="Times New Roman" w:cs="Times New Roman"/>
          <w:color w:val="FF0000"/>
          <w:sz w:val="24"/>
          <w:szCs w:val="24"/>
          <w:lang w:eastAsia="ar-SA"/>
        </w:rPr>
        <w:sectPr w:rsidR="00753D91" w:rsidRPr="0092226B" w:rsidSect="00DB6308">
          <w:pgSz w:w="16838" w:h="11900" w:orient="landscape"/>
          <w:pgMar w:top="1380" w:right="1384" w:bottom="1386" w:left="1038" w:header="0" w:footer="567" w:gutter="0"/>
          <w:cols w:space="0" w:equalWidth="0">
            <w:col w:w="9140"/>
          </w:cols>
          <w:docGrid w:linePitch="360"/>
        </w:sectPr>
      </w:pPr>
    </w:p>
    <w:p w14:paraId="20CB80A7" w14:textId="77777777" w:rsidR="00AB1786" w:rsidRPr="0012413B" w:rsidRDefault="0012413B" w:rsidP="00FE70E3">
      <w:pPr>
        <w:pStyle w:val="Nagwek2"/>
        <w:numPr>
          <w:ilvl w:val="1"/>
          <w:numId w:val="12"/>
        </w:numPr>
        <w:spacing w:before="240" w:after="240"/>
        <w:rPr>
          <w:rFonts w:eastAsia="Times New Roman" w:cs="Times New Roman"/>
          <w:sz w:val="40"/>
          <w:lang w:eastAsia="ar-SA"/>
        </w:rPr>
      </w:pPr>
      <w:r w:rsidRPr="0012413B">
        <w:rPr>
          <w:rFonts w:eastAsia="Times New Roman" w:cs="Times New Roman"/>
          <w:sz w:val="40"/>
          <w:lang w:eastAsia="ar-SA"/>
        </w:rPr>
        <w:lastRenderedPageBreak/>
        <w:t xml:space="preserve"> </w:t>
      </w:r>
      <w:bookmarkStart w:id="276" w:name="_Toc80523176"/>
      <w:r w:rsidR="00B25D75" w:rsidRPr="0012413B">
        <w:rPr>
          <w:rFonts w:eastAsia="Times New Roman" w:cs="Times New Roman"/>
          <w:sz w:val="40"/>
          <w:lang w:eastAsia="ar-SA"/>
        </w:rPr>
        <w:t xml:space="preserve">Województwo </w:t>
      </w:r>
      <w:r w:rsidR="005F0A32" w:rsidRPr="0012413B">
        <w:rPr>
          <w:rFonts w:eastAsia="Times New Roman" w:cs="Times New Roman"/>
          <w:sz w:val="40"/>
          <w:lang w:eastAsia="ar-SA"/>
        </w:rPr>
        <w:t>ś</w:t>
      </w:r>
      <w:r w:rsidR="00475EFA" w:rsidRPr="0012413B">
        <w:rPr>
          <w:rFonts w:eastAsia="Times New Roman" w:cs="Times New Roman"/>
          <w:sz w:val="40"/>
          <w:lang w:eastAsia="ar-SA"/>
        </w:rPr>
        <w:t>ląskie</w:t>
      </w:r>
      <w:bookmarkEnd w:id="276"/>
    </w:p>
    <w:p w14:paraId="23CE28CE" w14:textId="77777777" w:rsidR="006E7700" w:rsidRPr="006E7700" w:rsidRDefault="006E7700" w:rsidP="006E7700">
      <w:pPr>
        <w:pStyle w:val="Akapitzlist"/>
        <w:keepNext/>
        <w:keepLines/>
        <w:numPr>
          <w:ilvl w:val="1"/>
          <w:numId w:val="1"/>
        </w:numPr>
        <w:spacing w:before="120" w:after="120"/>
        <w:contextualSpacing w:val="0"/>
        <w:outlineLvl w:val="1"/>
        <w:rPr>
          <w:rFonts w:eastAsiaTheme="majorEastAsia" w:cstheme="majorBidi"/>
          <w:b/>
          <w:vanish/>
          <w:color w:val="ED7D31" w:themeColor="accent2"/>
          <w:sz w:val="34"/>
          <w:szCs w:val="26"/>
          <w:lang w:eastAsia="ar-SA"/>
        </w:rPr>
      </w:pPr>
      <w:bookmarkStart w:id="277" w:name="_Toc80523177"/>
      <w:bookmarkStart w:id="278" w:name="_Toc77514019"/>
      <w:bookmarkEnd w:id="277"/>
    </w:p>
    <w:p w14:paraId="3A134708" w14:textId="16844E34" w:rsidR="00446ABC" w:rsidRDefault="00446ABC" w:rsidP="006E7700">
      <w:pPr>
        <w:pStyle w:val="Nagwek3"/>
        <w:rPr>
          <w:lang w:eastAsia="ar-SA"/>
        </w:rPr>
      </w:pPr>
      <w:bookmarkStart w:id="279" w:name="_Toc80523178"/>
      <w:r w:rsidRPr="00446ABC">
        <w:rPr>
          <w:lang w:eastAsia="ar-SA"/>
        </w:rPr>
        <w:t>Aktywność ekonomiczna i warunki bytowe</w:t>
      </w:r>
      <w:bookmarkEnd w:id="278"/>
      <w:bookmarkEnd w:id="279"/>
    </w:p>
    <w:p w14:paraId="6CB8D5A3" w14:textId="77777777" w:rsidR="000B1B06" w:rsidRPr="000B1B06" w:rsidRDefault="000B1B06" w:rsidP="000B1B06">
      <w:pPr>
        <w:rPr>
          <w:lang w:eastAsia="ar-SA"/>
        </w:rPr>
      </w:pPr>
    </w:p>
    <w:p w14:paraId="1098D8DF" w14:textId="77777777" w:rsidR="00446ABC" w:rsidRPr="00446ABC" w:rsidRDefault="00446ABC" w:rsidP="00446ABC">
      <w:pPr>
        <w:rPr>
          <w:rFonts w:cs="Times New Roman"/>
          <w:szCs w:val="24"/>
        </w:rPr>
      </w:pPr>
      <w:r w:rsidRPr="00446ABC">
        <w:rPr>
          <w:rFonts w:cs="Times New Roman"/>
          <w:szCs w:val="24"/>
        </w:rPr>
        <w:t>W 2020 r. w województwie śląskim przeciętny miesięczny dochód rozporządzalny przypadający na 1 osobę w gospodarstwach domowych wyniósł  2050 zł. Na dochód rozporządzalny gospodarstwa domowego składają się przede wszystkim dochody z pracy najemnej oraz dochody ze świadczeń społecznych. W 2020 r. ich udział w dochodzie rozporządzalnym wyniósł odpowiednio 53,3% i 36,0%. W 2020 r. przeciętne miesięczne wydatki na 1 osobę w gospodarstwach domowych wyniosły 1271 zł.  Na żywność i napoje bezalkoholowe gospodarstwa domowe przeznaczały przeciętnie 27,5% ogólnej kwoty wydatków, na opłaty z tytułu użytkowania mieszkania lub domu i za korzystanie z nośników energii  - 20,2%, a na zdrowie – 5,0%.</w:t>
      </w:r>
    </w:p>
    <w:p w14:paraId="52C4AA1E" w14:textId="77777777" w:rsidR="00446ABC" w:rsidRPr="00446ABC" w:rsidRDefault="00446ABC" w:rsidP="00446ABC">
      <w:pPr>
        <w:rPr>
          <w:rFonts w:cs="Times New Roman"/>
          <w:szCs w:val="24"/>
        </w:rPr>
      </w:pPr>
    </w:p>
    <w:p w14:paraId="5DBF2932" w14:textId="77777777" w:rsidR="00446ABC" w:rsidRPr="00446ABC" w:rsidRDefault="00446ABC" w:rsidP="00446ABC">
      <w:pPr>
        <w:rPr>
          <w:rFonts w:cs="Times New Roman"/>
          <w:szCs w:val="24"/>
        </w:rPr>
      </w:pPr>
      <w:r w:rsidRPr="00446ABC">
        <w:rPr>
          <w:rFonts w:cs="Times New Roman"/>
          <w:szCs w:val="24"/>
        </w:rPr>
        <w:t>W 2020 r. swoją sytuację materialną jako bardzo dobrą i raczej dobrą oceniło 56,2% gospodarstw domowych. Udział gospodarstw określających swoją sytuację materialną jako przeciętną wyniósł 39,0%, a raczej złą i złą ukształtował się na poziomie 4,8%.</w:t>
      </w:r>
    </w:p>
    <w:p w14:paraId="099C5D60" w14:textId="77777777" w:rsidR="00446ABC" w:rsidRPr="00446ABC" w:rsidRDefault="00446ABC" w:rsidP="00446ABC">
      <w:pPr>
        <w:rPr>
          <w:rFonts w:cs="Times New Roman"/>
          <w:szCs w:val="24"/>
        </w:rPr>
      </w:pPr>
    </w:p>
    <w:p w14:paraId="4EB6E92A" w14:textId="77777777" w:rsidR="00446ABC" w:rsidRPr="00446ABC" w:rsidRDefault="00446ABC" w:rsidP="00446ABC">
      <w:pPr>
        <w:rPr>
          <w:rFonts w:cs="Times New Roman"/>
          <w:szCs w:val="24"/>
        </w:rPr>
      </w:pPr>
      <w:r w:rsidRPr="00446ABC">
        <w:rPr>
          <w:rFonts w:cs="Times New Roman"/>
          <w:szCs w:val="24"/>
        </w:rPr>
        <w:t>W analizowanym roku przeciętna liczba osób w gospodarstwie domowym ukształtowała się na poziomie 2,48. Przeciętna powierzchnia użytkowa mieszkania zajmowana przez gospodarstwo domowe wyniosła 83,27 m</w:t>
      </w:r>
      <w:r w:rsidRPr="00446ABC">
        <w:rPr>
          <w:rFonts w:cs="Times New Roman"/>
          <w:szCs w:val="24"/>
          <w:vertAlign w:val="superscript"/>
        </w:rPr>
        <w:t>2</w:t>
      </w:r>
      <w:r w:rsidRPr="00446ABC">
        <w:rPr>
          <w:rFonts w:cs="Times New Roman"/>
          <w:szCs w:val="24"/>
        </w:rPr>
        <w:t xml:space="preserve">. </w:t>
      </w:r>
    </w:p>
    <w:p w14:paraId="5A1BE06D" w14:textId="77777777" w:rsidR="00446ABC" w:rsidRPr="00446ABC" w:rsidRDefault="00446ABC" w:rsidP="00446ABC">
      <w:pPr>
        <w:rPr>
          <w:rFonts w:cs="Times New Roman"/>
          <w:b/>
          <w:color w:val="FF0000"/>
          <w:szCs w:val="24"/>
          <w:lang w:eastAsia="ar-SA"/>
        </w:rPr>
      </w:pPr>
    </w:p>
    <w:p w14:paraId="7A7D8C36" w14:textId="34139FCB" w:rsidR="00446ABC" w:rsidRDefault="00446ABC" w:rsidP="00446ABC">
      <w:pPr>
        <w:pStyle w:val="Legenda"/>
        <w:keepNext/>
        <w:rPr>
          <w:rFonts w:cs="Times New Roman"/>
          <w:b/>
          <w:i w:val="0"/>
          <w:color w:val="auto"/>
          <w:sz w:val="24"/>
        </w:rPr>
      </w:pPr>
      <w:r w:rsidRPr="00432294">
        <w:rPr>
          <w:rFonts w:cs="Times New Roman"/>
          <w:b/>
          <w:i w:val="0"/>
          <w:color w:val="auto"/>
          <w:sz w:val="24"/>
        </w:rPr>
        <w:t xml:space="preserve">Tabela </w:t>
      </w:r>
      <w:r w:rsidR="006E7700">
        <w:rPr>
          <w:rFonts w:cs="Times New Roman"/>
          <w:b/>
          <w:i w:val="0"/>
          <w:color w:val="auto"/>
          <w:sz w:val="24"/>
        </w:rPr>
        <w:t>71</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Aktywność ekonomiczna osób starszych w województwie śląskim</w:t>
      </w:r>
    </w:p>
    <w:tbl>
      <w:tblPr>
        <w:tblStyle w:val="Tabelasiatki6kolorowaakcent23"/>
        <w:tblpPr w:leftFromText="141" w:rightFromText="141" w:vertAnchor="text" w:tblpXSpec="center" w:tblpY="1"/>
        <w:tblW w:w="9067" w:type="dxa"/>
        <w:tblLayout w:type="fixed"/>
        <w:tblLook w:val="04A0" w:firstRow="1" w:lastRow="0" w:firstColumn="1" w:lastColumn="0" w:noHBand="0" w:noVBand="1"/>
      </w:tblPr>
      <w:tblGrid>
        <w:gridCol w:w="3412"/>
        <w:gridCol w:w="3969"/>
        <w:gridCol w:w="1686"/>
      </w:tblGrid>
      <w:tr w:rsidR="00446ABC" w:rsidRPr="00965E9A" w14:paraId="640C1296" w14:textId="77777777" w:rsidTr="002F5802">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067" w:type="dxa"/>
            <w:gridSpan w:val="3"/>
          </w:tcPr>
          <w:p w14:paraId="3D78F2EC" w14:textId="77777777" w:rsidR="00446ABC" w:rsidRPr="00446ABC" w:rsidRDefault="00446ABC" w:rsidP="00044103">
            <w:pPr>
              <w:spacing w:line="240" w:lineRule="auto"/>
              <w:jc w:val="center"/>
              <w:rPr>
                <w:rFonts w:cs="Times New Roman"/>
                <w:b w:val="0"/>
                <w:bCs w:val="0"/>
                <w:color w:val="auto"/>
                <w:sz w:val="20"/>
                <w:szCs w:val="20"/>
              </w:rPr>
            </w:pPr>
            <w:r w:rsidRPr="00446ABC">
              <w:rPr>
                <w:rFonts w:cs="Times New Roman"/>
                <w:b w:val="0"/>
                <w:bCs w:val="0"/>
                <w:color w:val="auto"/>
                <w:sz w:val="20"/>
                <w:szCs w:val="20"/>
                <w:lang w:eastAsia="pl-PL"/>
              </w:rPr>
              <w:t>AKTYWNOŚĆ EKONOMICZNA OSÓB STARSZYCH – DANE ZA 2020 R.</w:t>
            </w:r>
          </w:p>
        </w:tc>
      </w:tr>
      <w:tr w:rsidR="00446ABC" w:rsidRPr="00965E9A" w14:paraId="412F12EB" w14:textId="77777777" w:rsidTr="002F580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7381" w:type="dxa"/>
            <w:gridSpan w:val="2"/>
            <w:vAlign w:val="center"/>
          </w:tcPr>
          <w:p w14:paraId="3E31EFF1" w14:textId="77777777" w:rsidR="00446ABC" w:rsidRPr="002F5802" w:rsidRDefault="00446ABC" w:rsidP="002F5802">
            <w:pPr>
              <w:spacing w:line="240" w:lineRule="auto"/>
              <w:jc w:val="left"/>
              <w:rPr>
                <w:rFonts w:cs="Times New Roman"/>
                <w:color w:val="auto"/>
                <w:sz w:val="20"/>
                <w:szCs w:val="20"/>
              </w:rPr>
            </w:pPr>
            <w:r w:rsidRPr="002F5802">
              <w:rPr>
                <w:rFonts w:cs="Times New Roman"/>
                <w:color w:val="auto"/>
                <w:sz w:val="20"/>
                <w:szCs w:val="20"/>
              </w:rPr>
              <w:t>Podział</w:t>
            </w:r>
          </w:p>
        </w:tc>
        <w:tc>
          <w:tcPr>
            <w:tcW w:w="1686" w:type="dxa"/>
            <w:vAlign w:val="center"/>
          </w:tcPr>
          <w:p w14:paraId="1CCEB629" w14:textId="77777777" w:rsidR="00446ABC" w:rsidRPr="00446ABC" w:rsidRDefault="00446ABC" w:rsidP="002F580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446ABC">
              <w:rPr>
                <w:rFonts w:cs="Times New Roman"/>
                <w:b/>
                <w:color w:val="auto"/>
                <w:sz w:val="20"/>
                <w:szCs w:val="20"/>
              </w:rPr>
              <w:t>Liczba</w:t>
            </w:r>
          </w:p>
        </w:tc>
      </w:tr>
      <w:tr w:rsidR="00446ABC" w:rsidRPr="00965E9A" w14:paraId="7D8C32EA" w14:textId="77777777" w:rsidTr="002F5802">
        <w:trPr>
          <w:trHeight w:val="224"/>
        </w:trPr>
        <w:tc>
          <w:tcPr>
            <w:cnfStyle w:val="001000000000" w:firstRow="0" w:lastRow="0" w:firstColumn="1" w:lastColumn="0" w:oddVBand="0" w:evenVBand="0" w:oddHBand="0" w:evenHBand="0" w:firstRowFirstColumn="0" w:firstRowLastColumn="0" w:lastRowFirstColumn="0" w:lastRowLastColumn="0"/>
            <w:tcW w:w="3412" w:type="dxa"/>
            <w:vMerge w:val="restart"/>
            <w:vAlign w:val="center"/>
          </w:tcPr>
          <w:p w14:paraId="45F59AE9" w14:textId="1BD421F1" w:rsidR="00446ABC" w:rsidRPr="00446ABC" w:rsidRDefault="00446ABC" w:rsidP="002F5802">
            <w:pPr>
              <w:spacing w:line="240" w:lineRule="auto"/>
              <w:jc w:val="left"/>
              <w:rPr>
                <w:rFonts w:cs="Times New Roman"/>
                <w:bCs w:val="0"/>
                <w:color w:val="auto"/>
                <w:sz w:val="20"/>
                <w:szCs w:val="20"/>
                <w:lang w:eastAsia="pl-PL"/>
              </w:rPr>
            </w:pPr>
            <w:r w:rsidRPr="00446ABC">
              <w:rPr>
                <w:rFonts w:cs="Times New Roman"/>
                <w:b w:val="0"/>
                <w:bCs w:val="0"/>
                <w:color w:val="auto"/>
                <w:sz w:val="20"/>
                <w:szCs w:val="20"/>
                <w:lang w:eastAsia="pl-PL"/>
              </w:rPr>
              <w:t xml:space="preserve">Osoby aktywne zawodowo razem </w:t>
            </w:r>
            <w:r w:rsidR="002F5802">
              <w:rPr>
                <w:rFonts w:cs="Times New Roman"/>
                <w:b w:val="0"/>
                <w:bCs w:val="0"/>
                <w:color w:val="auto"/>
                <w:sz w:val="20"/>
                <w:szCs w:val="20"/>
                <w:lang w:eastAsia="pl-PL"/>
              </w:rPr>
              <w:t xml:space="preserve">          </w:t>
            </w:r>
            <w:r w:rsidRPr="00446ABC">
              <w:rPr>
                <w:rFonts w:cs="Times New Roman"/>
                <w:b w:val="0"/>
                <w:bCs w:val="0"/>
                <w:color w:val="auto"/>
                <w:sz w:val="20"/>
                <w:szCs w:val="20"/>
                <w:lang w:eastAsia="pl-PL"/>
              </w:rPr>
              <w:t>(w tys.)</w:t>
            </w:r>
          </w:p>
        </w:tc>
        <w:tc>
          <w:tcPr>
            <w:tcW w:w="3969" w:type="dxa"/>
            <w:vAlign w:val="center"/>
          </w:tcPr>
          <w:p w14:paraId="7A44B8CE" w14:textId="77777777" w:rsidR="00446ABC" w:rsidRPr="00446ABC" w:rsidRDefault="00446ABC" w:rsidP="002F5802">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ogółem</w:t>
            </w:r>
          </w:p>
        </w:tc>
        <w:tc>
          <w:tcPr>
            <w:tcW w:w="1686" w:type="dxa"/>
          </w:tcPr>
          <w:p w14:paraId="3972A0B6" w14:textId="77777777" w:rsidR="00446ABC" w:rsidRPr="00446ABC" w:rsidRDefault="00446ABC"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1898</w:t>
            </w:r>
          </w:p>
        </w:tc>
      </w:tr>
      <w:tr w:rsidR="00446ABC" w:rsidRPr="00965E9A" w14:paraId="7D5DB683" w14:textId="77777777" w:rsidTr="002F5802">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3412" w:type="dxa"/>
            <w:vMerge/>
            <w:vAlign w:val="center"/>
          </w:tcPr>
          <w:p w14:paraId="068A422F" w14:textId="77777777" w:rsidR="00446ABC" w:rsidRPr="00446ABC" w:rsidRDefault="00446ABC" w:rsidP="002F5802">
            <w:pPr>
              <w:spacing w:line="240" w:lineRule="auto"/>
              <w:jc w:val="left"/>
              <w:rPr>
                <w:rFonts w:cs="Times New Roman"/>
                <w:bCs w:val="0"/>
                <w:color w:val="auto"/>
                <w:sz w:val="20"/>
                <w:szCs w:val="20"/>
                <w:lang w:eastAsia="pl-PL"/>
              </w:rPr>
            </w:pPr>
          </w:p>
        </w:tc>
        <w:tc>
          <w:tcPr>
            <w:tcW w:w="3969" w:type="dxa"/>
            <w:vAlign w:val="center"/>
          </w:tcPr>
          <w:p w14:paraId="0119AC44" w14:textId="77777777" w:rsidR="00446ABC" w:rsidRPr="00446ABC" w:rsidRDefault="00446ABC" w:rsidP="002F5802">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w tym w wieku 60+</w:t>
            </w:r>
          </w:p>
        </w:tc>
        <w:tc>
          <w:tcPr>
            <w:tcW w:w="1686" w:type="dxa"/>
          </w:tcPr>
          <w:p w14:paraId="50F2601A" w14:textId="77777777" w:rsidR="00446ABC" w:rsidRPr="00446ABC" w:rsidRDefault="00446ABC"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123</w:t>
            </w:r>
          </w:p>
        </w:tc>
      </w:tr>
      <w:tr w:rsidR="00446ABC" w:rsidRPr="00965E9A" w14:paraId="7820DD98" w14:textId="77777777" w:rsidTr="002F5802">
        <w:trPr>
          <w:trHeight w:val="285"/>
        </w:trPr>
        <w:tc>
          <w:tcPr>
            <w:cnfStyle w:val="001000000000" w:firstRow="0" w:lastRow="0" w:firstColumn="1" w:lastColumn="0" w:oddVBand="0" w:evenVBand="0" w:oddHBand="0" w:evenHBand="0" w:firstRowFirstColumn="0" w:firstRowLastColumn="0" w:lastRowFirstColumn="0" w:lastRowLastColumn="0"/>
            <w:tcW w:w="3412" w:type="dxa"/>
            <w:vMerge w:val="restart"/>
            <w:vAlign w:val="center"/>
          </w:tcPr>
          <w:p w14:paraId="0F2FA891" w14:textId="77777777" w:rsidR="00446ABC" w:rsidRPr="00446ABC" w:rsidRDefault="00446ABC" w:rsidP="002F5802">
            <w:pPr>
              <w:spacing w:line="240" w:lineRule="auto"/>
              <w:jc w:val="left"/>
              <w:rPr>
                <w:rFonts w:cs="Times New Roman"/>
                <w:bCs w:val="0"/>
                <w:color w:val="auto"/>
                <w:sz w:val="20"/>
                <w:szCs w:val="20"/>
                <w:lang w:eastAsia="pl-PL"/>
              </w:rPr>
            </w:pPr>
            <w:r w:rsidRPr="00446ABC">
              <w:rPr>
                <w:rFonts w:cs="Times New Roman"/>
                <w:b w:val="0"/>
                <w:bCs w:val="0"/>
                <w:color w:val="auto"/>
                <w:sz w:val="20"/>
                <w:szCs w:val="20"/>
                <w:lang w:eastAsia="pl-PL"/>
              </w:rPr>
              <w:t xml:space="preserve">Osoby aktywne zawodowo </w:t>
            </w:r>
            <w:r w:rsidRPr="00446ABC">
              <w:rPr>
                <w:rFonts w:cs="Times New Roman"/>
                <w:b w:val="0"/>
                <w:bCs w:val="0"/>
                <w:color w:val="auto"/>
                <w:sz w:val="20"/>
                <w:szCs w:val="20"/>
                <w:lang w:eastAsia="pl-PL"/>
              </w:rPr>
              <w:br/>
              <w:t>– pracujący (w tys.)</w:t>
            </w:r>
          </w:p>
        </w:tc>
        <w:tc>
          <w:tcPr>
            <w:tcW w:w="3969" w:type="dxa"/>
            <w:vAlign w:val="center"/>
          </w:tcPr>
          <w:p w14:paraId="32628896" w14:textId="77777777" w:rsidR="00446ABC" w:rsidRPr="00446ABC" w:rsidRDefault="00446ABC" w:rsidP="002F5802">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Ogółem</w:t>
            </w:r>
          </w:p>
        </w:tc>
        <w:tc>
          <w:tcPr>
            <w:tcW w:w="1686" w:type="dxa"/>
          </w:tcPr>
          <w:p w14:paraId="091EA808" w14:textId="77777777" w:rsidR="00446ABC" w:rsidRPr="00446ABC" w:rsidRDefault="00446ABC"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1846</w:t>
            </w:r>
          </w:p>
        </w:tc>
      </w:tr>
      <w:tr w:rsidR="00446ABC" w:rsidRPr="00965E9A" w14:paraId="3030BBD5" w14:textId="77777777" w:rsidTr="002F5802">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412" w:type="dxa"/>
            <w:vMerge/>
            <w:vAlign w:val="center"/>
          </w:tcPr>
          <w:p w14:paraId="1FE2143F" w14:textId="77777777" w:rsidR="00446ABC" w:rsidRPr="00446ABC" w:rsidRDefault="00446ABC" w:rsidP="002F5802">
            <w:pPr>
              <w:spacing w:line="240" w:lineRule="auto"/>
              <w:jc w:val="left"/>
              <w:rPr>
                <w:rFonts w:cs="Times New Roman"/>
                <w:bCs w:val="0"/>
                <w:color w:val="auto"/>
                <w:sz w:val="20"/>
                <w:szCs w:val="20"/>
                <w:lang w:eastAsia="pl-PL"/>
              </w:rPr>
            </w:pPr>
          </w:p>
        </w:tc>
        <w:tc>
          <w:tcPr>
            <w:tcW w:w="3969" w:type="dxa"/>
            <w:vAlign w:val="center"/>
          </w:tcPr>
          <w:p w14:paraId="3F2F6A76" w14:textId="77777777" w:rsidR="00446ABC" w:rsidRPr="00446ABC" w:rsidRDefault="00446ABC" w:rsidP="002F5802">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w tym w wieku 60+</w:t>
            </w:r>
          </w:p>
        </w:tc>
        <w:tc>
          <w:tcPr>
            <w:tcW w:w="1686" w:type="dxa"/>
          </w:tcPr>
          <w:p w14:paraId="191405D7" w14:textId="77777777" w:rsidR="00446ABC" w:rsidRPr="00446ABC" w:rsidRDefault="00446ABC"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120</w:t>
            </w:r>
          </w:p>
        </w:tc>
      </w:tr>
      <w:tr w:rsidR="00446ABC" w:rsidRPr="00965E9A" w14:paraId="26D5CDCE" w14:textId="77777777" w:rsidTr="002F5802">
        <w:trPr>
          <w:trHeight w:val="224"/>
        </w:trPr>
        <w:tc>
          <w:tcPr>
            <w:cnfStyle w:val="001000000000" w:firstRow="0" w:lastRow="0" w:firstColumn="1" w:lastColumn="0" w:oddVBand="0" w:evenVBand="0" w:oddHBand="0" w:evenHBand="0" w:firstRowFirstColumn="0" w:firstRowLastColumn="0" w:lastRowFirstColumn="0" w:lastRowLastColumn="0"/>
            <w:tcW w:w="3412" w:type="dxa"/>
            <w:vMerge w:val="restart"/>
            <w:vAlign w:val="center"/>
          </w:tcPr>
          <w:p w14:paraId="58A2B318" w14:textId="77777777" w:rsidR="00446ABC" w:rsidRPr="00446ABC" w:rsidRDefault="00446ABC" w:rsidP="002F5802">
            <w:pPr>
              <w:spacing w:line="240" w:lineRule="auto"/>
              <w:jc w:val="left"/>
              <w:rPr>
                <w:rFonts w:cs="Times New Roman"/>
                <w:bCs w:val="0"/>
                <w:color w:val="auto"/>
                <w:sz w:val="20"/>
                <w:szCs w:val="20"/>
                <w:lang w:eastAsia="pl-PL"/>
              </w:rPr>
            </w:pPr>
            <w:r w:rsidRPr="00446ABC">
              <w:rPr>
                <w:rFonts w:cs="Times New Roman"/>
                <w:b w:val="0"/>
                <w:bCs w:val="0"/>
                <w:color w:val="auto"/>
                <w:sz w:val="20"/>
                <w:szCs w:val="20"/>
                <w:lang w:eastAsia="pl-PL"/>
              </w:rPr>
              <w:t>Osoby bierne zawodowo (w tys.)</w:t>
            </w:r>
          </w:p>
        </w:tc>
        <w:tc>
          <w:tcPr>
            <w:tcW w:w="3969" w:type="dxa"/>
            <w:vAlign w:val="center"/>
          </w:tcPr>
          <w:p w14:paraId="74BD7BF4" w14:textId="77777777" w:rsidR="00446ABC" w:rsidRPr="00446ABC" w:rsidRDefault="00446ABC" w:rsidP="002F5802">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ogółem</w:t>
            </w:r>
          </w:p>
        </w:tc>
        <w:tc>
          <w:tcPr>
            <w:tcW w:w="1686" w:type="dxa"/>
          </w:tcPr>
          <w:p w14:paraId="2449307C" w14:textId="77777777" w:rsidR="00446ABC" w:rsidRPr="00446ABC" w:rsidRDefault="00446ABC"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1708</w:t>
            </w:r>
          </w:p>
        </w:tc>
      </w:tr>
      <w:tr w:rsidR="00446ABC" w:rsidRPr="00965E9A" w14:paraId="103FAAC4" w14:textId="77777777" w:rsidTr="002F5802">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3412" w:type="dxa"/>
            <w:vMerge/>
            <w:vAlign w:val="center"/>
          </w:tcPr>
          <w:p w14:paraId="7345199F" w14:textId="77777777" w:rsidR="00446ABC" w:rsidRPr="00446ABC" w:rsidRDefault="00446ABC" w:rsidP="002F5802">
            <w:pPr>
              <w:spacing w:line="240" w:lineRule="auto"/>
              <w:jc w:val="left"/>
              <w:rPr>
                <w:rFonts w:cs="Times New Roman"/>
                <w:bCs w:val="0"/>
                <w:color w:val="auto"/>
                <w:sz w:val="20"/>
                <w:szCs w:val="20"/>
                <w:lang w:eastAsia="pl-PL"/>
              </w:rPr>
            </w:pPr>
          </w:p>
        </w:tc>
        <w:tc>
          <w:tcPr>
            <w:tcW w:w="3969" w:type="dxa"/>
            <w:vAlign w:val="center"/>
          </w:tcPr>
          <w:p w14:paraId="3CF4D509" w14:textId="77777777" w:rsidR="00446ABC" w:rsidRPr="00446ABC" w:rsidRDefault="00446ABC" w:rsidP="002F5802">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w tym w wieku 60+</w:t>
            </w:r>
          </w:p>
        </w:tc>
        <w:tc>
          <w:tcPr>
            <w:tcW w:w="1686" w:type="dxa"/>
          </w:tcPr>
          <w:p w14:paraId="179D7FE1" w14:textId="77777777" w:rsidR="00446ABC" w:rsidRPr="00446ABC" w:rsidRDefault="00446ABC"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1060</w:t>
            </w:r>
          </w:p>
        </w:tc>
      </w:tr>
      <w:tr w:rsidR="00446ABC" w:rsidRPr="00965E9A" w14:paraId="5E35D1ED" w14:textId="77777777" w:rsidTr="002F5802">
        <w:trPr>
          <w:trHeight w:val="285"/>
        </w:trPr>
        <w:tc>
          <w:tcPr>
            <w:cnfStyle w:val="001000000000" w:firstRow="0" w:lastRow="0" w:firstColumn="1" w:lastColumn="0" w:oddVBand="0" w:evenVBand="0" w:oddHBand="0" w:evenHBand="0" w:firstRowFirstColumn="0" w:firstRowLastColumn="0" w:lastRowFirstColumn="0" w:lastRowLastColumn="0"/>
            <w:tcW w:w="3412" w:type="dxa"/>
            <w:vMerge w:val="restart"/>
            <w:vAlign w:val="center"/>
          </w:tcPr>
          <w:p w14:paraId="7586D460" w14:textId="77777777" w:rsidR="00446ABC" w:rsidRPr="00446ABC" w:rsidRDefault="00446ABC" w:rsidP="002F5802">
            <w:pPr>
              <w:spacing w:line="240" w:lineRule="auto"/>
              <w:jc w:val="left"/>
              <w:rPr>
                <w:rFonts w:cs="Times New Roman"/>
                <w:bCs w:val="0"/>
                <w:color w:val="auto"/>
                <w:sz w:val="20"/>
                <w:szCs w:val="20"/>
                <w:lang w:eastAsia="pl-PL"/>
              </w:rPr>
            </w:pPr>
            <w:r w:rsidRPr="00446ABC">
              <w:rPr>
                <w:rFonts w:cs="Times New Roman"/>
                <w:b w:val="0"/>
                <w:bCs w:val="0"/>
                <w:color w:val="auto"/>
                <w:sz w:val="20"/>
                <w:szCs w:val="20"/>
                <w:lang w:eastAsia="pl-PL"/>
              </w:rPr>
              <w:t>Współczynnik aktywności zawodowej %</w:t>
            </w:r>
          </w:p>
        </w:tc>
        <w:tc>
          <w:tcPr>
            <w:tcW w:w="3969" w:type="dxa"/>
            <w:vAlign w:val="center"/>
          </w:tcPr>
          <w:p w14:paraId="508E6966" w14:textId="77777777" w:rsidR="00446ABC" w:rsidRPr="00446ABC" w:rsidRDefault="00446ABC" w:rsidP="002F5802">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Ogółem</w:t>
            </w:r>
          </w:p>
        </w:tc>
        <w:tc>
          <w:tcPr>
            <w:tcW w:w="1686" w:type="dxa"/>
          </w:tcPr>
          <w:p w14:paraId="026E5815" w14:textId="77777777" w:rsidR="00446ABC" w:rsidRPr="00446ABC" w:rsidRDefault="00446ABC"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52,6</w:t>
            </w:r>
          </w:p>
        </w:tc>
      </w:tr>
      <w:tr w:rsidR="00446ABC" w:rsidRPr="00965E9A" w14:paraId="71A0203B" w14:textId="77777777" w:rsidTr="002F580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412" w:type="dxa"/>
            <w:vMerge/>
            <w:vAlign w:val="center"/>
          </w:tcPr>
          <w:p w14:paraId="51C3690F" w14:textId="77777777" w:rsidR="00446ABC" w:rsidRPr="00446ABC" w:rsidRDefault="00446ABC" w:rsidP="002F5802">
            <w:pPr>
              <w:spacing w:line="240" w:lineRule="auto"/>
              <w:jc w:val="left"/>
              <w:rPr>
                <w:rFonts w:cs="Times New Roman"/>
                <w:bCs w:val="0"/>
                <w:color w:val="auto"/>
                <w:sz w:val="20"/>
                <w:szCs w:val="20"/>
                <w:lang w:eastAsia="pl-PL"/>
              </w:rPr>
            </w:pPr>
          </w:p>
        </w:tc>
        <w:tc>
          <w:tcPr>
            <w:tcW w:w="3969" w:type="dxa"/>
            <w:vAlign w:val="center"/>
          </w:tcPr>
          <w:p w14:paraId="50A24DDF" w14:textId="77777777" w:rsidR="00446ABC" w:rsidRPr="00446ABC" w:rsidRDefault="00446ABC" w:rsidP="002F5802">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w tym w wieku 60+</w:t>
            </w:r>
          </w:p>
        </w:tc>
        <w:tc>
          <w:tcPr>
            <w:tcW w:w="1686" w:type="dxa"/>
          </w:tcPr>
          <w:p w14:paraId="7D9253A7" w14:textId="77777777" w:rsidR="00446ABC" w:rsidRPr="00446ABC" w:rsidRDefault="00446ABC"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10,4</w:t>
            </w:r>
          </w:p>
        </w:tc>
      </w:tr>
      <w:tr w:rsidR="00446ABC" w:rsidRPr="00965E9A" w14:paraId="252817B2" w14:textId="77777777" w:rsidTr="002F5802">
        <w:trPr>
          <w:trHeight w:val="143"/>
        </w:trPr>
        <w:tc>
          <w:tcPr>
            <w:cnfStyle w:val="001000000000" w:firstRow="0" w:lastRow="0" w:firstColumn="1" w:lastColumn="0" w:oddVBand="0" w:evenVBand="0" w:oddHBand="0" w:evenHBand="0" w:firstRowFirstColumn="0" w:firstRowLastColumn="0" w:lastRowFirstColumn="0" w:lastRowLastColumn="0"/>
            <w:tcW w:w="3412" w:type="dxa"/>
            <w:vMerge w:val="restart"/>
            <w:vAlign w:val="center"/>
          </w:tcPr>
          <w:p w14:paraId="27016D4C" w14:textId="77777777" w:rsidR="00446ABC" w:rsidRPr="00446ABC" w:rsidRDefault="00446ABC" w:rsidP="002F5802">
            <w:pPr>
              <w:spacing w:line="240" w:lineRule="auto"/>
              <w:jc w:val="left"/>
              <w:rPr>
                <w:rFonts w:cs="Times New Roman"/>
                <w:bCs w:val="0"/>
                <w:color w:val="auto"/>
                <w:sz w:val="20"/>
                <w:szCs w:val="20"/>
                <w:lang w:eastAsia="pl-PL"/>
              </w:rPr>
            </w:pPr>
            <w:r w:rsidRPr="00446ABC">
              <w:rPr>
                <w:rFonts w:cs="Times New Roman"/>
                <w:b w:val="0"/>
                <w:bCs w:val="0"/>
                <w:color w:val="auto"/>
                <w:sz w:val="20"/>
                <w:szCs w:val="20"/>
                <w:lang w:eastAsia="pl-PL"/>
              </w:rPr>
              <w:t>Wskaźnik zatrudnienia %</w:t>
            </w:r>
          </w:p>
        </w:tc>
        <w:tc>
          <w:tcPr>
            <w:tcW w:w="3969" w:type="dxa"/>
            <w:vAlign w:val="center"/>
          </w:tcPr>
          <w:p w14:paraId="7CCACBCE" w14:textId="77777777" w:rsidR="00446ABC" w:rsidRPr="00446ABC" w:rsidRDefault="00446ABC" w:rsidP="002F5802">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ogółem</w:t>
            </w:r>
          </w:p>
        </w:tc>
        <w:tc>
          <w:tcPr>
            <w:tcW w:w="1686" w:type="dxa"/>
          </w:tcPr>
          <w:p w14:paraId="0AF99DD1" w14:textId="77777777" w:rsidR="00446ABC" w:rsidRPr="00446ABC" w:rsidRDefault="00446ABC"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51,2</w:t>
            </w:r>
          </w:p>
        </w:tc>
      </w:tr>
      <w:tr w:rsidR="00446ABC" w:rsidRPr="00965E9A" w14:paraId="721BD38A" w14:textId="77777777" w:rsidTr="002F5802">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412" w:type="dxa"/>
            <w:vMerge/>
            <w:vAlign w:val="center"/>
          </w:tcPr>
          <w:p w14:paraId="0E21C70F" w14:textId="77777777" w:rsidR="00446ABC" w:rsidRPr="00446ABC" w:rsidRDefault="00446ABC" w:rsidP="002F5802">
            <w:pPr>
              <w:spacing w:line="240" w:lineRule="auto"/>
              <w:jc w:val="left"/>
              <w:rPr>
                <w:rFonts w:cs="Times New Roman"/>
                <w:bCs w:val="0"/>
                <w:color w:val="auto"/>
                <w:sz w:val="20"/>
                <w:szCs w:val="20"/>
                <w:lang w:eastAsia="pl-PL"/>
              </w:rPr>
            </w:pPr>
          </w:p>
        </w:tc>
        <w:tc>
          <w:tcPr>
            <w:tcW w:w="3969" w:type="dxa"/>
            <w:vAlign w:val="center"/>
          </w:tcPr>
          <w:p w14:paraId="40DE3130" w14:textId="77777777" w:rsidR="00446ABC" w:rsidRPr="00446ABC" w:rsidRDefault="00446ABC" w:rsidP="002F5802">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w tym w wieku 60+</w:t>
            </w:r>
          </w:p>
        </w:tc>
        <w:tc>
          <w:tcPr>
            <w:tcW w:w="1686" w:type="dxa"/>
          </w:tcPr>
          <w:p w14:paraId="2711D4C2" w14:textId="77777777" w:rsidR="00446ABC" w:rsidRPr="00446ABC" w:rsidRDefault="00446ABC"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10,2</w:t>
            </w:r>
          </w:p>
        </w:tc>
      </w:tr>
      <w:tr w:rsidR="00446ABC" w:rsidRPr="00965E9A" w14:paraId="3CBDDDEA" w14:textId="77777777" w:rsidTr="002F5802">
        <w:trPr>
          <w:trHeight w:val="282"/>
        </w:trPr>
        <w:tc>
          <w:tcPr>
            <w:cnfStyle w:val="001000000000" w:firstRow="0" w:lastRow="0" w:firstColumn="1" w:lastColumn="0" w:oddVBand="0" w:evenVBand="0" w:oddHBand="0" w:evenHBand="0" w:firstRowFirstColumn="0" w:firstRowLastColumn="0" w:lastRowFirstColumn="0" w:lastRowLastColumn="0"/>
            <w:tcW w:w="3412" w:type="dxa"/>
            <w:vMerge w:val="restart"/>
            <w:vAlign w:val="center"/>
          </w:tcPr>
          <w:p w14:paraId="308F56C3" w14:textId="77777777" w:rsidR="00446ABC" w:rsidRPr="00446ABC" w:rsidRDefault="00446ABC" w:rsidP="002F5802">
            <w:pPr>
              <w:spacing w:line="240" w:lineRule="auto"/>
              <w:jc w:val="left"/>
              <w:rPr>
                <w:rFonts w:cs="Times New Roman"/>
                <w:bCs w:val="0"/>
                <w:color w:val="auto"/>
                <w:sz w:val="20"/>
                <w:szCs w:val="20"/>
                <w:lang w:eastAsia="pl-PL"/>
              </w:rPr>
            </w:pPr>
            <w:r w:rsidRPr="00446ABC">
              <w:rPr>
                <w:rFonts w:eastAsia="Times New Roman" w:cs="Times New Roman"/>
                <w:b w:val="0"/>
                <w:bCs w:val="0"/>
                <w:color w:val="auto"/>
                <w:sz w:val="20"/>
                <w:szCs w:val="20"/>
                <w:lang w:eastAsia="pl-PL"/>
              </w:rPr>
              <w:t xml:space="preserve">Osoby bierne zawodowo  w wieku 60 lat i więcej według wybranych przyczyn bierności </w:t>
            </w:r>
            <w:r w:rsidRPr="00446ABC">
              <w:rPr>
                <w:rFonts w:eastAsia="Times New Roman" w:cs="Times New Roman"/>
                <w:b w:val="0"/>
                <w:bCs w:val="0"/>
                <w:color w:val="auto"/>
                <w:sz w:val="20"/>
                <w:szCs w:val="20"/>
                <w:lang w:eastAsia="pl-PL"/>
              </w:rPr>
              <w:br/>
              <w:t>(w tys.)</w:t>
            </w:r>
          </w:p>
        </w:tc>
        <w:tc>
          <w:tcPr>
            <w:tcW w:w="3969" w:type="dxa"/>
            <w:vAlign w:val="center"/>
          </w:tcPr>
          <w:p w14:paraId="0600339C" w14:textId="77777777" w:rsidR="00446ABC" w:rsidRPr="00446ABC" w:rsidRDefault="00446ABC" w:rsidP="002F5802">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ogółem</w:t>
            </w:r>
          </w:p>
        </w:tc>
        <w:tc>
          <w:tcPr>
            <w:tcW w:w="1686" w:type="dxa"/>
          </w:tcPr>
          <w:p w14:paraId="50C8A70F" w14:textId="77777777" w:rsidR="00446ABC" w:rsidRPr="00446ABC" w:rsidRDefault="00446ABC"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1060</w:t>
            </w:r>
          </w:p>
        </w:tc>
      </w:tr>
      <w:tr w:rsidR="00446ABC" w:rsidRPr="00965E9A" w14:paraId="702D0664" w14:textId="77777777" w:rsidTr="002F580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12" w:type="dxa"/>
            <w:vMerge/>
          </w:tcPr>
          <w:p w14:paraId="5AF73053" w14:textId="77777777" w:rsidR="00446ABC" w:rsidRPr="00446ABC" w:rsidRDefault="00446ABC" w:rsidP="00044103">
            <w:pPr>
              <w:spacing w:line="240" w:lineRule="auto"/>
              <w:rPr>
                <w:rFonts w:eastAsia="Times New Roman" w:cs="Times New Roman"/>
                <w:color w:val="auto"/>
                <w:sz w:val="20"/>
                <w:szCs w:val="20"/>
                <w:lang w:eastAsia="pl-PL"/>
              </w:rPr>
            </w:pPr>
          </w:p>
        </w:tc>
        <w:tc>
          <w:tcPr>
            <w:tcW w:w="5655" w:type="dxa"/>
            <w:gridSpan w:val="2"/>
            <w:vAlign w:val="center"/>
          </w:tcPr>
          <w:p w14:paraId="5805C395" w14:textId="77777777" w:rsidR="00446ABC" w:rsidRPr="00446ABC" w:rsidRDefault="00446ABC" w:rsidP="002F5802">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w tym:</w:t>
            </w:r>
          </w:p>
        </w:tc>
      </w:tr>
      <w:tr w:rsidR="00446ABC" w:rsidRPr="00965E9A" w14:paraId="194B8B12" w14:textId="77777777" w:rsidTr="002F5802">
        <w:trPr>
          <w:trHeight w:val="280"/>
        </w:trPr>
        <w:tc>
          <w:tcPr>
            <w:cnfStyle w:val="001000000000" w:firstRow="0" w:lastRow="0" w:firstColumn="1" w:lastColumn="0" w:oddVBand="0" w:evenVBand="0" w:oddHBand="0" w:evenHBand="0" w:firstRowFirstColumn="0" w:firstRowLastColumn="0" w:lastRowFirstColumn="0" w:lastRowLastColumn="0"/>
            <w:tcW w:w="3412" w:type="dxa"/>
            <w:vMerge/>
          </w:tcPr>
          <w:p w14:paraId="0A5B0D50" w14:textId="77777777" w:rsidR="00446ABC" w:rsidRPr="00446ABC" w:rsidRDefault="00446ABC" w:rsidP="00044103">
            <w:pPr>
              <w:spacing w:line="240" w:lineRule="auto"/>
              <w:rPr>
                <w:rFonts w:eastAsia="Times New Roman" w:cs="Times New Roman"/>
                <w:color w:val="auto"/>
                <w:sz w:val="20"/>
                <w:szCs w:val="20"/>
                <w:lang w:eastAsia="pl-PL"/>
              </w:rPr>
            </w:pPr>
          </w:p>
        </w:tc>
        <w:tc>
          <w:tcPr>
            <w:tcW w:w="3969" w:type="dxa"/>
            <w:vAlign w:val="center"/>
          </w:tcPr>
          <w:p w14:paraId="621A6797" w14:textId="77777777" w:rsidR="00446ABC" w:rsidRPr="00446ABC" w:rsidRDefault="00446ABC" w:rsidP="002F5802">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446ABC">
              <w:rPr>
                <w:rFonts w:eastAsia="Times New Roman" w:cs="Times New Roman"/>
                <w:color w:val="auto"/>
                <w:sz w:val="20"/>
                <w:szCs w:val="20"/>
                <w:lang w:eastAsia="pl-PL"/>
              </w:rPr>
              <w:t>osoby nieposzukujące pracy - razem</w:t>
            </w:r>
          </w:p>
        </w:tc>
        <w:tc>
          <w:tcPr>
            <w:tcW w:w="1686" w:type="dxa"/>
          </w:tcPr>
          <w:p w14:paraId="2A04E82B" w14:textId="77777777" w:rsidR="00446ABC" w:rsidRPr="00446ABC" w:rsidRDefault="00446ABC"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1059</w:t>
            </w:r>
          </w:p>
        </w:tc>
      </w:tr>
      <w:tr w:rsidR="00446ABC" w:rsidRPr="00965E9A" w14:paraId="02BE09B7" w14:textId="77777777" w:rsidTr="002F580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12" w:type="dxa"/>
            <w:vMerge/>
          </w:tcPr>
          <w:p w14:paraId="0222F607" w14:textId="77777777" w:rsidR="00446ABC" w:rsidRPr="00446ABC" w:rsidRDefault="00446ABC" w:rsidP="00044103">
            <w:pPr>
              <w:spacing w:line="240" w:lineRule="auto"/>
              <w:rPr>
                <w:rFonts w:eastAsia="Times New Roman" w:cs="Times New Roman"/>
                <w:color w:val="auto"/>
                <w:sz w:val="20"/>
                <w:szCs w:val="20"/>
                <w:lang w:eastAsia="pl-PL"/>
              </w:rPr>
            </w:pPr>
          </w:p>
        </w:tc>
        <w:tc>
          <w:tcPr>
            <w:tcW w:w="3969" w:type="dxa"/>
            <w:vAlign w:val="center"/>
          </w:tcPr>
          <w:p w14:paraId="12451EC5" w14:textId="77777777" w:rsidR="00446ABC" w:rsidRPr="00446ABC" w:rsidRDefault="00446ABC" w:rsidP="002F5802">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eastAsia="Times New Roman" w:cs="Times New Roman"/>
                <w:color w:val="auto"/>
                <w:sz w:val="20"/>
                <w:szCs w:val="20"/>
                <w:lang w:eastAsia="pl-PL"/>
              </w:rPr>
              <w:t>osoby nieposzukujące pracy - emerytura</w:t>
            </w:r>
          </w:p>
        </w:tc>
        <w:tc>
          <w:tcPr>
            <w:tcW w:w="1686" w:type="dxa"/>
          </w:tcPr>
          <w:p w14:paraId="00BA3634" w14:textId="77777777" w:rsidR="00446ABC" w:rsidRPr="00446ABC" w:rsidRDefault="00446ABC"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910</w:t>
            </w:r>
          </w:p>
        </w:tc>
      </w:tr>
      <w:tr w:rsidR="00446ABC" w:rsidRPr="00965E9A" w14:paraId="0F09446B" w14:textId="77777777" w:rsidTr="002F5802">
        <w:trPr>
          <w:trHeight w:val="524"/>
        </w:trPr>
        <w:tc>
          <w:tcPr>
            <w:cnfStyle w:val="001000000000" w:firstRow="0" w:lastRow="0" w:firstColumn="1" w:lastColumn="0" w:oddVBand="0" w:evenVBand="0" w:oddHBand="0" w:evenHBand="0" w:firstRowFirstColumn="0" w:firstRowLastColumn="0" w:lastRowFirstColumn="0" w:lastRowLastColumn="0"/>
            <w:tcW w:w="3412" w:type="dxa"/>
            <w:vMerge/>
          </w:tcPr>
          <w:p w14:paraId="4F875406" w14:textId="77777777" w:rsidR="00446ABC" w:rsidRPr="00446ABC" w:rsidRDefault="00446ABC" w:rsidP="00044103">
            <w:pPr>
              <w:spacing w:line="240" w:lineRule="auto"/>
              <w:rPr>
                <w:rFonts w:eastAsia="Times New Roman" w:cs="Times New Roman"/>
                <w:color w:val="auto"/>
                <w:sz w:val="20"/>
                <w:szCs w:val="20"/>
                <w:lang w:eastAsia="pl-PL"/>
              </w:rPr>
            </w:pPr>
          </w:p>
        </w:tc>
        <w:tc>
          <w:tcPr>
            <w:tcW w:w="3969" w:type="dxa"/>
            <w:vAlign w:val="center"/>
          </w:tcPr>
          <w:p w14:paraId="15AF4568" w14:textId="77777777" w:rsidR="00446ABC" w:rsidRPr="00446ABC" w:rsidRDefault="00446ABC" w:rsidP="002F5802">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eastAsia="Times New Roman" w:cs="Times New Roman"/>
                <w:color w:val="auto"/>
                <w:sz w:val="20"/>
                <w:szCs w:val="20"/>
                <w:lang w:eastAsia="pl-PL"/>
              </w:rPr>
              <w:t>osoby nieposzukujące pracy - choroba, niepełnosprawność</w:t>
            </w:r>
          </w:p>
        </w:tc>
        <w:tc>
          <w:tcPr>
            <w:tcW w:w="1686" w:type="dxa"/>
          </w:tcPr>
          <w:p w14:paraId="00065C22" w14:textId="77777777" w:rsidR="00446ABC" w:rsidRPr="00446ABC" w:rsidRDefault="00446ABC"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71</w:t>
            </w:r>
          </w:p>
        </w:tc>
      </w:tr>
      <w:tr w:rsidR="00446ABC" w:rsidRPr="00965E9A" w14:paraId="3C046F1D" w14:textId="77777777" w:rsidTr="002F580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412" w:type="dxa"/>
            <w:vMerge w:val="restart"/>
          </w:tcPr>
          <w:p w14:paraId="71927BF6" w14:textId="77777777" w:rsidR="00446ABC" w:rsidRPr="00446ABC" w:rsidRDefault="00446ABC" w:rsidP="00044103">
            <w:pPr>
              <w:spacing w:line="240" w:lineRule="auto"/>
              <w:rPr>
                <w:rFonts w:eastAsia="Times New Roman" w:cs="Times New Roman"/>
                <w:color w:val="auto"/>
                <w:sz w:val="20"/>
                <w:szCs w:val="20"/>
                <w:lang w:eastAsia="pl-PL"/>
              </w:rPr>
            </w:pPr>
            <w:r w:rsidRPr="00446ABC">
              <w:rPr>
                <w:rFonts w:eastAsia="Times New Roman" w:cs="Times New Roman"/>
                <w:b w:val="0"/>
                <w:bCs w:val="0"/>
                <w:color w:val="auto"/>
                <w:sz w:val="20"/>
                <w:szCs w:val="20"/>
                <w:lang w:eastAsia="pl-PL"/>
              </w:rPr>
              <w:t>Osoby bezrobotne zarejestrowane w urzędach pracy (w tys.)</w:t>
            </w:r>
          </w:p>
        </w:tc>
        <w:tc>
          <w:tcPr>
            <w:tcW w:w="3969" w:type="dxa"/>
            <w:vAlign w:val="center"/>
          </w:tcPr>
          <w:p w14:paraId="1BAA719E" w14:textId="77777777" w:rsidR="00446ABC" w:rsidRPr="00446ABC" w:rsidRDefault="00446ABC" w:rsidP="002F5802">
            <w:pPr>
              <w:spacing w:line="240" w:lineRule="auto"/>
              <w:jc w:val="left"/>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ogółem</w:t>
            </w:r>
          </w:p>
        </w:tc>
        <w:tc>
          <w:tcPr>
            <w:tcW w:w="1686" w:type="dxa"/>
          </w:tcPr>
          <w:p w14:paraId="74D5755D" w14:textId="77777777" w:rsidR="00446ABC" w:rsidRPr="00446ABC" w:rsidRDefault="00446ABC"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91,0</w:t>
            </w:r>
          </w:p>
        </w:tc>
      </w:tr>
      <w:tr w:rsidR="00446ABC" w:rsidRPr="00965E9A" w14:paraId="206DF06E" w14:textId="77777777" w:rsidTr="002F5802">
        <w:trPr>
          <w:trHeight w:val="407"/>
        </w:trPr>
        <w:tc>
          <w:tcPr>
            <w:cnfStyle w:val="001000000000" w:firstRow="0" w:lastRow="0" w:firstColumn="1" w:lastColumn="0" w:oddVBand="0" w:evenVBand="0" w:oddHBand="0" w:evenHBand="0" w:firstRowFirstColumn="0" w:firstRowLastColumn="0" w:lastRowFirstColumn="0" w:lastRowLastColumn="0"/>
            <w:tcW w:w="3412" w:type="dxa"/>
            <w:vMerge/>
          </w:tcPr>
          <w:p w14:paraId="11278EF8" w14:textId="77777777" w:rsidR="00446ABC" w:rsidRPr="00446ABC" w:rsidRDefault="00446ABC" w:rsidP="00044103">
            <w:pPr>
              <w:spacing w:line="240" w:lineRule="auto"/>
              <w:rPr>
                <w:rFonts w:eastAsia="Times New Roman" w:cs="Times New Roman"/>
                <w:color w:val="auto"/>
                <w:sz w:val="20"/>
                <w:szCs w:val="20"/>
                <w:lang w:eastAsia="pl-PL"/>
              </w:rPr>
            </w:pPr>
          </w:p>
        </w:tc>
        <w:tc>
          <w:tcPr>
            <w:tcW w:w="3969" w:type="dxa"/>
            <w:vAlign w:val="center"/>
          </w:tcPr>
          <w:p w14:paraId="35A474FE" w14:textId="77777777" w:rsidR="00446ABC" w:rsidRPr="00446ABC" w:rsidRDefault="00446ABC" w:rsidP="002F5802">
            <w:pPr>
              <w:spacing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w tym w wieku 60+</w:t>
            </w:r>
          </w:p>
        </w:tc>
        <w:tc>
          <w:tcPr>
            <w:tcW w:w="1686" w:type="dxa"/>
          </w:tcPr>
          <w:p w14:paraId="01291742" w14:textId="77777777" w:rsidR="00446ABC" w:rsidRPr="00446ABC" w:rsidRDefault="00446ABC"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5,7</w:t>
            </w:r>
          </w:p>
        </w:tc>
      </w:tr>
      <w:tr w:rsidR="00446ABC" w:rsidRPr="00965E9A" w14:paraId="4C065E8A" w14:textId="77777777" w:rsidTr="00044103">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3412" w:type="dxa"/>
            <w:vMerge w:val="restart"/>
          </w:tcPr>
          <w:p w14:paraId="34AD814E" w14:textId="77777777" w:rsidR="00446ABC" w:rsidRPr="00446ABC" w:rsidRDefault="00446ABC" w:rsidP="00044103">
            <w:pPr>
              <w:spacing w:line="240" w:lineRule="auto"/>
              <w:rPr>
                <w:rFonts w:eastAsia="Times New Roman" w:cs="Times New Roman"/>
                <w:color w:val="auto"/>
                <w:sz w:val="20"/>
                <w:szCs w:val="20"/>
                <w:lang w:eastAsia="pl-PL"/>
              </w:rPr>
            </w:pPr>
            <w:r w:rsidRPr="00446ABC">
              <w:rPr>
                <w:rFonts w:eastAsia="Times New Roman" w:cs="Times New Roman"/>
                <w:b w:val="0"/>
                <w:bCs w:val="0"/>
                <w:color w:val="auto"/>
                <w:sz w:val="20"/>
                <w:szCs w:val="20"/>
                <w:lang w:eastAsia="pl-PL"/>
              </w:rPr>
              <w:lastRenderedPageBreak/>
              <w:t xml:space="preserve">Osoby pobierające renty </w:t>
            </w:r>
            <w:r w:rsidRPr="00446ABC">
              <w:rPr>
                <w:rFonts w:eastAsia="Times New Roman" w:cs="Times New Roman"/>
                <w:b w:val="0"/>
                <w:bCs w:val="0"/>
                <w:color w:val="auto"/>
                <w:sz w:val="20"/>
                <w:szCs w:val="20"/>
                <w:lang w:eastAsia="pl-PL"/>
              </w:rPr>
              <w:br/>
              <w:t xml:space="preserve">i emerytury </w:t>
            </w:r>
          </w:p>
        </w:tc>
        <w:tc>
          <w:tcPr>
            <w:tcW w:w="5655" w:type="dxa"/>
            <w:gridSpan w:val="2"/>
          </w:tcPr>
          <w:p w14:paraId="7F466E67" w14:textId="77777777" w:rsidR="00446ABC" w:rsidRPr="00446ABC" w:rsidRDefault="00446ABC" w:rsidP="00044103">
            <w:pPr>
              <w:tabs>
                <w:tab w:val="left" w:pos="1725"/>
                <w:tab w:val="center" w:pos="2363"/>
              </w:tabs>
              <w:spacing w:line="240" w:lineRule="auto"/>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446ABC">
              <w:rPr>
                <w:rFonts w:cs="Times New Roman"/>
                <w:b/>
                <w:color w:val="auto"/>
                <w:sz w:val="20"/>
                <w:szCs w:val="20"/>
              </w:rPr>
              <w:t>ZUS</w:t>
            </w:r>
          </w:p>
        </w:tc>
      </w:tr>
      <w:tr w:rsidR="00446ABC" w:rsidRPr="00965E9A" w14:paraId="02633685" w14:textId="77777777" w:rsidTr="00044103">
        <w:trPr>
          <w:trHeight w:val="189"/>
        </w:trPr>
        <w:tc>
          <w:tcPr>
            <w:cnfStyle w:val="001000000000" w:firstRow="0" w:lastRow="0" w:firstColumn="1" w:lastColumn="0" w:oddVBand="0" w:evenVBand="0" w:oddHBand="0" w:evenHBand="0" w:firstRowFirstColumn="0" w:firstRowLastColumn="0" w:lastRowFirstColumn="0" w:lastRowLastColumn="0"/>
            <w:tcW w:w="3412" w:type="dxa"/>
            <w:vMerge/>
          </w:tcPr>
          <w:p w14:paraId="2B65B2C5" w14:textId="77777777" w:rsidR="00446ABC" w:rsidRPr="00446ABC" w:rsidRDefault="00446ABC" w:rsidP="00044103">
            <w:pPr>
              <w:spacing w:line="240" w:lineRule="auto"/>
              <w:rPr>
                <w:rFonts w:eastAsia="Times New Roman" w:cs="Times New Roman"/>
                <w:color w:val="auto"/>
                <w:sz w:val="20"/>
                <w:szCs w:val="20"/>
                <w:lang w:eastAsia="pl-PL"/>
              </w:rPr>
            </w:pPr>
          </w:p>
        </w:tc>
        <w:tc>
          <w:tcPr>
            <w:tcW w:w="3969" w:type="dxa"/>
          </w:tcPr>
          <w:p w14:paraId="7787F2D9" w14:textId="77777777" w:rsidR="00446ABC" w:rsidRPr="00446ABC" w:rsidRDefault="00446ABC" w:rsidP="00044103">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446ABC">
              <w:rPr>
                <w:rFonts w:cs="Times New Roman"/>
                <w:b/>
                <w:color w:val="auto"/>
                <w:sz w:val="20"/>
                <w:szCs w:val="20"/>
              </w:rPr>
              <w:t>Rodzaj świadczenia</w:t>
            </w:r>
          </w:p>
        </w:tc>
        <w:tc>
          <w:tcPr>
            <w:tcW w:w="1686" w:type="dxa"/>
          </w:tcPr>
          <w:p w14:paraId="357C7362" w14:textId="77777777" w:rsidR="00446ABC" w:rsidRPr="00446ABC" w:rsidRDefault="00446ABC" w:rsidP="00044103">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446ABC">
              <w:rPr>
                <w:rFonts w:cs="Times New Roman"/>
                <w:b/>
                <w:color w:val="auto"/>
                <w:sz w:val="20"/>
                <w:szCs w:val="20"/>
              </w:rPr>
              <w:t>Przeciętna miesięczna liczba emerytów i rencistów (w tys.)</w:t>
            </w:r>
          </w:p>
        </w:tc>
      </w:tr>
      <w:tr w:rsidR="00446ABC" w:rsidRPr="00965E9A" w14:paraId="7575D493" w14:textId="77777777" w:rsidTr="0004410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3412" w:type="dxa"/>
            <w:vMerge/>
          </w:tcPr>
          <w:p w14:paraId="332F3D78" w14:textId="77777777" w:rsidR="00446ABC" w:rsidRPr="00446ABC" w:rsidRDefault="00446ABC" w:rsidP="00044103">
            <w:pPr>
              <w:spacing w:line="240" w:lineRule="auto"/>
              <w:rPr>
                <w:rFonts w:eastAsia="Times New Roman" w:cs="Times New Roman"/>
                <w:color w:val="auto"/>
                <w:sz w:val="20"/>
                <w:szCs w:val="20"/>
                <w:lang w:eastAsia="pl-PL"/>
              </w:rPr>
            </w:pPr>
          </w:p>
        </w:tc>
        <w:tc>
          <w:tcPr>
            <w:tcW w:w="3969" w:type="dxa"/>
          </w:tcPr>
          <w:p w14:paraId="3656046E" w14:textId="77777777" w:rsidR="00446ABC" w:rsidRPr="00446ABC" w:rsidRDefault="00446ABC"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Emerytury</w:t>
            </w:r>
          </w:p>
        </w:tc>
        <w:tc>
          <w:tcPr>
            <w:tcW w:w="1686" w:type="dxa"/>
          </w:tcPr>
          <w:p w14:paraId="1CF4C6A8" w14:textId="77777777" w:rsidR="00446ABC" w:rsidRPr="00446ABC" w:rsidRDefault="00446ABC"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840,4</w:t>
            </w:r>
          </w:p>
        </w:tc>
      </w:tr>
      <w:tr w:rsidR="00446ABC" w:rsidRPr="00965E9A" w14:paraId="3402C39C" w14:textId="77777777" w:rsidTr="00044103">
        <w:trPr>
          <w:trHeight w:val="142"/>
        </w:trPr>
        <w:tc>
          <w:tcPr>
            <w:cnfStyle w:val="001000000000" w:firstRow="0" w:lastRow="0" w:firstColumn="1" w:lastColumn="0" w:oddVBand="0" w:evenVBand="0" w:oddHBand="0" w:evenHBand="0" w:firstRowFirstColumn="0" w:firstRowLastColumn="0" w:lastRowFirstColumn="0" w:lastRowLastColumn="0"/>
            <w:tcW w:w="3412" w:type="dxa"/>
            <w:vMerge/>
          </w:tcPr>
          <w:p w14:paraId="4468F86C" w14:textId="77777777" w:rsidR="00446ABC" w:rsidRPr="00446ABC" w:rsidRDefault="00446ABC" w:rsidP="00044103">
            <w:pPr>
              <w:spacing w:line="240" w:lineRule="auto"/>
              <w:rPr>
                <w:rFonts w:eastAsia="Times New Roman" w:cs="Times New Roman"/>
                <w:color w:val="auto"/>
                <w:sz w:val="20"/>
                <w:szCs w:val="20"/>
                <w:lang w:eastAsia="pl-PL"/>
              </w:rPr>
            </w:pPr>
          </w:p>
        </w:tc>
        <w:tc>
          <w:tcPr>
            <w:tcW w:w="3969" w:type="dxa"/>
          </w:tcPr>
          <w:p w14:paraId="0A0F2C2B" w14:textId="77777777" w:rsidR="00446ABC" w:rsidRPr="00446ABC" w:rsidRDefault="00446ABC"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Renty z tytułu niezdolności do pracy</w:t>
            </w:r>
          </w:p>
        </w:tc>
        <w:tc>
          <w:tcPr>
            <w:tcW w:w="1686" w:type="dxa"/>
          </w:tcPr>
          <w:p w14:paraId="031E1470" w14:textId="77777777" w:rsidR="00446ABC" w:rsidRPr="00446ABC" w:rsidRDefault="00446ABC"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98,8</w:t>
            </w:r>
          </w:p>
        </w:tc>
      </w:tr>
      <w:tr w:rsidR="00446ABC" w:rsidRPr="00965E9A" w14:paraId="2B7BC665" w14:textId="77777777" w:rsidTr="00044103">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412" w:type="dxa"/>
            <w:vMerge/>
          </w:tcPr>
          <w:p w14:paraId="691716FB" w14:textId="77777777" w:rsidR="00446ABC" w:rsidRPr="00446ABC" w:rsidRDefault="00446ABC" w:rsidP="00044103">
            <w:pPr>
              <w:spacing w:line="240" w:lineRule="auto"/>
              <w:rPr>
                <w:rFonts w:eastAsia="Times New Roman" w:cs="Times New Roman"/>
                <w:color w:val="auto"/>
                <w:sz w:val="20"/>
                <w:szCs w:val="20"/>
                <w:lang w:eastAsia="pl-PL"/>
              </w:rPr>
            </w:pPr>
          </w:p>
        </w:tc>
        <w:tc>
          <w:tcPr>
            <w:tcW w:w="3969" w:type="dxa"/>
          </w:tcPr>
          <w:p w14:paraId="35D98DD3" w14:textId="77777777" w:rsidR="00446ABC" w:rsidRPr="00446ABC" w:rsidRDefault="00446ABC"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Renty rodzinne</w:t>
            </w:r>
          </w:p>
        </w:tc>
        <w:tc>
          <w:tcPr>
            <w:tcW w:w="1686" w:type="dxa"/>
          </w:tcPr>
          <w:p w14:paraId="7622AE0B" w14:textId="77777777" w:rsidR="00446ABC" w:rsidRPr="00446ABC" w:rsidRDefault="00446ABC"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215,7</w:t>
            </w:r>
          </w:p>
        </w:tc>
      </w:tr>
      <w:tr w:rsidR="00446ABC" w:rsidRPr="00965E9A" w14:paraId="15EA3598" w14:textId="77777777" w:rsidTr="00044103">
        <w:trPr>
          <w:trHeight w:val="284"/>
        </w:trPr>
        <w:tc>
          <w:tcPr>
            <w:cnfStyle w:val="001000000000" w:firstRow="0" w:lastRow="0" w:firstColumn="1" w:lastColumn="0" w:oddVBand="0" w:evenVBand="0" w:oddHBand="0" w:evenHBand="0" w:firstRowFirstColumn="0" w:firstRowLastColumn="0" w:lastRowFirstColumn="0" w:lastRowLastColumn="0"/>
            <w:tcW w:w="3412" w:type="dxa"/>
            <w:vMerge/>
          </w:tcPr>
          <w:p w14:paraId="4676E7D5" w14:textId="77777777" w:rsidR="00446ABC" w:rsidRPr="00446ABC" w:rsidRDefault="00446ABC" w:rsidP="00044103">
            <w:pPr>
              <w:spacing w:line="240" w:lineRule="auto"/>
              <w:rPr>
                <w:rFonts w:eastAsia="Times New Roman" w:cs="Times New Roman"/>
                <w:color w:val="auto"/>
                <w:sz w:val="20"/>
                <w:szCs w:val="20"/>
                <w:lang w:eastAsia="pl-PL"/>
              </w:rPr>
            </w:pPr>
          </w:p>
        </w:tc>
        <w:tc>
          <w:tcPr>
            <w:tcW w:w="5655" w:type="dxa"/>
            <w:gridSpan w:val="2"/>
          </w:tcPr>
          <w:p w14:paraId="5AA8B9BC" w14:textId="77777777" w:rsidR="00446ABC" w:rsidRPr="00446ABC" w:rsidRDefault="00446ABC" w:rsidP="00044103">
            <w:pPr>
              <w:tabs>
                <w:tab w:val="left" w:pos="1507"/>
                <w:tab w:val="center" w:pos="2363"/>
              </w:tabs>
              <w:spacing w:line="240" w:lineRule="auto"/>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446ABC">
              <w:rPr>
                <w:rFonts w:cs="Times New Roman"/>
                <w:b/>
                <w:color w:val="auto"/>
                <w:sz w:val="20"/>
                <w:szCs w:val="20"/>
              </w:rPr>
              <w:t>KRUS</w:t>
            </w:r>
          </w:p>
        </w:tc>
      </w:tr>
      <w:tr w:rsidR="00446ABC" w:rsidRPr="00965E9A" w14:paraId="15BB69F8" w14:textId="77777777" w:rsidTr="00044103">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412" w:type="dxa"/>
            <w:vMerge/>
          </w:tcPr>
          <w:p w14:paraId="5516C8F5" w14:textId="77777777" w:rsidR="00446ABC" w:rsidRPr="00446ABC" w:rsidRDefault="00446ABC" w:rsidP="00044103">
            <w:pPr>
              <w:spacing w:line="240" w:lineRule="auto"/>
              <w:rPr>
                <w:rFonts w:eastAsia="Times New Roman" w:cs="Times New Roman"/>
                <w:color w:val="auto"/>
                <w:sz w:val="20"/>
                <w:szCs w:val="20"/>
                <w:lang w:eastAsia="pl-PL"/>
              </w:rPr>
            </w:pPr>
          </w:p>
        </w:tc>
        <w:tc>
          <w:tcPr>
            <w:tcW w:w="3969" w:type="dxa"/>
          </w:tcPr>
          <w:p w14:paraId="66283671" w14:textId="77777777" w:rsidR="00446ABC" w:rsidRPr="00446ABC" w:rsidRDefault="00446ABC" w:rsidP="00044103">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446ABC">
              <w:rPr>
                <w:rFonts w:cs="Times New Roman"/>
                <w:b/>
                <w:color w:val="auto"/>
                <w:sz w:val="20"/>
                <w:szCs w:val="20"/>
              </w:rPr>
              <w:t>Rodzaj świadczenia</w:t>
            </w:r>
          </w:p>
        </w:tc>
        <w:tc>
          <w:tcPr>
            <w:tcW w:w="1686" w:type="dxa"/>
          </w:tcPr>
          <w:p w14:paraId="2FBD8C48" w14:textId="77777777" w:rsidR="00446ABC" w:rsidRPr="00446ABC" w:rsidRDefault="00446ABC" w:rsidP="00044103">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446ABC">
              <w:rPr>
                <w:rFonts w:cs="Times New Roman"/>
                <w:b/>
                <w:color w:val="auto"/>
                <w:sz w:val="20"/>
                <w:szCs w:val="20"/>
              </w:rPr>
              <w:t>Przeciętna miesięczna liczba emerytów i rencistów (w tys.)</w:t>
            </w:r>
          </w:p>
        </w:tc>
      </w:tr>
      <w:tr w:rsidR="00446ABC" w:rsidRPr="00965E9A" w14:paraId="19901066" w14:textId="77777777" w:rsidTr="00044103">
        <w:trPr>
          <w:trHeight w:val="79"/>
        </w:trPr>
        <w:tc>
          <w:tcPr>
            <w:cnfStyle w:val="001000000000" w:firstRow="0" w:lastRow="0" w:firstColumn="1" w:lastColumn="0" w:oddVBand="0" w:evenVBand="0" w:oddHBand="0" w:evenHBand="0" w:firstRowFirstColumn="0" w:firstRowLastColumn="0" w:lastRowFirstColumn="0" w:lastRowLastColumn="0"/>
            <w:tcW w:w="3412" w:type="dxa"/>
            <w:vMerge/>
          </w:tcPr>
          <w:p w14:paraId="51DD1154" w14:textId="77777777" w:rsidR="00446ABC" w:rsidRPr="00446ABC" w:rsidRDefault="00446ABC" w:rsidP="00044103">
            <w:pPr>
              <w:spacing w:line="240" w:lineRule="auto"/>
              <w:rPr>
                <w:rFonts w:eastAsia="Times New Roman" w:cs="Times New Roman"/>
                <w:color w:val="auto"/>
                <w:sz w:val="20"/>
                <w:szCs w:val="20"/>
                <w:lang w:eastAsia="pl-PL"/>
              </w:rPr>
            </w:pPr>
          </w:p>
        </w:tc>
        <w:tc>
          <w:tcPr>
            <w:tcW w:w="3969" w:type="dxa"/>
          </w:tcPr>
          <w:p w14:paraId="28EEB33C" w14:textId="77777777" w:rsidR="00446ABC" w:rsidRPr="00446ABC" w:rsidRDefault="00446ABC"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Emerytury</w:t>
            </w:r>
          </w:p>
        </w:tc>
        <w:tc>
          <w:tcPr>
            <w:tcW w:w="1686" w:type="dxa"/>
          </w:tcPr>
          <w:p w14:paraId="685ED7F7" w14:textId="77777777" w:rsidR="00446ABC" w:rsidRPr="00446ABC" w:rsidRDefault="00446ABC"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25,8</w:t>
            </w:r>
          </w:p>
        </w:tc>
      </w:tr>
      <w:tr w:rsidR="00446ABC" w:rsidRPr="00965E9A" w14:paraId="32EC8362" w14:textId="77777777" w:rsidTr="0004410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3412" w:type="dxa"/>
            <w:vMerge/>
          </w:tcPr>
          <w:p w14:paraId="46D1E196" w14:textId="77777777" w:rsidR="00446ABC" w:rsidRPr="00446ABC" w:rsidRDefault="00446ABC" w:rsidP="00044103">
            <w:pPr>
              <w:spacing w:line="240" w:lineRule="auto"/>
              <w:rPr>
                <w:rFonts w:eastAsia="Times New Roman" w:cs="Times New Roman"/>
                <w:color w:val="auto"/>
                <w:sz w:val="20"/>
                <w:szCs w:val="20"/>
                <w:lang w:eastAsia="pl-PL"/>
              </w:rPr>
            </w:pPr>
          </w:p>
        </w:tc>
        <w:tc>
          <w:tcPr>
            <w:tcW w:w="3969" w:type="dxa"/>
          </w:tcPr>
          <w:p w14:paraId="7CC80ABC" w14:textId="77777777" w:rsidR="00446ABC" w:rsidRPr="00446ABC" w:rsidRDefault="00446ABC"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Renty z tytułu niezdolności do pracy</w:t>
            </w:r>
          </w:p>
        </w:tc>
        <w:tc>
          <w:tcPr>
            <w:tcW w:w="1686" w:type="dxa"/>
          </w:tcPr>
          <w:p w14:paraId="2150C6EF" w14:textId="77777777" w:rsidR="00446ABC" w:rsidRPr="00446ABC" w:rsidRDefault="00446ABC" w:rsidP="00044103">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46ABC">
              <w:rPr>
                <w:rFonts w:cs="Times New Roman"/>
                <w:color w:val="auto"/>
                <w:sz w:val="20"/>
                <w:szCs w:val="20"/>
              </w:rPr>
              <w:t>4,9</w:t>
            </w:r>
          </w:p>
        </w:tc>
      </w:tr>
      <w:tr w:rsidR="00446ABC" w:rsidRPr="00965E9A" w14:paraId="64BA6AB1" w14:textId="77777777" w:rsidTr="00044103">
        <w:trPr>
          <w:trHeight w:val="79"/>
        </w:trPr>
        <w:tc>
          <w:tcPr>
            <w:cnfStyle w:val="001000000000" w:firstRow="0" w:lastRow="0" w:firstColumn="1" w:lastColumn="0" w:oddVBand="0" w:evenVBand="0" w:oddHBand="0" w:evenHBand="0" w:firstRowFirstColumn="0" w:firstRowLastColumn="0" w:lastRowFirstColumn="0" w:lastRowLastColumn="0"/>
            <w:tcW w:w="3412" w:type="dxa"/>
            <w:vMerge/>
          </w:tcPr>
          <w:p w14:paraId="36792829" w14:textId="77777777" w:rsidR="00446ABC" w:rsidRPr="00446ABC" w:rsidRDefault="00446ABC" w:rsidP="00044103">
            <w:pPr>
              <w:spacing w:line="240" w:lineRule="auto"/>
              <w:rPr>
                <w:rFonts w:eastAsia="Times New Roman" w:cs="Times New Roman"/>
                <w:color w:val="auto"/>
                <w:sz w:val="20"/>
                <w:szCs w:val="20"/>
                <w:lang w:eastAsia="pl-PL"/>
              </w:rPr>
            </w:pPr>
          </w:p>
        </w:tc>
        <w:tc>
          <w:tcPr>
            <w:tcW w:w="3969" w:type="dxa"/>
          </w:tcPr>
          <w:p w14:paraId="61067366" w14:textId="77777777" w:rsidR="00446ABC" w:rsidRPr="00446ABC" w:rsidRDefault="00446ABC"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Renty rodzinne</w:t>
            </w:r>
          </w:p>
        </w:tc>
        <w:tc>
          <w:tcPr>
            <w:tcW w:w="1686" w:type="dxa"/>
          </w:tcPr>
          <w:p w14:paraId="4F860D56" w14:textId="77777777" w:rsidR="00446ABC" w:rsidRPr="00446ABC" w:rsidRDefault="00446ABC" w:rsidP="00044103">
            <w:pPr>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46ABC">
              <w:rPr>
                <w:rFonts w:cs="Times New Roman"/>
                <w:color w:val="auto"/>
                <w:sz w:val="20"/>
                <w:szCs w:val="20"/>
              </w:rPr>
              <w:t>1,0</w:t>
            </w:r>
          </w:p>
        </w:tc>
      </w:tr>
    </w:tbl>
    <w:p w14:paraId="5E9BE8F5" w14:textId="77777777" w:rsidR="00446ABC" w:rsidRPr="00446ABC" w:rsidRDefault="00446ABC" w:rsidP="00446ABC">
      <w:pPr>
        <w:tabs>
          <w:tab w:val="left" w:pos="5400"/>
        </w:tabs>
        <w:rPr>
          <w:rFonts w:eastAsia="Times New Roman" w:cs="Times New Roman"/>
          <w:b/>
          <w:szCs w:val="24"/>
          <w:lang w:eastAsia="pl-PL"/>
        </w:rPr>
      </w:pPr>
      <w:r w:rsidRPr="00446ABC">
        <w:rPr>
          <w:rFonts w:eastAsia="Times New Roman" w:cs="Times New Roman"/>
          <w:b/>
          <w:szCs w:val="24"/>
          <w:lang w:eastAsia="pl-PL"/>
        </w:rPr>
        <w:t xml:space="preserve">Źródło: GUS. </w:t>
      </w:r>
    </w:p>
    <w:p w14:paraId="1E44E4FC" w14:textId="77777777" w:rsidR="00446ABC" w:rsidRDefault="00446ABC" w:rsidP="000D7CDE">
      <w:pPr>
        <w:rPr>
          <w:rFonts w:cs="Times New Roman"/>
          <w:b/>
          <w:color w:val="FF0000"/>
          <w:szCs w:val="24"/>
          <w:lang w:eastAsia="ar-SA"/>
        </w:rPr>
      </w:pPr>
    </w:p>
    <w:p w14:paraId="54115330" w14:textId="77777777" w:rsidR="00446ABC" w:rsidRDefault="00446ABC" w:rsidP="000D7CDE">
      <w:pPr>
        <w:rPr>
          <w:rFonts w:cs="Times New Roman"/>
          <w:b/>
          <w:color w:val="FF0000"/>
          <w:szCs w:val="24"/>
          <w:lang w:eastAsia="ar-SA"/>
        </w:rPr>
      </w:pPr>
    </w:p>
    <w:p w14:paraId="0ED53E4D" w14:textId="2A60389B" w:rsidR="00876AC0" w:rsidRDefault="00876AC0" w:rsidP="00876AC0">
      <w:pPr>
        <w:pStyle w:val="Nagwek3"/>
      </w:pPr>
      <w:bookmarkStart w:id="280" w:name="_Toc77514020"/>
      <w:bookmarkStart w:id="281" w:name="_Toc80523179"/>
      <w:r w:rsidRPr="00876AC0">
        <w:t>Sytuacja osób niepełnosprawnych i ich opiekunów</w:t>
      </w:r>
      <w:bookmarkEnd w:id="280"/>
      <w:bookmarkEnd w:id="281"/>
    </w:p>
    <w:p w14:paraId="486859A4" w14:textId="77777777" w:rsidR="000B1B06" w:rsidRPr="000B1B06" w:rsidRDefault="000B1B06" w:rsidP="000B1B06"/>
    <w:p w14:paraId="25C3D44F" w14:textId="46281638" w:rsidR="00876AC0" w:rsidRDefault="00020758" w:rsidP="00876AC0">
      <w:pPr>
        <w:rPr>
          <w:rFonts w:cs="Times New Roman"/>
          <w:szCs w:val="24"/>
        </w:rPr>
      </w:pPr>
      <w:r w:rsidRPr="00020758">
        <w:rPr>
          <w:rFonts w:cs="Times New Roman"/>
          <w:szCs w:val="24"/>
        </w:rPr>
        <w:t>Śląski Urząd Wojewódzki</w:t>
      </w:r>
      <w:r w:rsidR="00876AC0" w:rsidRPr="00D96C8C">
        <w:rPr>
          <w:rFonts w:cs="Times New Roman"/>
          <w:szCs w:val="24"/>
        </w:rPr>
        <w:t xml:space="preserve"> </w:t>
      </w:r>
      <w:r>
        <w:rPr>
          <w:rFonts w:cs="Times New Roman"/>
          <w:szCs w:val="24"/>
        </w:rPr>
        <w:t xml:space="preserve">nie dysponuje szczegółowymi danymi w przedmiotowym zakresie. Stosowne informacje będą dostępne po </w:t>
      </w:r>
      <w:r w:rsidRPr="00020758">
        <w:rPr>
          <w:rFonts w:cs="Times New Roman"/>
          <w:szCs w:val="24"/>
        </w:rPr>
        <w:t>Narodowym Spisie Powszechnym Ludności i Mieszkań</w:t>
      </w:r>
      <w:r>
        <w:rPr>
          <w:rFonts w:cs="Times New Roman"/>
          <w:szCs w:val="24"/>
        </w:rPr>
        <w:t>, który odbywa się</w:t>
      </w:r>
      <w:r w:rsidRPr="00020758">
        <w:rPr>
          <w:rFonts w:cs="Times New Roman"/>
          <w:szCs w:val="24"/>
        </w:rPr>
        <w:t xml:space="preserve"> w 2021 r.</w:t>
      </w:r>
    </w:p>
    <w:p w14:paraId="4CA8C0AA" w14:textId="77777777" w:rsidR="00020758" w:rsidRDefault="00020758" w:rsidP="00876AC0">
      <w:pPr>
        <w:rPr>
          <w:rFonts w:cs="Times New Roman"/>
          <w:szCs w:val="24"/>
        </w:rPr>
      </w:pPr>
    </w:p>
    <w:p w14:paraId="0AE948B3" w14:textId="1F1873F2" w:rsidR="00020758" w:rsidRDefault="00020758" w:rsidP="00876AC0">
      <w:pPr>
        <w:rPr>
          <w:rFonts w:cs="Times New Roman"/>
          <w:szCs w:val="24"/>
        </w:rPr>
      </w:pPr>
      <w:r w:rsidRPr="00020758">
        <w:rPr>
          <w:rFonts w:cs="Times New Roman"/>
          <w:szCs w:val="24"/>
        </w:rPr>
        <w:t>Z ostatniego badania Stowarzyszenia Wspierania Organizacji Pozarządowych MOST i</w:t>
      </w:r>
      <w:r>
        <w:rPr>
          <w:rFonts w:cs="Times New Roman"/>
          <w:szCs w:val="24"/>
        </w:rPr>
        <w:t> </w:t>
      </w:r>
      <w:r w:rsidRPr="00020758">
        <w:rPr>
          <w:rFonts w:cs="Times New Roman"/>
          <w:szCs w:val="24"/>
        </w:rPr>
        <w:t>Stowarzyszenia Aktywności Obywatelskiej Bona Fides</w:t>
      </w:r>
      <w:r>
        <w:rPr>
          <w:rFonts w:cs="Times New Roman"/>
          <w:szCs w:val="24"/>
        </w:rPr>
        <w:t xml:space="preserve"> </w:t>
      </w:r>
      <w:r w:rsidRPr="00020758">
        <w:rPr>
          <w:rFonts w:cs="Times New Roman"/>
          <w:szCs w:val="24"/>
        </w:rPr>
        <w:t>wynika, że</w:t>
      </w:r>
      <w:r>
        <w:t xml:space="preserve"> </w:t>
      </w:r>
      <w:r w:rsidRPr="00020758">
        <w:rPr>
          <w:rFonts w:cs="Times New Roman"/>
          <w:szCs w:val="24"/>
        </w:rPr>
        <w:t>wymogi wynikające z</w:t>
      </w:r>
      <w:r>
        <w:rPr>
          <w:rFonts w:cs="Times New Roman"/>
          <w:szCs w:val="24"/>
        </w:rPr>
        <w:t> </w:t>
      </w:r>
      <w:r w:rsidRPr="00020758">
        <w:rPr>
          <w:rFonts w:cs="Times New Roman"/>
          <w:szCs w:val="24"/>
        </w:rPr>
        <w:t>Konwencji ONZ o prawach osób niepełnosprawnych w województwie śląskim są spełnione w</w:t>
      </w:r>
      <w:r>
        <w:rPr>
          <w:rFonts w:cs="Times New Roman"/>
          <w:szCs w:val="24"/>
        </w:rPr>
        <w:t> </w:t>
      </w:r>
      <w:r w:rsidRPr="00020758">
        <w:rPr>
          <w:rFonts w:cs="Times New Roman"/>
          <w:szCs w:val="24"/>
        </w:rPr>
        <w:t>ok. 56%, a częściowo spełnione w 24%</w:t>
      </w:r>
      <w:r>
        <w:rPr>
          <w:rStyle w:val="Odwoanieprzypisudolnego"/>
          <w:rFonts w:cs="Times New Roman"/>
          <w:szCs w:val="24"/>
        </w:rPr>
        <w:footnoteReference w:id="50"/>
      </w:r>
      <w:r w:rsidRPr="00020758">
        <w:rPr>
          <w:rFonts w:cs="Times New Roman"/>
          <w:szCs w:val="24"/>
        </w:rPr>
        <w:t>.</w:t>
      </w:r>
    </w:p>
    <w:p w14:paraId="2740F8AB" w14:textId="64B4A759" w:rsidR="00E729E7" w:rsidRDefault="00E729E7" w:rsidP="000D7CDE">
      <w:pPr>
        <w:rPr>
          <w:rFonts w:cs="Times New Roman"/>
          <w:b/>
          <w:bCs/>
          <w:color w:val="FF0000"/>
          <w:szCs w:val="24"/>
        </w:rPr>
      </w:pPr>
    </w:p>
    <w:p w14:paraId="442B33E2" w14:textId="6643BF6B" w:rsidR="00876AC0" w:rsidRDefault="00876AC0" w:rsidP="00876AC0">
      <w:pPr>
        <w:pStyle w:val="Nagwek3"/>
      </w:pPr>
      <w:bookmarkStart w:id="282" w:name="_Toc77514021"/>
      <w:bookmarkStart w:id="283" w:name="_Toc80523180"/>
      <w:r w:rsidRPr="00876AC0">
        <w:t>Działania i inicjatywy realizowane na rzecz osób starszych w województwie śląskim</w:t>
      </w:r>
      <w:bookmarkEnd w:id="282"/>
      <w:bookmarkEnd w:id="283"/>
    </w:p>
    <w:p w14:paraId="501359B7" w14:textId="77777777" w:rsidR="000B1B06" w:rsidRPr="000B1B06" w:rsidRDefault="000B1B06" w:rsidP="000B1B06"/>
    <w:p w14:paraId="0E6006DF" w14:textId="1AF02C31" w:rsidR="00094AB9" w:rsidRPr="00094AB9" w:rsidRDefault="00094AB9" w:rsidP="00094AB9">
      <w:pPr>
        <w:rPr>
          <w:rFonts w:cs="Times New Roman"/>
          <w:szCs w:val="24"/>
        </w:rPr>
      </w:pPr>
      <w:r w:rsidRPr="00094AB9">
        <w:rPr>
          <w:rFonts w:cs="Times New Roman"/>
          <w:szCs w:val="24"/>
        </w:rPr>
        <w:t xml:space="preserve">Strategia Polityki Społecznej Województwa Śląskiego na lata 2020-2030”, przyjęta Uchwałą </w:t>
      </w:r>
    </w:p>
    <w:p w14:paraId="7BFEBF61" w14:textId="0D77AF54" w:rsidR="00094AB9" w:rsidRPr="00094AB9" w:rsidRDefault="00094AB9" w:rsidP="00094AB9">
      <w:pPr>
        <w:rPr>
          <w:rFonts w:cs="Times New Roman"/>
          <w:szCs w:val="24"/>
        </w:rPr>
      </w:pPr>
      <w:r w:rsidRPr="00094AB9">
        <w:rPr>
          <w:rFonts w:cs="Times New Roman"/>
          <w:szCs w:val="24"/>
        </w:rPr>
        <w:t>nr VI/25/1/2020 Sejmiku Województwa Śląskiego z dnia 16 listopada 2020 r. W powyższym dokumencie zawarto cel strategiczny poświęcony problematyce osób starszych: Rozwój warunków sprzyjających aktywnemu i pełnemu uczestnictwu osób starszych w życiu społecznym. Dostosowanie systemu wsparcia do potrzeb starzejącego się społeczeństwa wraz z następującymi kierunkami działań i działaniami:</w:t>
      </w:r>
    </w:p>
    <w:p w14:paraId="5D41867C" w14:textId="77777777" w:rsidR="002F5802" w:rsidRDefault="00094AB9" w:rsidP="00FE70E3">
      <w:pPr>
        <w:pStyle w:val="Akapitzlist"/>
        <w:numPr>
          <w:ilvl w:val="0"/>
          <w:numId w:val="197"/>
        </w:numPr>
        <w:rPr>
          <w:rFonts w:cs="Times New Roman"/>
          <w:szCs w:val="24"/>
        </w:rPr>
      </w:pPr>
      <w:r w:rsidRPr="002F5802">
        <w:rPr>
          <w:rFonts w:cs="Times New Roman"/>
          <w:szCs w:val="24"/>
        </w:rPr>
        <w:t xml:space="preserve">Kreowanie polityki senioralnej celem zaspokojenia potrzeb osób starszych i umożliwienie </w:t>
      </w:r>
      <w:r w:rsidR="002F5802">
        <w:rPr>
          <w:rFonts w:cs="Times New Roman"/>
          <w:szCs w:val="24"/>
        </w:rPr>
        <w:t xml:space="preserve"> </w:t>
      </w:r>
      <w:r w:rsidRPr="002F5802">
        <w:rPr>
          <w:rFonts w:cs="Times New Roman"/>
          <w:szCs w:val="24"/>
        </w:rPr>
        <w:t>im wykorzystania ich zasobów do rozwoju społeczności lokalnych: Rozwój narzędzi lokalnej polityki senioralnej (np. programy, strategie), mającej na celu wszechstronne wsparcie</w:t>
      </w:r>
      <w:r w:rsidR="002F5802" w:rsidRPr="002F5802">
        <w:rPr>
          <w:rFonts w:cs="Times New Roman"/>
          <w:szCs w:val="24"/>
        </w:rPr>
        <w:t xml:space="preserve"> </w:t>
      </w:r>
      <w:r w:rsidRPr="002F5802">
        <w:rPr>
          <w:rFonts w:cs="Times New Roman"/>
          <w:szCs w:val="24"/>
        </w:rPr>
        <w:t>ukierunkowane</w:t>
      </w:r>
      <w:r w:rsidR="002F5802" w:rsidRPr="002F5802">
        <w:rPr>
          <w:rFonts w:cs="Times New Roman"/>
          <w:szCs w:val="24"/>
        </w:rPr>
        <w:t xml:space="preserve"> </w:t>
      </w:r>
      <w:r w:rsidRPr="002F5802">
        <w:rPr>
          <w:rFonts w:cs="Times New Roman"/>
          <w:szCs w:val="24"/>
        </w:rPr>
        <w:t>na zaspokojenie potrzeb zawodowych, społecznych, zdrowotnych i edukacyjnych osób starszych; Włączenie seniorów w opiniowanie i konsultowanie rozwiązań</w:t>
      </w:r>
      <w:r w:rsidR="002F5802" w:rsidRPr="002F5802">
        <w:rPr>
          <w:rFonts w:cs="Times New Roman"/>
          <w:szCs w:val="24"/>
        </w:rPr>
        <w:t xml:space="preserve"> </w:t>
      </w:r>
      <w:r w:rsidRPr="002F5802">
        <w:rPr>
          <w:rFonts w:cs="Times New Roman"/>
          <w:szCs w:val="24"/>
        </w:rPr>
        <w:t xml:space="preserve">w zakresie regionalnej polityki senioralne; Wspieranie funkcjonowania </w:t>
      </w:r>
      <w:r w:rsidRPr="002F5802">
        <w:rPr>
          <w:rFonts w:cs="Times New Roman"/>
          <w:szCs w:val="24"/>
        </w:rPr>
        <w:lastRenderedPageBreak/>
        <w:t>podmiotów reprezentujących środowiska senioralne; Prowadzenie badań / analiz dotyczących sytuacji osób starszych w województwie śląskim.</w:t>
      </w:r>
    </w:p>
    <w:p w14:paraId="6F723104" w14:textId="77777777" w:rsidR="002F5802" w:rsidRDefault="00094AB9" w:rsidP="00FE70E3">
      <w:pPr>
        <w:pStyle w:val="Akapitzlist"/>
        <w:numPr>
          <w:ilvl w:val="0"/>
          <w:numId w:val="197"/>
        </w:numPr>
        <w:rPr>
          <w:rFonts w:cs="Times New Roman"/>
          <w:szCs w:val="24"/>
        </w:rPr>
      </w:pPr>
      <w:r w:rsidRPr="002F5802">
        <w:rPr>
          <w:rFonts w:cs="Times New Roman"/>
          <w:szCs w:val="24"/>
        </w:rPr>
        <w:t xml:space="preserve">Rozwijanie opieki środowiskowej w społecznościach lokalnych ukierunkowanej na wsparcie niesamodzielnych seniorów, tworzenie sieci wsparcia opartych na zasobach indywidualnych (rodzina, otoczenie) i zasobach instytucjonalnych: Podnoszenie jakości i dostępności usług, w tym opiekuńczo-pielęgnacyjnych, dostosowanych do potrzeb seniorów, świadczonych w miejscu zamieszkania; opracowywanie i wdrażanie modelowych rozwiązań z zakresu koordynacji systemów wsparcia osób niesamodzielnych (w tym z niepełnosprawnościami); opracowywanie i wspieranie programów wspomagania opiekunów rodzinnych i opiekunów nieformalnych. </w:t>
      </w:r>
    </w:p>
    <w:p w14:paraId="5BC11F87" w14:textId="77777777" w:rsidR="002F5802" w:rsidRDefault="00094AB9" w:rsidP="00FE70E3">
      <w:pPr>
        <w:pStyle w:val="Akapitzlist"/>
        <w:numPr>
          <w:ilvl w:val="0"/>
          <w:numId w:val="197"/>
        </w:numPr>
        <w:rPr>
          <w:rFonts w:cs="Times New Roman"/>
          <w:szCs w:val="24"/>
        </w:rPr>
      </w:pPr>
      <w:r w:rsidRPr="002F5802">
        <w:rPr>
          <w:rFonts w:cs="Times New Roman"/>
          <w:szCs w:val="24"/>
        </w:rPr>
        <w:t xml:space="preserve">Niwelowanie barier w dostępie seniorów do rynku dóbr i usług: Oferowanie dodatkowego wsparcia dla seniorów w ramach projektu „Śląskie dla Seniora – Śląska Karta Seniora”; Upowszechnienie wiedzy na temat założeń i korzyści wynikających z rozwoju srebrnej gospodarki; Edukowanie na temat bezpiecznego korzystania z rynku dóbr i usług przez osoby starsze; Tworzenie warunków sprzyjających aktywności zawodowej seniorów.  </w:t>
      </w:r>
    </w:p>
    <w:p w14:paraId="46A937D8" w14:textId="46BDCBF6" w:rsidR="00094AB9" w:rsidRPr="002F5802" w:rsidRDefault="00094AB9" w:rsidP="00FE70E3">
      <w:pPr>
        <w:pStyle w:val="Akapitzlist"/>
        <w:numPr>
          <w:ilvl w:val="0"/>
          <w:numId w:val="197"/>
        </w:numPr>
        <w:rPr>
          <w:rFonts w:cs="Times New Roman"/>
          <w:szCs w:val="24"/>
        </w:rPr>
      </w:pPr>
      <w:r w:rsidRPr="002F5802">
        <w:rPr>
          <w:rFonts w:cs="Times New Roman"/>
          <w:szCs w:val="24"/>
        </w:rPr>
        <w:t>Promowanie pozytywnego wizerunku osób starszych. Propagowanie idei i działań służących korzystaniu z potencjału seniorów oraz więzi międzypokoleniowych: Promowanie różnych form aktywności seniorów w społeczeństwie; Wymiana dobrych praktyk w zakresie budowania i wzmacniania relacji międzypokoleniowych; Realizacja programów grantowych wspierających inicjatywy środowisk senioralnych; Integracja i współdziałanie organizacji seniorskich.</w:t>
      </w:r>
    </w:p>
    <w:p w14:paraId="1D3771C8" w14:textId="77777777" w:rsidR="002F5802" w:rsidRDefault="002F5802" w:rsidP="00094AB9">
      <w:pPr>
        <w:rPr>
          <w:rFonts w:cs="Times New Roman"/>
          <w:szCs w:val="24"/>
        </w:rPr>
      </w:pPr>
    </w:p>
    <w:p w14:paraId="3907AFD8" w14:textId="35CDFDA7" w:rsidR="00094AB9" w:rsidRPr="00094AB9" w:rsidRDefault="00094AB9" w:rsidP="00094AB9">
      <w:pPr>
        <w:rPr>
          <w:rFonts w:cs="Times New Roman"/>
          <w:szCs w:val="24"/>
        </w:rPr>
      </w:pPr>
      <w:r w:rsidRPr="00094AB9">
        <w:rPr>
          <w:rFonts w:cs="Times New Roman"/>
          <w:szCs w:val="24"/>
        </w:rPr>
        <w:t>„Śląskie. Wyzwania demograficzne – Koncepcja polityki przeciwdziałania negatywnym zmianom demograficznym, depopulacji i starzeniu się społeczeństwa w województwie śląskim”. Dokument przyjęty w dniu 19 września 2017 r</w:t>
      </w:r>
      <w:r w:rsidR="00A931B5">
        <w:rPr>
          <w:rFonts w:cs="Times New Roman"/>
          <w:szCs w:val="24"/>
        </w:rPr>
        <w:t>.</w:t>
      </w:r>
      <w:r w:rsidRPr="00094AB9">
        <w:rPr>
          <w:rFonts w:cs="Times New Roman"/>
          <w:szCs w:val="24"/>
        </w:rPr>
        <w:t xml:space="preserve"> uchwałą nr 1893/217/V/2017 Zarządu Województwa Śląskiego. Zawiera on m.in. charakterystykę województwa śląskiego w ujęciu demograficznym, obszary wsparcia i cele oraz listę projektów przewidzianych do realizacji w zakresie przyjętej polityki. </w:t>
      </w:r>
    </w:p>
    <w:p w14:paraId="365638C2" w14:textId="77777777" w:rsidR="00094AB9" w:rsidRPr="00094AB9" w:rsidRDefault="00094AB9" w:rsidP="00094AB9">
      <w:pPr>
        <w:rPr>
          <w:rFonts w:cs="Times New Roman"/>
          <w:szCs w:val="24"/>
        </w:rPr>
      </w:pPr>
    </w:p>
    <w:p w14:paraId="592D8DC8" w14:textId="49568448" w:rsidR="00094AB9" w:rsidRPr="00094AB9" w:rsidRDefault="00094AB9" w:rsidP="00094AB9">
      <w:pPr>
        <w:rPr>
          <w:rFonts w:cs="Times New Roman"/>
          <w:szCs w:val="24"/>
        </w:rPr>
      </w:pPr>
      <w:r w:rsidRPr="00094AB9">
        <w:rPr>
          <w:rFonts w:cs="Times New Roman"/>
          <w:szCs w:val="24"/>
        </w:rPr>
        <w:t>Kierunek Śląskie 3.0 Program Rozwoju Wewnętrznego Województwa Śląskiego do 2030, który</w:t>
      </w:r>
      <w:r w:rsidR="002F5802">
        <w:rPr>
          <w:rFonts w:cs="Times New Roman"/>
          <w:szCs w:val="24"/>
        </w:rPr>
        <w:t xml:space="preserve"> </w:t>
      </w:r>
      <w:r w:rsidRPr="00094AB9">
        <w:rPr>
          <w:rFonts w:cs="Times New Roman"/>
          <w:szCs w:val="24"/>
        </w:rPr>
        <w:t>został przyjęty Uchwałą Zarządu nr 108/168/V/2017 z dnia 23 stycznia 2017 r. W ramach tej</w:t>
      </w:r>
      <w:r w:rsidR="002F5802">
        <w:rPr>
          <w:rFonts w:cs="Times New Roman"/>
          <w:szCs w:val="24"/>
        </w:rPr>
        <w:t xml:space="preserve"> </w:t>
      </w:r>
      <w:r w:rsidRPr="00094AB9">
        <w:rPr>
          <w:rFonts w:cs="Times New Roman"/>
          <w:szCs w:val="24"/>
        </w:rPr>
        <w:t>inicjatywy strategicznej określono obszar tematyczny: Kompetencje zawodowe, aktywność</w:t>
      </w:r>
      <w:r w:rsidR="002F5802">
        <w:rPr>
          <w:rFonts w:cs="Times New Roman"/>
          <w:szCs w:val="24"/>
        </w:rPr>
        <w:t xml:space="preserve"> </w:t>
      </w:r>
      <w:r w:rsidRPr="00094AB9">
        <w:rPr>
          <w:rFonts w:cs="Times New Roman"/>
          <w:szCs w:val="24"/>
        </w:rPr>
        <w:t>obywatelska i innowacje społeczne, a w nim kierunek działania: Wsparcie i promocja zdrowego</w:t>
      </w:r>
      <w:r w:rsidR="002F5802">
        <w:rPr>
          <w:rFonts w:cs="Times New Roman"/>
          <w:szCs w:val="24"/>
        </w:rPr>
        <w:t xml:space="preserve"> </w:t>
      </w:r>
      <w:r w:rsidRPr="00094AB9">
        <w:rPr>
          <w:rFonts w:cs="Times New Roman"/>
          <w:szCs w:val="24"/>
        </w:rPr>
        <w:t>stylu życia. W ramach tego kierunku planuje się realizację działań na rzecz seniorów,</w:t>
      </w:r>
      <w:r w:rsidR="002F5802">
        <w:rPr>
          <w:rFonts w:cs="Times New Roman"/>
          <w:szCs w:val="24"/>
        </w:rPr>
        <w:t xml:space="preserve"> </w:t>
      </w:r>
      <w:r w:rsidRPr="00094AB9">
        <w:rPr>
          <w:rFonts w:cs="Times New Roman"/>
          <w:szCs w:val="24"/>
        </w:rPr>
        <w:t xml:space="preserve">zmierzających do podniesienia jakości życia osób starszych poprzez zwiększenie podaży i dostępności usług zdrowotnych i opiekuńczych oraz tworzenie i popularyzację działań umożliwiających aktywne starzenie się (np. w zakresie kultury </w:t>
      </w:r>
      <w:r w:rsidR="002F5802">
        <w:rPr>
          <w:rFonts w:cs="Times New Roman"/>
          <w:szCs w:val="24"/>
        </w:rPr>
        <w:t xml:space="preserve"> </w:t>
      </w:r>
      <w:r w:rsidRPr="00094AB9">
        <w:rPr>
          <w:rFonts w:cs="Times New Roman"/>
          <w:szCs w:val="24"/>
        </w:rPr>
        <w:t xml:space="preserve">czy edukacji). Ponadto wspierane będą inicjatywy nakierowane na rozwój usług czasu wolnego </w:t>
      </w:r>
      <w:r w:rsidR="002F5802">
        <w:rPr>
          <w:rFonts w:cs="Times New Roman"/>
          <w:szCs w:val="24"/>
        </w:rPr>
        <w:t xml:space="preserve"> </w:t>
      </w:r>
      <w:r w:rsidRPr="00094AB9">
        <w:rPr>
          <w:rFonts w:cs="Times New Roman"/>
          <w:szCs w:val="24"/>
        </w:rPr>
        <w:t xml:space="preserve">i infrastruktury rekreacyjnej. Powyższe działania będą wdrażane w postaci tzw. projektu inicjalnego, finansowanego w zasadniczej części ze środków budżetu Samorządu Województwa Śląskiego i realizowanego przez Samorząd Województwa / samorządy lokalne oraz organizacje pozarządowe. </w:t>
      </w:r>
    </w:p>
    <w:p w14:paraId="7254D31A" w14:textId="77777777" w:rsidR="00094AB9" w:rsidRPr="00094AB9" w:rsidRDefault="00094AB9" w:rsidP="00094AB9">
      <w:pPr>
        <w:rPr>
          <w:rFonts w:cs="Times New Roman"/>
          <w:szCs w:val="24"/>
        </w:rPr>
      </w:pPr>
    </w:p>
    <w:p w14:paraId="3B33786B" w14:textId="686DA000" w:rsidR="00094AB9" w:rsidRPr="00094AB9" w:rsidRDefault="002F5802" w:rsidP="00094AB9">
      <w:pPr>
        <w:rPr>
          <w:rFonts w:cs="Times New Roman"/>
          <w:szCs w:val="24"/>
        </w:rPr>
      </w:pPr>
      <w:r w:rsidRPr="00094AB9">
        <w:rPr>
          <w:rFonts w:cs="Times New Roman"/>
          <w:szCs w:val="24"/>
        </w:rPr>
        <w:lastRenderedPageBreak/>
        <w:t xml:space="preserve"> </w:t>
      </w:r>
      <w:r w:rsidR="00094AB9" w:rsidRPr="00094AB9">
        <w:rPr>
          <w:rFonts w:cs="Times New Roman"/>
          <w:szCs w:val="24"/>
        </w:rPr>
        <w:t xml:space="preserve">„Program przeciwdziałania ubóstwu i wykluczeniu społecznemu w województwie śląskim na lata 2018-2023” został opracowany jako program operacyjny do „Strategii Polityki Społecznej Województwa Śląskiego na lata 2006-2020. Aktualizacja 2015”. Program został przyjęty w dniu </w:t>
      </w:r>
    </w:p>
    <w:p w14:paraId="409F70F8" w14:textId="2982761D" w:rsidR="00094AB9" w:rsidRPr="00094AB9" w:rsidRDefault="00094AB9" w:rsidP="00094AB9">
      <w:pPr>
        <w:rPr>
          <w:rFonts w:cs="Times New Roman"/>
          <w:szCs w:val="24"/>
        </w:rPr>
      </w:pPr>
      <w:r w:rsidRPr="00094AB9">
        <w:rPr>
          <w:rFonts w:cs="Times New Roman"/>
          <w:szCs w:val="24"/>
        </w:rPr>
        <w:t>10 kwietnia 2018 r</w:t>
      </w:r>
      <w:r w:rsidR="00A931B5">
        <w:rPr>
          <w:rFonts w:cs="Times New Roman"/>
          <w:szCs w:val="24"/>
        </w:rPr>
        <w:t>.</w:t>
      </w:r>
      <w:r w:rsidRPr="00094AB9">
        <w:rPr>
          <w:rFonts w:cs="Times New Roman"/>
          <w:szCs w:val="24"/>
        </w:rPr>
        <w:t xml:space="preserve"> uchwałą nr 816/252/V/2018 Zarządu Województwa Śląskiego. </w:t>
      </w:r>
    </w:p>
    <w:p w14:paraId="70F95976" w14:textId="239E929B" w:rsidR="00094AB9" w:rsidRPr="00094AB9" w:rsidRDefault="00094AB9" w:rsidP="00094AB9">
      <w:pPr>
        <w:rPr>
          <w:rFonts w:cs="Times New Roman"/>
          <w:szCs w:val="24"/>
        </w:rPr>
      </w:pPr>
      <w:r w:rsidRPr="00094AB9">
        <w:rPr>
          <w:rFonts w:cs="Times New Roman"/>
          <w:szCs w:val="24"/>
        </w:rPr>
        <w:t xml:space="preserve">W powyższym dokumencie zawarto cel operacyjny poświęcony problematyce osób starszych: Tworzenie warunków do pełnego uczestnictwa osób starszych w życiu społecznym, gospodarczym i zawodowym poprzez łagodzenie i przeciwdziałanie barierom ograniczającym ich aktywność. Wzmacnianie dostępu do adekwatnej opieki osób niesamodzielnych oraz następujące działania: Współpraca ze Śląską Radą ds. Seniorów jako organem konsultacyjnym w sprawach dotyczących osób starszych;  Zwiększenie dostępu seniorów do rynku dóbr i usług, dostosowanego do potrzeb starzejącego się społeczeństwa; Promocja wizerunku osób starszych jako pełnoprawnych </w:t>
      </w:r>
      <w:r w:rsidR="002F5802">
        <w:rPr>
          <w:rFonts w:cs="Times New Roman"/>
          <w:szCs w:val="24"/>
        </w:rPr>
        <w:t xml:space="preserve"> </w:t>
      </w:r>
      <w:r w:rsidRPr="00094AB9">
        <w:rPr>
          <w:rFonts w:cs="Times New Roman"/>
          <w:szCs w:val="24"/>
        </w:rPr>
        <w:t xml:space="preserve">i wartościowych członków społeczeństwa; Diagnozowanie i monitorowanie wsparcia oferowanego seniorom na poziomie lokalnym; Prowadzenie analiz dotyczących problemów osób starszych </w:t>
      </w:r>
      <w:r w:rsidR="002F5802">
        <w:rPr>
          <w:rFonts w:cs="Times New Roman"/>
          <w:szCs w:val="24"/>
        </w:rPr>
        <w:t xml:space="preserve"> </w:t>
      </w:r>
      <w:r w:rsidRPr="00094AB9">
        <w:rPr>
          <w:rFonts w:cs="Times New Roman"/>
          <w:szCs w:val="24"/>
        </w:rPr>
        <w:t xml:space="preserve">i niepełnosprawnych. </w:t>
      </w:r>
    </w:p>
    <w:p w14:paraId="478BF87B" w14:textId="156B01FA" w:rsidR="00094AB9" w:rsidRDefault="00094AB9" w:rsidP="00094AB9">
      <w:pPr>
        <w:rPr>
          <w:rFonts w:cs="Times New Roman"/>
          <w:szCs w:val="24"/>
        </w:rPr>
      </w:pPr>
    </w:p>
    <w:p w14:paraId="5FC851AF" w14:textId="66C3E1E0" w:rsidR="00094AB9" w:rsidRPr="00094AB9" w:rsidRDefault="00094AB9" w:rsidP="00094AB9">
      <w:pPr>
        <w:rPr>
          <w:rFonts w:cs="Times New Roman"/>
          <w:szCs w:val="24"/>
        </w:rPr>
      </w:pPr>
      <w:r w:rsidRPr="00094AB9">
        <w:rPr>
          <w:rFonts w:cs="Times New Roman"/>
          <w:szCs w:val="24"/>
        </w:rPr>
        <w:t xml:space="preserve">Projekt „Śląskie dla Seniora – Śląska Karta Seniora”. Jest to oferta specjalnych usług, ulg oraz szczególnych uprawnień pozwalających na udostępnienie zasobów instytucji kultury, rekreacji </w:t>
      </w:r>
    </w:p>
    <w:p w14:paraId="22F29FF6" w14:textId="609D086E" w:rsidR="00094AB9" w:rsidRPr="00094AB9" w:rsidRDefault="00094AB9" w:rsidP="00094AB9">
      <w:pPr>
        <w:rPr>
          <w:rFonts w:cs="Times New Roman"/>
          <w:szCs w:val="24"/>
        </w:rPr>
      </w:pPr>
      <w:r w:rsidRPr="00094AB9">
        <w:rPr>
          <w:rFonts w:cs="Times New Roman"/>
          <w:szCs w:val="24"/>
        </w:rPr>
        <w:t>i edukacji na terenie Województwa Śląskiego w celu dodatkowego wsparc</w:t>
      </w:r>
      <w:r w:rsidR="00C16B6F">
        <w:rPr>
          <w:rFonts w:cs="Times New Roman"/>
          <w:szCs w:val="24"/>
        </w:rPr>
        <w:t>ia osób, które ukończyły 60 rok</w:t>
      </w:r>
      <w:r w:rsidR="00A931B5">
        <w:rPr>
          <w:rFonts w:cs="Times New Roman"/>
          <w:szCs w:val="24"/>
        </w:rPr>
        <w:t xml:space="preserve"> </w:t>
      </w:r>
      <w:r w:rsidRPr="00094AB9">
        <w:rPr>
          <w:rFonts w:cs="Times New Roman"/>
          <w:szCs w:val="24"/>
        </w:rPr>
        <w:t>życia. Usługi realizowane w ramach Śląskiej Karty Seniora są oferowane przez partnerów projektu m. in. podmioty powiązane strukturalnie i kapitałowo z Województwem Śląskim, partnerów z sektora prywatnego i jednostek samorządu terytorialnego. W 2020 r</w:t>
      </w:r>
      <w:r w:rsidR="00A931B5">
        <w:rPr>
          <w:rFonts w:cs="Times New Roman"/>
          <w:szCs w:val="24"/>
        </w:rPr>
        <w:t>.</w:t>
      </w:r>
      <w:r w:rsidRPr="00094AB9">
        <w:rPr>
          <w:rFonts w:cs="Times New Roman"/>
          <w:szCs w:val="24"/>
        </w:rPr>
        <w:t xml:space="preserve"> do przedsięwzięcia przystąpiło 6 nowych partnerów (łącznie 140) świadczących specjalną ofertę dla seniorów. W 2020 r</w:t>
      </w:r>
      <w:r w:rsidR="00A931B5">
        <w:rPr>
          <w:rFonts w:cs="Times New Roman"/>
          <w:szCs w:val="24"/>
        </w:rPr>
        <w:t>.</w:t>
      </w:r>
      <w:r w:rsidRPr="00094AB9">
        <w:rPr>
          <w:rFonts w:cs="Times New Roman"/>
          <w:szCs w:val="24"/>
        </w:rPr>
        <w:t xml:space="preserve"> kontynuowano działania zainaugurowane w 2019 r</w:t>
      </w:r>
      <w:r w:rsidR="00A931B5">
        <w:rPr>
          <w:rFonts w:cs="Times New Roman"/>
          <w:szCs w:val="24"/>
        </w:rPr>
        <w:t>.</w:t>
      </w:r>
      <w:r w:rsidRPr="00094AB9">
        <w:rPr>
          <w:rFonts w:cs="Times New Roman"/>
          <w:szCs w:val="24"/>
        </w:rPr>
        <w:t xml:space="preserve"> zmierzające do zintegrowania kart rabatowych dedykowanych seniorom, celem stworzenia jednolitego systemu rabatowego na terenie województwa. </w:t>
      </w:r>
    </w:p>
    <w:p w14:paraId="09EBC613" w14:textId="31714058" w:rsidR="00094AB9" w:rsidRPr="00094AB9" w:rsidRDefault="00094AB9" w:rsidP="00094AB9">
      <w:pPr>
        <w:rPr>
          <w:rFonts w:cs="Times New Roman"/>
          <w:szCs w:val="24"/>
        </w:rPr>
      </w:pPr>
      <w:r w:rsidRPr="00094AB9">
        <w:rPr>
          <w:rFonts w:cs="Times New Roman"/>
          <w:szCs w:val="24"/>
        </w:rPr>
        <w:t>Z danych zgromadzonych przez ROPS wynika, że w 2020 r</w:t>
      </w:r>
      <w:r w:rsidR="00A931B5">
        <w:rPr>
          <w:rFonts w:cs="Times New Roman"/>
          <w:szCs w:val="24"/>
        </w:rPr>
        <w:t>.</w:t>
      </w:r>
      <w:r w:rsidRPr="00094AB9">
        <w:rPr>
          <w:rFonts w:cs="Times New Roman"/>
          <w:szCs w:val="24"/>
        </w:rPr>
        <w:t xml:space="preserve"> z projektu skorzystały łącznie 23 622 osoby. Największym zainteresowaniem seniorów cieszyła się oferta Muzeum Górnictwa Węglowego w Zabrzu, Muzeum Śląskiego w Katowicach oraz Filharmonii Śląskiej im. Henryka Mikołaja Góreckiego w Katowicach.  Dodatkowo w czasie pandemii COVID-19 partnerzy projektu podejmowali działania na rzecz rodzin wykraczające poza ofertę świadczoną w ramach projektu „Śląskie dla Seniora – Śląska Karta Seniora”. Grupą uprawnioną do korzystania ze Śląskiej Karty Seniora są osoby, które ukończyły 60 rok życia. Dokumentem legitymacyjnym umożliwiającym skorzystanie z uprawnień oferowanych w projekcie jest dowód osobisty. </w:t>
      </w:r>
    </w:p>
    <w:p w14:paraId="5E5FF3E6" w14:textId="77777777" w:rsidR="00094AB9" w:rsidRPr="00094AB9" w:rsidRDefault="00094AB9" w:rsidP="00094AB9">
      <w:pPr>
        <w:rPr>
          <w:rFonts w:cs="Times New Roman"/>
          <w:szCs w:val="24"/>
        </w:rPr>
      </w:pPr>
    </w:p>
    <w:p w14:paraId="221C9B3E" w14:textId="7EEE9E32" w:rsidR="00094AB9" w:rsidRPr="00094AB9" w:rsidRDefault="00094AB9" w:rsidP="00094AB9">
      <w:pPr>
        <w:rPr>
          <w:rFonts w:cs="Times New Roman"/>
          <w:szCs w:val="24"/>
        </w:rPr>
      </w:pPr>
      <w:r w:rsidRPr="00094AB9">
        <w:rPr>
          <w:rFonts w:cs="Times New Roman"/>
          <w:szCs w:val="24"/>
        </w:rPr>
        <w:t>Badanie ankietowe pn. „Wspieranie seniorów w gminach województwa śląskiego w 2019 r</w:t>
      </w:r>
      <w:r w:rsidR="00A931B5">
        <w:rPr>
          <w:rFonts w:cs="Times New Roman"/>
          <w:szCs w:val="24"/>
        </w:rPr>
        <w:t>.</w:t>
      </w:r>
      <w:r w:rsidRPr="00094AB9">
        <w:rPr>
          <w:rFonts w:cs="Times New Roman"/>
          <w:szCs w:val="24"/>
        </w:rPr>
        <w:t xml:space="preserve">”. </w:t>
      </w:r>
    </w:p>
    <w:p w14:paraId="45997D05" w14:textId="128F995C" w:rsidR="00094AB9" w:rsidRPr="00094AB9" w:rsidRDefault="00094AB9" w:rsidP="00094AB9">
      <w:pPr>
        <w:rPr>
          <w:rFonts w:cs="Times New Roman"/>
          <w:szCs w:val="24"/>
        </w:rPr>
      </w:pPr>
      <w:r w:rsidRPr="00094AB9">
        <w:rPr>
          <w:rFonts w:cs="Times New Roman"/>
          <w:szCs w:val="24"/>
        </w:rPr>
        <w:t>W związku z potrzebą zdiagnozowania sytuacji osób starszych w województwie śląskim ROPS zrealizował w 2020 r</w:t>
      </w:r>
      <w:r w:rsidR="00A931B5">
        <w:rPr>
          <w:rFonts w:cs="Times New Roman"/>
          <w:szCs w:val="24"/>
        </w:rPr>
        <w:t>.</w:t>
      </w:r>
      <w:r w:rsidRPr="00094AB9">
        <w:rPr>
          <w:rFonts w:cs="Times New Roman"/>
          <w:szCs w:val="24"/>
        </w:rPr>
        <w:t xml:space="preserve"> badanie ankietowe pn. „Wspieranie seniorów w gminach województwa śląskiego w 2019 r</w:t>
      </w:r>
      <w:r w:rsidR="00A931B5">
        <w:rPr>
          <w:rFonts w:cs="Times New Roman"/>
          <w:szCs w:val="24"/>
        </w:rPr>
        <w:t>.</w:t>
      </w:r>
      <w:r w:rsidRPr="00094AB9">
        <w:rPr>
          <w:rFonts w:cs="Times New Roman"/>
          <w:szCs w:val="24"/>
        </w:rPr>
        <w:t>”. Celem badania była analiza rodzaju i zakresu wsparcia oferowanego seniorom w gminach województwa śląskiego w 2019 r</w:t>
      </w:r>
      <w:r w:rsidR="00A931B5">
        <w:rPr>
          <w:rFonts w:cs="Times New Roman"/>
          <w:szCs w:val="24"/>
        </w:rPr>
        <w:t>.</w:t>
      </w:r>
      <w:r w:rsidRPr="00094AB9">
        <w:rPr>
          <w:rFonts w:cs="Times New Roman"/>
          <w:szCs w:val="24"/>
        </w:rPr>
        <w:t xml:space="preserve"> oraz porównanie uzyskanych wyników z danymi za 2018 </w:t>
      </w:r>
      <w:r w:rsidR="00A931B5">
        <w:rPr>
          <w:rFonts w:cs="Times New Roman"/>
          <w:szCs w:val="24"/>
        </w:rPr>
        <w:t xml:space="preserve">r. </w:t>
      </w:r>
      <w:r w:rsidRPr="00094AB9">
        <w:rPr>
          <w:rFonts w:cs="Times New Roman"/>
          <w:szCs w:val="24"/>
        </w:rPr>
        <w:t>. Do udziału w badaniu zostali zaproszeni przedstawiciele urzędów miast i gmin województwa śląskiego. Przedmiotem badania były działania adresowane bezpośrednio do osób starszych, a także inicjatywy związane z rozwojem lokalnej polityki senioralnej, służące kształtowaniu dogodnych warunków do aktywnego i zdrowego starzenia się. Badanie objęło pięć obszarów tematycznych, tj. lokalną politykę senioralną, ofertę</w:t>
      </w:r>
      <w:r w:rsidR="006C1FB6">
        <w:rPr>
          <w:rFonts w:cs="Times New Roman"/>
          <w:szCs w:val="24"/>
        </w:rPr>
        <w:t xml:space="preserve"> </w:t>
      </w:r>
      <w:r w:rsidRPr="00094AB9">
        <w:rPr>
          <w:rFonts w:cs="Times New Roman"/>
          <w:szCs w:val="24"/>
        </w:rPr>
        <w:t xml:space="preserve">instytucjonalną dla </w:t>
      </w:r>
      <w:r w:rsidRPr="00094AB9">
        <w:rPr>
          <w:rFonts w:cs="Times New Roman"/>
          <w:szCs w:val="24"/>
        </w:rPr>
        <w:lastRenderedPageBreak/>
        <w:t>seniorów, inicjatywy na rzecz osób starszych, dobre praktyki w 2019 r</w:t>
      </w:r>
      <w:r w:rsidR="00A931B5">
        <w:rPr>
          <w:rFonts w:cs="Times New Roman"/>
          <w:szCs w:val="24"/>
        </w:rPr>
        <w:t>.</w:t>
      </w:r>
      <w:r w:rsidRPr="00094AB9">
        <w:rPr>
          <w:rFonts w:cs="Times New Roman"/>
          <w:szCs w:val="24"/>
        </w:rPr>
        <w:t xml:space="preserve"> oraz planowane działania w 2020 r. </w:t>
      </w:r>
    </w:p>
    <w:p w14:paraId="7F9FC15D" w14:textId="77777777" w:rsidR="00094AB9" w:rsidRPr="00094AB9" w:rsidRDefault="00094AB9" w:rsidP="00094AB9">
      <w:pPr>
        <w:rPr>
          <w:rFonts w:cs="Times New Roman"/>
          <w:szCs w:val="24"/>
        </w:rPr>
      </w:pPr>
    </w:p>
    <w:p w14:paraId="1F320F2E" w14:textId="7C178548" w:rsidR="00094AB9" w:rsidRPr="006C1FB6" w:rsidRDefault="006C1FB6" w:rsidP="00094AB9">
      <w:pPr>
        <w:rPr>
          <w:rFonts w:cs="Times New Roman"/>
          <w:b/>
          <w:bCs/>
          <w:szCs w:val="24"/>
        </w:rPr>
      </w:pPr>
      <w:r w:rsidRPr="006C1FB6">
        <w:rPr>
          <w:rFonts w:cs="Times New Roman"/>
          <w:b/>
          <w:bCs/>
          <w:szCs w:val="24"/>
        </w:rPr>
        <w:t>Przykłady dobrych praktyk na poziomie powiatu, gminy.</w:t>
      </w:r>
    </w:p>
    <w:p w14:paraId="1D118008" w14:textId="77777777" w:rsidR="006C1FB6" w:rsidRDefault="006C1FB6" w:rsidP="00094AB9">
      <w:pPr>
        <w:rPr>
          <w:rFonts w:cs="Times New Roman"/>
          <w:szCs w:val="24"/>
        </w:rPr>
      </w:pPr>
    </w:p>
    <w:p w14:paraId="2AA797B8" w14:textId="4CACD26D" w:rsidR="00094AB9" w:rsidRPr="00094AB9" w:rsidRDefault="00094AB9" w:rsidP="00094AB9">
      <w:pPr>
        <w:rPr>
          <w:rFonts w:cs="Times New Roman"/>
          <w:szCs w:val="24"/>
        </w:rPr>
      </w:pPr>
      <w:r w:rsidRPr="00094AB9">
        <w:rPr>
          <w:rFonts w:cs="Times New Roman"/>
          <w:szCs w:val="24"/>
        </w:rPr>
        <w:t>Dąbrowa Górnicza:</w:t>
      </w:r>
    </w:p>
    <w:p w14:paraId="77D94946" w14:textId="18825DBA" w:rsidR="006C1FB6" w:rsidRDefault="00094AB9" w:rsidP="00FE70E3">
      <w:pPr>
        <w:pStyle w:val="Akapitzlist"/>
        <w:numPr>
          <w:ilvl w:val="0"/>
          <w:numId w:val="199"/>
        </w:numPr>
        <w:rPr>
          <w:rFonts w:cs="Times New Roman"/>
          <w:szCs w:val="24"/>
        </w:rPr>
      </w:pPr>
      <w:r w:rsidRPr="006C1FB6">
        <w:rPr>
          <w:rFonts w:cs="Times New Roman"/>
          <w:szCs w:val="24"/>
        </w:rPr>
        <w:t xml:space="preserve">Projekt "Jestem tutaj - zapominałem" skierowany do seniorów wykazujących cechy zaburzeń otępiennych. W ramach projektu prowadzone są treningi i ćwiczenia funkcji poznawczych. Liczba seniorów biorących udział </w:t>
      </w:r>
      <w:r w:rsidR="006C1FB6">
        <w:rPr>
          <w:rFonts w:cs="Times New Roman"/>
          <w:szCs w:val="24"/>
        </w:rPr>
        <w:t>–</w:t>
      </w:r>
      <w:r w:rsidRPr="006C1FB6">
        <w:rPr>
          <w:rFonts w:cs="Times New Roman"/>
          <w:szCs w:val="24"/>
        </w:rPr>
        <w:t xml:space="preserve"> 118</w:t>
      </w:r>
      <w:r w:rsidR="00A931B5">
        <w:rPr>
          <w:rFonts w:cs="Times New Roman"/>
          <w:szCs w:val="24"/>
        </w:rPr>
        <w:t>.</w:t>
      </w:r>
    </w:p>
    <w:p w14:paraId="54F2E99A" w14:textId="77777777" w:rsidR="006C1FB6" w:rsidRDefault="00094AB9" w:rsidP="00FE70E3">
      <w:pPr>
        <w:pStyle w:val="Akapitzlist"/>
        <w:numPr>
          <w:ilvl w:val="0"/>
          <w:numId w:val="199"/>
        </w:numPr>
        <w:rPr>
          <w:rFonts w:cs="Times New Roman"/>
          <w:szCs w:val="24"/>
        </w:rPr>
      </w:pPr>
      <w:r w:rsidRPr="006C1FB6">
        <w:rPr>
          <w:rFonts w:cs="Times New Roman"/>
          <w:szCs w:val="24"/>
        </w:rPr>
        <w:t>Projekt edukacji obywatelskiej "Ja - Obywatel" polegający na edukacji seniorów, angażowaniu się w życie publiczne i uczestniczenia w podejmowaniu decyzji na rzecz swoją i środowiska lokalnego. Promuje też rozwój samorządności. Liczba seniorów biorących udział - 98.</w:t>
      </w:r>
    </w:p>
    <w:p w14:paraId="526C6447" w14:textId="34199842" w:rsidR="00094AB9" w:rsidRPr="006C1FB6" w:rsidRDefault="00094AB9" w:rsidP="00FE70E3">
      <w:pPr>
        <w:pStyle w:val="Akapitzlist"/>
        <w:numPr>
          <w:ilvl w:val="0"/>
          <w:numId w:val="199"/>
        </w:numPr>
        <w:rPr>
          <w:rFonts w:cs="Times New Roman"/>
          <w:szCs w:val="24"/>
        </w:rPr>
      </w:pPr>
      <w:r w:rsidRPr="006C1FB6">
        <w:rPr>
          <w:rFonts w:cs="Times New Roman"/>
          <w:szCs w:val="24"/>
        </w:rPr>
        <w:t xml:space="preserve">Z chwilą ogłoszenia pandemii została uruchomiona infolinia dla seniorów, gdzie można było uzyskać informacje o sposobach uzyskania e-recept, numerach telefonu do poszczególnych poradni w mieście, poprosić o realizacje zakupów oraz o dostarczenie maseczki. </w:t>
      </w:r>
    </w:p>
    <w:p w14:paraId="58041B03" w14:textId="1CA33FA2" w:rsidR="006C1FB6" w:rsidRDefault="006C1FB6" w:rsidP="006C1FB6">
      <w:pPr>
        <w:rPr>
          <w:rFonts w:cs="Times New Roman"/>
          <w:szCs w:val="24"/>
        </w:rPr>
      </w:pPr>
    </w:p>
    <w:p w14:paraId="5DBDA19A" w14:textId="7AC069BD" w:rsidR="006C1FB6" w:rsidRPr="00094AB9" w:rsidRDefault="006C1FB6" w:rsidP="006C1FB6">
      <w:pPr>
        <w:rPr>
          <w:rFonts w:cs="Times New Roman"/>
          <w:szCs w:val="24"/>
        </w:rPr>
      </w:pPr>
      <w:r w:rsidRPr="00094AB9">
        <w:rPr>
          <w:rFonts w:cs="Times New Roman"/>
          <w:szCs w:val="24"/>
        </w:rPr>
        <w:t>Katowice:</w:t>
      </w:r>
    </w:p>
    <w:p w14:paraId="4329B424" w14:textId="202CA19F" w:rsidR="006C1FB6" w:rsidRDefault="006C1FB6" w:rsidP="00FE70E3">
      <w:pPr>
        <w:pStyle w:val="Akapitzlist"/>
        <w:numPr>
          <w:ilvl w:val="0"/>
          <w:numId w:val="200"/>
        </w:numPr>
        <w:rPr>
          <w:rFonts w:cs="Times New Roman"/>
          <w:szCs w:val="24"/>
        </w:rPr>
      </w:pPr>
      <w:r w:rsidRPr="006C1FB6">
        <w:rPr>
          <w:rFonts w:cs="Times New Roman"/>
          <w:szCs w:val="24"/>
        </w:rPr>
        <w:t>Miasto realizowało projekt "Złota rączka" dla seniora, który miał na celu poprawę jakości życia poprzez zapewnienie seniorom dostępu do bezpłatnych usług w zakresie drobnych napraw domowych np. wymiana kranu, udrażnianie rur, naprawa spłuczki, wymiana żarówki itp. Realizatorem projektu była Fundacja Rozwoju Ekonomii Społecznej, z siedzibą w Katowicach przy ul. Kanałowej 32b, wybrana w drodze otwartego konkursu ofert. W 2020 r</w:t>
      </w:r>
      <w:r w:rsidR="00A931B5">
        <w:rPr>
          <w:rFonts w:cs="Times New Roman"/>
          <w:szCs w:val="24"/>
        </w:rPr>
        <w:t>.</w:t>
      </w:r>
      <w:r w:rsidRPr="006C1FB6">
        <w:rPr>
          <w:rFonts w:cs="Times New Roman"/>
          <w:szCs w:val="24"/>
        </w:rPr>
        <w:t xml:space="preserve"> wykonanych zostało 388 usług.</w:t>
      </w:r>
    </w:p>
    <w:p w14:paraId="3F3AC229" w14:textId="77777777" w:rsidR="006C1FB6" w:rsidRDefault="006C1FB6" w:rsidP="00FE70E3">
      <w:pPr>
        <w:pStyle w:val="Akapitzlist"/>
        <w:numPr>
          <w:ilvl w:val="0"/>
          <w:numId w:val="200"/>
        </w:numPr>
        <w:rPr>
          <w:rFonts w:cs="Times New Roman"/>
          <w:szCs w:val="24"/>
        </w:rPr>
      </w:pPr>
      <w:r w:rsidRPr="006C1FB6">
        <w:rPr>
          <w:rFonts w:cs="Times New Roman"/>
          <w:szCs w:val="24"/>
        </w:rPr>
        <w:t xml:space="preserve">Kolejny projekt w ramach dobrych praktyk to Srebrny Telefon dla Katowickich Seniorów, dzięki któremu można było uzyskać informacje na temat możliwości wsparcia osób starszych oraz realizowanych programów na terenie miasta. "Srebrny Telefon" działa w ramach Miejskiego Ośrodka Pomocy Społecznej,. </w:t>
      </w:r>
    </w:p>
    <w:p w14:paraId="3BBB86BE" w14:textId="77777777" w:rsidR="006C1FB6" w:rsidRDefault="006C1FB6" w:rsidP="00FE70E3">
      <w:pPr>
        <w:pStyle w:val="Akapitzlist"/>
        <w:numPr>
          <w:ilvl w:val="0"/>
          <w:numId w:val="200"/>
        </w:numPr>
        <w:rPr>
          <w:rFonts w:cs="Times New Roman"/>
          <w:szCs w:val="24"/>
        </w:rPr>
      </w:pPr>
      <w:r>
        <w:rPr>
          <w:rFonts w:cs="Times New Roman"/>
          <w:szCs w:val="24"/>
        </w:rPr>
        <w:t>P</w:t>
      </w:r>
      <w:r w:rsidRPr="006C1FB6">
        <w:rPr>
          <w:rFonts w:cs="Times New Roman"/>
          <w:szCs w:val="24"/>
        </w:rPr>
        <w:t xml:space="preserve">rojekt Srebrna Książka,  polega na dowożeniu do domu seniorów książek i audiobooków wypożyczanych z Miejskiej Biblioteki Publicznej. Jego celem jest zapewnienie dostępu do książek czytelnikom mającym trudności z przemieszczaniem się, aby nie zostali wykluczeni z możliwości korzystania z bibliotek. </w:t>
      </w:r>
    </w:p>
    <w:p w14:paraId="4694312D" w14:textId="77777777" w:rsidR="006C1FB6" w:rsidRDefault="006C1FB6" w:rsidP="00FE70E3">
      <w:pPr>
        <w:pStyle w:val="Akapitzlist"/>
        <w:numPr>
          <w:ilvl w:val="0"/>
          <w:numId w:val="200"/>
        </w:numPr>
        <w:rPr>
          <w:rFonts w:cs="Times New Roman"/>
          <w:szCs w:val="24"/>
        </w:rPr>
      </w:pPr>
      <w:r w:rsidRPr="006C1FB6">
        <w:rPr>
          <w:rFonts w:cs="Times New Roman"/>
          <w:szCs w:val="24"/>
        </w:rPr>
        <w:t xml:space="preserve">Cennym, innowacyjnym ze względu na skalę, rozwiązaniem wykorzystywanym w 2020 r. była szeroka współpraca z mediami. W dobie ograniczenia możliwości nawiązania osobistego kontaktu z mieszkańcami Katowic, Ośrodek wykorzystał możliwość promowania, informowania o ofercie pomocowej na antenie regionalnej Telewizji TVS. Emitowany w 2020 r. cykl programów Srebrne Katowice stworzył zupełnie nową formułę programu zapewniającego odbiorcom kompleksową informację o ofercie wsparcia Ośrodka </w:t>
      </w:r>
      <w:r>
        <w:rPr>
          <w:rFonts w:cs="Times New Roman"/>
          <w:szCs w:val="24"/>
        </w:rPr>
        <w:t xml:space="preserve"> </w:t>
      </w:r>
      <w:r w:rsidRPr="006C1FB6">
        <w:rPr>
          <w:rFonts w:cs="Times New Roman"/>
          <w:szCs w:val="24"/>
        </w:rPr>
        <w:t xml:space="preserve">i innych podmiotów w Katowicach, wsparcie i porady ekspertów z różnych dziedzin, a także promocję </w:t>
      </w:r>
      <w:r>
        <w:rPr>
          <w:rFonts w:cs="Times New Roman"/>
          <w:szCs w:val="24"/>
        </w:rPr>
        <w:t xml:space="preserve"> </w:t>
      </w:r>
      <w:r w:rsidRPr="006C1FB6">
        <w:rPr>
          <w:rFonts w:cs="Times New Roman"/>
          <w:szCs w:val="24"/>
        </w:rPr>
        <w:t xml:space="preserve">i zachęcania do angażowania się w różne formy aktywności, zaangażowania w cenne inicjatywy dedykowane dla różnych grup odbiorców, zwłaszcza osób w wieku senioralnym. Formuła Srebrnych Katowic zakładała, że w 15 minutowych odcinkach ww. programu seniorzy otrzymywali informacje </w:t>
      </w:r>
      <w:r>
        <w:rPr>
          <w:rFonts w:cs="Times New Roman"/>
          <w:szCs w:val="24"/>
        </w:rPr>
        <w:t xml:space="preserve"> </w:t>
      </w:r>
      <w:r w:rsidRPr="006C1FB6">
        <w:rPr>
          <w:rFonts w:cs="Times New Roman"/>
          <w:szCs w:val="24"/>
        </w:rPr>
        <w:t xml:space="preserve">o ważnych dla nich wydarzeniach, przedsięwzięciach, usługach, edukowani byli w zakresie dbałości o własne zdrowie, dobre </w:t>
      </w:r>
      <w:r w:rsidRPr="006C1FB6">
        <w:rPr>
          <w:rFonts w:cs="Times New Roman"/>
          <w:szCs w:val="24"/>
        </w:rPr>
        <w:lastRenderedPageBreak/>
        <w:t>samopoczucie i własny rozwój. W programie poruszane były również tematy dot. szeroko pojętego bezpieczeństwa. Program emitowany był trzy razy w tygodniu: premiera odcinka odbywała się piątki, powtórki nadawane były w środy oraz w poniedziałki.</w:t>
      </w:r>
    </w:p>
    <w:p w14:paraId="1D9CE4EA" w14:textId="5FFB4BB4" w:rsidR="006C1FB6" w:rsidRPr="006C1FB6" w:rsidRDefault="006C1FB6" w:rsidP="00FE70E3">
      <w:pPr>
        <w:pStyle w:val="Akapitzlist"/>
        <w:numPr>
          <w:ilvl w:val="0"/>
          <w:numId w:val="200"/>
        </w:numPr>
        <w:rPr>
          <w:rFonts w:cs="Times New Roman"/>
          <w:szCs w:val="24"/>
        </w:rPr>
      </w:pPr>
      <w:r w:rsidRPr="006C1FB6">
        <w:rPr>
          <w:rFonts w:cs="Times New Roman"/>
          <w:szCs w:val="24"/>
        </w:rPr>
        <w:t xml:space="preserve">Zdalne wsparcie psychologiczne za pośrednictwem komunikatorów WhatsApp / </w:t>
      </w:r>
      <w:proofErr w:type="spellStart"/>
      <w:r w:rsidRPr="006C1FB6">
        <w:rPr>
          <w:rFonts w:cs="Times New Roman"/>
          <w:szCs w:val="24"/>
        </w:rPr>
        <w:t>videorozmowa</w:t>
      </w:r>
      <w:proofErr w:type="spellEnd"/>
      <w:r w:rsidRPr="006C1FB6">
        <w:rPr>
          <w:rFonts w:cs="Times New Roman"/>
          <w:szCs w:val="24"/>
        </w:rPr>
        <w:t>. Korzystanie z portali społecznościowych oraz aplikacji mobilnych, typu Messenger, Skype, YouTube, celem ułatwienia bezpośredniego kontaktu z osobami starszymi.</w:t>
      </w:r>
    </w:p>
    <w:p w14:paraId="70E86142" w14:textId="77777777" w:rsidR="006C1FB6" w:rsidRDefault="006C1FB6" w:rsidP="006C1FB6">
      <w:pPr>
        <w:rPr>
          <w:rFonts w:cs="Times New Roman"/>
          <w:szCs w:val="24"/>
        </w:rPr>
      </w:pPr>
    </w:p>
    <w:p w14:paraId="1B9C139C" w14:textId="6C39D6CC" w:rsidR="006C1FB6" w:rsidRPr="00094AB9" w:rsidRDefault="006C1FB6" w:rsidP="006C1FB6">
      <w:pPr>
        <w:rPr>
          <w:rFonts w:cs="Times New Roman"/>
          <w:szCs w:val="24"/>
        </w:rPr>
      </w:pPr>
      <w:r w:rsidRPr="00094AB9">
        <w:rPr>
          <w:rFonts w:cs="Times New Roman"/>
          <w:szCs w:val="24"/>
        </w:rPr>
        <w:t>Mikołów</w:t>
      </w:r>
    </w:p>
    <w:p w14:paraId="40A61D4B" w14:textId="77777777" w:rsidR="006C1FB6" w:rsidRDefault="006C1FB6" w:rsidP="00FE70E3">
      <w:pPr>
        <w:pStyle w:val="Akapitzlist"/>
        <w:numPr>
          <w:ilvl w:val="0"/>
          <w:numId w:val="201"/>
        </w:numPr>
        <w:rPr>
          <w:rFonts w:cs="Times New Roman"/>
          <w:szCs w:val="24"/>
        </w:rPr>
      </w:pPr>
      <w:r w:rsidRPr="006C1FB6">
        <w:rPr>
          <w:rFonts w:cs="Times New Roman"/>
          <w:szCs w:val="24"/>
        </w:rPr>
        <w:t xml:space="preserve">"Porozmawiajmy przy kawie o nas -seniorach (on-line)" - cykl filmów/wywiadów realizowanych przez Radę Seniorów w Mikołowie dedykowanych osobom starszym, ich problemom i aktywności w okresie pandemii. </w:t>
      </w:r>
    </w:p>
    <w:p w14:paraId="71456EDC" w14:textId="3AE364FD" w:rsidR="006C1FB6" w:rsidRPr="006C1FB6" w:rsidRDefault="006C1FB6" w:rsidP="00FE70E3">
      <w:pPr>
        <w:pStyle w:val="Akapitzlist"/>
        <w:numPr>
          <w:ilvl w:val="0"/>
          <w:numId w:val="201"/>
        </w:numPr>
        <w:rPr>
          <w:rFonts w:cs="Times New Roman"/>
          <w:szCs w:val="24"/>
        </w:rPr>
      </w:pPr>
      <w:r w:rsidRPr="006C1FB6">
        <w:rPr>
          <w:rFonts w:cs="Times New Roman"/>
          <w:szCs w:val="24"/>
        </w:rPr>
        <w:t>Po zakończeniu projektu "Program wsparcia społeczności lokalnych" utworzono Klub Seniora SPA Senior, który funkcjonuje w ramach Miejskiego Ośrodka Pomocy Społecznej w Mikołowie.</w:t>
      </w:r>
    </w:p>
    <w:p w14:paraId="7DFA33C0" w14:textId="77777777" w:rsidR="006C1FB6" w:rsidRDefault="006C1FB6" w:rsidP="006C1FB6">
      <w:pPr>
        <w:rPr>
          <w:rFonts w:cs="Times New Roman"/>
          <w:szCs w:val="24"/>
        </w:rPr>
      </w:pPr>
    </w:p>
    <w:p w14:paraId="7D790481" w14:textId="5A16E56D" w:rsidR="006C1FB6" w:rsidRPr="00094AB9" w:rsidRDefault="006C1FB6" w:rsidP="006C1FB6">
      <w:pPr>
        <w:rPr>
          <w:rFonts w:cs="Times New Roman"/>
          <w:szCs w:val="24"/>
        </w:rPr>
      </w:pPr>
      <w:r w:rsidRPr="00094AB9">
        <w:rPr>
          <w:rFonts w:cs="Times New Roman"/>
          <w:szCs w:val="24"/>
        </w:rPr>
        <w:t xml:space="preserve">Świętochłowice </w:t>
      </w:r>
    </w:p>
    <w:p w14:paraId="08A3FF13" w14:textId="6B411B2A" w:rsidR="006C1FB6" w:rsidRDefault="006C1FB6" w:rsidP="00FE70E3">
      <w:pPr>
        <w:pStyle w:val="Akapitzlist"/>
        <w:numPr>
          <w:ilvl w:val="0"/>
          <w:numId w:val="202"/>
        </w:numPr>
        <w:rPr>
          <w:rFonts w:cs="Times New Roman"/>
          <w:szCs w:val="24"/>
        </w:rPr>
      </w:pPr>
      <w:r w:rsidRPr="006C1FB6">
        <w:rPr>
          <w:rFonts w:cs="Times New Roman"/>
          <w:szCs w:val="24"/>
        </w:rPr>
        <w:t xml:space="preserve">W 2020 </w:t>
      </w:r>
      <w:r w:rsidR="00A931B5">
        <w:rPr>
          <w:rFonts w:cs="Times New Roman"/>
          <w:szCs w:val="24"/>
        </w:rPr>
        <w:t xml:space="preserve">r. </w:t>
      </w:r>
      <w:r w:rsidRPr="006C1FB6">
        <w:rPr>
          <w:rFonts w:cs="Times New Roman"/>
          <w:szCs w:val="24"/>
        </w:rPr>
        <w:t>w ramach projektu "</w:t>
      </w:r>
      <w:proofErr w:type="spellStart"/>
      <w:r w:rsidRPr="006C1FB6">
        <w:rPr>
          <w:rFonts w:cs="Times New Roman"/>
          <w:szCs w:val="24"/>
        </w:rPr>
        <w:t>Coby</w:t>
      </w:r>
      <w:proofErr w:type="spellEnd"/>
      <w:r w:rsidRPr="006C1FB6">
        <w:rPr>
          <w:rFonts w:cs="Times New Roman"/>
          <w:szCs w:val="24"/>
        </w:rPr>
        <w:t xml:space="preserve"> </w:t>
      </w:r>
      <w:proofErr w:type="spellStart"/>
      <w:r w:rsidRPr="006C1FB6">
        <w:rPr>
          <w:rFonts w:cs="Times New Roman"/>
          <w:szCs w:val="24"/>
        </w:rPr>
        <w:t>Starzikom</w:t>
      </w:r>
      <w:proofErr w:type="spellEnd"/>
      <w:r w:rsidRPr="006C1FB6">
        <w:rPr>
          <w:rFonts w:cs="Times New Roman"/>
          <w:szCs w:val="24"/>
        </w:rPr>
        <w:t xml:space="preserve"> żyło </w:t>
      </w:r>
      <w:proofErr w:type="spellStart"/>
      <w:r w:rsidRPr="006C1FB6">
        <w:rPr>
          <w:rFonts w:cs="Times New Roman"/>
          <w:szCs w:val="24"/>
        </w:rPr>
        <w:t>sie</w:t>
      </w:r>
      <w:proofErr w:type="spellEnd"/>
      <w:r w:rsidRPr="006C1FB6">
        <w:rPr>
          <w:rFonts w:cs="Times New Roman"/>
          <w:szCs w:val="24"/>
        </w:rPr>
        <w:t xml:space="preserve"> </w:t>
      </w:r>
      <w:proofErr w:type="spellStart"/>
      <w:r w:rsidRPr="006C1FB6">
        <w:rPr>
          <w:rFonts w:cs="Times New Roman"/>
          <w:szCs w:val="24"/>
        </w:rPr>
        <w:t>lepij</w:t>
      </w:r>
      <w:proofErr w:type="spellEnd"/>
      <w:r w:rsidRPr="006C1FB6">
        <w:rPr>
          <w:rFonts w:cs="Times New Roman"/>
          <w:szCs w:val="24"/>
        </w:rPr>
        <w:t xml:space="preserve"> kompleksowe usługi senioralne dla mieszkańców Świętochłowic" zawarto porozumienia o współpracy na zrealizowanie warsztatów edukacyjnych z seniorami, na terenie Ośrodka Pomocy Społecznej z następującymi podmiotami: </w:t>
      </w:r>
    </w:p>
    <w:p w14:paraId="333F5929" w14:textId="77777777" w:rsidR="006C1FB6" w:rsidRDefault="006C1FB6" w:rsidP="00FE70E3">
      <w:pPr>
        <w:pStyle w:val="Akapitzlist"/>
        <w:numPr>
          <w:ilvl w:val="1"/>
          <w:numId w:val="202"/>
        </w:numPr>
        <w:rPr>
          <w:rFonts w:cs="Times New Roman"/>
          <w:szCs w:val="24"/>
        </w:rPr>
      </w:pPr>
      <w:r w:rsidRPr="006C1FB6">
        <w:rPr>
          <w:rFonts w:cs="Times New Roman"/>
          <w:szCs w:val="24"/>
        </w:rPr>
        <w:t>Zakład Ubezpieczeń Społecznych (w ramach porozumienia odbyło się 1 spotkanie edukacyjne dla 19 seniorów/ilość zaplanowanych spotkań: 2; ilość zrealizowanych spotkań: 1  przyczyna niezrealizowania: COVID-19)</w:t>
      </w:r>
    </w:p>
    <w:p w14:paraId="54912122" w14:textId="77777777" w:rsidR="006C1FB6" w:rsidRDefault="006C1FB6" w:rsidP="00FE70E3">
      <w:pPr>
        <w:pStyle w:val="Akapitzlist"/>
        <w:numPr>
          <w:ilvl w:val="1"/>
          <w:numId w:val="202"/>
        </w:numPr>
        <w:rPr>
          <w:rFonts w:cs="Times New Roman"/>
          <w:szCs w:val="24"/>
        </w:rPr>
      </w:pPr>
      <w:r w:rsidRPr="006C1FB6">
        <w:rPr>
          <w:rFonts w:cs="Times New Roman"/>
          <w:szCs w:val="24"/>
        </w:rPr>
        <w:t>Polski Związek Emerytów, Rencistów i Inwalidów (ilość zaplanowanych spotkań: 6; ilość przeprowadzonych spotkań: 0; przyczyna niezrealizowania: COVID-19, w ramach współpracy utworzoną biblioteczkę dla seniorów)</w:t>
      </w:r>
    </w:p>
    <w:p w14:paraId="65F1C9FB" w14:textId="77777777" w:rsidR="006C1FB6" w:rsidRDefault="006C1FB6" w:rsidP="00FE70E3">
      <w:pPr>
        <w:pStyle w:val="Akapitzlist"/>
        <w:numPr>
          <w:ilvl w:val="1"/>
          <w:numId w:val="202"/>
        </w:numPr>
        <w:rPr>
          <w:rFonts w:cs="Times New Roman"/>
          <w:szCs w:val="24"/>
        </w:rPr>
      </w:pPr>
      <w:r w:rsidRPr="006C1FB6">
        <w:rPr>
          <w:rFonts w:cs="Times New Roman"/>
          <w:szCs w:val="24"/>
        </w:rPr>
        <w:t>Komenda Miejska Policji (w ramach porozumienia odbyły się 2 spotkania edukacyjne, 1 spotkanie: 11 osób, 2 spotkanie: 5 osób/ilość zaplanowanych spotkań: 5; ilość przeprowadzonych spotkań: 2  przyczyna niezrealizowania: COVID-19, w ramach współpracy przeprowadzano wspólnie akcję rozdawania maseczek seniorom)</w:t>
      </w:r>
    </w:p>
    <w:p w14:paraId="6D8E4236" w14:textId="11903FF1" w:rsidR="006C1FB6" w:rsidRPr="006C1FB6" w:rsidRDefault="006C1FB6" w:rsidP="00FE70E3">
      <w:pPr>
        <w:pStyle w:val="Akapitzlist"/>
        <w:numPr>
          <w:ilvl w:val="1"/>
          <w:numId w:val="202"/>
        </w:numPr>
        <w:rPr>
          <w:rFonts w:cs="Times New Roman"/>
          <w:szCs w:val="24"/>
        </w:rPr>
      </w:pPr>
      <w:r w:rsidRPr="006C1FB6">
        <w:rPr>
          <w:rFonts w:cs="Times New Roman"/>
          <w:szCs w:val="24"/>
        </w:rPr>
        <w:t xml:space="preserve">Centrum Nauki i Biznesu "Żak" (w ramach porozumienia odbyły się 2 warsztaty florystyczne, 1 warsztat: 7 osób, 2 warsztat: 8 osób/ ilość zaplanowanych spotkań: 2; ilość przeprowadzonych spotkań: 2). Informacje na powyższy temat są dostępne na </w:t>
      </w:r>
      <w:proofErr w:type="spellStart"/>
      <w:r w:rsidRPr="006C1FB6">
        <w:rPr>
          <w:rFonts w:cs="Times New Roman"/>
          <w:szCs w:val="24"/>
        </w:rPr>
        <w:t>funpage´u</w:t>
      </w:r>
      <w:proofErr w:type="spellEnd"/>
      <w:r w:rsidRPr="006C1FB6">
        <w:rPr>
          <w:rFonts w:cs="Times New Roman"/>
          <w:szCs w:val="24"/>
        </w:rPr>
        <w:t xml:space="preserve"> „</w:t>
      </w:r>
      <w:proofErr w:type="spellStart"/>
      <w:r w:rsidRPr="006C1FB6">
        <w:rPr>
          <w:rFonts w:cs="Times New Roman"/>
          <w:szCs w:val="24"/>
        </w:rPr>
        <w:t>coby</w:t>
      </w:r>
      <w:proofErr w:type="spellEnd"/>
      <w:r w:rsidRPr="006C1FB6">
        <w:rPr>
          <w:rFonts w:cs="Times New Roman"/>
          <w:szCs w:val="24"/>
        </w:rPr>
        <w:t xml:space="preserve"> </w:t>
      </w:r>
      <w:proofErr w:type="spellStart"/>
      <w:r w:rsidRPr="006C1FB6">
        <w:rPr>
          <w:rFonts w:cs="Times New Roman"/>
          <w:szCs w:val="24"/>
        </w:rPr>
        <w:t>starzikom</w:t>
      </w:r>
      <w:proofErr w:type="spellEnd"/>
      <w:r w:rsidRPr="006C1FB6">
        <w:rPr>
          <w:rFonts w:cs="Times New Roman"/>
          <w:szCs w:val="24"/>
        </w:rPr>
        <w:t xml:space="preserve"> żyło się </w:t>
      </w:r>
      <w:proofErr w:type="spellStart"/>
      <w:r w:rsidRPr="006C1FB6">
        <w:rPr>
          <w:rFonts w:cs="Times New Roman"/>
          <w:szCs w:val="24"/>
        </w:rPr>
        <w:t>lepij</w:t>
      </w:r>
      <w:proofErr w:type="spellEnd"/>
      <w:r w:rsidRPr="006C1FB6">
        <w:rPr>
          <w:rFonts w:cs="Times New Roman"/>
          <w:szCs w:val="24"/>
        </w:rPr>
        <w:t xml:space="preserve">” oraz w gablotce budynku OPS Świętochłowice przy ul. Katowickiej 35. </w:t>
      </w:r>
    </w:p>
    <w:p w14:paraId="373D8D8B" w14:textId="3BBC0242" w:rsidR="006C1FB6" w:rsidRPr="00877C83" w:rsidRDefault="006C1FB6" w:rsidP="006C1FB6">
      <w:pPr>
        <w:rPr>
          <w:rFonts w:cs="Times New Roman"/>
          <w:szCs w:val="24"/>
        </w:rPr>
      </w:pPr>
      <w:r w:rsidRPr="00094AB9">
        <w:rPr>
          <w:rFonts w:cs="Times New Roman"/>
          <w:szCs w:val="24"/>
        </w:rPr>
        <w:t>W 2020</w:t>
      </w:r>
      <w:r w:rsidR="00A931B5">
        <w:rPr>
          <w:rFonts w:cs="Times New Roman"/>
          <w:szCs w:val="24"/>
        </w:rPr>
        <w:t xml:space="preserve"> r.</w:t>
      </w:r>
      <w:r w:rsidRPr="00094AB9">
        <w:rPr>
          <w:rFonts w:cs="Times New Roman"/>
          <w:szCs w:val="24"/>
        </w:rPr>
        <w:t xml:space="preserve"> w ramach projektu 24 osoby starsze (uczestnicy/uczestniczki projektu) skorzystały</w:t>
      </w:r>
      <w:r>
        <w:rPr>
          <w:rFonts w:cs="Times New Roman"/>
          <w:szCs w:val="24"/>
        </w:rPr>
        <w:t xml:space="preserve"> również</w:t>
      </w:r>
      <w:r w:rsidRPr="00094AB9">
        <w:rPr>
          <w:rFonts w:cs="Times New Roman"/>
          <w:szCs w:val="24"/>
        </w:rPr>
        <w:t xml:space="preserve"> z nowych technologii tj. uzyskały opaski </w:t>
      </w:r>
      <w:proofErr w:type="spellStart"/>
      <w:r w:rsidRPr="00094AB9">
        <w:rPr>
          <w:rFonts w:cs="Times New Roman"/>
          <w:szCs w:val="24"/>
        </w:rPr>
        <w:t>telemedyczne</w:t>
      </w:r>
      <w:proofErr w:type="spellEnd"/>
      <w:r w:rsidRPr="00094AB9">
        <w:rPr>
          <w:rFonts w:cs="Times New Roman"/>
          <w:szCs w:val="24"/>
        </w:rPr>
        <w:t xml:space="preserve"> na podstawie umowy użyczenia.</w:t>
      </w:r>
    </w:p>
    <w:p w14:paraId="30FC650E" w14:textId="77777777" w:rsidR="006C1FB6" w:rsidRDefault="006C1FB6" w:rsidP="00094AB9">
      <w:pPr>
        <w:rPr>
          <w:rFonts w:cs="Times New Roman"/>
          <w:szCs w:val="24"/>
        </w:rPr>
      </w:pPr>
    </w:p>
    <w:p w14:paraId="0184FA92" w14:textId="61ABF7CF" w:rsidR="00876AC0" w:rsidRDefault="00876AC0" w:rsidP="000D7CDE">
      <w:pPr>
        <w:rPr>
          <w:rFonts w:cs="Times New Roman"/>
          <w:b/>
          <w:bCs/>
          <w:color w:val="FF0000"/>
          <w:szCs w:val="24"/>
        </w:rPr>
      </w:pPr>
    </w:p>
    <w:p w14:paraId="6C417A40" w14:textId="1165A643" w:rsidR="00876AC0" w:rsidRDefault="00876AC0" w:rsidP="00876AC0">
      <w:pPr>
        <w:pStyle w:val="Nagwek3"/>
      </w:pPr>
      <w:bookmarkStart w:id="284" w:name="_Toc77514022"/>
      <w:bookmarkStart w:id="285" w:name="_Toc80523181"/>
      <w:r w:rsidRPr="00876AC0">
        <w:lastRenderedPageBreak/>
        <w:t>Działania związane z ochroną seniorów przed negatywnymi skutkami pandemii COVID-19, które zostały podjęte w 2020 r w województwie dolnośląskim</w:t>
      </w:r>
      <w:bookmarkEnd w:id="284"/>
      <w:bookmarkEnd w:id="285"/>
    </w:p>
    <w:p w14:paraId="03A81795" w14:textId="77777777" w:rsidR="000B1B06" w:rsidRPr="000B1B06" w:rsidRDefault="000B1B06" w:rsidP="000B1B06"/>
    <w:p w14:paraId="72FB0DA8" w14:textId="77777777" w:rsidR="002F5802" w:rsidRDefault="002F5802" w:rsidP="002F5802">
      <w:pPr>
        <w:rPr>
          <w:rFonts w:cs="Times New Roman"/>
          <w:szCs w:val="24"/>
        </w:rPr>
      </w:pPr>
      <w:r w:rsidRPr="002F5802">
        <w:rPr>
          <w:rFonts w:cs="Times New Roman"/>
          <w:szCs w:val="24"/>
        </w:rPr>
        <w:t>Program małych grantów dla organizacji senioralnych i działających na rzecz seniorów.</w:t>
      </w:r>
    </w:p>
    <w:p w14:paraId="4F427BE9" w14:textId="0540D6D8" w:rsidR="002F5802" w:rsidRPr="002F5802" w:rsidRDefault="002F5802" w:rsidP="002F5802">
      <w:pPr>
        <w:rPr>
          <w:rFonts w:cs="Times New Roman"/>
          <w:szCs w:val="24"/>
        </w:rPr>
      </w:pPr>
      <w:r w:rsidRPr="002F5802">
        <w:rPr>
          <w:rFonts w:cs="Times New Roman"/>
          <w:szCs w:val="24"/>
        </w:rPr>
        <w:t>W 2020 r</w:t>
      </w:r>
      <w:r w:rsidR="00A931B5">
        <w:rPr>
          <w:rFonts w:cs="Times New Roman"/>
          <w:szCs w:val="24"/>
        </w:rPr>
        <w:t>.</w:t>
      </w:r>
      <w:r w:rsidRPr="002F5802">
        <w:rPr>
          <w:rFonts w:cs="Times New Roman"/>
          <w:szCs w:val="24"/>
        </w:rPr>
        <w:t xml:space="preserve"> przeprowadzono nabór ofert i dofinansowano 37 podmiotów na łączną kwotę 327 042,86 zł. Złożono ponad 100 wniosków o dofinansowanie. W ramach działań mających na celu wsparcie środowisk seniorskich w okresie epidemii COVID-19 w ramach II priorytetów finansowano:</w:t>
      </w:r>
    </w:p>
    <w:p w14:paraId="02D642D2" w14:textId="77777777" w:rsidR="002F5802" w:rsidRDefault="002F5802" w:rsidP="00FE70E3">
      <w:pPr>
        <w:pStyle w:val="Akapitzlist"/>
        <w:numPr>
          <w:ilvl w:val="0"/>
          <w:numId w:val="198"/>
        </w:numPr>
        <w:rPr>
          <w:rFonts w:cs="Times New Roman"/>
          <w:szCs w:val="24"/>
        </w:rPr>
      </w:pPr>
      <w:r w:rsidRPr="002F5802">
        <w:rPr>
          <w:rFonts w:cs="Times New Roman"/>
          <w:szCs w:val="24"/>
        </w:rPr>
        <w:t>Priorytet I. Zadania z zakresu przeciwdziałania / minimalizowania skutków COVID-19 w środowisku osób starszych,</w:t>
      </w:r>
    </w:p>
    <w:p w14:paraId="0F76F58A" w14:textId="77777777" w:rsidR="002F5802" w:rsidRDefault="002F5802" w:rsidP="00FE70E3">
      <w:pPr>
        <w:pStyle w:val="Akapitzlist"/>
        <w:numPr>
          <w:ilvl w:val="0"/>
          <w:numId w:val="198"/>
        </w:numPr>
        <w:rPr>
          <w:rFonts w:cs="Times New Roman"/>
          <w:szCs w:val="24"/>
        </w:rPr>
      </w:pPr>
      <w:r w:rsidRPr="002F5802">
        <w:rPr>
          <w:rFonts w:cs="Times New Roman"/>
          <w:szCs w:val="24"/>
        </w:rPr>
        <w:t>Priorytet II. Działania z zakresu aktywizacji seniorów w okresie epidemii COVID-19.</w:t>
      </w:r>
    </w:p>
    <w:p w14:paraId="1BAE74C9" w14:textId="52D10BE1" w:rsidR="002F5802" w:rsidRPr="002F5802" w:rsidRDefault="002F5802" w:rsidP="002F5802">
      <w:pPr>
        <w:rPr>
          <w:rFonts w:cs="Times New Roman"/>
          <w:szCs w:val="24"/>
        </w:rPr>
      </w:pPr>
      <w:r w:rsidRPr="002F5802">
        <w:rPr>
          <w:rFonts w:cs="Times New Roman"/>
          <w:szCs w:val="24"/>
        </w:rPr>
        <w:t>Ponadto w 2020 r</w:t>
      </w:r>
      <w:r w:rsidR="00A931B5">
        <w:rPr>
          <w:rFonts w:cs="Times New Roman"/>
          <w:szCs w:val="24"/>
        </w:rPr>
        <w:t>.</w:t>
      </w:r>
      <w:r w:rsidRPr="002F5802">
        <w:rPr>
          <w:rFonts w:cs="Times New Roman"/>
          <w:szCs w:val="24"/>
        </w:rPr>
        <w:t xml:space="preserve"> prowadzono weryfikację sprawozdań podmiotów, które w 2019 r</w:t>
      </w:r>
      <w:r w:rsidR="00A931B5">
        <w:rPr>
          <w:rFonts w:cs="Times New Roman"/>
          <w:szCs w:val="24"/>
        </w:rPr>
        <w:t>.</w:t>
      </w:r>
      <w:r w:rsidRPr="002F5802">
        <w:rPr>
          <w:rFonts w:cs="Times New Roman"/>
          <w:szCs w:val="24"/>
        </w:rPr>
        <w:t xml:space="preserve"> otrzymały dofinansowanie.</w:t>
      </w:r>
    </w:p>
    <w:p w14:paraId="6B5716B3" w14:textId="4F583CD3" w:rsidR="002F5802" w:rsidRDefault="002F5802" w:rsidP="00094AB9">
      <w:pPr>
        <w:rPr>
          <w:rFonts w:cs="Times New Roman"/>
          <w:szCs w:val="24"/>
        </w:rPr>
      </w:pPr>
    </w:p>
    <w:p w14:paraId="313F6DFA" w14:textId="77777777" w:rsidR="006C1FB6" w:rsidRPr="006C1FB6" w:rsidRDefault="006C1FB6" w:rsidP="006C1FB6">
      <w:pPr>
        <w:rPr>
          <w:rFonts w:cs="Times New Roman"/>
          <w:szCs w:val="24"/>
        </w:rPr>
      </w:pPr>
      <w:r w:rsidRPr="006C1FB6">
        <w:rPr>
          <w:rFonts w:cs="Times New Roman"/>
          <w:szCs w:val="24"/>
        </w:rPr>
        <w:t>Projekt „Śląskie pomaga” – usługa SENIOR-FON. W ramach projektu „Śląskie pomaga” uruchomiono i prowadzono linię SENIOR-FON. Specjaliści zatrudnieni w ROPS realizowali wsparcie psychologiczne i interwencyjne skierowane do seniorów mieszkańców naszego Regionu. Usługa ta była odpowiedzią na potrzeby osób starszych podczas pandemii COVID-19 w zakresie:</w:t>
      </w:r>
    </w:p>
    <w:p w14:paraId="75ED2FCD" w14:textId="77777777" w:rsidR="006C1FB6" w:rsidRDefault="006C1FB6" w:rsidP="00FE70E3">
      <w:pPr>
        <w:pStyle w:val="Akapitzlist"/>
        <w:numPr>
          <w:ilvl w:val="0"/>
          <w:numId w:val="203"/>
        </w:numPr>
        <w:rPr>
          <w:rFonts w:cs="Times New Roman"/>
          <w:szCs w:val="24"/>
        </w:rPr>
      </w:pPr>
      <w:r w:rsidRPr="006C1FB6">
        <w:rPr>
          <w:rFonts w:cs="Times New Roman"/>
          <w:szCs w:val="24"/>
        </w:rPr>
        <w:t xml:space="preserve">terapeutycznym – jako wsparcie emocjonalne i pomoc w przełamaniu poczucia osamotnienia, wzmocnienie poczucia bezpieczeństwa w tym trudnym czasie. </w:t>
      </w:r>
    </w:p>
    <w:p w14:paraId="07223B21" w14:textId="3AB2BC43" w:rsidR="006C1FB6" w:rsidRPr="006C1FB6" w:rsidRDefault="006C1FB6" w:rsidP="00FE70E3">
      <w:pPr>
        <w:pStyle w:val="Akapitzlist"/>
        <w:numPr>
          <w:ilvl w:val="0"/>
          <w:numId w:val="203"/>
        </w:numPr>
        <w:rPr>
          <w:rFonts w:cs="Times New Roman"/>
          <w:szCs w:val="24"/>
        </w:rPr>
      </w:pPr>
      <w:r w:rsidRPr="006C1FB6">
        <w:rPr>
          <w:rFonts w:cs="Times New Roman"/>
          <w:szCs w:val="24"/>
        </w:rPr>
        <w:t>interwencyjnym – jako zgłoszenie aktualnych problemów przez seniora, wskutek czego interwenci podejmowali działania skutecznej koordynacji pomocy dla osób w jej środowisku lokalnym (powiadomienie miejscowych służb, sprawdzenie ścieżki pomocy i inne według rozeznanej sytuacji).</w:t>
      </w:r>
    </w:p>
    <w:p w14:paraId="260B520D" w14:textId="77777777" w:rsidR="002F5802" w:rsidRDefault="002F5802" w:rsidP="00094AB9">
      <w:pPr>
        <w:rPr>
          <w:rFonts w:cs="Times New Roman"/>
          <w:szCs w:val="24"/>
        </w:rPr>
      </w:pPr>
    </w:p>
    <w:p w14:paraId="41BBEA39" w14:textId="4066ECB3" w:rsidR="00094AB9" w:rsidRDefault="00094AB9" w:rsidP="00094AB9">
      <w:pPr>
        <w:rPr>
          <w:rFonts w:cs="Times New Roman"/>
          <w:szCs w:val="24"/>
        </w:rPr>
      </w:pPr>
      <w:r w:rsidRPr="00094AB9">
        <w:rPr>
          <w:rFonts w:cs="Times New Roman"/>
          <w:szCs w:val="24"/>
        </w:rPr>
        <w:t xml:space="preserve">"Senior w koronie" - program profilaktyczny dot. zachowania reżimu sanitarnego w czasie pandemii </w:t>
      </w:r>
      <w:proofErr w:type="spellStart"/>
      <w:r w:rsidRPr="00094AB9">
        <w:rPr>
          <w:rFonts w:cs="Times New Roman"/>
          <w:szCs w:val="24"/>
        </w:rPr>
        <w:t>koronawirusa</w:t>
      </w:r>
      <w:proofErr w:type="spellEnd"/>
      <w:r w:rsidRPr="00094AB9">
        <w:rPr>
          <w:rFonts w:cs="Times New Roman"/>
          <w:szCs w:val="24"/>
        </w:rPr>
        <w:t xml:space="preserve"> COVID-19 realizowany w Domu Pomocy Społecznej "Pod Dębem". W ramach działań zapewniono dostępność wsparcia psychologicznego na terenie DPS, rozwieszono plakaty informacyjne o telefonie zaufania dla seniorów podczas pandemii </w:t>
      </w:r>
      <w:proofErr w:type="spellStart"/>
      <w:r w:rsidRPr="00094AB9">
        <w:rPr>
          <w:rFonts w:cs="Times New Roman"/>
          <w:szCs w:val="24"/>
        </w:rPr>
        <w:t>koronawirusa</w:t>
      </w:r>
      <w:proofErr w:type="spellEnd"/>
      <w:r w:rsidRPr="00094AB9">
        <w:rPr>
          <w:rFonts w:cs="Times New Roman"/>
          <w:szCs w:val="24"/>
        </w:rPr>
        <w:t xml:space="preserve"> COVID-19, zamknięto DPS dla osób z zewnątrz, wyjścia mieszkańców poza teren DPS zostały ograniczone do minimum.</w:t>
      </w:r>
    </w:p>
    <w:p w14:paraId="7C076E9B" w14:textId="77777777" w:rsidR="00876AC0" w:rsidRPr="0092226B" w:rsidRDefault="00876AC0" w:rsidP="000D7CDE">
      <w:pPr>
        <w:rPr>
          <w:rFonts w:cs="Times New Roman"/>
          <w:b/>
          <w:bCs/>
          <w:color w:val="FF0000"/>
          <w:szCs w:val="24"/>
        </w:rPr>
      </w:pPr>
    </w:p>
    <w:p w14:paraId="0BF7C4AE" w14:textId="629D6E4B" w:rsidR="00AC180B" w:rsidRDefault="00AC180B" w:rsidP="00AC180B">
      <w:pPr>
        <w:pStyle w:val="Nagwek3"/>
      </w:pPr>
      <w:bookmarkStart w:id="286" w:name="_Toc77514023"/>
      <w:bookmarkStart w:id="287" w:name="_Toc80523182"/>
      <w:r>
        <w:t>Infrastruktura społeczna oraz usługi świadczone osobom starszym w 2020 r.</w:t>
      </w:r>
      <w:bookmarkEnd w:id="286"/>
      <w:bookmarkEnd w:id="287"/>
    </w:p>
    <w:p w14:paraId="4C9D11CE" w14:textId="77777777" w:rsidR="000B1B06" w:rsidRPr="000B1B06" w:rsidRDefault="000B1B06" w:rsidP="000B1B06"/>
    <w:p w14:paraId="3B40EE40" w14:textId="746E781D" w:rsidR="00AC180B" w:rsidRDefault="00AC180B" w:rsidP="00AC180B">
      <w:pPr>
        <w:rPr>
          <w:rFonts w:cs="Times New Roman"/>
          <w:szCs w:val="24"/>
        </w:rPr>
      </w:pPr>
      <w:r w:rsidRPr="00D96C8C">
        <w:rPr>
          <w:rFonts w:cs="Times New Roman"/>
          <w:szCs w:val="24"/>
        </w:rPr>
        <w:t xml:space="preserve">Szczegółowe informacje dotyczące usług oraz infrastruktury społecznej dostępnej dla osób starszych w województwie </w:t>
      </w:r>
      <w:r w:rsidR="005C3916">
        <w:rPr>
          <w:rFonts w:cs="Times New Roman"/>
          <w:szCs w:val="24"/>
        </w:rPr>
        <w:t>śląskim</w:t>
      </w:r>
      <w:r>
        <w:rPr>
          <w:rFonts w:cs="Times New Roman"/>
          <w:szCs w:val="24"/>
        </w:rPr>
        <w:t xml:space="preserve"> w 2020 r. przedstawia poniższa tabela</w:t>
      </w:r>
    </w:p>
    <w:p w14:paraId="4500D914" w14:textId="77777777" w:rsidR="00AC180B" w:rsidRDefault="00AC180B" w:rsidP="000D7CDE">
      <w:pPr>
        <w:rPr>
          <w:rFonts w:cs="Times New Roman"/>
          <w:color w:val="FF0000"/>
          <w:szCs w:val="24"/>
        </w:rPr>
      </w:pPr>
    </w:p>
    <w:p w14:paraId="4C94A736" w14:textId="77777777" w:rsidR="00AC180B" w:rsidRDefault="00AC180B" w:rsidP="000D7CDE">
      <w:pPr>
        <w:rPr>
          <w:rFonts w:cs="Times New Roman"/>
          <w:color w:val="FF0000"/>
          <w:szCs w:val="24"/>
        </w:rPr>
      </w:pPr>
    </w:p>
    <w:p w14:paraId="7DDF9F60" w14:textId="77777777" w:rsidR="00AC180B" w:rsidRPr="0092226B" w:rsidRDefault="00AC180B" w:rsidP="000D7CDE">
      <w:pPr>
        <w:rPr>
          <w:rFonts w:cs="Times New Roman"/>
          <w:color w:val="FF0000"/>
          <w:szCs w:val="24"/>
        </w:rPr>
        <w:sectPr w:rsidR="00AC180B" w:rsidRPr="0092226B" w:rsidSect="00DB6308">
          <w:pgSz w:w="11900" w:h="16838"/>
          <w:pgMar w:top="1384" w:right="1386" w:bottom="1038" w:left="1380" w:header="0" w:footer="567" w:gutter="0"/>
          <w:cols w:space="0" w:equalWidth="0">
            <w:col w:w="9140"/>
          </w:cols>
          <w:docGrid w:linePitch="360"/>
        </w:sectPr>
      </w:pPr>
    </w:p>
    <w:p w14:paraId="06F22123" w14:textId="48F815E1" w:rsidR="004D48DD" w:rsidRPr="006667E9" w:rsidRDefault="004D48DD" w:rsidP="004D48DD">
      <w:pPr>
        <w:pStyle w:val="Legenda"/>
        <w:keepNext/>
        <w:rPr>
          <w:rFonts w:cs="Times New Roman"/>
          <w:b/>
          <w:i w:val="0"/>
          <w:color w:val="auto"/>
          <w:sz w:val="24"/>
          <w:szCs w:val="24"/>
        </w:rPr>
      </w:pPr>
      <w:bookmarkStart w:id="288" w:name="_Toc49171441"/>
      <w:r w:rsidRPr="006667E9">
        <w:rPr>
          <w:rFonts w:cs="Times New Roman"/>
          <w:b/>
          <w:i w:val="0"/>
          <w:color w:val="auto"/>
          <w:sz w:val="24"/>
          <w:szCs w:val="24"/>
        </w:rPr>
        <w:lastRenderedPageBreak/>
        <w:t xml:space="preserve">Tabela </w:t>
      </w:r>
      <w:r w:rsidR="006E7700">
        <w:rPr>
          <w:rFonts w:cs="Times New Roman"/>
          <w:b/>
          <w:i w:val="0"/>
          <w:color w:val="auto"/>
          <w:sz w:val="24"/>
          <w:szCs w:val="24"/>
        </w:rPr>
        <w:t>72</w:t>
      </w:r>
      <w:r w:rsidR="00054E88">
        <w:rPr>
          <w:rFonts w:cs="Times New Roman"/>
          <w:b/>
          <w:i w:val="0"/>
          <w:color w:val="auto"/>
          <w:sz w:val="24"/>
          <w:szCs w:val="24"/>
        </w:rPr>
        <w:t>.</w:t>
      </w:r>
      <w:r w:rsidRPr="006667E9">
        <w:rPr>
          <w:rFonts w:cs="Times New Roman"/>
          <w:b/>
          <w:i w:val="0"/>
          <w:color w:val="auto"/>
          <w:sz w:val="24"/>
          <w:szCs w:val="24"/>
        </w:rPr>
        <w:t xml:space="preserve"> Karta województwa śląskiego</w:t>
      </w:r>
      <w:bookmarkEnd w:id="288"/>
    </w:p>
    <w:tbl>
      <w:tblPr>
        <w:tblStyle w:val="Tabelasiatki5ciemnaakcent2"/>
        <w:tblpPr w:leftFromText="142" w:rightFromText="142" w:vertAnchor="text" w:horzAnchor="margin" w:tblpXSpec="center" w:tblpY="1"/>
        <w:tblW w:w="14741" w:type="dxa"/>
        <w:tblLayout w:type="fixed"/>
        <w:tblLook w:val="04A0" w:firstRow="1" w:lastRow="0" w:firstColumn="1" w:lastColumn="0" w:noHBand="0" w:noVBand="1"/>
      </w:tblPr>
      <w:tblGrid>
        <w:gridCol w:w="2830"/>
        <w:gridCol w:w="3066"/>
        <w:gridCol w:w="53"/>
        <w:gridCol w:w="2895"/>
        <w:gridCol w:w="790"/>
        <w:gridCol w:w="2158"/>
        <w:gridCol w:w="2949"/>
      </w:tblGrid>
      <w:tr w:rsidR="006667E9" w:rsidRPr="006667E9" w14:paraId="5BD553E5" w14:textId="77777777" w:rsidTr="006667E9">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59097B8A" w14:textId="6157D344" w:rsidR="006667E9" w:rsidRPr="00DE642C" w:rsidRDefault="006667E9" w:rsidP="00E86509">
            <w:pPr>
              <w:spacing w:line="240" w:lineRule="auto"/>
              <w:jc w:val="center"/>
              <w:rPr>
                <w:rFonts w:cs="Times New Roman"/>
                <w:color w:val="auto"/>
                <w:sz w:val="20"/>
                <w:szCs w:val="20"/>
              </w:rPr>
            </w:pPr>
            <w:r w:rsidRPr="00DE642C">
              <w:rPr>
                <w:rFonts w:cs="Times New Roman"/>
                <w:color w:val="auto"/>
                <w:sz w:val="20"/>
                <w:szCs w:val="20"/>
              </w:rPr>
              <w:t>WOJEWÓDZTWO ŚLĄSKIE</w:t>
            </w:r>
          </w:p>
        </w:tc>
      </w:tr>
      <w:tr w:rsidR="006667E9" w:rsidRPr="006667E9" w14:paraId="6ED8C9A9" w14:textId="77777777" w:rsidTr="006667E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11EDE78D" w14:textId="573D5529" w:rsidR="00F62C5B" w:rsidRPr="00DE642C" w:rsidRDefault="00F62C5B" w:rsidP="00E86509">
            <w:pPr>
              <w:spacing w:line="240" w:lineRule="auto"/>
              <w:jc w:val="center"/>
              <w:rPr>
                <w:rFonts w:cs="Times New Roman"/>
                <w:b w:val="0"/>
                <w:bCs w:val="0"/>
                <w:color w:val="auto"/>
                <w:sz w:val="20"/>
                <w:szCs w:val="20"/>
              </w:rPr>
            </w:pPr>
            <w:r w:rsidRPr="00DE642C">
              <w:rPr>
                <w:rFonts w:cs="Times New Roman"/>
                <w:color w:val="auto"/>
                <w:sz w:val="20"/>
                <w:szCs w:val="20"/>
              </w:rPr>
              <w:t>USŁUGI SPOŁECZNE DLA OSÓB STARSZYCH / INFRASTRUKTURA POMOCY SPOLECZNEJ – DANE ZA 20</w:t>
            </w:r>
            <w:r w:rsidR="006667E9" w:rsidRPr="00DE642C">
              <w:rPr>
                <w:rFonts w:cs="Times New Roman"/>
                <w:color w:val="auto"/>
                <w:sz w:val="20"/>
                <w:szCs w:val="20"/>
              </w:rPr>
              <w:t>20</w:t>
            </w:r>
            <w:r w:rsidRPr="00DE642C">
              <w:rPr>
                <w:rFonts w:cs="Times New Roman"/>
                <w:color w:val="auto"/>
                <w:sz w:val="20"/>
                <w:szCs w:val="20"/>
              </w:rPr>
              <w:t xml:space="preserve"> R.</w:t>
            </w:r>
          </w:p>
        </w:tc>
      </w:tr>
      <w:tr w:rsidR="006667E9" w:rsidRPr="006667E9" w14:paraId="4F29BC82" w14:textId="77777777" w:rsidTr="006667E9">
        <w:trPr>
          <w:trHeight w:val="7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0DBD5681" w14:textId="77777777" w:rsidR="00F62C5B" w:rsidRPr="00DE642C" w:rsidRDefault="00F62C5B" w:rsidP="00E86509">
            <w:pPr>
              <w:spacing w:line="240" w:lineRule="auto"/>
              <w:rPr>
                <w:rFonts w:eastAsia="Times New Roman" w:cs="Times New Roman"/>
                <w:color w:val="auto"/>
                <w:sz w:val="20"/>
                <w:szCs w:val="20"/>
                <w:lang w:eastAsia="pl-PL"/>
              </w:rPr>
            </w:pPr>
            <w:r w:rsidRPr="00DE642C">
              <w:rPr>
                <w:rFonts w:eastAsia="Times New Roman" w:cs="Times New Roman"/>
                <w:color w:val="auto"/>
                <w:sz w:val="20"/>
                <w:szCs w:val="20"/>
                <w:lang w:eastAsia="pl-PL"/>
              </w:rPr>
              <w:t>Instytucje pomocy społecznej, w tym:</w:t>
            </w:r>
          </w:p>
        </w:tc>
        <w:tc>
          <w:tcPr>
            <w:tcW w:w="3066" w:type="dxa"/>
          </w:tcPr>
          <w:p w14:paraId="33AC3AF3" w14:textId="77777777" w:rsidR="00F62C5B" w:rsidRPr="00DE642C" w:rsidRDefault="00F62C5B"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E642C">
              <w:rPr>
                <w:rFonts w:cs="Times New Roman"/>
                <w:b/>
                <w:sz w:val="20"/>
                <w:szCs w:val="20"/>
              </w:rPr>
              <w:t>Rodzaj placówki</w:t>
            </w:r>
          </w:p>
        </w:tc>
        <w:tc>
          <w:tcPr>
            <w:tcW w:w="2948" w:type="dxa"/>
            <w:gridSpan w:val="2"/>
          </w:tcPr>
          <w:p w14:paraId="715E5CEF" w14:textId="77777777" w:rsidR="00F62C5B" w:rsidRPr="00DE642C" w:rsidRDefault="00F62C5B"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E642C">
              <w:rPr>
                <w:rFonts w:cs="Times New Roman"/>
                <w:b/>
                <w:sz w:val="20"/>
                <w:szCs w:val="20"/>
              </w:rPr>
              <w:t>Liczba placówek</w:t>
            </w:r>
          </w:p>
        </w:tc>
        <w:tc>
          <w:tcPr>
            <w:tcW w:w="2948" w:type="dxa"/>
            <w:gridSpan w:val="2"/>
          </w:tcPr>
          <w:p w14:paraId="4C2022CD" w14:textId="77777777" w:rsidR="00F62C5B" w:rsidRPr="00DE642C" w:rsidRDefault="00F62C5B"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DE642C">
              <w:rPr>
                <w:rFonts w:cs="Times New Roman"/>
                <w:b/>
                <w:sz w:val="20"/>
                <w:szCs w:val="20"/>
              </w:rPr>
              <w:t>Liczba miejsc dla osób starszych</w:t>
            </w:r>
          </w:p>
        </w:tc>
        <w:tc>
          <w:tcPr>
            <w:tcW w:w="2949" w:type="dxa"/>
          </w:tcPr>
          <w:p w14:paraId="07E3F48F" w14:textId="77777777" w:rsidR="00F62C5B" w:rsidRPr="00DE642C" w:rsidRDefault="00F62C5B"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Liczba korzystających osób starszych</w:t>
            </w:r>
          </w:p>
        </w:tc>
      </w:tr>
      <w:tr w:rsidR="006667E9" w:rsidRPr="006667E9" w14:paraId="79B9B85B" w14:textId="77777777" w:rsidTr="006667E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DA6EFE6" w14:textId="77777777" w:rsidR="006667E9" w:rsidRPr="00DE642C" w:rsidRDefault="006667E9" w:rsidP="006667E9">
            <w:pPr>
              <w:spacing w:line="240" w:lineRule="auto"/>
              <w:rPr>
                <w:rFonts w:eastAsia="Times New Roman" w:cs="Times New Roman"/>
                <w:b w:val="0"/>
                <w:bCs w:val="0"/>
                <w:color w:val="auto"/>
                <w:sz w:val="20"/>
                <w:szCs w:val="20"/>
                <w:lang w:eastAsia="pl-PL"/>
              </w:rPr>
            </w:pPr>
          </w:p>
        </w:tc>
        <w:tc>
          <w:tcPr>
            <w:tcW w:w="3066" w:type="dxa"/>
          </w:tcPr>
          <w:p w14:paraId="484E236B" w14:textId="77777777" w:rsidR="006667E9" w:rsidRPr="00DE642C" w:rsidRDefault="006667E9" w:rsidP="006667E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Środowiskowe Domy Samopomocy</w:t>
            </w:r>
          </w:p>
        </w:tc>
        <w:tc>
          <w:tcPr>
            <w:tcW w:w="2948" w:type="dxa"/>
            <w:gridSpan w:val="2"/>
          </w:tcPr>
          <w:p w14:paraId="78B1AA0B" w14:textId="4945266A"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43</w:t>
            </w:r>
          </w:p>
        </w:tc>
        <w:tc>
          <w:tcPr>
            <w:tcW w:w="2948" w:type="dxa"/>
            <w:gridSpan w:val="2"/>
          </w:tcPr>
          <w:p w14:paraId="52D55098" w14:textId="7A55CCD7"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821</w:t>
            </w:r>
          </w:p>
        </w:tc>
        <w:tc>
          <w:tcPr>
            <w:tcW w:w="2949" w:type="dxa"/>
          </w:tcPr>
          <w:p w14:paraId="5C81C6EF" w14:textId="2915E260"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424</w:t>
            </w:r>
          </w:p>
        </w:tc>
      </w:tr>
      <w:tr w:rsidR="006667E9" w:rsidRPr="006667E9" w14:paraId="093C496D" w14:textId="77777777" w:rsidTr="006667E9">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4E26CB9" w14:textId="77777777" w:rsidR="006667E9" w:rsidRPr="00DE642C" w:rsidRDefault="006667E9" w:rsidP="006667E9">
            <w:pPr>
              <w:spacing w:line="240" w:lineRule="auto"/>
              <w:rPr>
                <w:rFonts w:eastAsia="Times New Roman" w:cs="Times New Roman"/>
                <w:b w:val="0"/>
                <w:bCs w:val="0"/>
                <w:color w:val="auto"/>
                <w:sz w:val="20"/>
                <w:szCs w:val="20"/>
                <w:lang w:eastAsia="pl-PL"/>
              </w:rPr>
            </w:pPr>
          </w:p>
        </w:tc>
        <w:tc>
          <w:tcPr>
            <w:tcW w:w="3066" w:type="dxa"/>
          </w:tcPr>
          <w:p w14:paraId="5D71E42D" w14:textId="77777777" w:rsidR="006667E9" w:rsidRPr="00DE642C" w:rsidRDefault="006667E9" w:rsidP="006667E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Dzienne Domy Pomocy</w:t>
            </w:r>
          </w:p>
        </w:tc>
        <w:tc>
          <w:tcPr>
            <w:tcW w:w="2948" w:type="dxa"/>
            <w:gridSpan w:val="2"/>
          </w:tcPr>
          <w:p w14:paraId="754B6C8F" w14:textId="7CDF98CE" w:rsidR="006667E9" w:rsidRPr="00DE642C" w:rsidRDefault="006667E9" w:rsidP="006667E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62</w:t>
            </w:r>
          </w:p>
        </w:tc>
        <w:tc>
          <w:tcPr>
            <w:tcW w:w="2948" w:type="dxa"/>
            <w:gridSpan w:val="2"/>
          </w:tcPr>
          <w:p w14:paraId="69909E76" w14:textId="48A047A5" w:rsidR="006667E9" w:rsidRPr="00DE642C" w:rsidRDefault="006667E9" w:rsidP="006667E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2 550</w:t>
            </w:r>
          </w:p>
        </w:tc>
        <w:tc>
          <w:tcPr>
            <w:tcW w:w="2949" w:type="dxa"/>
          </w:tcPr>
          <w:p w14:paraId="6C1C0016" w14:textId="479A4A6D" w:rsidR="006667E9" w:rsidRPr="00DE642C" w:rsidRDefault="006667E9" w:rsidP="006667E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2 387</w:t>
            </w:r>
          </w:p>
        </w:tc>
      </w:tr>
      <w:tr w:rsidR="006667E9" w:rsidRPr="006667E9" w14:paraId="33AC431E" w14:textId="77777777" w:rsidTr="006667E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8D990C5" w14:textId="77777777" w:rsidR="006667E9" w:rsidRPr="00DE642C" w:rsidRDefault="006667E9" w:rsidP="006667E9">
            <w:pPr>
              <w:spacing w:line="240" w:lineRule="auto"/>
              <w:rPr>
                <w:rFonts w:eastAsia="Times New Roman" w:cs="Times New Roman"/>
                <w:b w:val="0"/>
                <w:bCs w:val="0"/>
                <w:color w:val="auto"/>
                <w:sz w:val="20"/>
                <w:szCs w:val="20"/>
                <w:lang w:eastAsia="pl-PL"/>
              </w:rPr>
            </w:pPr>
          </w:p>
        </w:tc>
        <w:tc>
          <w:tcPr>
            <w:tcW w:w="3066" w:type="dxa"/>
          </w:tcPr>
          <w:p w14:paraId="7D93BBEA" w14:textId="77777777" w:rsidR="006667E9" w:rsidRPr="00DE642C" w:rsidRDefault="006667E9" w:rsidP="006667E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Noclegownie, schroniska i domy dla osób bezdomnych</w:t>
            </w:r>
          </w:p>
        </w:tc>
        <w:tc>
          <w:tcPr>
            <w:tcW w:w="2948" w:type="dxa"/>
            <w:gridSpan w:val="2"/>
          </w:tcPr>
          <w:p w14:paraId="279D04DC" w14:textId="28F6110C"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58</w:t>
            </w:r>
          </w:p>
        </w:tc>
        <w:tc>
          <w:tcPr>
            <w:tcW w:w="2948" w:type="dxa"/>
            <w:gridSpan w:val="2"/>
          </w:tcPr>
          <w:p w14:paraId="4DD02158" w14:textId="47E96260"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1 675</w:t>
            </w:r>
          </w:p>
        </w:tc>
        <w:tc>
          <w:tcPr>
            <w:tcW w:w="2949" w:type="dxa"/>
          </w:tcPr>
          <w:p w14:paraId="449C1A5D" w14:textId="0526115E"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1 233</w:t>
            </w:r>
          </w:p>
        </w:tc>
      </w:tr>
      <w:tr w:rsidR="006667E9" w:rsidRPr="006667E9" w14:paraId="399E3A98" w14:textId="77777777" w:rsidTr="006667E9">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297ADDD" w14:textId="77777777" w:rsidR="006667E9" w:rsidRPr="00DE642C" w:rsidRDefault="006667E9" w:rsidP="006667E9">
            <w:pPr>
              <w:spacing w:line="240" w:lineRule="auto"/>
              <w:rPr>
                <w:rFonts w:eastAsia="Times New Roman" w:cs="Times New Roman"/>
                <w:b w:val="0"/>
                <w:bCs w:val="0"/>
                <w:color w:val="auto"/>
                <w:sz w:val="20"/>
                <w:szCs w:val="20"/>
                <w:lang w:eastAsia="pl-PL"/>
              </w:rPr>
            </w:pPr>
          </w:p>
        </w:tc>
        <w:tc>
          <w:tcPr>
            <w:tcW w:w="3066" w:type="dxa"/>
          </w:tcPr>
          <w:p w14:paraId="3FF5DA91" w14:textId="77777777" w:rsidR="006667E9" w:rsidRPr="00DE642C" w:rsidRDefault="006667E9" w:rsidP="006667E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Ogrzewalnie</w:t>
            </w:r>
          </w:p>
        </w:tc>
        <w:tc>
          <w:tcPr>
            <w:tcW w:w="2948" w:type="dxa"/>
            <w:gridSpan w:val="2"/>
          </w:tcPr>
          <w:p w14:paraId="55CEBA13" w14:textId="02F8B6BB" w:rsidR="006667E9" w:rsidRPr="00DE642C" w:rsidRDefault="006667E9" w:rsidP="006667E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12</w:t>
            </w:r>
          </w:p>
        </w:tc>
        <w:tc>
          <w:tcPr>
            <w:tcW w:w="2948" w:type="dxa"/>
            <w:gridSpan w:val="2"/>
          </w:tcPr>
          <w:p w14:paraId="76C55D17" w14:textId="5F6FEA1E" w:rsidR="006667E9" w:rsidRPr="00DE642C" w:rsidRDefault="006667E9" w:rsidP="006667E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190</w:t>
            </w:r>
          </w:p>
        </w:tc>
        <w:tc>
          <w:tcPr>
            <w:tcW w:w="2949" w:type="dxa"/>
          </w:tcPr>
          <w:p w14:paraId="0C9134AB" w14:textId="2074E77E" w:rsidR="006667E9" w:rsidRPr="00DE642C" w:rsidRDefault="006667E9" w:rsidP="006667E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352</w:t>
            </w:r>
          </w:p>
        </w:tc>
      </w:tr>
      <w:tr w:rsidR="006667E9" w:rsidRPr="006667E9" w14:paraId="632DCC83" w14:textId="77777777" w:rsidTr="006667E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63AB516" w14:textId="77777777" w:rsidR="006667E9" w:rsidRPr="00DE642C" w:rsidRDefault="006667E9" w:rsidP="006667E9">
            <w:pPr>
              <w:spacing w:line="240" w:lineRule="auto"/>
              <w:rPr>
                <w:rFonts w:eastAsia="Times New Roman" w:cs="Times New Roman"/>
                <w:b w:val="0"/>
                <w:bCs w:val="0"/>
                <w:color w:val="auto"/>
                <w:sz w:val="20"/>
                <w:szCs w:val="20"/>
                <w:lang w:eastAsia="pl-PL"/>
              </w:rPr>
            </w:pPr>
          </w:p>
        </w:tc>
        <w:tc>
          <w:tcPr>
            <w:tcW w:w="3066" w:type="dxa"/>
          </w:tcPr>
          <w:p w14:paraId="1541B4A2" w14:textId="77777777" w:rsidR="006667E9" w:rsidRPr="00DE642C" w:rsidRDefault="006667E9" w:rsidP="006667E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Kluby Samopomocy</w:t>
            </w:r>
          </w:p>
        </w:tc>
        <w:tc>
          <w:tcPr>
            <w:tcW w:w="2948" w:type="dxa"/>
            <w:gridSpan w:val="2"/>
          </w:tcPr>
          <w:p w14:paraId="14BB61B4" w14:textId="1A86CE58"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20</w:t>
            </w:r>
          </w:p>
        </w:tc>
        <w:tc>
          <w:tcPr>
            <w:tcW w:w="2948" w:type="dxa"/>
            <w:gridSpan w:val="2"/>
          </w:tcPr>
          <w:p w14:paraId="739FE85D" w14:textId="63757AA8"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561</w:t>
            </w:r>
          </w:p>
        </w:tc>
        <w:tc>
          <w:tcPr>
            <w:tcW w:w="2949" w:type="dxa"/>
          </w:tcPr>
          <w:p w14:paraId="58A23DE8" w14:textId="3FE183EC"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826</w:t>
            </w:r>
          </w:p>
        </w:tc>
      </w:tr>
      <w:tr w:rsidR="006667E9" w:rsidRPr="006667E9" w14:paraId="55520598" w14:textId="77777777" w:rsidTr="006667E9">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F0BB89F" w14:textId="77777777" w:rsidR="006667E9" w:rsidRPr="00DE642C" w:rsidRDefault="006667E9" w:rsidP="006667E9">
            <w:pPr>
              <w:spacing w:line="240" w:lineRule="auto"/>
              <w:rPr>
                <w:rFonts w:eastAsia="Times New Roman" w:cs="Times New Roman"/>
                <w:b w:val="0"/>
                <w:bCs w:val="0"/>
                <w:color w:val="auto"/>
                <w:sz w:val="20"/>
                <w:szCs w:val="20"/>
                <w:lang w:eastAsia="pl-PL"/>
              </w:rPr>
            </w:pPr>
          </w:p>
        </w:tc>
        <w:tc>
          <w:tcPr>
            <w:tcW w:w="3066" w:type="dxa"/>
          </w:tcPr>
          <w:p w14:paraId="2FB68F58" w14:textId="77777777" w:rsidR="006667E9" w:rsidRPr="00DE642C" w:rsidRDefault="006667E9" w:rsidP="006667E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eastAsia="Calibri" w:cs="Times New Roman"/>
                <w:sz w:val="20"/>
                <w:szCs w:val="20"/>
              </w:rPr>
              <w:t>Placówki zapewniające całodobową opiekę osobom niepełnosprawnym, przewlekle chorym lub osobom w podeszłym wieku</w:t>
            </w:r>
          </w:p>
        </w:tc>
        <w:tc>
          <w:tcPr>
            <w:tcW w:w="2948" w:type="dxa"/>
            <w:gridSpan w:val="2"/>
          </w:tcPr>
          <w:p w14:paraId="09A5E5E2" w14:textId="40A6D878" w:rsidR="006667E9" w:rsidRPr="00DE642C" w:rsidRDefault="006667E9" w:rsidP="006667E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21</w:t>
            </w:r>
          </w:p>
        </w:tc>
        <w:tc>
          <w:tcPr>
            <w:tcW w:w="2948" w:type="dxa"/>
            <w:gridSpan w:val="2"/>
          </w:tcPr>
          <w:p w14:paraId="3C70CA72" w14:textId="2CEF5F3E" w:rsidR="006667E9" w:rsidRPr="00DE642C" w:rsidRDefault="006667E9" w:rsidP="006667E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944</w:t>
            </w:r>
          </w:p>
        </w:tc>
        <w:tc>
          <w:tcPr>
            <w:tcW w:w="2949" w:type="dxa"/>
          </w:tcPr>
          <w:p w14:paraId="4E134BDC" w14:textId="498EC296" w:rsidR="006667E9" w:rsidRPr="00DE642C" w:rsidRDefault="006667E9" w:rsidP="006667E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1 235</w:t>
            </w:r>
          </w:p>
        </w:tc>
      </w:tr>
      <w:tr w:rsidR="006667E9" w:rsidRPr="006667E9" w14:paraId="24B04447" w14:textId="77777777" w:rsidTr="006667E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6AD8DC8" w14:textId="77777777" w:rsidR="006667E9" w:rsidRPr="00DE642C" w:rsidRDefault="006667E9" w:rsidP="006667E9">
            <w:pPr>
              <w:spacing w:line="240" w:lineRule="auto"/>
              <w:rPr>
                <w:rFonts w:eastAsia="Times New Roman" w:cs="Times New Roman"/>
                <w:b w:val="0"/>
                <w:bCs w:val="0"/>
                <w:color w:val="auto"/>
                <w:sz w:val="20"/>
                <w:szCs w:val="20"/>
                <w:lang w:eastAsia="pl-PL"/>
              </w:rPr>
            </w:pPr>
          </w:p>
        </w:tc>
        <w:tc>
          <w:tcPr>
            <w:tcW w:w="3066" w:type="dxa"/>
          </w:tcPr>
          <w:p w14:paraId="0B250B46" w14:textId="77777777" w:rsidR="006667E9" w:rsidRPr="00DE642C" w:rsidRDefault="006667E9" w:rsidP="006667E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Domy Pomocy Społecznej</w:t>
            </w:r>
          </w:p>
        </w:tc>
        <w:tc>
          <w:tcPr>
            <w:tcW w:w="2948" w:type="dxa"/>
            <w:gridSpan w:val="2"/>
          </w:tcPr>
          <w:p w14:paraId="272E3933" w14:textId="5BCB3D8C"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101</w:t>
            </w:r>
          </w:p>
        </w:tc>
        <w:tc>
          <w:tcPr>
            <w:tcW w:w="2948" w:type="dxa"/>
            <w:gridSpan w:val="2"/>
          </w:tcPr>
          <w:p w14:paraId="335518EB" w14:textId="762589B0"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6 230</w:t>
            </w:r>
          </w:p>
        </w:tc>
        <w:tc>
          <w:tcPr>
            <w:tcW w:w="2949" w:type="dxa"/>
          </w:tcPr>
          <w:p w14:paraId="62A9BC78" w14:textId="04CBC3C5"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6 045</w:t>
            </w:r>
          </w:p>
        </w:tc>
      </w:tr>
      <w:tr w:rsidR="006667E9" w:rsidRPr="006667E9" w14:paraId="3F8C83E9" w14:textId="77777777" w:rsidTr="006667E9">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93814DD" w14:textId="77777777" w:rsidR="006667E9" w:rsidRPr="00DE642C" w:rsidRDefault="006667E9" w:rsidP="006667E9">
            <w:pPr>
              <w:spacing w:line="240" w:lineRule="auto"/>
              <w:rPr>
                <w:rFonts w:eastAsia="Times New Roman" w:cs="Times New Roman"/>
                <w:b w:val="0"/>
                <w:bCs w:val="0"/>
                <w:color w:val="auto"/>
                <w:sz w:val="20"/>
                <w:szCs w:val="20"/>
                <w:lang w:eastAsia="pl-PL"/>
              </w:rPr>
            </w:pPr>
          </w:p>
        </w:tc>
        <w:tc>
          <w:tcPr>
            <w:tcW w:w="3066" w:type="dxa"/>
          </w:tcPr>
          <w:p w14:paraId="17851730" w14:textId="77777777" w:rsidR="006667E9" w:rsidRPr="00DE642C" w:rsidRDefault="006667E9" w:rsidP="006667E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Mieszkania chronione ogółem</w:t>
            </w:r>
          </w:p>
        </w:tc>
        <w:tc>
          <w:tcPr>
            <w:tcW w:w="2948" w:type="dxa"/>
            <w:gridSpan w:val="2"/>
          </w:tcPr>
          <w:p w14:paraId="67D7490D" w14:textId="1F05086A" w:rsidR="006667E9" w:rsidRPr="00DE642C" w:rsidRDefault="006667E9" w:rsidP="006667E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100</w:t>
            </w:r>
          </w:p>
        </w:tc>
        <w:tc>
          <w:tcPr>
            <w:tcW w:w="2948" w:type="dxa"/>
            <w:gridSpan w:val="2"/>
          </w:tcPr>
          <w:p w14:paraId="491A75E7" w14:textId="19201FAC" w:rsidR="006667E9" w:rsidRPr="00DE642C" w:rsidRDefault="006667E9" w:rsidP="006667E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202</w:t>
            </w:r>
          </w:p>
        </w:tc>
        <w:tc>
          <w:tcPr>
            <w:tcW w:w="2949" w:type="dxa"/>
          </w:tcPr>
          <w:p w14:paraId="1729F444" w14:textId="182216CA" w:rsidR="006667E9" w:rsidRPr="00DE642C" w:rsidRDefault="006667E9" w:rsidP="006667E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132</w:t>
            </w:r>
          </w:p>
        </w:tc>
      </w:tr>
      <w:tr w:rsidR="006667E9" w:rsidRPr="006667E9" w14:paraId="7DBF55F9" w14:textId="77777777" w:rsidTr="006667E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CAD45C2" w14:textId="77777777" w:rsidR="006667E9" w:rsidRPr="00DE642C" w:rsidRDefault="006667E9" w:rsidP="006667E9">
            <w:pPr>
              <w:spacing w:line="240" w:lineRule="auto"/>
              <w:rPr>
                <w:rFonts w:eastAsia="Times New Roman" w:cs="Times New Roman"/>
                <w:b w:val="0"/>
                <w:bCs w:val="0"/>
                <w:color w:val="auto"/>
                <w:sz w:val="20"/>
                <w:szCs w:val="20"/>
                <w:lang w:eastAsia="pl-PL"/>
              </w:rPr>
            </w:pPr>
          </w:p>
        </w:tc>
        <w:tc>
          <w:tcPr>
            <w:tcW w:w="3066" w:type="dxa"/>
          </w:tcPr>
          <w:p w14:paraId="6E59DB39" w14:textId="77777777" w:rsidR="006667E9" w:rsidRPr="00DE642C" w:rsidRDefault="006667E9" w:rsidP="006667E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Ośrodki Interwencji Kryzysowej ogółem</w:t>
            </w:r>
          </w:p>
        </w:tc>
        <w:tc>
          <w:tcPr>
            <w:tcW w:w="2948" w:type="dxa"/>
            <w:gridSpan w:val="2"/>
          </w:tcPr>
          <w:p w14:paraId="083BF8F2" w14:textId="1F209B35"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14</w:t>
            </w:r>
          </w:p>
        </w:tc>
        <w:tc>
          <w:tcPr>
            <w:tcW w:w="2948" w:type="dxa"/>
            <w:gridSpan w:val="2"/>
          </w:tcPr>
          <w:p w14:paraId="7FCA0A4B" w14:textId="006BD158"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126</w:t>
            </w:r>
          </w:p>
        </w:tc>
        <w:tc>
          <w:tcPr>
            <w:tcW w:w="2949" w:type="dxa"/>
          </w:tcPr>
          <w:p w14:paraId="04F9C9CC" w14:textId="6ED0FC07"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384</w:t>
            </w:r>
          </w:p>
        </w:tc>
      </w:tr>
      <w:tr w:rsidR="006667E9" w:rsidRPr="006667E9" w14:paraId="499CF71C" w14:textId="77777777" w:rsidTr="006667E9">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0521A82" w14:textId="77777777" w:rsidR="006667E9" w:rsidRPr="00DE642C" w:rsidRDefault="006667E9" w:rsidP="006667E9">
            <w:pPr>
              <w:spacing w:line="240" w:lineRule="auto"/>
              <w:rPr>
                <w:rFonts w:eastAsia="Times New Roman" w:cs="Times New Roman"/>
                <w:b w:val="0"/>
                <w:bCs w:val="0"/>
                <w:color w:val="auto"/>
                <w:sz w:val="20"/>
                <w:szCs w:val="20"/>
                <w:lang w:eastAsia="pl-PL"/>
              </w:rPr>
            </w:pPr>
          </w:p>
        </w:tc>
        <w:tc>
          <w:tcPr>
            <w:tcW w:w="3066" w:type="dxa"/>
          </w:tcPr>
          <w:p w14:paraId="58CFBA2D" w14:textId="77777777" w:rsidR="006667E9" w:rsidRPr="00DE642C" w:rsidRDefault="006667E9" w:rsidP="006667E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Jednostki specjalistycznego poradnictwa</w:t>
            </w:r>
          </w:p>
        </w:tc>
        <w:tc>
          <w:tcPr>
            <w:tcW w:w="2948" w:type="dxa"/>
            <w:gridSpan w:val="2"/>
          </w:tcPr>
          <w:p w14:paraId="34263F18" w14:textId="40EF0BC8" w:rsidR="006667E9" w:rsidRPr="00DE642C" w:rsidRDefault="006667E9" w:rsidP="006667E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14</w:t>
            </w:r>
          </w:p>
        </w:tc>
        <w:tc>
          <w:tcPr>
            <w:tcW w:w="2948" w:type="dxa"/>
            <w:gridSpan w:val="2"/>
          </w:tcPr>
          <w:p w14:paraId="3A4F4107" w14:textId="434AD7DD" w:rsidR="006667E9" w:rsidRPr="00DE642C" w:rsidRDefault="006667E9" w:rsidP="006667E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414</w:t>
            </w:r>
          </w:p>
        </w:tc>
        <w:tc>
          <w:tcPr>
            <w:tcW w:w="2949" w:type="dxa"/>
          </w:tcPr>
          <w:p w14:paraId="0D7E840F" w14:textId="62617EAB" w:rsidR="006667E9" w:rsidRPr="00DE642C" w:rsidRDefault="006667E9" w:rsidP="006667E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935</w:t>
            </w:r>
          </w:p>
        </w:tc>
      </w:tr>
      <w:tr w:rsidR="006667E9" w:rsidRPr="006667E9" w14:paraId="41611560" w14:textId="77777777" w:rsidTr="006667E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4F2C19E" w14:textId="77777777" w:rsidR="006667E9" w:rsidRPr="00DE642C" w:rsidRDefault="006667E9" w:rsidP="006667E9">
            <w:pPr>
              <w:spacing w:line="240" w:lineRule="auto"/>
              <w:rPr>
                <w:rFonts w:eastAsia="Times New Roman" w:cs="Times New Roman"/>
                <w:b w:val="0"/>
                <w:bCs w:val="0"/>
                <w:sz w:val="20"/>
                <w:szCs w:val="20"/>
                <w:lang w:eastAsia="pl-PL"/>
              </w:rPr>
            </w:pPr>
          </w:p>
        </w:tc>
        <w:tc>
          <w:tcPr>
            <w:tcW w:w="3066" w:type="dxa"/>
          </w:tcPr>
          <w:p w14:paraId="4FFABD30" w14:textId="0D3787E6" w:rsidR="006667E9" w:rsidRPr="00DE642C" w:rsidRDefault="006667E9" w:rsidP="006667E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Placówki wsparcia dziennego</w:t>
            </w:r>
          </w:p>
        </w:tc>
        <w:tc>
          <w:tcPr>
            <w:tcW w:w="2948" w:type="dxa"/>
            <w:gridSpan w:val="2"/>
          </w:tcPr>
          <w:p w14:paraId="6138BEC4" w14:textId="2DA3D518"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37</w:t>
            </w:r>
          </w:p>
        </w:tc>
        <w:tc>
          <w:tcPr>
            <w:tcW w:w="2948" w:type="dxa"/>
            <w:gridSpan w:val="2"/>
          </w:tcPr>
          <w:p w14:paraId="58FB475C" w14:textId="29480A49"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378</w:t>
            </w:r>
          </w:p>
        </w:tc>
        <w:tc>
          <w:tcPr>
            <w:tcW w:w="2949" w:type="dxa"/>
          </w:tcPr>
          <w:p w14:paraId="3AED6C50" w14:textId="51455623" w:rsidR="006667E9" w:rsidRPr="00DE642C" w:rsidRDefault="006667E9" w:rsidP="006667E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350</w:t>
            </w:r>
          </w:p>
        </w:tc>
      </w:tr>
      <w:tr w:rsidR="006667E9" w:rsidRPr="006667E9" w14:paraId="7E2BE8E3" w14:textId="77777777" w:rsidTr="006667E9">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5C0C7D6" w14:textId="77777777" w:rsidR="00F62C5B" w:rsidRPr="00DE642C" w:rsidRDefault="00F62C5B" w:rsidP="00E86509">
            <w:pPr>
              <w:spacing w:line="240" w:lineRule="auto"/>
              <w:rPr>
                <w:rFonts w:eastAsia="Times New Roman" w:cs="Times New Roman"/>
                <w:b w:val="0"/>
                <w:bCs w:val="0"/>
                <w:color w:val="auto"/>
                <w:sz w:val="20"/>
                <w:szCs w:val="20"/>
                <w:lang w:eastAsia="pl-PL"/>
              </w:rPr>
            </w:pPr>
          </w:p>
        </w:tc>
        <w:tc>
          <w:tcPr>
            <w:tcW w:w="3066" w:type="dxa"/>
          </w:tcPr>
          <w:p w14:paraId="6FBF2E56" w14:textId="77777777" w:rsidR="00F62C5B" w:rsidRPr="00DE642C" w:rsidRDefault="00F62C5B" w:rsidP="00E8650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Placówki Senior+, w tym:</w:t>
            </w:r>
          </w:p>
        </w:tc>
        <w:tc>
          <w:tcPr>
            <w:tcW w:w="8845" w:type="dxa"/>
            <w:gridSpan w:val="5"/>
          </w:tcPr>
          <w:p w14:paraId="14619208" w14:textId="4AA494C8" w:rsidR="00F62C5B" w:rsidRPr="00DE642C" w:rsidRDefault="00F62C5B"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064E07" w:rsidRPr="006667E9" w14:paraId="28CA1151" w14:textId="77777777" w:rsidTr="006667E9">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5923E34" w14:textId="77777777" w:rsidR="00064E07" w:rsidRPr="00DE642C" w:rsidRDefault="00064E07" w:rsidP="00020758">
            <w:pPr>
              <w:spacing w:line="240" w:lineRule="auto"/>
              <w:rPr>
                <w:rFonts w:eastAsia="Times New Roman" w:cs="Times New Roman"/>
                <w:b w:val="0"/>
                <w:bCs w:val="0"/>
                <w:color w:val="auto"/>
                <w:sz w:val="20"/>
                <w:szCs w:val="20"/>
                <w:lang w:eastAsia="pl-PL"/>
              </w:rPr>
            </w:pPr>
          </w:p>
        </w:tc>
        <w:tc>
          <w:tcPr>
            <w:tcW w:w="3066" w:type="dxa"/>
          </w:tcPr>
          <w:p w14:paraId="066946E8" w14:textId="77777777" w:rsidR="00064E07" w:rsidRPr="00DE642C" w:rsidRDefault="00064E07" w:rsidP="00020758">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Domy Dziennego Pobytu</w:t>
            </w:r>
          </w:p>
        </w:tc>
        <w:tc>
          <w:tcPr>
            <w:tcW w:w="2948" w:type="dxa"/>
            <w:gridSpan w:val="2"/>
          </w:tcPr>
          <w:p w14:paraId="0FD1E90F" w14:textId="07BBE134" w:rsidR="00064E07" w:rsidRPr="00DE642C" w:rsidRDefault="00064E07" w:rsidP="0002075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sz w:val="20"/>
                <w:szCs w:val="20"/>
              </w:rPr>
              <w:t>34</w:t>
            </w:r>
          </w:p>
        </w:tc>
        <w:tc>
          <w:tcPr>
            <w:tcW w:w="2948" w:type="dxa"/>
            <w:gridSpan w:val="2"/>
          </w:tcPr>
          <w:p w14:paraId="02E68F76" w14:textId="799A120F" w:rsidR="00064E07" w:rsidRPr="00DE642C" w:rsidRDefault="00064E07" w:rsidP="00020758">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sz w:val="20"/>
                <w:szCs w:val="20"/>
              </w:rPr>
              <w:t>984</w:t>
            </w:r>
          </w:p>
        </w:tc>
        <w:tc>
          <w:tcPr>
            <w:tcW w:w="2949" w:type="dxa"/>
            <w:vMerge w:val="restart"/>
          </w:tcPr>
          <w:p w14:paraId="621A5F62" w14:textId="208B9D4F" w:rsidR="00064E07" w:rsidRPr="00DE642C" w:rsidRDefault="00064E07" w:rsidP="008470A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sz w:val="20"/>
                <w:szCs w:val="20"/>
              </w:rPr>
              <w:t>2 709</w:t>
            </w:r>
          </w:p>
        </w:tc>
      </w:tr>
      <w:tr w:rsidR="00064E07" w:rsidRPr="006667E9" w14:paraId="6A9265CC" w14:textId="77777777" w:rsidTr="006667E9">
        <w:trPr>
          <w:trHeight w:val="85"/>
        </w:trPr>
        <w:tc>
          <w:tcPr>
            <w:cnfStyle w:val="001000000000" w:firstRow="0" w:lastRow="0" w:firstColumn="1" w:lastColumn="0" w:oddVBand="0" w:evenVBand="0" w:oddHBand="0" w:evenHBand="0" w:firstRowFirstColumn="0" w:firstRowLastColumn="0" w:lastRowFirstColumn="0" w:lastRowLastColumn="0"/>
            <w:tcW w:w="2830" w:type="dxa"/>
            <w:vMerge/>
          </w:tcPr>
          <w:p w14:paraId="6B070B51" w14:textId="77777777" w:rsidR="00064E07" w:rsidRPr="00DE642C" w:rsidRDefault="00064E07" w:rsidP="00020758">
            <w:pPr>
              <w:spacing w:line="240" w:lineRule="auto"/>
              <w:rPr>
                <w:rFonts w:eastAsia="Times New Roman" w:cs="Times New Roman"/>
                <w:b w:val="0"/>
                <w:bCs w:val="0"/>
                <w:color w:val="auto"/>
                <w:sz w:val="20"/>
                <w:szCs w:val="20"/>
                <w:lang w:eastAsia="pl-PL"/>
              </w:rPr>
            </w:pPr>
          </w:p>
        </w:tc>
        <w:tc>
          <w:tcPr>
            <w:tcW w:w="3066" w:type="dxa"/>
          </w:tcPr>
          <w:p w14:paraId="084A19CA" w14:textId="77777777" w:rsidR="00064E07" w:rsidRPr="00DE642C" w:rsidRDefault="00064E07" w:rsidP="00020758">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Kluby Senior+</w:t>
            </w:r>
          </w:p>
        </w:tc>
        <w:tc>
          <w:tcPr>
            <w:tcW w:w="2948" w:type="dxa"/>
            <w:gridSpan w:val="2"/>
          </w:tcPr>
          <w:p w14:paraId="1DCC1B7F" w14:textId="1C4E0C3C" w:rsidR="00064E07" w:rsidRPr="00DE642C" w:rsidRDefault="00064E07" w:rsidP="0002075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sz w:val="20"/>
                <w:szCs w:val="20"/>
              </w:rPr>
              <w:t>45</w:t>
            </w:r>
          </w:p>
        </w:tc>
        <w:tc>
          <w:tcPr>
            <w:tcW w:w="2948" w:type="dxa"/>
            <w:gridSpan w:val="2"/>
          </w:tcPr>
          <w:p w14:paraId="3A47AB0F" w14:textId="5A62012C" w:rsidR="00064E07" w:rsidRPr="00DE642C" w:rsidRDefault="00064E07" w:rsidP="0002075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sz w:val="20"/>
                <w:szCs w:val="20"/>
              </w:rPr>
              <w:t>1 175</w:t>
            </w:r>
          </w:p>
        </w:tc>
        <w:tc>
          <w:tcPr>
            <w:tcW w:w="2949" w:type="dxa"/>
            <w:vMerge/>
          </w:tcPr>
          <w:p w14:paraId="6A7A22B5" w14:textId="33DC2FAF" w:rsidR="00064E07" w:rsidRPr="00DE642C" w:rsidRDefault="00064E07" w:rsidP="00020758">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6667E9" w:rsidRPr="006667E9" w14:paraId="739CB76A" w14:textId="77777777" w:rsidTr="006667E9">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239E1531" w14:textId="77777777" w:rsidR="00F62C5B" w:rsidRPr="00DE642C" w:rsidRDefault="00F62C5B" w:rsidP="00E86509">
            <w:pPr>
              <w:spacing w:line="240" w:lineRule="auto"/>
              <w:rPr>
                <w:rFonts w:eastAsia="Times New Roman" w:cs="Times New Roman"/>
                <w:color w:val="auto"/>
                <w:sz w:val="20"/>
                <w:szCs w:val="20"/>
                <w:lang w:eastAsia="pl-PL"/>
              </w:rPr>
            </w:pPr>
            <w:r w:rsidRPr="00DE642C">
              <w:rPr>
                <w:rFonts w:eastAsia="Times New Roman" w:cs="Times New Roman"/>
                <w:color w:val="auto"/>
                <w:sz w:val="20"/>
                <w:szCs w:val="20"/>
                <w:lang w:eastAsia="pl-PL"/>
              </w:rPr>
              <w:t>Usługi świadczone osobom starszym</w:t>
            </w:r>
          </w:p>
        </w:tc>
        <w:tc>
          <w:tcPr>
            <w:tcW w:w="3119" w:type="dxa"/>
            <w:gridSpan w:val="2"/>
          </w:tcPr>
          <w:p w14:paraId="029FB7E5" w14:textId="77777777" w:rsidR="00F62C5B" w:rsidRPr="00DE642C" w:rsidRDefault="00F62C5B"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Rodzaj usług</w:t>
            </w:r>
          </w:p>
        </w:tc>
        <w:tc>
          <w:tcPr>
            <w:tcW w:w="3685" w:type="dxa"/>
            <w:gridSpan w:val="2"/>
          </w:tcPr>
          <w:p w14:paraId="445E7D6B" w14:textId="77777777" w:rsidR="00F62C5B" w:rsidRPr="00DE642C" w:rsidRDefault="00F62C5B"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Liczba osób starszych objętych pomocą</w:t>
            </w:r>
          </w:p>
        </w:tc>
        <w:tc>
          <w:tcPr>
            <w:tcW w:w="5107" w:type="dxa"/>
            <w:gridSpan w:val="2"/>
          </w:tcPr>
          <w:p w14:paraId="77FE58AC" w14:textId="77777777" w:rsidR="00F62C5B" w:rsidRPr="00DE642C" w:rsidRDefault="00F62C5B" w:rsidP="00E86509">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DE642C">
              <w:rPr>
                <w:rFonts w:cs="Times New Roman"/>
                <w:b/>
                <w:sz w:val="20"/>
                <w:szCs w:val="20"/>
              </w:rPr>
              <w:t>Wysokość środków przeznaczonych na usługi</w:t>
            </w:r>
          </w:p>
        </w:tc>
      </w:tr>
      <w:tr w:rsidR="00397291" w:rsidRPr="006667E9" w14:paraId="6EF062F5" w14:textId="77777777" w:rsidTr="006667E9">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5E35644D" w14:textId="77777777" w:rsidR="00397291" w:rsidRPr="00DE642C" w:rsidRDefault="00397291" w:rsidP="00397291">
            <w:pPr>
              <w:spacing w:line="240" w:lineRule="auto"/>
              <w:rPr>
                <w:rFonts w:eastAsia="Times New Roman" w:cs="Times New Roman"/>
                <w:color w:val="auto"/>
                <w:sz w:val="20"/>
                <w:szCs w:val="20"/>
                <w:lang w:eastAsia="pl-PL"/>
              </w:rPr>
            </w:pPr>
          </w:p>
        </w:tc>
        <w:tc>
          <w:tcPr>
            <w:tcW w:w="3119" w:type="dxa"/>
            <w:gridSpan w:val="2"/>
          </w:tcPr>
          <w:p w14:paraId="4155D57C" w14:textId="77777777" w:rsidR="00397291" w:rsidRPr="00DE642C" w:rsidRDefault="00397291" w:rsidP="00397291">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Usługi opiekuńcze ogółem</w:t>
            </w:r>
          </w:p>
        </w:tc>
        <w:tc>
          <w:tcPr>
            <w:tcW w:w="3685" w:type="dxa"/>
            <w:gridSpan w:val="2"/>
          </w:tcPr>
          <w:p w14:paraId="14EBC506" w14:textId="4CF9FAF5" w:rsidR="00397291" w:rsidRPr="00DE642C" w:rsidRDefault="00397291" w:rsidP="00397291">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10 905</w:t>
            </w:r>
          </w:p>
        </w:tc>
        <w:tc>
          <w:tcPr>
            <w:tcW w:w="5107" w:type="dxa"/>
            <w:gridSpan w:val="2"/>
          </w:tcPr>
          <w:p w14:paraId="33F23BE4" w14:textId="5D6BC061" w:rsidR="00397291" w:rsidRPr="00DE642C" w:rsidRDefault="00397291" w:rsidP="00397291">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48 212 484,33</w:t>
            </w:r>
            <w:r w:rsidR="002F69B3" w:rsidRPr="00DE642C">
              <w:rPr>
                <w:sz w:val="20"/>
                <w:szCs w:val="20"/>
              </w:rPr>
              <w:t xml:space="preserve"> zł</w:t>
            </w:r>
          </w:p>
        </w:tc>
      </w:tr>
      <w:tr w:rsidR="006667E9" w:rsidRPr="006667E9" w14:paraId="55B71898" w14:textId="77777777" w:rsidTr="006667E9">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171135A3" w14:textId="77777777" w:rsidR="00F51F0D" w:rsidRPr="00DE642C" w:rsidRDefault="00F51F0D" w:rsidP="00E86509">
            <w:pPr>
              <w:spacing w:line="240" w:lineRule="auto"/>
              <w:rPr>
                <w:rFonts w:eastAsia="Times New Roman" w:cs="Times New Roman"/>
                <w:color w:val="auto"/>
                <w:sz w:val="20"/>
                <w:szCs w:val="20"/>
                <w:lang w:eastAsia="pl-PL"/>
              </w:rPr>
            </w:pPr>
          </w:p>
        </w:tc>
        <w:tc>
          <w:tcPr>
            <w:tcW w:w="11911" w:type="dxa"/>
            <w:gridSpan w:val="6"/>
          </w:tcPr>
          <w:p w14:paraId="0A435F99" w14:textId="77777777" w:rsidR="00F51F0D" w:rsidRPr="00DE642C" w:rsidRDefault="00F51F0D" w:rsidP="00E86509">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w tym:</w:t>
            </w:r>
          </w:p>
        </w:tc>
      </w:tr>
      <w:tr w:rsidR="009D5FDF" w:rsidRPr="006667E9" w14:paraId="42775E35" w14:textId="77777777" w:rsidTr="006667E9">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6C3758E8" w14:textId="77777777" w:rsidR="009D5FDF" w:rsidRPr="00DE642C" w:rsidRDefault="009D5FDF" w:rsidP="009D5FDF">
            <w:pPr>
              <w:spacing w:line="240" w:lineRule="auto"/>
              <w:rPr>
                <w:rFonts w:eastAsia="Times New Roman" w:cs="Times New Roman"/>
                <w:color w:val="auto"/>
                <w:sz w:val="20"/>
                <w:szCs w:val="20"/>
                <w:lang w:eastAsia="pl-PL"/>
              </w:rPr>
            </w:pPr>
          </w:p>
        </w:tc>
        <w:tc>
          <w:tcPr>
            <w:tcW w:w="3119" w:type="dxa"/>
            <w:gridSpan w:val="2"/>
          </w:tcPr>
          <w:p w14:paraId="225AA662" w14:textId="77777777" w:rsidR="009D5FDF" w:rsidRPr="00DE642C" w:rsidRDefault="009D5FDF" w:rsidP="009D5FDF">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Specjalistyczne usługi  opiekuńcze</w:t>
            </w:r>
          </w:p>
        </w:tc>
        <w:tc>
          <w:tcPr>
            <w:tcW w:w="3685" w:type="dxa"/>
            <w:gridSpan w:val="2"/>
          </w:tcPr>
          <w:p w14:paraId="0AADB8E0" w14:textId="6735FCD3" w:rsidR="009D5FDF" w:rsidRPr="00DE642C" w:rsidRDefault="009D5FDF" w:rsidP="009D5FDF">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982</w:t>
            </w:r>
          </w:p>
        </w:tc>
        <w:tc>
          <w:tcPr>
            <w:tcW w:w="5107" w:type="dxa"/>
            <w:gridSpan w:val="2"/>
          </w:tcPr>
          <w:p w14:paraId="459A107D" w14:textId="57CE46A3" w:rsidR="009D5FDF" w:rsidRPr="00DE642C" w:rsidRDefault="009D5FDF" w:rsidP="009D5FDF">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3 215 779,59</w:t>
            </w:r>
            <w:r w:rsidR="002F69B3" w:rsidRPr="00DE642C">
              <w:rPr>
                <w:sz w:val="20"/>
                <w:szCs w:val="20"/>
              </w:rPr>
              <w:t xml:space="preserve"> zł</w:t>
            </w:r>
          </w:p>
        </w:tc>
      </w:tr>
      <w:tr w:rsidR="009D5FDF" w:rsidRPr="006667E9" w14:paraId="7E7C69CF" w14:textId="77777777" w:rsidTr="006667E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0" w:type="dxa"/>
            <w:vMerge/>
          </w:tcPr>
          <w:p w14:paraId="7865E613" w14:textId="77777777" w:rsidR="009D5FDF" w:rsidRPr="00DE642C" w:rsidRDefault="009D5FDF" w:rsidP="009D5FDF">
            <w:pPr>
              <w:spacing w:line="240" w:lineRule="auto"/>
              <w:rPr>
                <w:rFonts w:eastAsia="Times New Roman" w:cs="Times New Roman"/>
                <w:color w:val="auto"/>
                <w:sz w:val="20"/>
                <w:szCs w:val="20"/>
                <w:lang w:eastAsia="pl-PL"/>
              </w:rPr>
            </w:pPr>
          </w:p>
        </w:tc>
        <w:tc>
          <w:tcPr>
            <w:tcW w:w="3119" w:type="dxa"/>
            <w:gridSpan w:val="2"/>
          </w:tcPr>
          <w:p w14:paraId="78386A66" w14:textId="77777777" w:rsidR="009D5FDF" w:rsidRPr="00DE642C" w:rsidRDefault="009D5FDF" w:rsidP="009D5FDF">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specjalistyczne usługi opiekuńcze w miejscu zamieszkania dla osób z zaburzeniami psychicznymi</w:t>
            </w:r>
          </w:p>
        </w:tc>
        <w:tc>
          <w:tcPr>
            <w:tcW w:w="3685" w:type="dxa"/>
            <w:gridSpan w:val="2"/>
          </w:tcPr>
          <w:p w14:paraId="2756C2DE" w14:textId="3D6A500E" w:rsidR="009D5FDF" w:rsidRPr="00DE642C" w:rsidRDefault="009D5FDF" w:rsidP="009D5FDF">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462</w:t>
            </w:r>
          </w:p>
        </w:tc>
        <w:tc>
          <w:tcPr>
            <w:tcW w:w="5107" w:type="dxa"/>
            <w:gridSpan w:val="2"/>
          </w:tcPr>
          <w:p w14:paraId="467E8335" w14:textId="7E67CD23" w:rsidR="009D5FDF" w:rsidRPr="00DE642C" w:rsidRDefault="009D5FDF" w:rsidP="009D5FDF">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2 140 879,88</w:t>
            </w:r>
            <w:r w:rsidR="002F69B3" w:rsidRPr="00DE642C">
              <w:rPr>
                <w:sz w:val="20"/>
                <w:szCs w:val="20"/>
              </w:rPr>
              <w:t xml:space="preserve"> zł</w:t>
            </w:r>
          </w:p>
        </w:tc>
      </w:tr>
      <w:tr w:rsidR="006667E9" w:rsidRPr="006667E9" w14:paraId="374DAF2D" w14:textId="77777777" w:rsidTr="006667E9">
        <w:trPr>
          <w:trHeight w:val="19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05F41713" w14:textId="77777777" w:rsidR="00F62C5B" w:rsidRPr="00DE642C" w:rsidRDefault="00F62C5B" w:rsidP="00E86509">
            <w:pPr>
              <w:spacing w:line="240" w:lineRule="auto"/>
              <w:rPr>
                <w:rFonts w:eastAsia="Times New Roman" w:cs="Times New Roman"/>
                <w:color w:val="auto"/>
                <w:sz w:val="20"/>
                <w:szCs w:val="20"/>
                <w:lang w:eastAsia="pl-PL"/>
              </w:rPr>
            </w:pPr>
            <w:r w:rsidRPr="00DE642C">
              <w:rPr>
                <w:rFonts w:eastAsia="Times New Roman" w:cs="Times New Roman"/>
                <w:color w:val="auto"/>
                <w:sz w:val="20"/>
                <w:szCs w:val="20"/>
                <w:lang w:eastAsia="pl-PL"/>
              </w:rPr>
              <w:t>Świadczenia pieniężne przyznane osobom starszym</w:t>
            </w:r>
          </w:p>
        </w:tc>
        <w:tc>
          <w:tcPr>
            <w:tcW w:w="3119" w:type="dxa"/>
            <w:gridSpan w:val="2"/>
          </w:tcPr>
          <w:p w14:paraId="0025E489" w14:textId="77777777" w:rsidR="00F62C5B" w:rsidRPr="00DE642C" w:rsidRDefault="00F62C5B"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Nazwa świadczenia</w:t>
            </w:r>
          </w:p>
        </w:tc>
        <w:tc>
          <w:tcPr>
            <w:tcW w:w="3685" w:type="dxa"/>
            <w:gridSpan w:val="2"/>
          </w:tcPr>
          <w:p w14:paraId="48BD0AD3" w14:textId="77777777" w:rsidR="00F62C5B" w:rsidRPr="00DE642C" w:rsidRDefault="00F62C5B"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Liczba osób starszych</w:t>
            </w:r>
          </w:p>
        </w:tc>
        <w:tc>
          <w:tcPr>
            <w:tcW w:w="5107" w:type="dxa"/>
            <w:gridSpan w:val="2"/>
          </w:tcPr>
          <w:p w14:paraId="17551D31" w14:textId="77777777" w:rsidR="00F62C5B" w:rsidRPr="00DE642C" w:rsidRDefault="00F62C5B" w:rsidP="00E86509">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DE642C">
              <w:rPr>
                <w:rFonts w:cs="Times New Roman"/>
                <w:b/>
                <w:sz w:val="20"/>
                <w:szCs w:val="20"/>
              </w:rPr>
              <w:t>Kwota świadczenia</w:t>
            </w:r>
          </w:p>
        </w:tc>
      </w:tr>
      <w:tr w:rsidR="00397291" w:rsidRPr="006667E9" w14:paraId="5FBC3225" w14:textId="77777777" w:rsidTr="006667E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3A462B0A" w14:textId="77777777" w:rsidR="00397291" w:rsidRPr="00DE642C" w:rsidRDefault="00397291" w:rsidP="00397291">
            <w:pPr>
              <w:spacing w:line="240" w:lineRule="auto"/>
              <w:rPr>
                <w:rFonts w:eastAsia="Times New Roman" w:cs="Times New Roman"/>
                <w:color w:val="auto"/>
                <w:sz w:val="20"/>
                <w:szCs w:val="20"/>
                <w:lang w:eastAsia="pl-PL"/>
              </w:rPr>
            </w:pPr>
          </w:p>
        </w:tc>
        <w:tc>
          <w:tcPr>
            <w:tcW w:w="3119" w:type="dxa"/>
            <w:gridSpan w:val="2"/>
          </w:tcPr>
          <w:p w14:paraId="30EDE25F" w14:textId="77777777" w:rsidR="00397291" w:rsidRPr="00DE642C" w:rsidRDefault="00397291" w:rsidP="00397291">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Zasiłek stały</w:t>
            </w:r>
          </w:p>
        </w:tc>
        <w:tc>
          <w:tcPr>
            <w:tcW w:w="3685" w:type="dxa"/>
            <w:gridSpan w:val="2"/>
          </w:tcPr>
          <w:p w14:paraId="311211C8" w14:textId="335D7ADC" w:rsidR="00397291" w:rsidRPr="00DE642C" w:rsidRDefault="00397291" w:rsidP="00397291">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6 924</w:t>
            </w:r>
          </w:p>
        </w:tc>
        <w:tc>
          <w:tcPr>
            <w:tcW w:w="5107" w:type="dxa"/>
            <w:gridSpan w:val="2"/>
          </w:tcPr>
          <w:p w14:paraId="1D40F322" w14:textId="7DD44563" w:rsidR="00397291" w:rsidRPr="00DE642C" w:rsidRDefault="00397291" w:rsidP="00397291">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35 722 615,65</w:t>
            </w:r>
            <w:r w:rsidR="002F69B3" w:rsidRPr="00DE642C">
              <w:rPr>
                <w:sz w:val="20"/>
                <w:szCs w:val="20"/>
              </w:rPr>
              <w:t xml:space="preserve"> zł</w:t>
            </w:r>
          </w:p>
        </w:tc>
      </w:tr>
      <w:tr w:rsidR="00397291" w:rsidRPr="006667E9" w14:paraId="735E523C" w14:textId="77777777" w:rsidTr="006667E9">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51DCAAA1" w14:textId="77777777" w:rsidR="00397291" w:rsidRPr="00DE642C" w:rsidRDefault="00397291" w:rsidP="00397291">
            <w:pPr>
              <w:spacing w:line="240" w:lineRule="auto"/>
              <w:rPr>
                <w:rFonts w:eastAsia="Times New Roman" w:cs="Times New Roman"/>
                <w:color w:val="auto"/>
                <w:sz w:val="20"/>
                <w:szCs w:val="20"/>
                <w:lang w:eastAsia="pl-PL"/>
              </w:rPr>
            </w:pPr>
          </w:p>
        </w:tc>
        <w:tc>
          <w:tcPr>
            <w:tcW w:w="3119" w:type="dxa"/>
            <w:gridSpan w:val="2"/>
          </w:tcPr>
          <w:p w14:paraId="198ABFA0" w14:textId="77777777" w:rsidR="00397291" w:rsidRPr="00DE642C" w:rsidRDefault="00397291" w:rsidP="00397291">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Zasiłek okresowy</w:t>
            </w:r>
          </w:p>
        </w:tc>
        <w:tc>
          <w:tcPr>
            <w:tcW w:w="3685" w:type="dxa"/>
            <w:gridSpan w:val="2"/>
          </w:tcPr>
          <w:p w14:paraId="7AE62E7E" w14:textId="58F60CD7" w:rsidR="00397291" w:rsidRPr="00DE642C" w:rsidRDefault="00397291" w:rsidP="00397291">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4 071</w:t>
            </w:r>
          </w:p>
        </w:tc>
        <w:tc>
          <w:tcPr>
            <w:tcW w:w="5107" w:type="dxa"/>
            <w:gridSpan w:val="2"/>
          </w:tcPr>
          <w:p w14:paraId="6B92A204" w14:textId="65583380" w:rsidR="00397291" w:rsidRPr="00DE642C" w:rsidRDefault="00397291" w:rsidP="00397291">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6 435 445,50</w:t>
            </w:r>
            <w:r w:rsidR="002F69B3" w:rsidRPr="00DE642C">
              <w:rPr>
                <w:sz w:val="20"/>
                <w:szCs w:val="20"/>
              </w:rPr>
              <w:t xml:space="preserve"> zł</w:t>
            </w:r>
          </w:p>
        </w:tc>
      </w:tr>
      <w:tr w:rsidR="00397291" w:rsidRPr="006667E9" w14:paraId="34B0FED6" w14:textId="77777777" w:rsidTr="006667E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0485BF76" w14:textId="77777777" w:rsidR="00397291" w:rsidRPr="00DE642C" w:rsidRDefault="00397291" w:rsidP="00397291">
            <w:pPr>
              <w:spacing w:line="240" w:lineRule="auto"/>
              <w:rPr>
                <w:rFonts w:eastAsia="Times New Roman" w:cs="Times New Roman"/>
                <w:color w:val="auto"/>
                <w:sz w:val="20"/>
                <w:szCs w:val="20"/>
                <w:lang w:eastAsia="pl-PL"/>
              </w:rPr>
            </w:pPr>
          </w:p>
        </w:tc>
        <w:tc>
          <w:tcPr>
            <w:tcW w:w="3119" w:type="dxa"/>
            <w:gridSpan w:val="2"/>
          </w:tcPr>
          <w:p w14:paraId="1A0EC87E" w14:textId="77777777" w:rsidR="00397291" w:rsidRPr="00DE642C" w:rsidRDefault="00397291" w:rsidP="00397291">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Zasiłek celowy</w:t>
            </w:r>
          </w:p>
        </w:tc>
        <w:tc>
          <w:tcPr>
            <w:tcW w:w="3685" w:type="dxa"/>
            <w:gridSpan w:val="2"/>
          </w:tcPr>
          <w:p w14:paraId="442E4D35" w14:textId="501CB009" w:rsidR="00397291" w:rsidRPr="00DE642C" w:rsidRDefault="00397291" w:rsidP="00397291">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7394</w:t>
            </w:r>
          </w:p>
        </w:tc>
        <w:tc>
          <w:tcPr>
            <w:tcW w:w="5107" w:type="dxa"/>
            <w:gridSpan w:val="2"/>
          </w:tcPr>
          <w:p w14:paraId="3F54D660" w14:textId="6B7DA92B" w:rsidR="00397291" w:rsidRPr="00DE642C" w:rsidRDefault="00397291" w:rsidP="00397291">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sz w:val="20"/>
                <w:szCs w:val="20"/>
              </w:rPr>
              <w:t>5 620 093,67</w:t>
            </w:r>
            <w:r w:rsidR="002F69B3" w:rsidRPr="00DE642C">
              <w:rPr>
                <w:sz w:val="20"/>
                <w:szCs w:val="20"/>
              </w:rPr>
              <w:t xml:space="preserve"> zł</w:t>
            </w:r>
          </w:p>
        </w:tc>
      </w:tr>
      <w:tr w:rsidR="00397291" w:rsidRPr="006667E9" w14:paraId="0AACD448" w14:textId="77777777" w:rsidTr="006667E9">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052D290B" w14:textId="77777777" w:rsidR="00397291" w:rsidRPr="00DE642C" w:rsidRDefault="00397291" w:rsidP="00397291">
            <w:pPr>
              <w:spacing w:line="240" w:lineRule="auto"/>
              <w:rPr>
                <w:rFonts w:eastAsia="Times New Roman" w:cs="Times New Roman"/>
                <w:color w:val="auto"/>
                <w:sz w:val="20"/>
                <w:szCs w:val="20"/>
                <w:lang w:eastAsia="pl-PL"/>
              </w:rPr>
            </w:pPr>
          </w:p>
        </w:tc>
        <w:tc>
          <w:tcPr>
            <w:tcW w:w="3119" w:type="dxa"/>
            <w:gridSpan w:val="2"/>
          </w:tcPr>
          <w:p w14:paraId="308C418C" w14:textId="77777777" w:rsidR="00397291" w:rsidRPr="00DE642C" w:rsidRDefault="00397291" w:rsidP="00397291">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Specjalny zasiłek celowy</w:t>
            </w:r>
          </w:p>
        </w:tc>
        <w:tc>
          <w:tcPr>
            <w:tcW w:w="3685" w:type="dxa"/>
            <w:gridSpan w:val="2"/>
          </w:tcPr>
          <w:p w14:paraId="0FBB5454" w14:textId="749AEC37" w:rsidR="00397291" w:rsidRPr="00DE642C" w:rsidRDefault="00397291" w:rsidP="00397291">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4 595</w:t>
            </w:r>
          </w:p>
        </w:tc>
        <w:tc>
          <w:tcPr>
            <w:tcW w:w="5107" w:type="dxa"/>
            <w:gridSpan w:val="2"/>
          </w:tcPr>
          <w:p w14:paraId="209EE466" w14:textId="73F0F216" w:rsidR="00397291" w:rsidRPr="00DE642C" w:rsidRDefault="00397291" w:rsidP="00397291">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sz w:val="20"/>
                <w:szCs w:val="20"/>
              </w:rPr>
              <w:t>2 858 358,87</w:t>
            </w:r>
            <w:r w:rsidR="002F69B3" w:rsidRPr="00DE642C">
              <w:rPr>
                <w:sz w:val="20"/>
                <w:szCs w:val="20"/>
              </w:rPr>
              <w:t xml:space="preserve"> zł</w:t>
            </w:r>
          </w:p>
        </w:tc>
      </w:tr>
      <w:tr w:rsidR="006667E9" w:rsidRPr="006667E9" w14:paraId="73773864" w14:textId="77777777" w:rsidTr="006667E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23587C9D" w14:textId="77777777" w:rsidR="00F51F0D" w:rsidRPr="00DE642C" w:rsidRDefault="00F51F0D" w:rsidP="00E86509">
            <w:pPr>
              <w:spacing w:line="240" w:lineRule="auto"/>
              <w:rPr>
                <w:rFonts w:cs="Times New Roman"/>
                <w:bCs w:val="0"/>
                <w:color w:val="auto"/>
                <w:sz w:val="20"/>
                <w:szCs w:val="20"/>
                <w:lang w:eastAsia="pl-PL"/>
              </w:rPr>
            </w:pPr>
            <w:r w:rsidRPr="00DE642C">
              <w:rPr>
                <w:rFonts w:cs="Times New Roman"/>
                <w:color w:val="auto"/>
                <w:sz w:val="20"/>
                <w:szCs w:val="20"/>
                <w:lang w:eastAsia="pl-PL"/>
              </w:rPr>
              <w:t>Największe problemy/niedogodności w świadczeniu opieki nad osobami starszymi (np. zasoby kadrowe, rzeczowe, finansowe itp.)</w:t>
            </w:r>
          </w:p>
        </w:tc>
        <w:tc>
          <w:tcPr>
            <w:tcW w:w="11911" w:type="dxa"/>
            <w:gridSpan w:val="6"/>
          </w:tcPr>
          <w:p w14:paraId="14B15E31" w14:textId="38C194ED" w:rsidR="00F51F0D" w:rsidRPr="00DE642C" w:rsidRDefault="00397291" w:rsidP="00FE70E3">
            <w:pPr>
              <w:pStyle w:val="Akapitzlist"/>
              <w:numPr>
                <w:ilvl w:val="0"/>
                <w:numId w:val="13"/>
              </w:numPr>
              <w:spacing w:line="240" w:lineRule="auto"/>
              <w:ind w:left="36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2020</w:t>
            </w:r>
            <w:r w:rsidR="00D6492C">
              <w:rPr>
                <w:rFonts w:cs="Times New Roman"/>
                <w:sz w:val="20"/>
                <w:szCs w:val="20"/>
              </w:rPr>
              <w:t xml:space="preserve"> r.</w:t>
            </w:r>
            <w:r w:rsidRPr="00DE642C">
              <w:rPr>
                <w:rFonts w:cs="Times New Roman"/>
                <w:sz w:val="20"/>
                <w:szCs w:val="20"/>
              </w:rPr>
              <w:t xml:space="preserve"> był trudny ze względu na czas pandemii, osoby korzystające z usług Ośrodków Wsparcia dla Osób Starszych  oraz mieszkańcy DPS ze względu na czas izolacji byli w gorszym stanie psychicznym, co powodowało pewne problemy związane z mobilizowaniem podopiecznych do aktywności.</w:t>
            </w:r>
          </w:p>
        </w:tc>
      </w:tr>
      <w:tr w:rsidR="006667E9" w:rsidRPr="006667E9" w14:paraId="60DA4D1E" w14:textId="77777777" w:rsidTr="006667E9">
        <w:trPr>
          <w:trHeight w:val="243"/>
        </w:trPr>
        <w:tc>
          <w:tcPr>
            <w:cnfStyle w:val="001000000000" w:firstRow="0" w:lastRow="0" w:firstColumn="1" w:lastColumn="0" w:oddVBand="0" w:evenVBand="0" w:oddHBand="0" w:evenHBand="0" w:firstRowFirstColumn="0" w:firstRowLastColumn="0" w:lastRowFirstColumn="0" w:lastRowLastColumn="0"/>
            <w:tcW w:w="2830" w:type="dxa"/>
            <w:vMerge/>
          </w:tcPr>
          <w:p w14:paraId="3FBB562E" w14:textId="77777777" w:rsidR="00F51F0D" w:rsidRPr="00DE642C" w:rsidRDefault="00F51F0D" w:rsidP="00E86509">
            <w:pPr>
              <w:spacing w:line="240" w:lineRule="auto"/>
              <w:rPr>
                <w:rFonts w:cs="Times New Roman"/>
                <w:b w:val="0"/>
                <w:bCs w:val="0"/>
                <w:color w:val="auto"/>
                <w:sz w:val="20"/>
                <w:szCs w:val="20"/>
                <w:lang w:eastAsia="pl-PL"/>
              </w:rPr>
            </w:pPr>
          </w:p>
        </w:tc>
        <w:tc>
          <w:tcPr>
            <w:tcW w:w="11911" w:type="dxa"/>
            <w:gridSpan w:val="6"/>
          </w:tcPr>
          <w:p w14:paraId="10E5F450" w14:textId="12907475" w:rsidR="00F51F0D" w:rsidRPr="00DE642C" w:rsidRDefault="00397291" w:rsidP="00FE70E3">
            <w:pPr>
              <w:pStyle w:val="Akapitzlist"/>
              <w:numPr>
                <w:ilvl w:val="0"/>
                <w:numId w:val="13"/>
              </w:numPr>
              <w:spacing w:line="240" w:lineRule="auto"/>
              <w:ind w:left="36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 xml:space="preserve">Zagrożenia wynikające z sytuacji pandemii Covid-19 - kwarantanny i zachorowania pracowników, skutkowały brakami kadrowymi. Zagrożenie COVID-19 ograniczyło również w znaczny sposób działalność statutową jednostek - działalność terapeutyczną, kulturalno-oświatową, integracyjną, itp., brak środków finansowych na realizację programów i zadań Występują poważne braki kadrowe w odniesieniu do osób świadczących usługi opiekuńcze, specjalistyczne usługi opiekuńcze w miejscu zamieszkania - praca jest bardzo trudna, w trudnych warunkach, wymagająca i niestety słabo płatna, co z kolei powoduje, iż brakuje osób chętnych do jej wykonywania. - Duża rotacja pracowników DPS związana z nieadekwatną wysokością zarobków do obciążenia psychicznego i fizycznego w pracy z osobami starszymi, </w:t>
            </w:r>
            <w:proofErr w:type="spellStart"/>
            <w:r w:rsidRPr="00DE642C">
              <w:rPr>
                <w:rFonts w:cs="Times New Roman"/>
                <w:sz w:val="20"/>
                <w:szCs w:val="20"/>
              </w:rPr>
              <w:t>dementywnymi</w:t>
            </w:r>
            <w:proofErr w:type="spellEnd"/>
            <w:r w:rsidRPr="00DE642C">
              <w:rPr>
                <w:rFonts w:cs="Times New Roman"/>
                <w:sz w:val="20"/>
                <w:szCs w:val="20"/>
              </w:rPr>
              <w:t>,, niepełnosprawnymi fizycznie. Największym problemem są odejścia pielęgniarek do szpitala, gdzie mają oferowane wyższe zarobki</w:t>
            </w:r>
          </w:p>
        </w:tc>
      </w:tr>
      <w:tr w:rsidR="006667E9" w:rsidRPr="006667E9" w14:paraId="2BB7AE39" w14:textId="77777777" w:rsidTr="006667E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830" w:type="dxa"/>
            <w:vMerge/>
          </w:tcPr>
          <w:p w14:paraId="31CD709C" w14:textId="77777777" w:rsidR="00F51F0D" w:rsidRPr="00DE642C" w:rsidRDefault="00F51F0D" w:rsidP="00E86509">
            <w:pPr>
              <w:spacing w:line="240" w:lineRule="auto"/>
              <w:rPr>
                <w:rFonts w:cs="Times New Roman"/>
                <w:b w:val="0"/>
                <w:bCs w:val="0"/>
                <w:color w:val="auto"/>
                <w:sz w:val="20"/>
                <w:szCs w:val="20"/>
                <w:lang w:eastAsia="pl-PL"/>
              </w:rPr>
            </w:pPr>
          </w:p>
        </w:tc>
        <w:tc>
          <w:tcPr>
            <w:tcW w:w="11911" w:type="dxa"/>
            <w:gridSpan w:val="6"/>
          </w:tcPr>
          <w:p w14:paraId="3165DC0D" w14:textId="1F606EFB" w:rsidR="00F51F0D" w:rsidRPr="00DE642C" w:rsidRDefault="00397291" w:rsidP="00FE70E3">
            <w:pPr>
              <w:pStyle w:val="Akapitzlist"/>
              <w:numPr>
                <w:ilvl w:val="0"/>
                <w:numId w:val="13"/>
              </w:numPr>
              <w:spacing w:line="240" w:lineRule="auto"/>
              <w:ind w:left="36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DE642C">
              <w:rPr>
                <w:rFonts w:cs="Times New Roman"/>
                <w:sz w:val="20"/>
                <w:szCs w:val="20"/>
              </w:rPr>
              <w:t>Problem stanowi długi czas postępowań sądowych o umieszczenie w domach pomocy społecznej bez zgody. Wydłużające się procedury związane z postępowaniem o ubezwłasnowolnienie. W wielu przypadkach brak zaangażowania rodziny  w proces opieki nad członkami rodziny w podeszłym wieku.</w:t>
            </w:r>
          </w:p>
        </w:tc>
      </w:tr>
      <w:tr w:rsidR="006667E9" w:rsidRPr="006667E9" w14:paraId="321CC7C1" w14:textId="77777777" w:rsidTr="006667E9">
        <w:trPr>
          <w:trHeight w:val="442"/>
        </w:trPr>
        <w:tc>
          <w:tcPr>
            <w:cnfStyle w:val="001000000000" w:firstRow="0" w:lastRow="0" w:firstColumn="1" w:lastColumn="0" w:oddVBand="0" w:evenVBand="0" w:oddHBand="0" w:evenHBand="0" w:firstRowFirstColumn="0" w:firstRowLastColumn="0" w:lastRowFirstColumn="0" w:lastRowLastColumn="0"/>
            <w:tcW w:w="2830" w:type="dxa"/>
          </w:tcPr>
          <w:p w14:paraId="038389D6" w14:textId="77777777" w:rsidR="00F62C5B" w:rsidRPr="00DE642C" w:rsidRDefault="00F62C5B" w:rsidP="00E86509">
            <w:pPr>
              <w:spacing w:line="240" w:lineRule="auto"/>
              <w:rPr>
                <w:rFonts w:cs="Times New Roman"/>
                <w:b w:val="0"/>
                <w:bCs w:val="0"/>
                <w:color w:val="auto"/>
                <w:sz w:val="20"/>
                <w:szCs w:val="20"/>
                <w:lang w:eastAsia="pl-PL"/>
              </w:rPr>
            </w:pPr>
            <w:r w:rsidRPr="00DE642C">
              <w:rPr>
                <w:rFonts w:cs="Times New Roman"/>
                <w:color w:val="auto"/>
                <w:sz w:val="20"/>
                <w:szCs w:val="20"/>
                <w:lang w:eastAsia="pl-PL"/>
              </w:rPr>
              <w:t>Stopień zaspokojenia potrzeb w zakresie usług opiekuńczych</w:t>
            </w:r>
          </w:p>
        </w:tc>
        <w:tc>
          <w:tcPr>
            <w:tcW w:w="11911" w:type="dxa"/>
            <w:gridSpan w:val="6"/>
          </w:tcPr>
          <w:p w14:paraId="684B76E3" w14:textId="3BC0DFB9" w:rsidR="00F62C5B" w:rsidRPr="00DE642C" w:rsidRDefault="00397291" w:rsidP="00E86509">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DE642C">
              <w:rPr>
                <w:rFonts w:cs="Times New Roman"/>
                <w:sz w:val="20"/>
                <w:szCs w:val="20"/>
              </w:rPr>
              <w:t>Śląski Urząd Wojewódzki ocenił stopień zaspokojenia potrzeb w zakresie usług opiekuńczych jako</w:t>
            </w:r>
            <w:r w:rsidR="00F62C5B" w:rsidRPr="00DE642C">
              <w:rPr>
                <w:rFonts w:cs="Times New Roman"/>
                <w:sz w:val="20"/>
                <w:szCs w:val="20"/>
              </w:rPr>
              <w:t xml:space="preserve"> </w:t>
            </w:r>
            <w:r w:rsidRPr="00DE642C">
              <w:rPr>
                <w:sz w:val="20"/>
                <w:szCs w:val="20"/>
              </w:rPr>
              <w:t>d</w:t>
            </w:r>
            <w:r w:rsidRPr="00DE642C">
              <w:rPr>
                <w:rFonts w:cs="Times New Roman"/>
                <w:sz w:val="20"/>
                <w:szCs w:val="20"/>
              </w:rPr>
              <w:t>obry, jednakże dostosowany do warunków epidemiologicznych. Wymiary i zakresy usług dostosowane do obowiązujących ograniczeń (czasami rozbieżne z oczekiwaniami osób korzystających z usług) oraz zasobów kadrowych podmiotu świadczącego usługi (zwolnienia lekarskie, zwolnienia z tytułu przebywania na dodatkowym zasiłku opiekuńczym na dzieci).</w:t>
            </w:r>
          </w:p>
        </w:tc>
      </w:tr>
    </w:tbl>
    <w:p w14:paraId="15281048" w14:textId="77777777" w:rsidR="005C6286" w:rsidRPr="005C6286" w:rsidRDefault="005C6286" w:rsidP="005C6286">
      <w:pPr>
        <w:tabs>
          <w:tab w:val="left" w:pos="5400"/>
        </w:tabs>
        <w:rPr>
          <w:rFonts w:eastAsia="Times New Roman" w:cs="Times New Roman"/>
          <w:b/>
          <w:szCs w:val="24"/>
          <w:lang w:eastAsia="pl-PL"/>
        </w:rPr>
      </w:pPr>
      <w:r w:rsidRPr="005C6286">
        <w:rPr>
          <w:rFonts w:eastAsia="Times New Roman" w:cs="Times New Roman"/>
          <w:b/>
          <w:szCs w:val="24"/>
          <w:lang w:eastAsia="pl-PL"/>
        </w:rPr>
        <w:t xml:space="preserve">Źródło: Dane Wojewody </w:t>
      </w:r>
      <w:r>
        <w:rPr>
          <w:rFonts w:eastAsia="Times New Roman" w:cs="Times New Roman"/>
          <w:b/>
          <w:szCs w:val="24"/>
          <w:lang w:eastAsia="pl-PL"/>
        </w:rPr>
        <w:t>Śląskiego</w:t>
      </w:r>
      <w:r w:rsidRPr="005C6286">
        <w:rPr>
          <w:rFonts w:eastAsia="Times New Roman" w:cs="Times New Roman"/>
          <w:b/>
          <w:szCs w:val="24"/>
          <w:lang w:eastAsia="pl-PL"/>
        </w:rPr>
        <w:t xml:space="preserve">. </w:t>
      </w:r>
    </w:p>
    <w:p w14:paraId="3D05537A" w14:textId="77777777" w:rsidR="004965A4" w:rsidRPr="0092226B" w:rsidRDefault="004965A4" w:rsidP="00FE70E3">
      <w:pPr>
        <w:pStyle w:val="Nagwek2"/>
        <w:numPr>
          <w:ilvl w:val="1"/>
          <w:numId w:val="12"/>
        </w:numPr>
        <w:rPr>
          <w:rFonts w:eastAsia="Times New Roman"/>
          <w:color w:val="FF0000"/>
          <w:lang w:eastAsia="ar-SA"/>
        </w:rPr>
        <w:sectPr w:rsidR="004965A4" w:rsidRPr="0092226B" w:rsidSect="00DB6308">
          <w:pgSz w:w="16838" w:h="11900" w:orient="landscape"/>
          <w:pgMar w:top="1380" w:right="1384" w:bottom="1386" w:left="1038" w:header="0" w:footer="567" w:gutter="0"/>
          <w:cols w:space="0" w:equalWidth="0">
            <w:col w:w="9140"/>
          </w:cols>
          <w:docGrid w:linePitch="360"/>
        </w:sectPr>
      </w:pPr>
    </w:p>
    <w:p w14:paraId="10604770" w14:textId="77777777" w:rsidR="00131231" w:rsidRPr="0012413B" w:rsidRDefault="0012413B" w:rsidP="00FE70E3">
      <w:pPr>
        <w:pStyle w:val="Nagwek2"/>
        <w:numPr>
          <w:ilvl w:val="1"/>
          <w:numId w:val="12"/>
        </w:numPr>
        <w:spacing w:before="240" w:after="240"/>
        <w:rPr>
          <w:rFonts w:eastAsia="Times New Roman" w:cs="Times New Roman"/>
          <w:sz w:val="40"/>
          <w:lang w:eastAsia="ar-SA"/>
        </w:rPr>
      </w:pPr>
      <w:r w:rsidRPr="0012413B">
        <w:rPr>
          <w:rFonts w:eastAsia="Times New Roman" w:cs="Times New Roman"/>
          <w:sz w:val="40"/>
          <w:lang w:eastAsia="ar-SA"/>
        </w:rPr>
        <w:lastRenderedPageBreak/>
        <w:t xml:space="preserve"> </w:t>
      </w:r>
      <w:bookmarkStart w:id="289" w:name="_Toc80523183"/>
      <w:r w:rsidR="00B25D75" w:rsidRPr="0012413B">
        <w:rPr>
          <w:rFonts w:eastAsia="Times New Roman" w:cs="Times New Roman"/>
          <w:sz w:val="40"/>
          <w:lang w:eastAsia="ar-SA"/>
        </w:rPr>
        <w:t xml:space="preserve">Województwo </w:t>
      </w:r>
      <w:r w:rsidR="005F0A32" w:rsidRPr="0012413B">
        <w:rPr>
          <w:rFonts w:eastAsia="Times New Roman" w:cs="Times New Roman"/>
          <w:sz w:val="40"/>
          <w:lang w:eastAsia="ar-SA"/>
        </w:rPr>
        <w:t>ś</w:t>
      </w:r>
      <w:r w:rsidR="00475EFA" w:rsidRPr="0012413B">
        <w:rPr>
          <w:rFonts w:eastAsia="Times New Roman" w:cs="Times New Roman"/>
          <w:sz w:val="40"/>
          <w:lang w:eastAsia="ar-SA"/>
        </w:rPr>
        <w:t>więtokrzyskie</w:t>
      </w:r>
      <w:bookmarkEnd w:id="289"/>
    </w:p>
    <w:p w14:paraId="4FEED2E2" w14:textId="77777777" w:rsidR="006E7700" w:rsidRPr="006E7700" w:rsidRDefault="006E7700" w:rsidP="006E7700">
      <w:pPr>
        <w:pStyle w:val="Akapitzlist"/>
        <w:keepNext/>
        <w:keepLines/>
        <w:numPr>
          <w:ilvl w:val="1"/>
          <w:numId w:val="1"/>
        </w:numPr>
        <w:spacing w:before="120" w:after="120"/>
        <w:contextualSpacing w:val="0"/>
        <w:outlineLvl w:val="1"/>
        <w:rPr>
          <w:rFonts w:eastAsiaTheme="majorEastAsia" w:cstheme="majorBidi"/>
          <w:b/>
          <w:vanish/>
          <w:color w:val="ED7D31" w:themeColor="accent2"/>
          <w:sz w:val="34"/>
          <w:szCs w:val="26"/>
          <w:lang w:eastAsia="ar-SA"/>
        </w:rPr>
      </w:pPr>
      <w:bookmarkStart w:id="290" w:name="_Toc80523184"/>
      <w:bookmarkStart w:id="291" w:name="_Toc77514025"/>
      <w:bookmarkEnd w:id="290"/>
    </w:p>
    <w:p w14:paraId="58A15E8A" w14:textId="40C0EE84" w:rsidR="00BC3EB7" w:rsidRDefault="00BC3EB7" w:rsidP="006E7700">
      <w:pPr>
        <w:pStyle w:val="Nagwek3"/>
        <w:rPr>
          <w:lang w:eastAsia="ar-SA"/>
        </w:rPr>
      </w:pPr>
      <w:bookmarkStart w:id="292" w:name="_Toc80523185"/>
      <w:r w:rsidRPr="00BC3EB7">
        <w:rPr>
          <w:lang w:eastAsia="ar-SA"/>
        </w:rPr>
        <w:t>Aktywność ekonomiczna i warunki bytowe</w:t>
      </w:r>
      <w:bookmarkEnd w:id="291"/>
      <w:bookmarkEnd w:id="292"/>
    </w:p>
    <w:p w14:paraId="448B2042" w14:textId="77777777" w:rsidR="000B1B06" w:rsidRPr="000B1B06" w:rsidRDefault="000B1B06" w:rsidP="000B1B06">
      <w:pPr>
        <w:rPr>
          <w:lang w:eastAsia="ar-SA"/>
        </w:rPr>
      </w:pPr>
    </w:p>
    <w:p w14:paraId="41B4BF95" w14:textId="77777777" w:rsidR="00BC3EB7" w:rsidRPr="00BC3EB7" w:rsidRDefault="00BC3EB7" w:rsidP="00BC3EB7">
      <w:pPr>
        <w:rPr>
          <w:rFonts w:cs="Times New Roman"/>
          <w:szCs w:val="24"/>
        </w:rPr>
      </w:pPr>
      <w:r w:rsidRPr="00BC3EB7">
        <w:rPr>
          <w:rFonts w:cs="Times New Roman"/>
          <w:szCs w:val="24"/>
        </w:rPr>
        <w:t>W 2020 r. w województwie świętokrzyskim przeciętny miesięczny dochód rozporządzalny przypadający na 1 osobę w gospodarstwach domowych wyniósł  1727 zł. Na dochód rozporządzalny gospodarstwa domowego składają się przede wszystkim dochody z pracy najemnej oraz dochody ze świadczeń społecznych. W 2020 r. ich udział w dochodzie rozporządzalnym wyniósł odpowiednio 50,1% i 36,8%. W 2020 r. przeciętne miesięczne wydatki na 1 osobę w gospodarstwach domowych wyniosły 994 zł.  Na żywność i napoje bezalkoholowe gospodarstwa domowe przeznaczały przeciętnie 31,2% ogólnej kwoty wydatków, na opłaty z tytułu użytkowania mieszkania lub domu i za korzystanie z nośników energii  - 18,9%, a na zdrowie – 5,5%.</w:t>
      </w:r>
    </w:p>
    <w:p w14:paraId="4E267CBD" w14:textId="77777777" w:rsidR="00BC3EB7" w:rsidRPr="00BC3EB7" w:rsidRDefault="00BC3EB7" w:rsidP="00BC3EB7">
      <w:pPr>
        <w:rPr>
          <w:rFonts w:cs="Times New Roman"/>
          <w:szCs w:val="24"/>
        </w:rPr>
      </w:pPr>
    </w:p>
    <w:p w14:paraId="358C2EAF" w14:textId="77777777" w:rsidR="00BC3EB7" w:rsidRPr="00BC3EB7" w:rsidRDefault="00BC3EB7" w:rsidP="00BC3EB7">
      <w:pPr>
        <w:rPr>
          <w:rFonts w:cs="Times New Roman"/>
          <w:szCs w:val="24"/>
        </w:rPr>
      </w:pPr>
      <w:r w:rsidRPr="00BC3EB7">
        <w:rPr>
          <w:rFonts w:cs="Times New Roman"/>
          <w:szCs w:val="24"/>
        </w:rPr>
        <w:t>W 2020 r. swoją sytuację materialną jako bardzo dobrą i raczej dobrą oceniło 42,3% gospodarstw domowych. Udział gospodarstw określających swoją sytuację materialną jako przeciętną wyniósł 52,7%, a raczej złą i złą ukształtował się na poziomie 5,0%.</w:t>
      </w:r>
    </w:p>
    <w:p w14:paraId="5DE7C91D" w14:textId="77777777" w:rsidR="00BC3EB7" w:rsidRPr="00BC3EB7" w:rsidRDefault="00BC3EB7" w:rsidP="00BC3EB7">
      <w:pPr>
        <w:rPr>
          <w:rFonts w:cs="Times New Roman"/>
          <w:szCs w:val="24"/>
        </w:rPr>
      </w:pPr>
    </w:p>
    <w:p w14:paraId="201B39B3" w14:textId="77777777" w:rsidR="00BC3EB7" w:rsidRPr="00BC3EB7" w:rsidRDefault="00BC3EB7" w:rsidP="00BC3EB7">
      <w:pPr>
        <w:rPr>
          <w:rFonts w:cs="Times New Roman"/>
          <w:szCs w:val="24"/>
        </w:rPr>
      </w:pPr>
      <w:r w:rsidRPr="00BC3EB7">
        <w:rPr>
          <w:rFonts w:cs="Times New Roman"/>
          <w:szCs w:val="24"/>
        </w:rPr>
        <w:t>W analizowanym roku przeciętna liczba osób w gospodarstwie domowym ukształtowała się na poziomie 2,73. Przeciętna powierzchnia użytkowa mieszkania zajmowana przez gospodarstwo domowe wyniosła 87,11 m2.</w:t>
      </w:r>
    </w:p>
    <w:p w14:paraId="4F814B8A" w14:textId="77777777" w:rsidR="00BC3EB7" w:rsidRPr="00BC3EB7" w:rsidRDefault="00BC3EB7" w:rsidP="00BC3EB7">
      <w:pPr>
        <w:rPr>
          <w:rFonts w:cs="Times New Roman"/>
          <w:b/>
          <w:color w:val="FF0000"/>
          <w:szCs w:val="24"/>
          <w:lang w:eastAsia="ar-SA"/>
        </w:rPr>
      </w:pPr>
    </w:p>
    <w:p w14:paraId="2E3BB9DC" w14:textId="47D913D0" w:rsidR="00BC3EB7" w:rsidRDefault="00BC3EB7" w:rsidP="00BC3EB7">
      <w:pPr>
        <w:pStyle w:val="Legenda"/>
        <w:keepNext/>
        <w:rPr>
          <w:rFonts w:cs="Times New Roman"/>
          <w:b/>
          <w:i w:val="0"/>
          <w:color w:val="auto"/>
          <w:sz w:val="24"/>
        </w:rPr>
      </w:pPr>
      <w:r w:rsidRPr="00432294">
        <w:rPr>
          <w:rFonts w:cs="Times New Roman"/>
          <w:b/>
          <w:i w:val="0"/>
          <w:color w:val="auto"/>
          <w:sz w:val="24"/>
        </w:rPr>
        <w:t xml:space="preserve">Tabela </w:t>
      </w:r>
      <w:r w:rsidR="006E7700">
        <w:rPr>
          <w:rFonts w:cs="Times New Roman"/>
          <w:b/>
          <w:i w:val="0"/>
          <w:color w:val="auto"/>
          <w:sz w:val="24"/>
        </w:rPr>
        <w:t>73</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 xml:space="preserve">Aktywność ekonomiczna osób starszych w województwie świętokrzyskim </w:t>
      </w:r>
    </w:p>
    <w:tbl>
      <w:tblPr>
        <w:tblStyle w:val="Tabelasiatki6kolorowaakcent22"/>
        <w:tblpPr w:leftFromText="141" w:rightFromText="141" w:vertAnchor="text" w:tblpXSpec="center" w:tblpY="1"/>
        <w:tblW w:w="9209" w:type="dxa"/>
        <w:tblLayout w:type="fixed"/>
        <w:tblLook w:val="04A0" w:firstRow="1" w:lastRow="0" w:firstColumn="1" w:lastColumn="0" w:noHBand="0" w:noVBand="1"/>
      </w:tblPr>
      <w:tblGrid>
        <w:gridCol w:w="2551"/>
        <w:gridCol w:w="3969"/>
        <w:gridCol w:w="2689"/>
      </w:tblGrid>
      <w:tr w:rsidR="00BC3EB7" w:rsidRPr="00BC3EB7" w14:paraId="334E3883" w14:textId="77777777" w:rsidTr="00430970">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209" w:type="dxa"/>
            <w:gridSpan w:val="3"/>
          </w:tcPr>
          <w:p w14:paraId="445606C3" w14:textId="77777777" w:rsidR="00BC3EB7" w:rsidRPr="00BC3EB7" w:rsidRDefault="00BC3EB7" w:rsidP="00430970">
            <w:pPr>
              <w:jc w:val="center"/>
              <w:rPr>
                <w:rFonts w:cs="Times New Roman"/>
                <w:color w:val="auto"/>
                <w:sz w:val="20"/>
                <w:szCs w:val="20"/>
              </w:rPr>
            </w:pPr>
            <w:r w:rsidRPr="00BC3EB7">
              <w:rPr>
                <w:rFonts w:cs="Times New Roman"/>
                <w:color w:val="auto"/>
                <w:sz w:val="20"/>
                <w:szCs w:val="20"/>
                <w:lang w:eastAsia="pl-PL"/>
              </w:rPr>
              <w:t>AKTYWNOŚĆ EKONOMICZNA OSÓB STARSZYCH – DANE ZA 2020 R.</w:t>
            </w:r>
          </w:p>
        </w:tc>
      </w:tr>
      <w:tr w:rsidR="00BC3EB7" w:rsidRPr="00BC3EB7" w14:paraId="092848E7" w14:textId="77777777" w:rsidTr="0043097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520" w:type="dxa"/>
            <w:gridSpan w:val="2"/>
          </w:tcPr>
          <w:p w14:paraId="5ADAD2FA" w14:textId="77777777" w:rsidR="00BC3EB7" w:rsidRPr="00BC3EB7" w:rsidRDefault="00BC3EB7" w:rsidP="00430970">
            <w:pPr>
              <w:rPr>
                <w:rFonts w:cs="Times New Roman"/>
                <w:color w:val="auto"/>
                <w:sz w:val="20"/>
                <w:szCs w:val="20"/>
              </w:rPr>
            </w:pPr>
            <w:r w:rsidRPr="00BC3EB7">
              <w:rPr>
                <w:rFonts w:cs="Times New Roman"/>
                <w:color w:val="auto"/>
                <w:sz w:val="20"/>
                <w:szCs w:val="20"/>
              </w:rPr>
              <w:t>Podział</w:t>
            </w:r>
          </w:p>
        </w:tc>
        <w:tc>
          <w:tcPr>
            <w:tcW w:w="2689" w:type="dxa"/>
          </w:tcPr>
          <w:p w14:paraId="17DCB569" w14:textId="77777777" w:rsidR="00BC3EB7" w:rsidRPr="00BC3EB7" w:rsidRDefault="00BC3EB7" w:rsidP="00430970">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BC3EB7">
              <w:rPr>
                <w:rFonts w:cs="Times New Roman"/>
                <w:b/>
                <w:color w:val="auto"/>
                <w:sz w:val="20"/>
                <w:szCs w:val="20"/>
              </w:rPr>
              <w:t>Liczba</w:t>
            </w:r>
          </w:p>
        </w:tc>
      </w:tr>
      <w:tr w:rsidR="00BC3EB7" w:rsidRPr="00BC3EB7" w14:paraId="74A48D0F" w14:textId="77777777" w:rsidTr="00430970">
        <w:trPr>
          <w:trHeight w:val="224"/>
        </w:trPr>
        <w:tc>
          <w:tcPr>
            <w:cnfStyle w:val="001000000000" w:firstRow="0" w:lastRow="0" w:firstColumn="1" w:lastColumn="0" w:oddVBand="0" w:evenVBand="0" w:oddHBand="0" w:evenHBand="0" w:firstRowFirstColumn="0" w:firstRowLastColumn="0" w:lastRowFirstColumn="0" w:lastRowLastColumn="0"/>
            <w:tcW w:w="2551" w:type="dxa"/>
            <w:vMerge w:val="restart"/>
          </w:tcPr>
          <w:p w14:paraId="69816B88" w14:textId="77777777" w:rsidR="00BC3EB7" w:rsidRPr="00BC3EB7" w:rsidRDefault="00BC3EB7" w:rsidP="00430970">
            <w:pPr>
              <w:rPr>
                <w:rFonts w:cs="Times New Roman"/>
                <w:b w:val="0"/>
                <w:color w:val="auto"/>
                <w:sz w:val="20"/>
                <w:szCs w:val="20"/>
                <w:lang w:eastAsia="pl-PL"/>
              </w:rPr>
            </w:pPr>
            <w:r w:rsidRPr="00BC3EB7">
              <w:rPr>
                <w:rFonts w:cs="Times New Roman"/>
                <w:color w:val="auto"/>
                <w:sz w:val="20"/>
                <w:szCs w:val="20"/>
                <w:lang w:eastAsia="pl-PL"/>
              </w:rPr>
              <w:t>Osoby aktywne zawodowo razem (w tys.)</w:t>
            </w:r>
          </w:p>
        </w:tc>
        <w:tc>
          <w:tcPr>
            <w:tcW w:w="3969" w:type="dxa"/>
          </w:tcPr>
          <w:p w14:paraId="2507214A"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ogółem</w:t>
            </w:r>
          </w:p>
        </w:tc>
        <w:tc>
          <w:tcPr>
            <w:tcW w:w="2689" w:type="dxa"/>
          </w:tcPr>
          <w:p w14:paraId="1D94E868"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548</w:t>
            </w:r>
          </w:p>
        </w:tc>
      </w:tr>
      <w:tr w:rsidR="00BC3EB7" w:rsidRPr="00BC3EB7" w14:paraId="73BE2AD8" w14:textId="77777777" w:rsidTr="0053243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51" w:type="dxa"/>
            <w:vMerge/>
          </w:tcPr>
          <w:p w14:paraId="67C469E3" w14:textId="77777777" w:rsidR="00BC3EB7" w:rsidRPr="00BC3EB7" w:rsidRDefault="00BC3EB7" w:rsidP="00430970">
            <w:pPr>
              <w:rPr>
                <w:rFonts w:cs="Times New Roman"/>
                <w:b w:val="0"/>
                <w:color w:val="auto"/>
                <w:sz w:val="20"/>
                <w:szCs w:val="20"/>
                <w:lang w:eastAsia="pl-PL"/>
              </w:rPr>
            </w:pPr>
          </w:p>
        </w:tc>
        <w:tc>
          <w:tcPr>
            <w:tcW w:w="3969" w:type="dxa"/>
          </w:tcPr>
          <w:p w14:paraId="751F29F7"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w tym w wieku 60+</w:t>
            </w:r>
          </w:p>
        </w:tc>
        <w:tc>
          <w:tcPr>
            <w:tcW w:w="2689" w:type="dxa"/>
          </w:tcPr>
          <w:p w14:paraId="4799D647"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52</w:t>
            </w:r>
          </w:p>
        </w:tc>
      </w:tr>
      <w:tr w:rsidR="00BC3EB7" w:rsidRPr="00BC3EB7" w14:paraId="2DB18D15" w14:textId="77777777" w:rsidTr="00430970">
        <w:trPr>
          <w:trHeight w:val="285"/>
        </w:trPr>
        <w:tc>
          <w:tcPr>
            <w:cnfStyle w:val="001000000000" w:firstRow="0" w:lastRow="0" w:firstColumn="1" w:lastColumn="0" w:oddVBand="0" w:evenVBand="0" w:oddHBand="0" w:evenHBand="0" w:firstRowFirstColumn="0" w:firstRowLastColumn="0" w:lastRowFirstColumn="0" w:lastRowLastColumn="0"/>
            <w:tcW w:w="2551" w:type="dxa"/>
            <w:vMerge w:val="restart"/>
          </w:tcPr>
          <w:p w14:paraId="617EA47E" w14:textId="77777777" w:rsidR="00BC3EB7" w:rsidRPr="00BC3EB7" w:rsidRDefault="00BC3EB7" w:rsidP="00430970">
            <w:pPr>
              <w:rPr>
                <w:rFonts w:cs="Times New Roman"/>
                <w:b w:val="0"/>
                <w:color w:val="auto"/>
                <w:sz w:val="20"/>
                <w:szCs w:val="20"/>
                <w:lang w:eastAsia="pl-PL"/>
              </w:rPr>
            </w:pPr>
            <w:r w:rsidRPr="00BC3EB7">
              <w:rPr>
                <w:rFonts w:cs="Times New Roman"/>
                <w:color w:val="auto"/>
                <w:sz w:val="20"/>
                <w:szCs w:val="20"/>
                <w:lang w:eastAsia="pl-PL"/>
              </w:rPr>
              <w:t xml:space="preserve">Osoby aktywne zawodowo </w:t>
            </w:r>
            <w:r w:rsidRPr="00BC3EB7">
              <w:rPr>
                <w:rFonts w:cs="Times New Roman"/>
                <w:color w:val="auto"/>
                <w:sz w:val="20"/>
                <w:szCs w:val="20"/>
                <w:lang w:eastAsia="pl-PL"/>
              </w:rPr>
              <w:br/>
              <w:t>– pracujący (w tys.)</w:t>
            </w:r>
          </w:p>
        </w:tc>
        <w:tc>
          <w:tcPr>
            <w:tcW w:w="3969" w:type="dxa"/>
          </w:tcPr>
          <w:p w14:paraId="527951B6"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Ogółem</w:t>
            </w:r>
          </w:p>
        </w:tc>
        <w:tc>
          <w:tcPr>
            <w:tcW w:w="2689" w:type="dxa"/>
          </w:tcPr>
          <w:p w14:paraId="13408817"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524</w:t>
            </w:r>
          </w:p>
        </w:tc>
      </w:tr>
      <w:tr w:rsidR="00BC3EB7" w:rsidRPr="00BC3EB7" w14:paraId="3931630E" w14:textId="77777777" w:rsidTr="0053243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551" w:type="dxa"/>
            <w:vMerge/>
          </w:tcPr>
          <w:p w14:paraId="0F7E3759" w14:textId="77777777" w:rsidR="00BC3EB7" w:rsidRPr="00BC3EB7" w:rsidRDefault="00BC3EB7" w:rsidP="00430970">
            <w:pPr>
              <w:rPr>
                <w:rFonts w:cs="Times New Roman"/>
                <w:b w:val="0"/>
                <w:color w:val="auto"/>
                <w:sz w:val="20"/>
                <w:szCs w:val="20"/>
                <w:lang w:eastAsia="pl-PL"/>
              </w:rPr>
            </w:pPr>
          </w:p>
        </w:tc>
        <w:tc>
          <w:tcPr>
            <w:tcW w:w="3969" w:type="dxa"/>
          </w:tcPr>
          <w:p w14:paraId="781E0734"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w tym w wieku 60+</w:t>
            </w:r>
          </w:p>
        </w:tc>
        <w:tc>
          <w:tcPr>
            <w:tcW w:w="2689" w:type="dxa"/>
          </w:tcPr>
          <w:p w14:paraId="330746BC"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52</w:t>
            </w:r>
          </w:p>
        </w:tc>
      </w:tr>
      <w:tr w:rsidR="00BC3EB7" w:rsidRPr="00BC3EB7" w14:paraId="2E0E6424" w14:textId="77777777" w:rsidTr="00430970">
        <w:trPr>
          <w:trHeight w:val="224"/>
        </w:trPr>
        <w:tc>
          <w:tcPr>
            <w:cnfStyle w:val="001000000000" w:firstRow="0" w:lastRow="0" w:firstColumn="1" w:lastColumn="0" w:oddVBand="0" w:evenVBand="0" w:oddHBand="0" w:evenHBand="0" w:firstRowFirstColumn="0" w:firstRowLastColumn="0" w:lastRowFirstColumn="0" w:lastRowLastColumn="0"/>
            <w:tcW w:w="2551" w:type="dxa"/>
            <w:vMerge w:val="restart"/>
          </w:tcPr>
          <w:p w14:paraId="36B1D1E0" w14:textId="77777777" w:rsidR="00BC3EB7" w:rsidRPr="00BC3EB7" w:rsidRDefault="00BC3EB7" w:rsidP="00430970">
            <w:pPr>
              <w:rPr>
                <w:rFonts w:cs="Times New Roman"/>
                <w:b w:val="0"/>
                <w:color w:val="auto"/>
                <w:sz w:val="20"/>
                <w:szCs w:val="20"/>
                <w:lang w:eastAsia="pl-PL"/>
              </w:rPr>
            </w:pPr>
            <w:r w:rsidRPr="00BC3EB7">
              <w:rPr>
                <w:rFonts w:cs="Times New Roman"/>
                <w:color w:val="auto"/>
                <w:sz w:val="20"/>
                <w:szCs w:val="20"/>
                <w:lang w:eastAsia="pl-PL"/>
              </w:rPr>
              <w:t>Osoby bierne zawodowo (w tys.)</w:t>
            </w:r>
          </w:p>
        </w:tc>
        <w:tc>
          <w:tcPr>
            <w:tcW w:w="3969" w:type="dxa"/>
          </w:tcPr>
          <w:p w14:paraId="5ECD4448"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ogółem</w:t>
            </w:r>
          </w:p>
        </w:tc>
        <w:tc>
          <w:tcPr>
            <w:tcW w:w="2689" w:type="dxa"/>
          </w:tcPr>
          <w:p w14:paraId="03C16A0F"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447</w:t>
            </w:r>
          </w:p>
        </w:tc>
      </w:tr>
      <w:tr w:rsidR="00BC3EB7" w:rsidRPr="00BC3EB7" w14:paraId="0A938C68" w14:textId="77777777" w:rsidTr="0053243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551" w:type="dxa"/>
            <w:vMerge/>
          </w:tcPr>
          <w:p w14:paraId="792496BC" w14:textId="77777777" w:rsidR="00BC3EB7" w:rsidRPr="00BC3EB7" w:rsidRDefault="00BC3EB7" w:rsidP="00430970">
            <w:pPr>
              <w:rPr>
                <w:rFonts w:cs="Times New Roman"/>
                <w:b w:val="0"/>
                <w:color w:val="auto"/>
                <w:sz w:val="20"/>
                <w:szCs w:val="20"/>
                <w:lang w:eastAsia="pl-PL"/>
              </w:rPr>
            </w:pPr>
          </w:p>
        </w:tc>
        <w:tc>
          <w:tcPr>
            <w:tcW w:w="3969" w:type="dxa"/>
          </w:tcPr>
          <w:p w14:paraId="0BB7AC73"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w tym w wieku 60+</w:t>
            </w:r>
          </w:p>
        </w:tc>
        <w:tc>
          <w:tcPr>
            <w:tcW w:w="2689" w:type="dxa"/>
          </w:tcPr>
          <w:p w14:paraId="205F7EE3"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280</w:t>
            </w:r>
          </w:p>
        </w:tc>
      </w:tr>
      <w:tr w:rsidR="00BC3EB7" w:rsidRPr="00BC3EB7" w14:paraId="684C75AA" w14:textId="77777777" w:rsidTr="00430970">
        <w:trPr>
          <w:trHeight w:val="285"/>
        </w:trPr>
        <w:tc>
          <w:tcPr>
            <w:cnfStyle w:val="001000000000" w:firstRow="0" w:lastRow="0" w:firstColumn="1" w:lastColumn="0" w:oddVBand="0" w:evenVBand="0" w:oddHBand="0" w:evenHBand="0" w:firstRowFirstColumn="0" w:firstRowLastColumn="0" w:lastRowFirstColumn="0" w:lastRowLastColumn="0"/>
            <w:tcW w:w="2551" w:type="dxa"/>
            <w:vMerge w:val="restart"/>
          </w:tcPr>
          <w:p w14:paraId="597E1F43" w14:textId="77777777" w:rsidR="00BC3EB7" w:rsidRPr="00BC3EB7" w:rsidRDefault="00BC3EB7" w:rsidP="00430970">
            <w:pPr>
              <w:rPr>
                <w:rFonts w:cs="Times New Roman"/>
                <w:b w:val="0"/>
                <w:color w:val="auto"/>
                <w:sz w:val="20"/>
                <w:szCs w:val="20"/>
                <w:lang w:eastAsia="pl-PL"/>
              </w:rPr>
            </w:pPr>
            <w:r w:rsidRPr="00BC3EB7">
              <w:rPr>
                <w:rFonts w:cs="Times New Roman"/>
                <w:color w:val="auto"/>
                <w:sz w:val="20"/>
                <w:szCs w:val="20"/>
                <w:lang w:eastAsia="pl-PL"/>
              </w:rPr>
              <w:t>Współczynnik aktywności zawodowej %</w:t>
            </w:r>
          </w:p>
        </w:tc>
        <w:tc>
          <w:tcPr>
            <w:tcW w:w="3969" w:type="dxa"/>
          </w:tcPr>
          <w:p w14:paraId="568230FE"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Ogółem</w:t>
            </w:r>
          </w:p>
        </w:tc>
        <w:tc>
          <w:tcPr>
            <w:tcW w:w="2689" w:type="dxa"/>
          </w:tcPr>
          <w:p w14:paraId="5B9E7071"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55,1</w:t>
            </w:r>
          </w:p>
        </w:tc>
      </w:tr>
      <w:tr w:rsidR="00BC3EB7" w:rsidRPr="00BC3EB7" w14:paraId="5CE28FF8" w14:textId="77777777" w:rsidTr="0053243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51" w:type="dxa"/>
            <w:vMerge/>
          </w:tcPr>
          <w:p w14:paraId="584AFA0F" w14:textId="77777777" w:rsidR="00BC3EB7" w:rsidRPr="00BC3EB7" w:rsidRDefault="00BC3EB7" w:rsidP="00430970">
            <w:pPr>
              <w:rPr>
                <w:rFonts w:cs="Times New Roman"/>
                <w:b w:val="0"/>
                <w:color w:val="auto"/>
                <w:sz w:val="20"/>
                <w:szCs w:val="20"/>
                <w:lang w:eastAsia="pl-PL"/>
              </w:rPr>
            </w:pPr>
          </w:p>
        </w:tc>
        <w:tc>
          <w:tcPr>
            <w:tcW w:w="3969" w:type="dxa"/>
          </w:tcPr>
          <w:p w14:paraId="4F680297"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w tym w wieku 60+</w:t>
            </w:r>
          </w:p>
        </w:tc>
        <w:tc>
          <w:tcPr>
            <w:tcW w:w="2689" w:type="dxa"/>
          </w:tcPr>
          <w:p w14:paraId="64383F55"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15,7</w:t>
            </w:r>
          </w:p>
        </w:tc>
      </w:tr>
      <w:tr w:rsidR="00BC3EB7" w:rsidRPr="00BC3EB7" w14:paraId="17D25241" w14:textId="77777777" w:rsidTr="00430970">
        <w:trPr>
          <w:trHeight w:val="143"/>
        </w:trPr>
        <w:tc>
          <w:tcPr>
            <w:cnfStyle w:val="001000000000" w:firstRow="0" w:lastRow="0" w:firstColumn="1" w:lastColumn="0" w:oddVBand="0" w:evenVBand="0" w:oddHBand="0" w:evenHBand="0" w:firstRowFirstColumn="0" w:firstRowLastColumn="0" w:lastRowFirstColumn="0" w:lastRowLastColumn="0"/>
            <w:tcW w:w="2551" w:type="dxa"/>
            <w:vMerge w:val="restart"/>
          </w:tcPr>
          <w:p w14:paraId="7ABA131A" w14:textId="77777777" w:rsidR="00BC3EB7" w:rsidRPr="00BC3EB7" w:rsidRDefault="00BC3EB7" w:rsidP="00430970">
            <w:pPr>
              <w:rPr>
                <w:rFonts w:cs="Times New Roman"/>
                <w:b w:val="0"/>
                <w:color w:val="auto"/>
                <w:sz w:val="20"/>
                <w:szCs w:val="20"/>
                <w:lang w:eastAsia="pl-PL"/>
              </w:rPr>
            </w:pPr>
            <w:r w:rsidRPr="00BC3EB7">
              <w:rPr>
                <w:rFonts w:cs="Times New Roman"/>
                <w:color w:val="auto"/>
                <w:sz w:val="20"/>
                <w:szCs w:val="20"/>
                <w:lang w:eastAsia="pl-PL"/>
              </w:rPr>
              <w:t>Wskaźnik zatrudnienia %</w:t>
            </w:r>
          </w:p>
        </w:tc>
        <w:tc>
          <w:tcPr>
            <w:tcW w:w="3969" w:type="dxa"/>
          </w:tcPr>
          <w:p w14:paraId="4F7BCFDE"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ogółem</w:t>
            </w:r>
          </w:p>
        </w:tc>
        <w:tc>
          <w:tcPr>
            <w:tcW w:w="2689" w:type="dxa"/>
          </w:tcPr>
          <w:p w14:paraId="5BE26890"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52,7</w:t>
            </w:r>
          </w:p>
        </w:tc>
      </w:tr>
      <w:tr w:rsidR="00BC3EB7" w:rsidRPr="00BC3EB7" w14:paraId="5CB7B0FC" w14:textId="77777777" w:rsidTr="0053243A">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551" w:type="dxa"/>
            <w:vMerge/>
          </w:tcPr>
          <w:p w14:paraId="7AAA3757" w14:textId="77777777" w:rsidR="00BC3EB7" w:rsidRPr="00BC3EB7" w:rsidRDefault="00BC3EB7" w:rsidP="00430970">
            <w:pPr>
              <w:rPr>
                <w:rFonts w:cs="Times New Roman"/>
                <w:b w:val="0"/>
                <w:color w:val="auto"/>
                <w:sz w:val="20"/>
                <w:szCs w:val="20"/>
                <w:lang w:eastAsia="pl-PL"/>
              </w:rPr>
            </w:pPr>
          </w:p>
        </w:tc>
        <w:tc>
          <w:tcPr>
            <w:tcW w:w="3969" w:type="dxa"/>
          </w:tcPr>
          <w:p w14:paraId="6F19F97E"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w tym w wieku 60+</w:t>
            </w:r>
          </w:p>
        </w:tc>
        <w:tc>
          <w:tcPr>
            <w:tcW w:w="2689" w:type="dxa"/>
          </w:tcPr>
          <w:p w14:paraId="52853E66"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15,7</w:t>
            </w:r>
          </w:p>
        </w:tc>
      </w:tr>
      <w:tr w:rsidR="00BC3EB7" w:rsidRPr="00BC3EB7" w14:paraId="0A343083" w14:textId="77777777" w:rsidTr="00430970">
        <w:trPr>
          <w:trHeight w:val="282"/>
        </w:trPr>
        <w:tc>
          <w:tcPr>
            <w:cnfStyle w:val="001000000000" w:firstRow="0" w:lastRow="0" w:firstColumn="1" w:lastColumn="0" w:oddVBand="0" w:evenVBand="0" w:oddHBand="0" w:evenHBand="0" w:firstRowFirstColumn="0" w:firstRowLastColumn="0" w:lastRowFirstColumn="0" w:lastRowLastColumn="0"/>
            <w:tcW w:w="2551" w:type="dxa"/>
            <w:vMerge w:val="restart"/>
          </w:tcPr>
          <w:p w14:paraId="0E0D9CE6" w14:textId="77777777" w:rsidR="00BC3EB7" w:rsidRPr="00BC3EB7" w:rsidRDefault="00BC3EB7" w:rsidP="00430970">
            <w:pPr>
              <w:rPr>
                <w:rFonts w:cs="Times New Roman"/>
                <w:b w:val="0"/>
                <w:color w:val="auto"/>
                <w:sz w:val="20"/>
                <w:szCs w:val="20"/>
                <w:lang w:eastAsia="pl-PL"/>
              </w:rPr>
            </w:pPr>
            <w:r w:rsidRPr="00BC3EB7">
              <w:rPr>
                <w:rFonts w:eastAsia="Times New Roman" w:cs="Times New Roman"/>
                <w:color w:val="auto"/>
                <w:sz w:val="20"/>
                <w:szCs w:val="20"/>
                <w:lang w:eastAsia="pl-PL"/>
              </w:rPr>
              <w:t xml:space="preserve">Osoby bierne zawodowo  w wieku 60 lat i więcej według wybranych przyczyn bierności </w:t>
            </w:r>
            <w:r w:rsidRPr="00BC3EB7">
              <w:rPr>
                <w:rFonts w:eastAsia="Times New Roman" w:cs="Times New Roman"/>
                <w:color w:val="auto"/>
                <w:sz w:val="20"/>
                <w:szCs w:val="20"/>
                <w:lang w:eastAsia="pl-PL"/>
              </w:rPr>
              <w:br/>
              <w:t>(w tys.)</w:t>
            </w:r>
          </w:p>
        </w:tc>
        <w:tc>
          <w:tcPr>
            <w:tcW w:w="3969" w:type="dxa"/>
          </w:tcPr>
          <w:p w14:paraId="3B48E5DE"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ogółem</w:t>
            </w:r>
          </w:p>
        </w:tc>
        <w:tc>
          <w:tcPr>
            <w:tcW w:w="2689" w:type="dxa"/>
          </w:tcPr>
          <w:p w14:paraId="76A745F8"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280</w:t>
            </w:r>
          </w:p>
        </w:tc>
      </w:tr>
      <w:tr w:rsidR="00BC3EB7" w:rsidRPr="00BC3EB7" w14:paraId="5A8310C7" w14:textId="77777777" w:rsidTr="0043097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1" w:type="dxa"/>
            <w:vMerge/>
          </w:tcPr>
          <w:p w14:paraId="0F35B6FB" w14:textId="77777777" w:rsidR="00BC3EB7" w:rsidRPr="00BC3EB7" w:rsidRDefault="00BC3EB7" w:rsidP="00430970">
            <w:pPr>
              <w:rPr>
                <w:rFonts w:eastAsia="Times New Roman" w:cs="Times New Roman"/>
                <w:b w:val="0"/>
                <w:bCs w:val="0"/>
                <w:color w:val="auto"/>
                <w:sz w:val="20"/>
                <w:szCs w:val="20"/>
                <w:lang w:eastAsia="pl-PL"/>
              </w:rPr>
            </w:pPr>
          </w:p>
        </w:tc>
        <w:tc>
          <w:tcPr>
            <w:tcW w:w="6658" w:type="dxa"/>
            <w:gridSpan w:val="2"/>
          </w:tcPr>
          <w:p w14:paraId="1AB9872A"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w tym:</w:t>
            </w:r>
          </w:p>
        </w:tc>
      </w:tr>
      <w:tr w:rsidR="00BC3EB7" w:rsidRPr="00BC3EB7" w14:paraId="62CBD9BD" w14:textId="77777777" w:rsidTr="00430970">
        <w:trPr>
          <w:trHeight w:val="280"/>
        </w:trPr>
        <w:tc>
          <w:tcPr>
            <w:cnfStyle w:val="001000000000" w:firstRow="0" w:lastRow="0" w:firstColumn="1" w:lastColumn="0" w:oddVBand="0" w:evenVBand="0" w:oddHBand="0" w:evenHBand="0" w:firstRowFirstColumn="0" w:firstRowLastColumn="0" w:lastRowFirstColumn="0" w:lastRowLastColumn="0"/>
            <w:tcW w:w="2551" w:type="dxa"/>
            <w:vMerge/>
          </w:tcPr>
          <w:p w14:paraId="712776CF" w14:textId="77777777" w:rsidR="00BC3EB7" w:rsidRPr="00BC3EB7" w:rsidRDefault="00BC3EB7" w:rsidP="00430970">
            <w:pPr>
              <w:rPr>
                <w:rFonts w:eastAsia="Times New Roman" w:cs="Times New Roman"/>
                <w:b w:val="0"/>
                <w:bCs w:val="0"/>
                <w:color w:val="auto"/>
                <w:sz w:val="20"/>
                <w:szCs w:val="20"/>
                <w:lang w:eastAsia="pl-PL"/>
              </w:rPr>
            </w:pPr>
          </w:p>
        </w:tc>
        <w:tc>
          <w:tcPr>
            <w:tcW w:w="3969" w:type="dxa"/>
          </w:tcPr>
          <w:p w14:paraId="1205DF35"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BC3EB7">
              <w:rPr>
                <w:rFonts w:eastAsia="Times New Roman" w:cs="Times New Roman"/>
                <w:color w:val="auto"/>
                <w:sz w:val="20"/>
                <w:szCs w:val="20"/>
                <w:lang w:eastAsia="pl-PL"/>
              </w:rPr>
              <w:t>osoby nieposzukujące pracy - razem</w:t>
            </w:r>
          </w:p>
        </w:tc>
        <w:tc>
          <w:tcPr>
            <w:tcW w:w="2689" w:type="dxa"/>
          </w:tcPr>
          <w:p w14:paraId="0650BF69"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280</w:t>
            </w:r>
          </w:p>
        </w:tc>
      </w:tr>
      <w:tr w:rsidR="00BC3EB7" w:rsidRPr="00BC3EB7" w14:paraId="4B892790" w14:textId="77777777" w:rsidTr="0043097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1" w:type="dxa"/>
            <w:vMerge/>
          </w:tcPr>
          <w:p w14:paraId="416D0326" w14:textId="77777777" w:rsidR="00BC3EB7" w:rsidRPr="00BC3EB7" w:rsidRDefault="00BC3EB7" w:rsidP="00430970">
            <w:pPr>
              <w:rPr>
                <w:rFonts w:eastAsia="Times New Roman" w:cs="Times New Roman"/>
                <w:b w:val="0"/>
                <w:bCs w:val="0"/>
                <w:color w:val="auto"/>
                <w:sz w:val="20"/>
                <w:szCs w:val="20"/>
                <w:lang w:eastAsia="pl-PL"/>
              </w:rPr>
            </w:pPr>
          </w:p>
        </w:tc>
        <w:tc>
          <w:tcPr>
            <w:tcW w:w="3969" w:type="dxa"/>
          </w:tcPr>
          <w:p w14:paraId="0E1E9A54"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eastAsia="Times New Roman" w:cs="Times New Roman"/>
                <w:color w:val="auto"/>
                <w:sz w:val="20"/>
                <w:szCs w:val="20"/>
                <w:lang w:eastAsia="pl-PL"/>
              </w:rPr>
              <w:t>osoby nieposzukujące pracy - emerytura</w:t>
            </w:r>
          </w:p>
        </w:tc>
        <w:tc>
          <w:tcPr>
            <w:tcW w:w="2689" w:type="dxa"/>
          </w:tcPr>
          <w:p w14:paraId="471353F8"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248</w:t>
            </w:r>
          </w:p>
        </w:tc>
      </w:tr>
      <w:tr w:rsidR="00BC3EB7" w:rsidRPr="00BC3EB7" w14:paraId="2A5875A1" w14:textId="77777777" w:rsidTr="00430970">
        <w:trPr>
          <w:trHeight w:val="280"/>
        </w:trPr>
        <w:tc>
          <w:tcPr>
            <w:cnfStyle w:val="001000000000" w:firstRow="0" w:lastRow="0" w:firstColumn="1" w:lastColumn="0" w:oddVBand="0" w:evenVBand="0" w:oddHBand="0" w:evenHBand="0" w:firstRowFirstColumn="0" w:firstRowLastColumn="0" w:lastRowFirstColumn="0" w:lastRowLastColumn="0"/>
            <w:tcW w:w="2551" w:type="dxa"/>
            <w:vMerge/>
          </w:tcPr>
          <w:p w14:paraId="67BF8A50" w14:textId="77777777" w:rsidR="00BC3EB7" w:rsidRPr="00BC3EB7" w:rsidRDefault="00BC3EB7" w:rsidP="00430970">
            <w:pPr>
              <w:rPr>
                <w:rFonts w:eastAsia="Times New Roman" w:cs="Times New Roman"/>
                <w:b w:val="0"/>
                <w:bCs w:val="0"/>
                <w:color w:val="auto"/>
                <w:sz w:val="20"/>
                <w:szCs w:val="20"/>
                <w:lang w:eastAsia="pl-PL"/>
              </w:rPr>
            </w:pPr>
          </w:p>
        </w:tc>
        <w:tc>
          <w:tcPr>
            <w:tcW w:w="3969" w:type="dxa"/>
          </w:tcPr>
          <w:p w14:paraId="3A2A1872"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eastAsia="Times New Roman" w:cs="Times New Roman"/>
                <w:color w:val="auto"/>
                <w:sz w:val="20"/>
                <w:szCs w:val="20"/>
                <w:lang w:eastAsia="pl-PL"/>
              </w:rPr>
              <w:t>osoby nieposzukujące pracy - choroba, niepełnosprawność</w:t>
            </w:r>
          </w:p>
        </w:tc>
        <w:tc>
          <w:tcPr>
            <w:tcW w:w="2689" w:type="dxa"/>
          </w:tcPr>
          <w:p w14:paraId="7BF8B124"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17*</w:t>
            </w:r>
          </w:p>
          <w:p w14:paraId="0EB0A938"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p>
        </w:tc>
      </w:tr>
      <w:tr w:rsidR="00BC3EB7" w:rsidRPr="00BC3EB7" w14:paraId="03B9F0B9" w14:textId="77777777" w:rsidTr="0043097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551" w:type="dxa"/>
            <w:vMerge w:val="restart"/>
          </w:tcPr>
          <w:p w14:paraId="1EA56261" w14:textId="77777777" w:rsidR="00BC3EB7" w:rsidRPr="00BC3EB7" w:rsidRDefault="00BC3EB7" w:rsidP="00430970">
            <w:pPr>
              <w:rPr>
                <w:rFonts w:eastAsia="Times New Roman" w:cs="Times New Roman"/>
                <w:b w:val="0"/>
                <w:bCs w:val="0"/>
                <w:color w:val="auto"/>
                <w:sz w:val="20"/>
                <w:szCs w:val="20"/>
                <w:lang w:eastAsia="pl-PL"/>
              </w:rPr>
            </w:pPr>
            <w:r w:rsidRPr="00BC3EB7">
              <w:rPr>
                <w:rFonts w:eastAsia="Times New Roman" w:cs="Times New Roman"/>
                <w:color w:val="auto"/>
                <w:sz w:val="20"/>
                <w:szCs w:val="20"/>
                <w:lang w:eastAsia="pl-PL"/>
              </w:rPr>
              <w:t>Osoby bezrobotne zarejestrowane w urzędach pracy (w tys.)</w:t>
            </w:r>
          </w:p>
        </w:tc>
        <w:tc>
          <w:tcPr>
            <w:tcW w:w="3969" w:type="dxa"/>
          </w:tcPr>
          <w:p w14:paraId="49BBE241"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ogółem</w:t>
            </w:r>
          </w:p>
        </w:tc>
        <w:tc>
          <w:tcPr>
            <w:tcW w:w="2689" w:type="dxa"/>
          </w:tcPr>
          <w:p w14:paraId="47E3A83C"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44,9</w:t>
            </w:r>
          </w:p>
        </w:tc>
      </w:tr>
      <w:tr w:rsidR="00BC3EB7" w:rsidRPr="00BC3EB7" w14:paraId="692E47E7" w14:textId="77777777" w:rsidTr="00430970">
        <w:trPr>
          <w:trHeight w:val="284"/>
        </w:trPr>
        <w:tc>
          <w:tcPr>
            <w:cnfStyle w:val="001000000000" w:firstRow="0" w:lastRow="0" w:firstColumn="1" w:lastColumn="0" w:oddVBand="0" w:evenVBand="0" w:oddHBand="0" w:evenHBand="0" w:firstRowFirstColumn="0" w:firstRowLastColumn="0" w:lastRowFirstColumn="0" w:lastRowLastColumn="0"/>
            <w:tcW w:w="2551" w:type="dxa"/>
            <w:vMerge/>
          </w:tcPr>
          <w:p w14:paraId="0F54A467" w14:textId="77777777" w:rsidR="00BC3EB7" w:rsidRPr="00BC3EB7" w:rsidRDefault="00BC3EB7" w:rsidP="00430970">
            <w:pPr>
              <w:rPr>
                <w:rFonts w:eastAsia="Times New Roman" w:cs="Times New Roman"/>
                <w:b w:val="0"/>
                <w:bCs w:val="0"/>
                <w:color w:val="auto"/>
                <w:sz w:val="20"/>
                <w:szCs w:val="20"/>
                <w:lang w:eastAsia="pl-PL"/>
              </w:rPr>
            </w:pPr>
          </w:p>
        </w:tc>
        <w:tc>
          <w:tcPr>
            <w:tcW w:w="3969" w:type="dxa"/>
          </w:tcPr>
          <w:p w14:paraId="3D33C9ED"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w tym w wieku 60+</w:t>
            </w:r>
          </w:p>
        </w:tc>
        <w:tc>
          <w:tcPr>
            <w:tcW w:w="2689" w:type="dxa"/>
          </w:tcPr>
          <w:p w14:paraId="06D66005"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2,8</w:t>
            </w:r>
          </w:p>
        </w:tc>
      </w:tr>
      <w:tr w:rsidR="00BC3EB7" w:rsidRPr="00BC3EB7" w14:paraId="4AA8D53F" w14:textId="77777777" w:rsidTr="00430970">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551" w:type="dxa"/>
            <w:vMerge w:val="restart"/>
          </w:tcPr>
          <w:p w14:paraId="2F894994" w14:textId="77777777" w:rsidR="00BC3EB7" w:rsidRPr="00BC3EB7" w:rsidRDefault="00BC3EB7" w:rsidP="00430970">
            <w:pPr>
              <w:rPr>
                <w:rFonts w:eastAsia="Times New Roman" w:cs="Times New Roman"/>
                <w:b w:val="0"/>
                <w:bCs w:val="0"/>
                <w:color w:val="auto"/>
                <w:sz w:val="20"/>
                <w:szCs w:val="20"/>
                <w:lang w:eastAsia="pl-PL"/>
              </w:rPr>
            </w:pPr>
            <w:r w:rsidRPr="00BC3EB7">
              <w:rPr>
                <w:rFonts w:eastAsia="Times New Roman" w:cs="Times New Roman"/>
                <w:color w:val="auto"/>
                <w:sz w:val="20"/>
                <w:szCs w:val="20"/>
                <w:lang w:eastAsia="pl-PL"/>
              </w:rPr>
              <w:lastRenderedPageBreak/>
              <w:t xml:space="preserve">Osoby pobierające renty </w:t>
            </w:r>
            <w:r w:rsidRPr="00BC3EB7">
              <w:rPr>
                <w:rFonts w:eastAsia="Times New Roman" w:cs="Times New Roman"/>
                <w:color w:val="auto"/>
                <w:sz w:val="20"/>
                <w:szCs w:val="20"/>
                <w:lang w:eastAsia="pl-PL"/>
              </w:rPr>
              <w:br/>
              <w:t xml:space="preserve">i emerytury </w:t>
            </w:r>
          </w:p>
        </w:tc>
        <w:tc>
          <w:tcPr>
            <w:tcW w:w="6658" w:type="dxa"/>
            <w:gridSpan w:val="2"/>
          </w:tcPr>
          <w:p w14:paraId="40D87261" w14:textId="77777777" w:rsidR="00BC3EB7" w:rsidRPr="00BC3EB7" w:rsidRDefault="00BC3EB7" w:rsidP="00430970">
            <w:pPr>
              <w:tabs>
                <w:tab w:val="left" w:pos="1725"/>
                <w:tab w:val="center" w:pos="2363"/>
              </w:tabs>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BC3EB7">
              <w:rPr>
                <w:rFonts w:cs="Times New Roman"/>
                <w:b/>
                <w:color w:val="auto"/>
                <w:sz w:val="20"/>
                <w:szCs w:val="20"/>
              </w:rPr>
              <w:t>ZUS</w:t>
            </w:r>
          </w:p>
        </w:tc>
      </w:tr>
      <w:tr w:rsidR="00BC3EB7" w:rsidRPr="00BC3EB7" w14:paraId="5DA27B52" w14:textId="77777777" w:rsidTr="00430970">
        <w:trPr>
          <w:trHeight w:val="189"/>
        </w:trPr>
        <w:tc>
          <w:tcPr>
            <w:cnfStyle w:val="001000000000" w:firstRow="0" w:lastRow="0" w:firstColumn="1" w:lastColumn="0" w:oddVBand="0" w:evenVBand="0" w:oddHBand="0" w:evenHBand="0" w:firstRowFirstColumn="0" w:firstRowLastColumn="0" w:lastRowFirstColumn="0" w:lastRowLastColumn="0"/>
            <w:tcW w:w="2551" w:type="dxa"/>
            <w:vMerge/>
          </w:tcPr>
          <w:p w14:paraId="4A099BD7" w14:textId="77777777" w:rsidR="00BC3EB7" w:rsidRPr="00BC3EB7" w:rsidRDefault="00BC3EB7" w:rsidP="00430970">
            <w:pPr>
              <w:rPr>
                <w:rFonts w:eastAsia="Times New Roman" w:cs="Times New Roman"/>
                <w:b w:val="0"/>
                <w:bCs w:val="0"/>
                <w:color w:val="auto"/>
                <w:sz w:val="20"/>
                <w:szCs w:val="20"/>
                <w:lang w:eastAsia="pl-PL"/>
              </w:rPr>
            </w:pPr>
          </w:p>
        </w:tc>
        <w:tc>
          <w:tcPr>
            <w:tcW w:w="3969" w:type="dxa"/>
          </w:tcPr>
          <w:p w14:paraId="6DAC6BA8" w14:textId="77777777" w:rsidR="00BC3EB7" w:rsidRPr="00BC3EB7" w:rsidRDefault="00BC3EB7" w:rsidP="00430970">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BC3EB7">
              <w:rPr>
                <w:rFonts w:cs="Times New Roman"/>
                <w:b/>
                <w:color w:val="auto"/>
                <w:sz w:val="20"/>
                <w:szCs w:val="20"/>
              </w:rPr>
              <w:t>Rodzaj świadczenia</w:t>
            </w:r>
          </w:p>
        </w:tc>
        <w:tc>
          <w:tcPr>
            <w:tcW w:w="2689" w:type="dxa"/>
          </w:tcPr>
          <w:p w14:paraId="0AAB0319" w14:textId="77777777" w:rsidR="00BC3EB7" w:rsidRPr="00BC3EB7" w:rsidRDefault="00BC3EB7" w:rsidP="00430970">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BC3EB7">
              <w:rPr>
                <w:rFonts w:cs="Times New Roman"/>
                <w:b/>
                <w:color w:val="auto"/>
                <w:sz w:val="20"/>
                <w:szCs w:val="20"/>
              </w:rPr>
              <w:t>Przeciętna miesięczna liczba emerytów i rencistów            (w tys.)</w:t>
            </w:r>
          </w:p>
        </w:tc>
      </w:tr>
      <w:tr w:rsidR="00BC3EB7" w:rsidRPr="00BC3EB7" w14:paraId="6D5F4D7B" w14:textId="77777777" w:rsidTr="00430970">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551" w:type="dxa"/>
            <w:vMerge/>
          </w:tcPr>
          <w:p w14:paraId="3D61DD32" w14:textId="77777777" w:rsidR="00BC3EB7" w:rsidRPr="00BC3EB7" w:rsidRDefault="00BC3EB7" w:rsidP="00430970">
            <w:pPr>
              <w:rPr>
                <w:rFonts w:eastAsia="Times New Roman" w:cs="Times New Roman"/>
                <w:b w:val="0"/>
                <w:bCs w:val="0"/>
                <w:color w:val="auto"/>
                <w:sz w:val="20"/>
                <w:szCs w:val="20"/>
                <w:lang w:eastAsia="pl-PL"/>
              </w:rPr>
            </w:pPr>
          </w:p>
        </w:tc>
        <w:tc>
          <w:tcPr>
            <w:tcW w:w="3969" w:type="dxa"/>
          </w:tcPr>
          <w:p w14:paraId="6E6F89EC"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Emerytury</w:t>
            </w:r>
          </w:p>
        </w:tc>
        <w:tc>
          <w:tcPr>
            <w:tcW w:w="2689" w:type="dxa"/>
          </w:tcPr>
          <w:p w14:paraId="480B1CDE"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192,8</w:t>
            </w:r>
          </w:p>
        </w:tc>
      </w:tr>
      <w:tr w:rsidR="00BC3EB7" w:rsidRPr="00BC3EB7" w14:paraId="6DE9C428" w14:textId="77777777" w:rsidTr="00430970">
        <w:trPr>
          <w:trHeight w:val="142"/>
        </w:trPr>
        <w:tc>
          <w:tcPr>
            <w:cnfStyle w:val="001000000000" w:firstRow="0" w:lastRow="0" w:firstColumn="1" w:lastColumn="0" w:oddVBand="0" w:evenVBand="0" w:oddHBand="0" w:evenHBand="0" w:firstRowFirstColumn="0" w:firstRowLastColumn="0" w:lastRowFirstColumn="0" w:lastRowLastColumn="0"/>
            <w:tcW w:w="2551" w:type="dxa"/>
            <w:vMerge/>
          </w:tcPr>
          <w:p w14:paraId="7C2C69E8" w14:textId="77777777" w:rsidR="00BC3EB7" w:rsidRPr="00BC3EB7" w:rsidRDefault="00BC3EB7" w:rsidP="00430970">
            <w:pPr>
              <w:rPr>
                <w:rFonts w:eastAsia="Times New Roman" w:cs="Times New Roman"/>
                <w:b w:val="0"/>
                <w:bCs w:val="0"/>
                <w:color w:val="auto"/>
                <w:sz w:val="20"/>
                <w:szCs w:val="20"/>
                <w:lang w:eastAsia="pl-PL"/>
              </w:rPr>
            </w:pPr>
          </w:p>
        </w:tc>
        <w:tc>
          <w:tcPr>
            <w:tcW w:w="3969" w:type="dxa"/>
          </w:tcPr>
          <w:p w14:paraId="4EE7DDCB"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Renty z tytułu niezdolności do pracy</w:t>
            </w:r>
          </w:p>
        </w:tc>
        <w:tc>
          <w:tcPr>
            <w:tcW w:w="2689" w:type="dxa"/>
          </w:tcPr>
          <w:p w14:paraId="30349FF8"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19,8</w:t>
            </w:r>
          </w:p>
        </w:tc>
      </w:tr>
      <w:tr w:rsidR="00BC3EB7" w:rsidRPr="00BC3EB7" w14:paraId="21A12A0F" w14:textId="77777777" w:rsidTr="00430970">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551" w:type="dxa"/>
            <w:vMerge/>
          </w:tcPr>
          <w:p w14:paraId="3C173548" w14:textId="77777777" w:rsidR="00BC3EB7" w:rsidRPr="00BC3EB7" w:rsidRDefault="00BC3EB7" w:rsidP="00430970">
            <w:pPr>
              <w:rPr>
                <w:rFonts w:eastAsia="Times New Roman" w:cs="Times New Roman"/>
                <w:b w:val="0"/>
                <w:bCs w:val="0"/>
                <w:color w:val="auto"/>
                <w:sz w:val="20"/>
                <w:szCs w:val="20"/>
                <w:lang w:eastAsia="pl-PL"/>
              </w:rPr>
            </w:pPr>
          </w:p>
        </w:tc>
        <w:tc>
          <w:tcPr>
            <w:tcW w:w="3969" w:type="dxa"/>
          </w:tcPr>
          <w:p w14:paraId="6163E3A5"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Renty rodzinne</w:t>
            </w:r>
          </w:p>
        </w:tc>
        <w:tc>
          <w:tcPr>
            <w:tcW w:w="2689" w:type="dxa"/>
          </w:tcPr>
          <w:p w14:paraId="50211EA3"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41,0</w:t>
            </w:r>
          </w:p>
        </w:tc>
      </w:tr>
      <w:tr w:rsidR="00BC3EB7" w:rsidRPr="00BC3EB7" w14:paraId="302384C4" w14:textId="77777777" w:rsidTr="00430970">
        <w:trPr>
          <w:trHeight w:val="284"/>
        </w:trPr>
        <w:tc>
          <w:tcPr>
            <w:cnfStyle w:val="001000000000" w:firstRow="0" w:lastRow="0" w:firstColumn="1" w:lastColumn="0" w:oddVBand="0" w:evenVBand="0" w:oddHBand="0" w:evenHBand="0" w:firstRowFirstColumn="0" w:firstRowLastColumn="0" w:lastRowFirstColumn="0" w:lastRowLastColumn="0"/>
            <w:tcW w:w="2551" w:type="dxa"/>
            <w:vMerge/>
          </w:tcPr>
          <w:p w14:paraId="3ED748EE" w14:textId="77777777" w:rsidR="00BC3EB7" w:rsidRPr="00BC3EB7" w:rsidRDefault="00BC3EB7" w:rsidP="00430970">
            <w:pPr>
              <w:rPr>
                <w:rFonts w:eastAsia="Times New Roman" w:cs="Times New Roman"/>
                <w:b w:val="0"/>
                <w:bCs w:val="0"/>
                <w:color w:val="auto"/>
                <w:sz w:val="20"/>
                <w:szCs w:val="20"/>
                <w:lang w:eastAsia="pl-PL"/>
              </w:rPr>
            </w:pPr>
          </w:p>
        </w:tc>
        <w:tc>
          <w:tcPr>
            <w:tcW w:w="6658" w:type="dxa"/>
            <w:gridSpan w:val="2"/>
          </w:tcPr>
          <w:p w14:paraId="6415B73D" w14:textId="77777777" w:rsidR="00BC3EB7" w:rsidRPr="00BC3EB7" w:rsidRDefault="00BC3EB7" w:rsidP="00430970">
            <w:pPr>
              <w:tabs>
                <w:tab w:val="left" w:pos="1507"/>
                <w:tab w:val="center" w:pos="2363"/>
              </w:tabs>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BC3EB7">
              <w:rPr>
                <w:rFonts w:cs="Times New Roman"/>
                <w:b/>
                <w:color w:val="auto"/>
                <w:sz w:val="20"/>
                <w:szCs w:val="20"/>
              </w:rPr>
              <w:t>KRUS</w:t>
            </w:r>
          </w:p>
        </w:tc>
      </w:tr>
      <w:tr w:rsidR="00BC3EB7" w:rsidRPr="00BC3EB7" w14:paraId="639D2CA1" w14:textId="77777777" w:rsidTr="0043097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551" w:type="dxa"/>
            <w:vMerge/>
          </w:tcPr>
          <w:p w14:paraId="5DA9125E" w14:textId="77777777" w:rsidR="00BC3EB7" w:rsidRPr="00BC3EB7" w:rsidRDefault="00BC3EB7" w:rsidP="00430970">
            <w:pPr>
              <w:rPr>
                <w:rFonts w:eastAsia="Times New Roman" w:cs="Times New Roman"/>
                <w:b w:val="0"/>
                <w:bCs w:val="0"/>
                <w:color w:val="auto"/>
                <w:sz w:val="20"/>
                <w:szCs w:val="20"/>
                <w:lang w:eastAsia="pl-PL"/>
              </w:rPr>
            </w:pPr>
          </w:p>
        </w:tc>
        <w:tc>
          <w:tcPr>
            <w:tcW w:w="3969" w:type="dxa"/>
          </w:tcPr>
          <w:p w14:paraId="3A327EB5" w14:textId="77777777" w:rsidR="00BC3EB7" w:rsidRPr="00BC3EB7" w:rsidRDefault="00BC3EB7" w:rsidP="00430970">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BC3EB7">
              <w:rPr>
                <w:rFonts w:cs="Times New Roman"/>
                <w:b/>
                <w:color w:val="auto"/>
                <w:sz w:val="20"/>
                <w:szCs w:val="20"/>
              </w:rPr>
              <w:t>Rodzaj świadczenia</w:t>
            </w:r>
          </w:p>
        </w:tc>
        <w:tc>
          <w:tcPr>
            <w:tcW w:w="2689" w:type="dxa"/>
          </w:tcPr>
          <w:p w14:paraId="3E33C86F" w14:textId="77777777" w:rsidR="00BC3EB7" w:rsidRPr="00BC3EB7" w:rsidRDefault="00BC3EB7" w:rsidP="00430970">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BC3EB7">
              <w:rPr>
                <w:rFonts w:cs="Times New Roman"/>
                <w:b/>
                <w:color w:val="auto"/>
                <w:sz w:val="20"/>
                <w:szCs w:val="20"/>
              </w:rPr>
              <w:t>Przeciętna miesięczna liczba emerytów i rencistów (w tys.)</w:t>
            </w:r>
          </w:p>
        </w:tc>
      </w:tr>
      <w:tr w:rsidR="00BC3EB7" w:rsidRPr="00BC3EB7" w14:paraId="246ACBAF" w14:textId="77777777" w:rsidTr="00430970">
        <w:trPr>
          <w:trHeight w:val="79"/>
        </w:trPr>
        <w:tc>
          <w:tcPr>
            <w:cnfStyle w:val="001000000000" w:firstRow="0" w:lastRow="0" w:firstColumn="1" w:lastColumn="0" w:oddVBand="0" w:evenVBand="0" w:oddHBand="0" w:evenHBand="0" w:firstRowFirstColumn="0" w:firstRowLastColumn="0" w:lastRowFirstColumn="0" w:lastRowLastColumn="0"/>
            <w:tcW w:w="2551" w:type="dxa"/>
            <w:vMerge/>
          </w:tcPr>
          <w:p w14:paraId="1FC60251" w14:textId="77777777" w:rsidR="00BC3EB7" w:rsidRPr="00BC3EB7" w:rsidRDefault="00BC3EB7" w:rsidP="00430970">
            <w:pPr>
              <w:rPr>
                <w:rFonts w:eastAsia="Times New Roman" w:cs="Times New Roman"/>
                <w:b w:val="0"/>
                <w:bCs w:val="0"/>
                <w:color w:val="auto"/>
                <w:sz w:val="20"/>
                <w:szCs w:val="20"/>
                <w:lang w:eastAsia="pl-PL"/>
              </w:rPr>
            </w:pPr>
          </w:p>
        </w:tc>
        <w:tc>
          <w:tcPr>
            <w:tcW w:w="3969" w:type="dxa"/>
          </w:tcPr>
          <w:p w14:paraId="0A53B180"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Emerytury</w:t>
            </w:r>
          </w:p>
        </w:tc>
        <w:tc>
          <w:tcPr>
            <w:tcW w:w="2689" w:type="dxa"/>
          </w:tcPr>
          <w:p w14:paraId="47CD2755"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47,7</w:t>
            </w:r>
          </w:p>
        </w:tc>
      </w:tr>
      <w:tr w:rsidR="00BC3EB7" w:rsidRPr="00BC3EB7" w14:paraId="13FD61FF" w14:textId="77777777" w:rsidTr="00430970">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551" w:type="dxa"/>
            <w:vMerge/>
          </w:tcPr>
          <w:p w14:paraId="3014D051" w14:textId="77777777" w:rsidR="00BC3EB7" w:rsidRPr="00BC3EB7" w:rsidRDefault="00BC3EB7" w:rsidP="00430970">
            <w:pPr>
              <w:rPr>
                <w:rFonts w:eastAsia="Times New Roman" w:cs="Times New Roman"/>
                <w:b w:val="0"/>
                <w:bCs w:val="0"/>
                <w:color w:val="auto"/>
                <w:sz w:val="20"/>
                <w:szCs w:val="20"/>
                <w:lang w:eastAsia="pl-PL"/>
              </w:rPr>
            </w:pPr>
          </w:p>
        </w:tc>
        <w:tc>
          <w:tcPr>
            <w:tcW w:w="3969" w:type="dxa"/>
          </w:tcPr>
          <w:p w14:paraId="298881CD" w14:textId="77777777" w:rsidR="00BC3EB7" w:rsidRPr="00BC3EB7" w:rsidRDefault="00BC3EB7"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Renty z tytułu niezdolności do pracy</w:t>
            </w:r>
          </w:p>
        </w:tc>
        <w:tc>
          <w:tcPr>
            <w:tcW w:w="2689" w:type="dxa"/>
          </w:tcPr>
          <w:p w14:paraId="74E86F29" w14:textId="77777777" w:rsidR="00BC3EB7" w:rsidRPr="00BC3EB7" w:rsidRDefault="00BC3EB7" w:rsidP="00430970">
            <w:pPr>
              <w:tabs>
                <w:tab w:val="left" w:pos="187"/>
              </w:tabs>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BC3EB7">
              <w:rPr>
                <w:rFonts w:cs="Times New Roman"/>
                <w:color w:val="auto"/>
                <w:sz w:val="20"/>
                <w:szCs w:val="20"/>
              </w:rPr>
              <w:t>9,0</w:t>
            </w:r>
          </w:p>
        </w:tc>
      </w:tr>
      <w:tr w:rsidR="00BC3EB7" w:rsidRPr="00BC3EB7" w14:paraId="31E2FBFF" w14:textId="77777777" w:rsidTr="00430970">
        <w:trPr>
          <w:trHeight w:val="79"/>
        </w:trPr>
        <w:tc>
          <w:tcPr>
            <w:cnfStyle w:val="001000000000" w:firstRow="0" w:lastRow="0" w:firstColumn="1" w:lastColumn="0" w:oddVBand="0" w:evenVBand="0" w:oddHBand="0" w:evenHBand="0" w:firstRowFirstColumn="0" w:firstRowLastColumn="0" w:lastRowFirstColumn="0" w:lastRowLastColumn="0"/>
            <w:tcW w:w="2551" w:type="dxa"/>
            <w:vMerge/>
          </w:tcPr>
          <w:p w14:paraId="7AA52EE7" w14:textId="77777777" w:rsidR="00BC3EB7" w:rsidRPr="00BC3EB7" w:rsidRDefault="00BC3EB7" w:rsidP="00430970">
            <w:pPr>
              <w:rPr>
                <w:rFonts w:eastAsia="Times New Roman" w:cs="Times New Roman"/>
                <w:b w:val="0"/>
                <w:bCs w:val="0"/>
                <w:color w:val="auto"/>
                <w:sz w:val="20"/>
                <w:szCs w:val="20"/>
                <w:lang w:eastAsia="pl-PL"/>
              </w:rPr>
            </w:pPr>
          </w:p>
        </w:tc>
        <w:tc>
          <w:tcPr>
            <w:tcW w:w="3969" w:type="dxa"/>
          </w:tcPr>
          <w:p w14:paraId="2E0547C2" w14:textId="77777777" w:rsidR="00BC3EB7" w:rsidRPr="00BC3EB7" w:rsidRDefault="00BC3EB7"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Renty rodzinne</w:t>
            </w:r>
          </w:p>
        </w:tc>
        <w:tc>
          <w:tcPr>
            <w:tcW w:w="2689" w:type="dxa"/>
          </w:tcPr>
          <w:p w14:paraId="1B9EB06D" w14:textId="77777777" w:rsidR="00BC3EB7" w:rsidRPr="00BC3EB7" w:rsidRDefault="00BC3EB7" w:rsidP="00430970">
            <w:pPr>
              <w:tabs>
                <w:tab w:val="left" w:pos="281"/>
              </w:tabs>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BC3EB7">
              <w:rPr>
                <w:rFonts w:cs="Times New Roman"/>
                <w:color w:val="auto"/>
                <w:sz w:val="20"/>
                <w:szCs w:val="20"/>
              </w:rPr>
              <w:t>2,3</w:t>
            </w:r>
          </w:p>
        </w:tc>
      </w:tr>
    </w:tbl>
    <w:p w14:paraId="6BEA3A87" w14:textId="77777777" w:rsidR="00BC3EB7" w:rsidRPr="00BC3EB7" w:rsidRDefault="00BC3EB7" w:rsidP="00BC3EB7">
      <w:pPr>
        <w:tabs>
          <w:tab w:val="left" w:pos="5400"/>
        </w:tabs>
        <w:rPr>
          <w:rFonts w:eastAsia="Times New Roman" w:cs="Times New Roman"/>
          <w:b/>
          <w:szCs w:val="24"/>
          <w:lang w:eastAsia="pl-PL"/>
        </w:rPr>
      </w:pPr>
      <w:r w:rsidRPr="00BC3EB7">
        <w:rPr>
          <w:rFonts w:eastAsia="Times New Roman" w:cs="Times New Roman"/>
          <w:b/>
          <w:szCs w:val="24"/>
          <w:lang w:eastAsia="pl-PL"/>
        </w:rPr>
        <w:t xml:space="preserve">Źródło: GUS. </w:t>
      </w:r>
    </w:p>
    <w:p w14:paraId="13D44588" w14:textId="040A3B9A" w:rsidR="00BC3EB7" w:rsidRDefault="00BC3EB7" w:rsidP="000D7CDE">
      <w:pPr>
        <w:rPr>
          <w:rFonts w:cs="Times New Roman"/>
          <w:b/>
          <w:color w:val="FF0000"/>
          <w:szCs w:val="24"/>
          <w:lang w:eastAsia="ar-SA"/>
        </w:rPr>
      </w:pPr>
    </w:p>
    <w:p w14:paraId="04F00267" w14:textId="60547920" w:rsidR="00DA2C16" w:rsidRDefault="00DA2C16" w:rsidP="00DA2C16">
      <w:pPr>
        <w:pStyle w:val="Nagwek3"/>
      </w:pPr>
      <w:bookmarkStart w:id="293" w:name="_Toc77514026"/>
      <w:bookmarkStart w:id="294" w:name="_Toc80523186"/>
      <w:r w:rsidRPr="00DA2C16">
        <w:t>Sytuacja osób niepełnosprawnych i ich opiekunów</w:t>
      </w:r>
      <w:bookmarkEnd w:id="293"/>
      <w:bookmarkEnd w:id="294"/>
    </w:p>
    <w:p w14:paraId="23B7985E" w14:textId="77777777" w:rsidR="000B1B06" w:rsidRPr="000B1B06" w:rsidRDefault="000B1B06" w:rsidP="000B1B06"/>
    <w:p w14:paraId="4FF4A9FC" w14:textId="0BEC52BD" w:rsidR="00DA2C16" w:rsidRDefault="00DA2C16" w:rsidP="00DA2C16">
      <w:pPr>
        <w:rPr>
          <w:rFonts w:cs="Times New Roman"/>
          <w:szCs w:val="24"/>
        </w:rPr>
      </w:pPr>
      <w:r w:rsidRPr="00DA2C16">
        <w:rPr>
          <w:rFonts w:cs="Times New Roman"/>
          <w:szCs w:val="24"/>
        </w:rPr>
        <w:t>W Województwie Świętokrzyskim w 2020</w:t>
      </w:r>
      <w:r w:rsidR="00A931B5">
        <w:rPr>
          <w:rFonts w:cs="Times New Roman"/>
          <w:szCs w:val="24"/>
        </w:rPr>
        <w:t xml:space="preserve"> r.</w:t>
      </w:r>
      <w:r w:rsidRPr="00DA2C16">
        <w:rPr>
          <w:rFonts w:cs="Times New Roman"/>
          <w:szCs w:val="24"/>
        </w:rPr>
        <w:t xml:space="preserve"> było 19 950 osób niepełnosprawnych posiadających ważne orzeczenie o stopniu niepełnosprawności w wieku 60 lat i więcej. </w:t>
      </w:r>
      <w:r>
        <w:rPr>
          <w:rFonts w:cs="Times New Roman"/>
          <w:szCs w:val="24"/>
        </w:rPr>
        <w:t>N</w:t>
      </w:r>
      <w:r w:rsidRPr="00DA2C16">
        <w:rPr>
          <w:rFonts w:cs="Times New Roman"/>
          <w:szCs w:val="24"/>
        </w:rPr>
        <w:t>ajczęstszą przyczyną ubiegania si</w:t>
      </w:r>
      <w:r>
        <w:rPr>
          <w:rFonts w:cs="Times New Roman"/>
          <w:szCs w:val="24"/>
        </w:rPr>
        <w:t>ę</w:t>
      </w:r>
      <w:r w:rsidRPr="00DA2C16">
        <w:rPr>
          <w:rFonts w:cs="Times New Roman"/>
          <w:szCs w:val="24"/>
        </w:rPr>
        <w:t xml:space="preserve"> o wydanie orzeczenia o stopniu niepełnosprawności w 2020</w:t>
      </w:r>
      <w:r w:rsidR="00A931B5">
        <w:rPr>
          <w:rFonts w:cs="Times New Roman"/>
          <w:szCs w:val="24"/>
        </w:rPr>
        <w:t xml:space="preserve"> r.</w:t>
      </w:r>
      <w:r w:rsidRPr="00DA2C16">
        <w:rPr>
          <w:rFonts w:cs="Times New Roman"/>
          <w:szCs w:val="24"/>
        </w:rPr>
        <w:t xml:space="preserve"> przez osoby w wieku 60 lat i więcej są schorzenia narządu ruchu 6490 osób (symbol przyczyny niepełnosprawności 05-R) oraz schorzeniami układu oddechowego i krążenia 4871 osób (symbol przyczyny niepełnosprawności 07-S).</w:t>
      </w:r>
    </w:p>
    <w:p w14:paraId="6D185A70" w14:textId="77777777" w:rsidR="00DA2C16" w:rsidRPr="00DA2C16" w:rsidRDefault="00DA2C16" w:rsidP="00DA2C16">
      <w:pPr>
        <w:rPr>
          <w:rFonts w:cs="Times New Roman"/>
          <w:szCs w:val="24"/>
        </w:rPr>
      </w:pPr>
    </w:p>
    <w:p w14:paraId="179D3467" w14:textId="1743CE4A" w:rsidR="00DA2C16" w:rsidRDefault="00DA2C16" w:rsidP="00DA2C16">
      <w:pPr>
        <w:rPr>
          <w:rFonts w:cs="Times New Roman"/>
          <w:szCs w:val="24"/>
        </w:rPr>
      </w:pPr>
      <w:r w:rsidRPr="00DA2C16">
        <w:rPr>
          <w:rFonts w:cs="Times New Roman"/>
          <w:szCs w:val="24"/>
        </w:rPr>
        <w:t>Stosownie do art. 15h ust. 1 Ustawy z dnia 2 marca 2020 r. o szczególnych rozwiązaniach związanych z zapobieganiem, przeciwdziałaniem i zwalczaniem COYID-19, innych chorób zakaźnych oraz wywołanych nimi sytuacji kryzysowych z przyczyn związanych z</w:t>
      </w:r>
      <w:r w:rsidR="0053243A">
        <w:rPr>
          <w:rFonts w:cs="Times New Roman"/>
          <w:szCs w:val="24"/>
        </w:rPr>
        <w:t> </w:t>
      </w:r>
      <w:r w:rsidRPr="00DA2C16">
        <w:rPr>
          <w:rFonts w:cs="Times New Roman"/>
          <w:szCs w:val="24"/>
        </w:rPr>
        <w:t xml:space="preserve">przeciwdziałaniem COYID-19, przedłużeniu </w:t>
      </w:r>
      <w:r>
        <w:rPr>
          <w:rFonts w:cs="Times New Roman"/>
          <w:szCs w:val="24"/>
        </w:rPr>
        <w:t xml:space="preserve"> </w:t>
      </w:r>
      <w:r w:rsidRPr="00DA2C16">
        <w:rPr>
          <w:rFonts w:cs="Times New Roman"/>
          <w:szCs w:val="24"/>
        </w:rPr>
        <w:t>uległa ważność orzeczeń o niepełnosprawności i stopniu niepełnoprawności wydawanych przez powiatowe i wojewódzkie zespoły ds. orzekania o niepełnosprawności, których termin ważności upłynął w terminach określonych w wyżej wymienionej ustawie.</w:t>
      </w:r>
    </w:p>
    <w:p w14:paraId="5CB6A80D" w14:textId="6659D562" w:rsidR="00DA2C16" w:rsidRDefault="00DA2C16" w:rsidP="00DA2C16">
      <w:pPr>
        <w:rPr>
          <w:rFonts w:cs="Times New Roman"/>
          <w:szCs w:val="24"/>
        </w:rPr>
      </w:pPr>
    </w:p>
    <w:p w14:paraId="1F5C0890" w14:textId="53FC8C7F" w:rsidR="00DA2C16" w:rsidRDefault="00DA2C16" w:rsidP="00DA2C16">
      <w:pPr>
        <w:rPr>
          <w:rFonts w:cs="Times New Roman"/>
          <w:szCs w:val="24"/>
        </w:rPr>
      </w:pPr>
      <w:r w:rsidRPr="00DA2C16">
        <w:rPr>
          <w:rFonts w:cs="Times New Roman"/>
          <w:szCs w:val="24"/>
        </w:rPr>
        <w:t>Określaniu zaplecza zapewniającego osobom najstarszym wsparcie i opiekę służy wskaźnik wsparcia międzypokoleniowego, tj. liczba osób w wieku powyżej 85 lat przypadająca na 100 osób w wieku 50- 64 lata. Jego poziom wskazywał, że możliwości opieki w ramach rodziny ulegały dalszemu ograniczeniu -w latach 2010-2019 miernik zwiększył się z 7 do 12 (w kraju z 6 do 11). Tak natężenie, jak i tempo zmian wskaźnika rozgraniczało miejsce zamieszkania. W miastach pułap wsparcia był nieco mniejszy, ale też szybko się zwiększał (z 5 do 12). Na obszarach wiejskich natomiast kształtował się wyżej, ale jego wzrost był powolny (z 9 do 13). Rodziny w wieku 60+ na terenach miejskich są w większości 2 osobowe, dzieci zamieszkują najczęściej w tym samym mieście. W środowiskach wiejskich częściej występują rodziny wielopokoleniowe, ale są także osoby samotne, których najbliższe osoby mieszkają w znacznej odległości.</w:t>
      </w:r>
    </w:p>
    <w:p w14:paraId="1AF654A5" w14:textId="77777777" w:rsidR="00DA2C16" w:rsidRPr="00DA2C16" w:rsidRDefault="00DA2C16" w:rsidP="00DA2C16">
      <w:pPr>
        <w:rPr>
          <w:rFonts w:cs="Times New Roman"/>
          <w:szCs w:val="24"/>
        </w:rPr>
      </w:pPr>
    </w:p>
    <w:p w14:paraId="747D9883" w14:textId="0E4251B6" w:rsidR="00DA2C16" w:rsidRDefault="007C3424" w:rsidP="00DA2C16">
      <w:pPr>
        <w:pStyle w:val="Nagwek3"/>
      </w:pPr>
      <w:bookmarkStart w:id="295" w:name="_Toc77514027"/>
      <w:bookmarkStart w:id="296" w:name="_Toc80523187"/>
      <w:r w:rsidRPr="007C3424">
        <w:lastRenderedPageBreak/>
        <w:t xml:space="preserve">Działania i inicjatywy realizowane na rzecz osób starszych w województwie </w:t>
      </w:r>
      <w:r>
        <w:t>świętokrzyskim</w:t>
      </w:r>
      <w:bookmarkEnd w:id="295"/>
      <w:bookmarkEnd w:id="296"/>
    </w:p>
    <w:p w14:paraId="191C79E9" w14:textId="34028EEE" w:rsidR="00DA2C16" w:rsidRDefault="00DA2C16" w:rsidP="000D7CDE">
      <w:pPr>
        <w:rPr>
          <w:rFonts w:cs="Times New Roman"/>
          <w:b/>
          <w:color w:val="FF0000"/>
          <w:szCs w:val="24"/>
          <w:lang w:eastAsia="ar-SA"/>
        </w:rPr>
      </w:pPr>
    </w:p>
    <w:p w14:paraId="05289A45" w14:textId="0AF93C5A" w:rsidR="007C3424" w:rsidRPr="00833554" w:rsidRDefault="007C3424" w:rsidP="007C3424">
      <w:pPr>
        <w:rPr>
          <w:rFonts w:cs="Times New Roman"/>
          <w:b/>
          <w:szCs w:val="24"/>
          <w:lang w:eastAsia="ar-SA"/>
        </w:rPr>
      </w:pPr>
      <w:r w:rsidRPr="00833554">
        <w:rPr>
          <w:rFonts w:cs="Times New Roman"/>
          <w:b/>
          <w:szCs w:val="24"/>
          <w:lang w:eastAsia="ar-SA"/>
        </w:rPr>
        <w:t>Dokumenty i strategie na poziomie wojewódzkim</w:t>
      </w:r>
    </w:p>
    <w:p w14:paraId="01B2EA7D" w14:textId="168CF38F" w:rsidR="007C3424" w:rsidRDefault="007C3424" w:rsidP="00931877">
      <w:pPr>
        <w:rPr>
          <w:lang w:eastAsia="ar-SA"/>
        </w:rPr>
      </w:pPr>
      <w:r w:rsidRPr="007C3424">
        <w:rPr>
          <w:lang w:eastAsia="ar-SA"/>
        </w:rPr>
        <w:t>W województwie świętokrzyskim w 2020 r. były podejmowane liczne inicjatywy poświęcone osobom starszym. Kluczowymi dokumentami określającymi kierunki działań w obszarze polityki senioralnej są: Strategia Polityki Społecznej Województwa Świętokrzyskiego na lata 2012-2020, w której wskazano kierunki zaspokajania potrzeb społeczności lokalnej oraz „Świętokrzyski Program na rzecz Osób Starszych do 2020 roku”. który stanowi uszczegółowienie oraz rozwinięcie celów i działań zapisanych w Świętokrzyskiej Strategii Polityki Społecznej . Cele ww. programu są spójne z założeniami Programu na rzecz Aktywności Społecznej Osób Starszych na lata 2014-2020 Ministerstwa Pracy i Polityki Społecznej, a także Krajowego Programu Przeciwdziałania Ubóstwu oraz Wykluczeniu Społecznemu 2020 - Nowy Wymiar Aktywnej Integracji.</w:t>
      </w:r>
    </w:p>
    <w:p w14:paraId="38686488" w14:textId="77777777" w:rsidR="00833554" w:rsidRPr="007C3424" w:rsidRDefault="00833554" w:rsidP="00931877">
      <w:pPr>
        <w:rPr>
          <w:lang w:eastAsia="ar-SA"/>
        </w:rPr>
      </w:pPr>
    </w:p>
    <w:p w14:paraId="47DA7156" w14:textId="17E575FF" w:rsidR="007C3424" w:rsidRDefault="007C3424" w:rsidP="00931877">
      <w:pPr>
        <w:rPr>
          <w:lang w:eastAsia="ar-SA"/>
        </w:rPr>
      </w:pPr>
      <w:r w:rsidRPr="007C3424">
        <w:rPr>
          <w:lang w:eastAsia="ar-SA"/>
        </w:rPr>
        <w:t>Na poziomie województwa świętokrzyskiego funkcjonuje „Świętokrzyski Program na rzecz Osób Starszych do 2020 roku” a także swoje gminne programy posiadają gmina Kielce (Kielecki Program Senioralny na lata 2018-2022) oraz Zagnańsk (Gminny Program Wspierania Seniorów Gminy Zagnańsk na lata 2019-2025).</w:t>
      </w:r>
    </w:p>
    <w:p w14:paraId="58EC8124" w14:textId="77777777" w:rsidR="00833554" w:rsidRPr="007C3424" w:rsidRDefault="00833554" w:rsidP="00931877">
      <w:pPr>
        <w:rPr>
          <w:lang w:eastAsia="ar-SA"/>
        </w:rPr>
      </w:pPr>
    </w:p>
    <w:p w14:paraId="223AC55D" w14:textId="04232330" w:rsidR="007C3424" w:rsidRDefault="007C3424" w:rsidP="00931877">
      <w:pPr>
        <w:rPr>
          <w:lang w:eastAsia="ar-SA"/>
        </w:rPr>
      </w:pPr>
      <w:r w:rsidRPr="007C3424">
        <w:rPr>
          <w:lang w:eastAsia="ar-SA"/>
        </w:rPr>
        <w:t>Kolejnym dokumentem w ramach polityki senioralnej jest Polityka Senioralna Kieleckiego Obszaru Funkcjonalnego na lata 2020-2030, która ma na celu tworzenie warunków do działań poprawiających jakość życia seniorów, promujących ich aktywność, zapewnienie poczucie bezpieczeństwa oraz wskazanie zadań podejmowanych na obszarze KOF, na rzecz osób starszych zgodnie z możliwościami i potrzebami seniorów.</w:t>
      </w:r>
    </w:p>
    <w:p w14:paraId="5309AB7F" w14:textId="77777777" w:rsidR="00833554" w:rsidRPr="007C3424" w:rsidRDefault="00833554" w:rsidP="00931877">
      <w:pPr>
        <w:rPr>
          <w:lang w:eastAsia="ar-SA"/>
        </w:rPr>
      </w:pPr>
    </w:p>
    <w:p w14:paraId="43B25874" w14:textId="350516C8" w:rsidR="007C3424" w:rsidRDefault="007C3424" w:rsidP="00931877">
      <w:pPr>
        <w:rPr>
          <w:lang w:eastAsia="ar-SA"/>
        </w:rPr>
      </w:pPr>
      <w:r w:rsidRPr="007C3424">
        <w:rPr>
          <w:lang w:eastAsia="ar-SA"/>
        </w:rPr>
        <w:t>Działania zmierzające do opracowania polityki senioralnej KOF, mające na celu wyrównanie stopnia działań i wsparcia osób po 60 roku życia na terenie różnych gmin KOF rozpoczęto dzięki oddolnej inicjatywie członków grupy senioralnej. Decyzja o podjęciu prac nad tworzeniem polityki senioralnej została podjęta także przez Komitet Sterujący oraz Radę Programową Zintegrowanych Inwestycji Terytorialnych Kieleckiego Obszaru Funkcjonalnego.</w:t>
      </w:r>
    </w:p>
    <w:p w14:paraId="1F47C2DC" w14:textId="77777777" w:rsidR="00833554" w:rsidRPr="007C3424" w:rsidRDefault="00833554" w:rsidP="00931877">
      <w:pPr>
        <w:rPr>
          <w:lang w:eastAsia="ar-SA"/>
        </w:rPr>
      </w:pPr>
    </w:p>
    <w:p w14:paraId="2BF8218D" w14:textId="77777777" w:rsidR="007C3424" w:rsidRPr="007C3424" w:rsidRDefault="007C3424" w:rsidP="00931877">
      <w:pPr>
        <w:rPr>
          <w:lang w:eastAsia="ar-SA"/>
        </w:rPr>
      </w:pPr>
      <w:r w:rsidRPr="007C3424">
        <w:rPr>
          <w:lang w:eastAsia="ar-SA"/>
        </w:rPr>
        <w:t>Na terenie Kieleckiego Obszaru Funkcjonalnego (dalej KOF) realizowane są projekty współfinansowane z Europejskiego Funduszu Rozwoju Regionalnego oraz Europejskiego Funduszu Społecznego w ramach Regionalnego Programu Operacyjnego Województwa Świętokrzyskiego na lata 2014-2020. W ramach realizacji dotacji powołano uchwałą nr IX/2019 Komitetu Sterującego ZIT KOF grupy tematyczne, w tym ds. polityki senioralnej. W wyniku ustaleń tejże grupy podjęto decyzję o przystąpieniu do opracowania Polityki Senioralnej</w:t>
      </w:r>
      <w:r w:rsidRPr="007C3424">
        <w:rPr>
          <w:lang w:eastAsia="ar-SA"/>
        </w:rPr>
        <w:tab/>
        <w:t>całego Kieleckiego Obszaru Funkcjonalnego.</w:t>
      </w:r>
    </w:p>
    <w:p w14:paraId="692BD5AB" w14:textId="77777777" w:rsidR="007C3424" w:rsidRPr="007C3424" w:rsidRDefault="007C3424" w:rsidP="00931877">
      <w:pPr>
        <w:rPr>
          <w:lang w:eastAsia="ar-SA"/>
        </w:rPr>
      </w:pPr>
      <w:r w:rsidRPr="007C3424">
        <w:rPr>
          <w:lang w:eastAsia="ar-SA"/>
        </w:rPr>
        <w:t xml:space="preserve">Powołano również Zespół ds. opracowania Polityki Senioralnej KOF, który ma współpracować z Wykonawcą polityki senioralnej KOF na lata 2020 - 2030. Pierwszym etapem prac nad Projektem Polityki Senioralnej Kieleckiego Obszaru Funkcjonalnego na lata 2020-2030 było przeprowadzenie diagnozy sytuacji i potrzeb osób starszych na terenie KOF. Do diagnozy wykorzystano analizę danych zastanych oraz badania społeczne (ilościowe i jakościowe) z </w:t>
      </w:r>
      <w:r w:rsidRPr="007C3424">
        <w:rPr>
          <w:lang w:eastAsia="ar-SA"/>
        </w:rPr>
        <w:lastRenderedPageBreak/>
        <w:t>seniorami i osobami z nimi pracującymi. Kolejnym etapem było partycypacyjne opracowanie projektu Założeń polityki senioralnej KOF na lata 2020-2030, podczas którego przeprowadzono 4 moderowane warsztaty z seniorami, osobami pracującymi z seniorami oraz ekspertami (przedstawicielami samorządu poziomu gminnego i wojewódzkiego, przedstawicielami uczelni wyższych oraz organizacji pozarządowych).</w:t>
      </w:r>
    </w:p>
    <w:p w14:paraId="7BACA985" w14:textId="77777777" w:rsidR="00931877" w:rsidRDefault="00931877" w:rsidP="00931877">
      <w:pPr>
        <w:rPr>
          <w:lang w:eastAsia="ar-SA"/>
        </w:rPr>
      </w:pPr>
    </w:p>
    <w:p w14:paraId="51B0EAD8" w14:textId="29F05A6A" w:rsidR="007C3424" w:rsidRDefault="007C3424" w:rsidP="00931877">
      <w:pPr>
        <w:rPr>
          <w:lang w:eastAsia="ar-SA"/>
        </w:rPr>
      </w:pPr>
      <w:r w:rsidRPr="007C3424">
        <w:rPr>
          <w:lang w:eastAsia="ar-SA"/>
        </w:rPr>
        <w:t>Ostatnim etapem prac było przygotowanie Projektu Polityki Senioralnej Kieleckiego Obszaru Funkcjonalnego na lata 2020-2030. Także na tym etapie odbył się warsztat z osobami zaangażowanymi w politykę senioralną KOF, podczas którego wypracowano ostateczne założenia dokumentu oraz uzgodniono kształt dokumentu polityki senioralnej.</w:t>
      </w:r>
    </w:p>
    <w:p w14:paraId="04C95B2B" w14:textId="77777777" w:rsidR="00931877" w:rsidRPr="007C3424" w:rsidRDefault="00931877" w:rsidP="00931877">
      <w:pPr>
        <w:rPr>
          <w:lang w:eastAsia="ar-SA"/>
        </w:rPr>
      </w:pPr>
    </w:p>
    <w:p w14:paraId="0B2E45A0" w14:textId="3BBB3F1D" w:rsidR="007C3424" w:rsidRDefault="007C3424" w:rsidP="00931877">
      <w:pPr>
        <w:rPr>
          <w:lang w:eastAsia="ar-SA"/>
        </w:rPr>
      </w:pPr>
      <w:r w:rsidRPr="007C3424">
        <w:rPr>
          <w:lang w:eastAsia="ar-SA"/>
        </w:rPr>
        <w:t>Przykładem działań podejmowanych w 2020 r. w woj. świętokrzyskim było rozpoczęcie działalności Świętokrzyskiej Rady Seniorów, będącej organem o charakterze konsultacyjnym, doradczym i inicjatywnym działającym na rzecz wzmocnienia i rozwoju regionalnej polityki senioralnej.</w:t>
      </w:r>
    </w:p>
    <w:p w14:paraId="197101BF" w14:textId="77777777" w:rsidR="00931877" w:rsidRPr="007C3424" w:rsidRDefault="00931877" w:rsidP="00931877">
      <w:pPr>
        <w:rPr>
          <w:lang w:eastAsia="ar-SA"/>
        </w:rPr>
      </w:pPr>
    </w:p>
    <w:p w14:paraId="0931C6D9" w14:textId="147A8ECD" w:rsidR="007C3424" w:rsidRDefault="007C3424" w:rsidP="00931877">
      <w:pPr>
        <w:rPr>
          <w:lang w:eastAsia="ar-SA"/>
        </w:rPr>
      </w:pPr>
      <w:r w:rsidRPr="007C3424">
        <w:rPr>
          <w:lang w:eastAsia="ar-SA"/>
        </w:rPr>
        <w:t>Zarząd Województwa Świętokrzyskiego uchwałą nr 1414/19 z dnia 4 grudnia 2019 r</w:t>
      </w:r>
      <w:r w:rsidR="00A931B5">
        <w:rPr>
          <w:lang w:eastAsia="ar-SA"/>
        </w:rPr>
        <w:t>.</w:t>
      </w:r>
      <w:r w:rsidRPr="007C3424">
        <w:rPr>
          <w:lang w:eastAsia="ar-SA"/>
        </w:rPr>
        <w:t xml:space="preserve"> przyjął Statut i określił zasady funkcjonowania Świętokrzyskiej Rady Seniorów.</w:t>
      </w:r>
    </w:p>
    <w:p w14:paraId="42F5D5E5" w14:textId="77777777" w:rsidR="00931877" w:rsidRPr="007C3424" w:rsidRDefault="00931877" w:rsidP="00931877">
      <w:pPr>
        <w:rPr>
          <w:lang w:eastAsia="ar-SA"/>
        </w:rPr>
      </w:pPr>
    </w:p>
    <w:p w14:paraId="55A61D64" w14:textId="6F163FDB" w:rsidR="007C3424" w:rsidRDefault="007C3424" w:rsidP="00931877">
      <w:pPr>
        <w:rPr>
          <w:lang w:eastAsia="ar-SA"/>
        </w:rPr>
      </w:pPr>
      <w:r w:rsidRPr="007C3424">
        <w:rPr>
          <w:lang w:eastAsia="ar-SA"/>
        </w:rPr>
        <w:t>Uroczyste, inauguracyjne posiedzenie Świętokrzyskiej Rady Seniorów kadencji 2020-2025 odbyło się 9 marca 2020 r</w:t>
      </w:r>
      <w:r w:rsidR="00A931B5">
        <w:rPr>
          <w:lang w:eastAsia="ar-SA"/>
        </w:rPr>
        <w:t>.</w:t>
      </w:r>
      <w:r w:rsidRPr="007C3424">
        <w:rPr>
          <w:lang w:eastAsia="ar-SA"/>
        </w:rPr>
        <w:t>.</w:t>
      </w:r>
    </w:p>
    <w:p w14:paraId="78A3F765" w14:textId="77777777" w:rsidR="00931877" w:rsidRPr="007C3424" w:rsidRDefault="00931877" w:rsidP="00931877">
      <w:pPr>
        <w:rPr>
          <w:lang w:eastAsia="ar-SA"/>
        </w:rPr>
      </w:pPr>
    </w:p>
    <w:p w14:paraId="6920A791" w14:textId="77777777" w:rsidR="00931877" w:rsidRDefault="007C3424" w:rsidP="00931877">
      <w:pPr>
        <w:rPr>
          <w:lang w:eastAsia="ar-SA"/>
        </w:rPr>
      </w:pPr>
      <w:r w:rsidRPr="007C3424">
        <w:rPr>
          <w:lang w:eastAsia="ar-SA"/>
        </w:rPr>
        <w:t xml:space="preserve">W składzie ww. Rady w kadencji 2020-2025 będzie zasiadać 16 członków - zarówno osoby niezrzeszone, jak i przedstawiciele instytucji oraz organizacji skupiających i działających na rzecz Seniorów. Zgodnie z założeniami władz Urzędu Marszałkowskiego każdy powiat będzie miał w Radzie swojego przedstawiciela. Jedynie miasto Kielce oraz powiat kielecki, jako największe obszary mają w Świętokrzyskiej Radzie Seniorów po dwóch reprezentantów. </w:t>
      </w:r>
    </w:p>
    <w:p w14:paraId="58FDCC75" w14:textId="77777777" w:rsidR="00931877" w:rsidRDefault="00931877" w:rsidP="007C3424">
      <w:pPr>
        <w:rPr>
          <w:rFonts w:cs="Times New Roman"/>
          <w:bCs/>
          <w:szCs w:val="24"/>
          <w:lang w:eastAsia="ar-SA"/>
        </w:rPr>
      </w:pPr>
    </w:p>
    <w:p w14:paraId="2CE2561A" w14:textId="24C948E2" w:rsidR="00931877" w:rsidRPr="007C3424" w:rsidRDefault="007C3424" w:rsidP="007C3424">
      <w:pPr>
        <w:rPr>
          <w:rFonts w:cs="Times New Roman"/>
          <w:bCs/>
          <w:szCs w:val="24"/>
          <w:lang w:eastAsia="ar-SA"/>
        </w:rPr>
      </w:pPr>
      <w:r w:rsidRPr="007C3424">
        <w:rPr>
          <w:rFonts w:cs="Times New Roman"/>
          <w:bCs/>
          <w:szCs w:val="24"/>
          <w:lang w:eastAsia="ar-SA"/>
        </w:rPr>
        <w:t>Do zadań Rady należy w szczególności:</w:t>
      </w:r>
    </w:p>
    <w:p w14:paraId="1CC6BAEA" w14:textId="6DC9C286" w:rsidR="007C3424" w:rsidRPr="007C3424" w:rsidRDefault="007C3424" w:rsidP="007C3424">
      <w:pPr>
        <w:rPr>
          <w:rFonts w:cs="Times New Roman"/>
          <w:bCs/>
          <w:szCs w:val="24"/>
          <w:lang w:eastAsia="ar-SA"/>
        </w:rPr>
      </w:pPr>
      <w:r w:rsidRPr="007C3424">
        <w:rPr>
          <w:rFonts w:cs="Times New Roman"/>
          <w:bCs/>
          <w:szCs w:val="24"/>
          <w:lang w:eastAsia="ar-SA"/>
        </w:rPr>
        <w:t>prowadzenie działalności informacyjnej związanej z polityką senioralną, w tym wymiana i rozpowszechnianie informacji istotnych dla seniorów województwa świętokrzyskiego,</w:t>
      </w:r>
    </w:p>
    <w:p w14:paraId="253B851C" w14:textId="77777777" w:rsidR="00931877" w:rsidRDefault="007C3424" w:rsidP="00FE70E3">
      <w:pPr>
        <w:pStyle w:val="Akapitzlist"/>
        <w:numPr>
          <w:ilvl w:val="0"/>
          <w:numId w:val="204"/>
        </w:numPr>
        <w:rPr>
          <w:rFonts w:cs="Times New Roman"/>
          <w:bCs/>
          <w:szCs w:val="24"/>
          <w:lang w:eastAsia="ar-SA"/>
        </w:rPr>
      </w:pPr>
      <w:r w:rsidRPr="00931877">
        <w:rPr>
          <w:rFonts w:cs="Times New Roman"/>
          <w:bCs/>
          <w:szCs w:val="24"/>
          <w:lang w:eastAsia="ar-SA"/>
        </w:rPr>
        <w:t>identyfikowanie i sygnalizowanie istotnych kwestii związanych z sytuacja osób starszych w województwie świętokrzyskim,</w:t>
      </w:r>
    </w:p>
    <w:p w14:paraId="09073924" w14:textId="77777777" w:rsidR="00931877" w:rsidRDefault="007C3424" w:rsidP="00FE70E3">
      <w:pPr>
        <w:pStyle w:val="Akapitzlist"/>
        <w:numPr>
          <w:ilvl w:val="0"/>
          <w:numId w:val="204"/>
        </w:numPr>
        <w:rPr>
          <w:rFonts w:cs="Times New Roman"/>
          <w:bCs/>
          <w:szCs w:val="24"/>
          <w:lang w:eastAsia="ar-SA"/>
        </w:rPr>
      </w:pPr>
      <w:r w:rsidRPr="00931877">
        <w:rPr>
          <w:rFonts w:cs="Times New Roman"/>
          <w:bCs/>
          <w:szCs w:val="24"/>
          <w:lang w:eastAsia="ar-SA"/>
        </w:rPr>
        <w:t>opiniowanie oraz konsultowanie kluczowych dokumentów i propozycji rozwiązań mających wpływ na regionalną politykę senioralną,</w:t>
      </w:r>
    </w:p>
    <w:p w14:paraId="38591C9A" w14:textId="77777777" w:rsidR="00931877" w:rsidRDefault="007C3424" w:rsidP="00FE70E3">
      <w:pPr>
        <w:pStyle w:val="Akapitzlist"/>
        <w:numPr>
          <w:ilvl w:val="0"/>
          <w:numId w:val="204"/>
        </w:numPr>
        <w:rPr>
          <w:rFonts w:cs="Times New Roman"/>
          <w:bCs/>
          <w:szCs w:val="24"/>
          <w:lang w:eastAsia="ar-SA"/>
        </w:rPr>
      </w:pPr>
      <w:r w:rsidRPr="00931877">
        <w:rPr>
          <w:rFonts w:cs="Times New Roman"/>
          <w:bCs/>
          <w:szCs w:val="24"/>
          <w:lang w:eastAsia="ar-SA"/>
        </w:rPr>
        <w:t>udział członków Rady w zespołach eksperckich i innych gremiach, przygotowujących projekty dokumentów strategicznych lub innych przedsięwzięć w obszarze zgodnym z celami Rady,</w:t>
      </w:r>
    </w:p>
    <w:p w14:paraId="384CC3F6" w14:textId="77777777" w:rsidR="00931877" w:rsidRDefault="007C3424" w:rsidP="00FE70E3">
      <w:pPr>
        <w:pStyle w:val="Akapitzlist"/>
        <w:numPr>
          <w:ilvl w:val="0"/>
          <w:numId w:val="204"/>
        </w:numPr>
        <w:rPr>
          <w:rFonts w:cs="Times New Roman"/>
          <w:bCs/>
          <w:szCs w:val="24"/>
          <w:lang w:eastAsia="ar-SA"/>
        </w:rPr>
      </w:pPr>
      <w:r w:rsidRPr="00931877">
        <w:rPr>
          <w:rFonts w:cs="Times New Roman"/>
          <w:bCs/>
          <w:szCs w:val="24"/>
          <w:lang w:eastAsia="ar-SA"/>
        </w:rPr>
        <w:t>monitorowanie realizacji działań na rzecz osób starszych wynikających z programów oraz strategii wojewódzkich,</w:t>
      </w:r>
    </w:p>
    <w:p w14:paraId="7713E9FF" w14:textId="77777777" w:rsidR="00931877" w:rsidRDefault="007C3424" w:rsidP="00FE70E3">
      <w:pPr>
        <w:pStyle w:val="Akapitzlist"/>
        <w:numPr>
          <w:ilvl w:val="0"/>
          <w:numId w:val="204"/>
        </w:numPr>
        <w:rPr>
          <w:rFonts w:cs="Times New Roman"/>
          <w:bCs/>
          <w:szCs w:val="24"/>
          <w:lang w:eastAsia="ar-SA"/>
        </w:rPr>
      </w:pPr>
      <w:r w:rsidRPr="00931877">
        <w:rPr>
          <w:rFonts w:cs="Times New Roman"/>
          <w:bCs/>
          <w:szCs w:val="24"/>
          <w:lang w:eastAsia="ar-SA"/>
        </w:rPr>
        <w:t>włączenie się w charakterze partnera w realizację różnorakich inicjatyw na rzecz osób starszych m.in. poprzez udzielanie wsparcia merytorycznego i doradczego.</w:t>
      </w:r>
    </w:p>
    <w:p w14:paraId="0B23B22B" w14:textId="3BBF9C9C" w:rsidR="007C3424" w:rsidRDefault="007C3424" w:rsidP="00931877">
      <w:pPr>
        <w:rPr>
          <w:rFonts w:cs="Times New Roman"/>
          <w:bCs/>
          <w:szCs w:val="24"/>
          <w:lang w:eastAsia="ar-SA"/>
        </w:rPr>
      </w:pPr>
      <w:r w:rsidRPr="00931877">
        <w:rPr>
          <w:rFonts w:cs="Times New Roman"/>
          <w:bCs/>
          <w:szCs w:val="24"/>
          <w:lang w:eastAsia="ar-SA"/>
        </w:rPr>
        <w:lastRenderedPageBreak/>
        <w:t>Rada pomaga samorządowi województwa w prowadzeniu skutecznej polityki senioralnej, w kontekście starzenia się społeczeństwa i wydłużania się średniego czasu życia.</w:t>
      </w:r>
    </w:p>
    <w:p w14:paraId="332F9E82" w14:textId="55FE9C23" w:rsidR="007C3424" w:rsidRPr="007C3424" w:rsidRDefault="007C3424" w:rsidP="007C3424">
      <w:pPr>
        <w:rPr>
          <w:rFonts w:cs="Times New Roman"/>
          <w:bCs/>
          <w:szCs w:val="24"/>
          <w:lang w:eastAsia="ar-SA"/>
        </w:rPr>
      </w:pPr>
    </w:p>
    <w:p w14:paraId="44E0BD2A" w14:textId="77777777" w:rsidR="007C3424" w:rsidRPr="007C3424" w:rsidRDefault="007C3424" w:rsidP="007C3424">
      <w:pPr>
        <w:rPr>
          <w:rFonts w:cs="Times New Roman"/>
          <w:bCs/>
          <w:szCs w:val="24"/>
          <w:lang w:eastAsia="ar-SA"/>
        </w:rPr>
      </w:pPr>
      <w:r w:rsidRPr="007C3424">
        <w:rPr>
          <w:rFonts w:cs="Times New Roman"/>
          <w:bCs/>
          <w:szCs w:val="24"/>
          <w:lang w:eastAsia="ar-SA"/>
        </w:rPr>
        <w:t>Świętokrzyska Karta Seniora</w:t>
      </w:r>
    </w:p>
    <w:p w14:paraId="7CC5C939" w14:textId="06AA09B2" w:rsidR="00931877" w:rsidRDefault="007C3424" w:rsidP="00931877">
      <w:pPr>
        <w:rPr>
          <w:rFonts w:cs="Times New Roman"/>
          <w:bCs/>
          <w:szCs w:val="24"/>
          <w:lang w:eastAsia="ar-SA"/>
        </w:rPr>
      </w:pPr>
      <w:r w:rsidRPr="007C3424">
        <w:rPr>
          <w:rFonts w:cs="Times New Roman"/>
          <w:bCs/>
          <w:szCs w:val="24"/>
          <w:lang w:eastAsia="ar-SA"/>
        </w:rPr>
        <w:t xml:space="preserve">Samorząd Województwa Świętokrzyskiego kontynuuje inicjatywę jaką jest Świętokrzyska Karta Seniora, forma dodatkowego wsparcia dla seniorów 60+ w dostępie do różnych sfer życia społecznego, kulturalnego, prozdrowotnego i gospodarczego; poprzez zaoferowanie im specjalnych ulg, usług bądź szczególnych uprawnień wynikających z oferty partnerów projektu. Zakres oferty przysługującej seniorom wynika z propozycji przedstawionych przez partnerów. </w:t>
      </w:r>
    </w:p>
    <w:p w14:paraId="4442A810" w14:textId="77777777" w:rsidR="00931877" w:rsidRPr="00931877" w:rsidRDefault="00931877" w:rsidP="00931877">
      <w:pPr>
        <w:rPr>
          <w:rFonts w:cs="Times New Roman"/>
          <w:b/>
          <w:szCs w:val="24"/>
          <w:lang w:eastAsia="ar-SA"/>
        </w:rPr>
      </w:pPr>
    </w:p>
    <w:p w14:paraId="4AC58F29" w14:textId="6A6178AF" w:rsidR="007C3424" w:rsidRPr="00931877" w:rsidRDefault="007C3424" w:rsidP="007C3424">
      <w:pPr>
        <w:rPr>
          <w:rFonts w:cs="Times New Roman"/>
          <w:b/>
          <w:szCs w:val="24"/>
          <w:lang w:eastAsia="ar-SA"/>
        </w:rPr>
      </w:pPr>
      <w:r w:rsidRPr="00931877">
        <w:rPr>
          <w:rFonts w:cs="Times New Roman"/>
          <w:b/>
          <w:szCs w:val="24"/>
          <w:lang w:eastAsia="ar-SA"/>
        </w:rPr>
        <w:t>Przykłady programów wspierających aktywność społeczną, kulturalną, edukacyjną, sportową i obywatelską osób starszych</w:t>
      </w:r>
    </w:p>
    <w:p w14:paraId="7ACD5B03" w14:textId="439CBA75" w:rsidR="007C3424" w:rsidRPr="007C3424" w:rsidRDefault="007C3424" w:rsidP="007C3424">
      <w:pPr>
        <w:rPr>
          <w:rFonts w:cs="Times New Roman"/>
          <w:bCs/>
          <w:szCs w:val="24"/>
          <w:lang w:eastAsia="ar-SA"/>
        </w:rPr>
      </w:pPr>
      <w:r w:rsidRPr="007C3424">
        <w:rPr>
          <w:rFonts w:cs="Times New Roman"/>
          <w:bCs/>
          <w:szCs w:val="24"/>
          <w:lang w:eastAsia="ar-SA"/>
        </w:rPr>
        <w:t xml:space="preserve">Corocznie Wojewoda Świętokrzyski przeprowadza otwarty konkurs ofert na realizację zadań publicznych z zakresu pomocy społecznej. Konkurs kierowany jest do organizacji pozarządowych w rozumieniu art. 3 ust. 2 ustawy o działalności pożytku publicznego i o wolontariacie oraz podmiotów wymienionych w art. 3 ust. 3 </w:t>
      </w:r>
      <w:r w:rsidR="00D6492C">
        <w:rPr>
          <w:rFonts w:cs="Times New Roman"/>
          <w:bCs/>
          <w:szCs w:val="24"/>
          <w:lang w:eastAsia="ar-SA"/>
        </w:rPr>
        <w:t>ww.</w:t>
      </w:r>
      <w:r w:rsidRPr="007C3424">
        <w:rPr>
          <w:rFonts w:cs="Times New Roman"/>
          <w:bCs/>
          <w:szCs w:val="24"/>
          <w:lang w:eastAsia="ar-SA"/>
        </w:rPr>
        <w:t xml:space="preserve"> ustawy. Podmioty uprawnione mogą złożyć oferty konkursowe na 1 z 6 zadań wymienionych w ogłoszeniu konkursowym.</w:t>
      </w:r>
      <w:r w:rsidR="00931877">
        <w:rPr>
          <w:rFonts w:cs="Times New Roman"/>
          <w:bCs/>
          <w:szCs w:val="24"/>
          <w:lang w:eastAsia="ar-SA"/>
        </w:rPr>
        <w:t xml:space="preserve"> </w:t>
      </w:r>
      <w:r w:rsidRPr="007C3424">
        <w:rPr>
          <w:rFonts w:cs="Times New Roman"/>
          <w:bCs/>
          <w:szCs w:val="24"/>
          <w:lang w:eastAsia="ar-SA"/>
        </w:rPr>
        <w:t>Jednym z zadań konkursowych są „Działania na rzecz aktywizacji osób w podeszłym wieku lub integracji międzypokoleniowej, głównie skutkujące nawiązaniem więzi”.</w:t>
      </w:r>
    </w:p>
    <w:p w14:paraId="57F19D18" w14:textId="6EA9E4C1" w:rsidR="007C3424" w:rsidRPr="007C3424" w:rsidRDefault="007C3424" w:rsidP="007C3424">
      <w:pPr>
        <w:rPr>
          <w:rFonts w:cs="Times New Roman"/>
          <w:bCs/>
          <w:szCs w:val="24"/>
          <w:lang w:eastAsia="ar-SA"/>
        </w:rPr>
      </w:pPr>
      <w:r w:rsidRPr="007C3424">
        <w:rPr>
          <w:rFonts w:cs="Times New Roman"/>
          <w:bCs/>
          <w:szCs w:val="24"/>
          <w:lang w:eastAsia="ar-SA"/>
        </w:rPr>
        <w:t>W 2020</w:t>
      </w:r>
      <w:r w:rsidR="00A931B5">
        <w:rPr>
          <w:rFonts w:cs="Times New Roman"/>
          <w:bCs/>
          <w:szCs w:val="24"/>
          <w:lang w:eastAsia="ar-SA"/>
        </w:rPr>
        <w:t xml:space="preserve"> r.</w:t>
      </w:r>
      <w:r w:rsidRPr="007C3424">
        <w:rPr>
          <w:rFonts w:cs="Times New Roman"/>
          <w:bCs/>
          <w:szCs w:val="24"/>
          <w:lang w:eastAsia="ar-SA"/>
        </w:rPr>
        <w:t xml:space="preserve"> dofinansowanie otrzymało 7 organizacji pozarządowych na realizację powyższego działania (łączna kwota dotacji wyniosła 63.460,00 zł).</w:t>
      </w:r>
      <w:r w:rsidR="00931877">
        <w:rPr>
          <w:rFonts w:cs="Times New Roman"/>
          <w:bCs/>
          <w:szCs w:val="24"/>
          <w:lang w:eastAsia="ar-SA"/>
        </w:rPr>
        <w:t xml:space="preserve"> </w:t>
      </w:r>
      <w:r w:rsidRPr="007C3424">
        <w:rPr>
          <w:rFonts w:cs="Times New Roman"/>
          <w:bCs/>
          <w:szCs w:val="24"/>
          <w:lang w:eastAsia="ar-SA"/>
        </w:rPr>
        <w:t>W ramach przyznanych środków organizacje (stowarzyszenia, fundacja i parafia) zrealizowały następujące projekty:</w:t>
      </w:r>
    </w:p>
    <w:p w14:paraId="5CF10023" w14:textId="77777777" w:rsidR="00931877" w:rsidRDefault="007C3424" w:rsidP="00FE70E3">
      <w:pPr>
        <w:pStyle w:val="Akapitzlist"/>
        <w:numPr>
          <w:ilvl w:val="0"/>
          <w:numId w:val="205"/>
        </w:numPr>
        <w:rPr>
          <w:rFonts w:cs="Times New Roman"/>
          <w:bCs/>
          <w:szCs w:val="24"/>
          <w:lang w:eastAsia="ar-SA"/>
        </w:rPr>
      </w:pPr>
      <w:r w:rsidRPr="00931877">
        <w:rPr>
          <w:rFonts w:cs="Times New Roman"/>
          <w:bCs/>
          <w:szCs w:val="24"/>
          <w:lang w:eastAsia="ar-SA"/>
        </w:rPr>
        <w:t xml:space="preserve">„Seniorzy na start - aktywność na mecie” - celem projektu było pobudzenie aktywności intelektualnej, społecznej, obywatelskiej i fizycznej dla 40 osób w wieku 60+ z terenu woj. świętokrzyskiego poprzez udział w zajęciach z zakresu wolontariatu i warsztatach: fotograficznych, ogrodniczych i </w:t>
      </w:r>
      <w:proofErr w:type="spellStart"/>
      <w:r w:rsidRPr="00931877">
        <w:rPr>
          <w:rFonts w:cs="Times New Roman"/>
          <w:bCs/>
          <w:szCs w:val="24"/>
          <w:lang w:eastAsia="ar-SA"/>
        </w:rPr>
        <w:t>rekreacyjno</w:t>
      </w:r>
      <w:proofErr w:type="spellEnd"/>
      <w:r w:rsidRPr="00931877">
        <w:rPr>
          <w:rFonts w:cs="Times New Roman"/>
          <w:bCs/>
          <w:szCs w:val="24"/>
          <w:lang w:eastAsia="ar-SA"/>
        </w:rPr>
        <w:t xml:space="preserve"> - zdrowotnych (gimnastyka, samoobrona i </w:t>
      </w:r>
      <w:proofErr w:type="spellStart"/>
      <w:r w:rsidRPr="00931877">
        <w:rPr>
          <w:rFonts w:cs="Times New Roman"/>
          <w:bCs/>
          <w:szCs w:val="24"/>
          <w:lang w:eastAsia="ar-SA"/>
        </w:rPr>
        <w:t>nordic</w:t>
      </w:r>
      <w:proofErr w:type="spellEnd"/>
      <w:r w:rsidRPr="00931877">
        <w:rPr>
          <w:rFonts w:cs="Times New Roman"/>
          <w:bCs/>
          <w:szCs w:val="24"/>
          <w:lang w:eastAsia="ar-SA"/>
        </w:rPr>
        <w:t xml:space="preserve"> - </w:t>
      </w:r>
      <w:proofErr w:type="spellStart"/>
      <w:r w:rsidRPr="00931877">
        <w:rPr>
          <w:rFonts w:cs="Times New Roman"/>
          <w:bCs/>
          <w:szCs w:val="24"/>
          <w:lang w:eastAsia="ar-SA"/>
        </w:rPr>
        <w:t>walking</w:t>
      </w:r>
      <w:proofErr w:type="spellEnd"/>
      <w:r w:rsidRPr="00931877">
        <w:rPr>
          <w:rFonts w:cs="Times New Roman"/>
          <w:bCs/>
          <w:szCs w:val="24"/>
          <w:lang w:eastAsia="ar-SA"/>
        </w:rPr>
        <w:t xml:space="preserve">). Ponadto seniorzy uczestniczyli w wyjazdach </w:t>
      </w:r>
      <w:proofErr w:type="spellStart"/>
      <w:r w:rsidRPr="00931877">
        <w:rPr>
          <w:rFonts w:cs="Times New Roman"/>
          <w:bCs/>
          <w:szCs w:val="24"/>
          <w:lang w:eastAsia="ar-SA"/>
        </w:rPr>
        <w:t>edukacyjno</w:t>
      </w:r>
      <w:proofErr w:type="spellEnd"/>
      <w:r w:rsidRPr="00931877">
        <w:rPr>
          <w:rFonts w:cs="Times New Roman"/>
          <w:bCs/>
          <w:szCs w:val="24"/>
          <w:lang w:eastAsia="ar-SA"/>
        </w:rPr>
        <w:t xml:space="preserve"> - kulturalnych oraz w gminnym Dniu Seniora;</w:t>
      </w:r>
    </w:p>
    <w:p w14:paraId="5D3E7B56" w14:textId="77777777" w:rsidR="00931877" w:rsidRDefault="007C3424" w:rsidP="00FE70E3">
      <w:pPr>
        <w:pStyle w:val="Akapitzlist"/>
        <w:numPr>
          <w:ilvl w:val="0"/>
          <w:numId w:val="205"/>
        </w:numPr>
        <w:rPr>
          <w:rFonts w:cs="Times New Roman"/>
          <w:bCs/>
          <w:szCs w:val="24"/>
          <w:lang w:eastAsia="ar-SA"/>
        </w:rPr>
      </w:pPr>
      <w:r w:rsidRPr="00931877">
        <w:rPr>
          <w:rFonts w:cs="Times New Roman"/>
          <w:bCs/>
          <w:szCs w:val="24"/>
          <w:lang w:eastAsia="ar-SA"/>
        </w:rPr>
        <w:t>„Hospicjum drugim domem dla chorych” - grupę docelową projektu stanowili podopieczni Hospicjum i ZOL w Busku - Zdroju. W ramach zadania zorganizowano szkolenie dla wolontariuszy, które miało na celu promowanie idei wolontariatu wśród młodzieży po to, by móc wspomagać personel placówek w opiece nad osobami starszymi;</w:t>
      </w:r>
    </w:p>
    <w:p w14:paraId="7BA9F4C6" w14:textId="77777777" w:rsidR="00931877" w:rsidRDefault="007C3424" w:rsidP="00FE70E3">
      <w:pPr>
        <w:pStyle w:val="Akapitzlist"/>
        <w:numPr>
          <w:ilvl w:val="0"/>
          <w:numId w:val="205"/>
        </w:numPr>
        <w:rPr>
          <w:rFonts w:cs="Times New Roman"/>
          <w:bCs/>
          <w:szCs w:val="24"/>
          <w:lang w:eastAsia="ar-SA"/>
        </w:rPr>
      </w:pPr>
      <w:r w:rsidRPr="00931877">
        <w:rPr>
          <w:rFonts w:cs="Times New Roman"/>
          <w:bCs/>
          <w:szCs w:val="24"/>
          <w:lang w:eastAsia="ar-SA"/>
        </w:rPr>
        <w:t>„Aktywność skuteczną metodą poprawy jakości życia” - grupę docelową projektu stanowiła grupa ok. 50 kobiet będących po mastektomii, która uczestniczyła w zajęciach z rehabilitacji usprawniającej, a także w zajęciach z terapeutą i psychologiem;</w:t>
      </w:r>
    </w:p>
    <w:p w14:paraId="0FF7E36C" w14:textId="77777777" w:rsidR="00931877" w:rsidRDefault="007C3424" w:rsidP="00FE70E3">
      <w:pPr>
        <w:pStyle w:val="Akapitzlist"/>
        <w:numPr>
          <w:ilvl w:val="0"/>
          <w:numId w:val="205"/>
        </w:numPr>
        <w:rPr>
          <w:rFonts w:cs="Times New Roman"/>
          <w:bCs/>
          <w:szCs w:val="24"/>
          <w:lang w:eastAsia="ar-SA"/>
        </w:rPr>
      </w:pPr>
      <w:r w:rsidRPr="00931877">
        <w:rPr>
          <w:rFonts w:cs="Times New Roman"/>
          <w:bCs/>
          <w:szCs w:val="24"/>
          <w:lang w:eastAsia="ar-SA"/>
        </w:rPr>
        <w:t>„Integracja międzypokoleniowa mieszkańców poprzez zakup wyposażenia świetlicy”- celem projektu była integracja międzypokoleniowa udział seniorów i młodzieży we wspólnych zajęciach świetlicowych (warsztaty kulinarne, kurs pierwszej pomocy, wykłady dot. okresu II Wojny Światowej);</w:t>
      </w:r>
    </w:p>
    <w:p w14:paraId="25954A29" w14:textId="77777777" w:rsidR="00931877" w:rsidRDefault="007C3424" w:rsidP="00FE70E3">
      <w:pPr>
        <w:pStyle w:val="Akapitzlist"/>
        <w:numPr>
          <w:ilvl w:val="0"/>
          <w:numId w:val="205"/>
        </w:numPr>
        <w:rPr>
          <w:rFonts w:cs="Times New Roman"/>
          <w:bCs/>
          <w:szCs w:val="24"/>
          <w:lang w:eastAsia="ar-SA"/>
        </w:rPr>
      </w:pPr>
      <w:r w:rsidRPr="00931877">
        <w:rPr>
          <w:rFonts w:cs="Times New Roman"/>
          <w:bCs/>
          <w:szCs w:val="24"/>
          <w:lang w:eastAsia="ar-SA"/>
        </w:rPr>
        <w:t>„O tradycji na nowo” - grupa docelowa projektu to seniorzy z terenu województwa świętokrzyskiego. Podczas realizacji zadania przeprowadzono warsztaty kulinarne, które udostępnione zostały w formie filmików na kanale YouTube;</w:t>
      </w:r>
    </w:p>
    <w:p w14:paraId="5A55AACD" w14:textId="77777777" w:rsidR="00931877" w:rsidRDefault="007C3424" w:rsidP="00FE70E3">
      <w:pPr>
        <w:pStyle w:val="Akapitzlist"/>
        <w:numPr>
          <w:ilvl w:val="0"/>
          <w:numId w:val="205"/>
        </w:numPr>
        <w:rPr>
          <w:rFonts w:cs="Times New Roman"/>
          <w:bCs/>
          <w:szCs w:val="24"/>
          <w:lang w:eastAsia="ar-SA"/>
        </w:rPr>
      </w:pPr>
      <w:r w:rsidRPr="00931877">
        <w:rPr>
          <w:rFonts w:cs="Times New Roman"/>
          <w:bCs/>
          <w:szCs w:val="24"/>
          <w:lang w:eastAsia="ar-SA"/>
        </w:rPr>
        <w:lastRenderedPageBreak/>
        <w:t>„Ocalmy od zapomnienia cenne umiejętności i wspomnienia” - integracja międzypokoleniowa mieszkańców parafii p.w. Przemienienia Pańskiego w Odrowążku - IV etap” - zorganizowanie warsztatów dla młodszych i starszych mieszkańców parafii, podczas których seniorzy przybliżyli młodym uczestnikom projektu dawne prace i zajęcia przodków, regionalną gwarę, dawne sprzęty;</w:t>
      </w:r>
    </w:p>
    <w:p w14:paraId="6DD55855" w14:textId="1EF93AE8" w:rsidR="007C3424" w:rsidRPr="00931877" w:rsidRDefault="007C3424" w:rsidP="00FE70E3">
      <w:pPr>
        <w:pStyle w:val="Akapitzlist"/>
        <w:numPr>
          <w:ilvl w:val="0"/>
          <w:numId w:val="205"/>
        </w:numPr>
        <w:rPr>
          <w:rFonts w:cs="Times New Roman"/>
          <w:bCs/>
          <w:szCs w:val="24"/>
          <w:lang w:eastAsia="ar-SA"/>
        </w:rPr>
      </w:pPr>
      <w:r w:rsidRPr="00931877">
        <w:rPr>
          <w:rFonts w:cs="Times New Roman"/>
          <w:bCs/>
          <w:szCs w:val="24"/>
          <w:lang w:eastAsia="ar-SA"/>
        </w:rPr>
        <w:t>„Razem aktywni” - celem projektu było zwiększenie zaangażowania 30 osób starszych z terenu województwa świętokrzyskiego w wieku 60+ poprzez udział w różnych formach aktywności sportowych oraz spotkań w ramach kawiarenek seniora.</w:t>
      </w:r>
    </w:p>
    <w:p w14:paraId="2CAAB7C8" w14:textId="77777777" w:rsidR="007C3424" w:rsidRPr="007C3424" w:rsidRDefault="007C3424" w:rsidP="007C3424">
      <w:pPr>
        <w:rPr>
          <w:rFonts w:cs="Times New Roman"/>
          <w:bCs/>
          <w:szCs w:val="24"/>
          <w:lang w:eastAsia="ar-SA"/>
        </w:rPr>
      </w:pPr>
      <w:r w:rsidRPr="007C3424">
        <w:rPr>
          <w:rFonts w:cs="Times New Roman"/>
          <w:bCs/>
          <w:szCs w:val="24"/>
          <w:lang w:eastAsia="ar-SA"/>
        </w:rPr>
        <w:t>Łącznie udział w tych projektach wzięło ok 250 osób starszych.</w:t>
      </w:r>
    </w:p>
    <w:p w14:paraId="72BC59F9" w14:textId="77777777" w:rsidR="00931877" w:rsidRDefault="00931877" w:rsidP="007C3424">
      <w:pPr>
        <w:rPr>
          <w:rFonts w:cs="Times New Roman"/>
          <w:bCs/>
          <w:szCs w:val="24"/>
          <w:lang w:eastAsia="ar-SA"/>
        </w:rPr>
      </w:pPr>
    </w:p>
    <w:p w14:paraId="7EE9D5E1" w14:textId="4B6BB1FF" w:rsidR="00931877" w:rsidRPr="00931877" w:rsidRDefault="00931877" w:rsidP="007C3424">
      <w:pPr>
        <w:rPr>
          <w:rFonts w:cs="Times New Roman"/>
          <w:b/>
          <w:szCs w:val="24"/>
          <w:lang w:eastAsia="ar-SA"/>
        </w:rPr>
      </w:pPr>
      <w:r w:rsidRPr="00931877">
        <w:rPr>
          <w:rFonts w:cs="Times New Roman"/>
          <w:b/>
          <w:szCs w:val="24"/>
          <w:lang w:eastAsia="ar-SA"/>
        </w:rPr>
        <w:t>Przykłady dobrych praktyk na poziomie powiatu, gminy.</w:t>
      </w:r>
    </w:p>
    <w:p w14:paraId="1593708C" w14:textId="77777777" w:rsidR="007C3424" w:rsidRPr="00931877" w:rsidRDefault="007C3424" w:rsidP="007C3424">
      <w:pPr>
        <w:rPr>
          <w:rFonts w:cs="Times New Roman"/>
          <w:bCs/>
          <w:szCs w:val="24"/>
          <w:u w:val="single"/>
          <w:lang w:eastAsia="ar-SA"/>
        </w:rPr>
      </w:pPr>
      <w:r w:rsidRPr="00931877">
        <w:rPr>
          <w:rFonts w:cs="Times New Roman"/>
          <w:bCs/>
          <w:szCs w:val="24"/>
          <w:u w:val="single"/>
          <w:lang w:eastAsia="ar-SA"/>
        </w:rPr>
        <w:t>Projekt „Alzheimer - model usług społecznych dla osób niesamodzielnych w Kielcach”</w:t>
      </w:r>
    </w:p>
    <w:p w14:paraId="10428C06" w14:textId="1F1C54DD" w:rsidR="007C3424" w:rsidRPr="007C3424" w:rsidRDefault="007C3424" w:rsidP="007C3424">
      <w:pPr>
        <w:rPr>
          <w:rFonts w:cs="Times New Roman"/>
          <w:bCs/>
          <w:szCs w:val="24"/>
          <w:lang w:eastAsia="ar-SA"/>
        </w:rPr>
      </w:pPr>
      <w:r w:rsidRPr="007C3424">
        <w:rPr>
          <w:rFonts w:cs="Times New Roman"/>
          <w:bCs/>
          <w:szCs w:val="24"/>
          <w:lang w:eastAsia="ar-SA"/>
        </w:rPr>
        <w:t>Specjalistyczna pomoc dla niesamodzielnych Seniorów z Kielc, a także wsparcie dla opiekujących się nimi członków rodzin - są to główne założenia projektu Regionalnego Programu Operacyjnego Województwa Świętokrzyskiego na lata 2014-2020, które realizowane są przez Miejski Ośrodek Pomocy Rodzinie. Fundusze unijne pozwoliły m.in. na utworzenie 25 nowych miejsc opieki w filii Ośrodka Wsparcia Dziennego.</w:t>
      </w:r>
      <w:r w:rsidR="00931877">
        <w:rPr>
          <w:rFonts w:cs="Times New Roman"/>
          <w:bCs/>
          <w:szCs w:val="24"/>
          <w:lang w:eastAsia="ar-SA"/>
        </w:rPr>
        <w:t xml:space="preserve"> </w:t>
      </w:r>
      <w:r w:rsidRPr="007C3424">
        <w:rPr>
          <w:rFonts w:cs="Times New Roman"/>
          <w:bCs/>
          <w:szCs w:val="24"/>
          <w:lang w:eastAsia="ar-SA"/>
        </w:rPr>
        <w:t xml:space="preserve">Celem projektu jest zwiększenie dostępności i jakości usług opiekuńczych dla osób niesamodzielnych/niepełnosprawnych ze zdiagnozowanym zespołem </w:t>
      </w:r>
      <w:proofErr w:type="spellStart"/>
      <w:r w:rsidRPr="007C3424">
        <w:rPr>
          <w:rFonts w:cs="Times New Roman"/>
          <w:bCs/>
          <w:szCs w:val="24"/>
          <w:lang w:eastAsia="ar-SA"/>
        </w:rPr>
        <w:t>dementywnym</w:t>
      </w:r>
      <w:proofErr w:type="spellEnd"/>
      <w:r w:rsidRPr="007C3424">
        <w:rPr>
          <w:rFonts w:cs="Times New Roman"/>
          <w:bCs/>
          <w:szCs w:val="24"/>
          <w:lang w:eastAsia="ar-SA"/>
        </w:rPr>
        <w:t xml:space="preserve"> /otępiennym (ZD) i chorobą Alzheimera (AD) oraz zwiększenie wiedzy, kompetencji ich opiekunów faktycznych (OF) w sprawowaniu opieki.</w:t>
      </w:r>
      <w:r w:rsidR="00931877">
        <w:rPr>
          <w:rFonts w:cs="Times New Roman"/>
          <w:bCs/>
          <w:szCs w:val="24"/>
          <w:lang w:eastAsia="ar-SA"/>
        </w:rPr>
        <w:t xml:space="preserve"> </w:t>
      </w:r>
      <w:r w:rsidRPr="007C3424">
        <w:rPr>
          <w:rFonts w:cs="Times New Roman"/>
          <w:bCs/>
          <w:szCs w:val="24"/>
          <w:lang w:eastAsia="ar-SA"/>
        </w:rPr>
        <w:t>Filia Ośrodka Wsparcia Dziennego MOPR dla osób chorych na Alzheimera powstała w sierpniu 2020 r</w:t>
      </w:r>
      <w:r w:rsidR="00A931B5">
        <w:rPr>
          <w:rFonts w:cs="Times New Roman"/>
          <w:bCs/>
          <w:szCs w:val="24"/>
          <w:lang w:eastAsia="ar-SA"/>
        </w:rPr>
        <w:t>.</w:t>
      </w:r>
      <w:r w:rsidRPr="007C3424">
        <w:rPr>
          <w:rFonts w:cs="Times New Roman"/>
          <w:bCs/>
          <w:szCs w:val="24"/>
          <w:lang w:eastAsia="ar-SA"/>
        </w:rPr>
        <w:t xml:space="preserve"> dzięki środkom z unijnego projektu w części budynku po byłym XI Liceum Ogólnokształcącym im. Konstantego Ildefonsa Gałczyńskiego przy ulicy Jana Nowaka Jeziorańskiego, 53 w Kielcach. Dzięki tej pomocy możliwe było wyremontowanie i wyposażenie placówki. W okresie trwania projektu z pomocy skorzysta łącznie 85 osób i taka sama liczba ich opiekunów.</w:t>
      </w:r>
      <w:r w:rsidR="00931877">
        <w:rPr>
          <w:rFonts w:cs="Times New Roman"/>
          <w:bCs/>
          <w:szCs w:val="24"/>
          <w:lang w:eastAsia="ar-SA"/>
        </w:rPr>
        <w:t xml:space="preserve"> </w:t>
      </w:r>
      <w:r w:rsidRPr="007C3424">
        <w:rPr>
          <w:rFonts w:cs="Times New Roman"/>
          <w:bCs/>
          <w:szCs w:val="24"/>
          <w:lang w:eastAsia="ar-SA"/>
        </w:rPr>
        <w:t>Projekt MOPR to bardzo trafna odpowiedź na zwiększające się z roku na rok zapotrzebowanie na profesjonalną opiekę nad osobami starszymi w Kielcach, podobnie zresztą jak i w całym regionie.</w:t>
      </w:r>
      <w:r w:rsidR="00931877">
        <w:rPr>
          <w:rFonts w:cs="Times New Roman"/>
          <w:bCs/>
          <w:szCs w:val="24"/>
          <w:lang w:eastAsia="ar-SA"/>
        </w:rPr>
        <w:t xml:space="preserve"> </w:t>
      </w:r>
      <w:r w:rsidRPr="007C3424">
        <w:rPr>
          <w:rFonts w:cs="Times New Roman"/>
          <w:bCs/>
          <w:szCs w:val="24"/>
          <w:lang w:eastAsia="ar-SA"/>
        </w:rPr>
        <w:t xml:space="preserve">W Ośrodku osoby chore i ich opiekunowie będą mogli m.in. uzyskać pomoc fizjoterapeuty i pielęgniarki. W placówce prowadzona jest </w:t>
      </w:r>
      <w:proofErr w:type="spellStart"/>
      <w:r w:rsidRPr="007C3424">
        <w:rPr>
          <w:rFonts w:cs="Times New Roman"/>
          <w:bCs/>
          <w:szCs w:val="24"/>
          <w:lang w:eastAsia="ar-SA"/>
        </w:rPr>
        <w:t>dogoterapia</w:t>
      </w:r>
      <w:proofErr w:type="spellEnd"/>
      <w:r w:rsidRPr="007C3424">
        <w:rPr>
          <w:rFonts w:cs="Times New Roman"/>
          <w:bCs/>
          <w:szCs w:val="24"/>
          <w:lang w:eastAsia="ar-SA"/>
        </w:rPr>
        <w:t>, muzykoterapia oraz indywidualne zajęcia logopedyczne, wspierające osoby starsze w ich zdolności do wypowiadania się.</w:t>
      </w:r>
      <w:r w:rsidR="00931877">
        <w:rPr>
          <w:rFonts w:cs="Times New Roman"/>
          <w:bCs/>
          <w:szCs w:val="24"/>
          <w:lang w:eastAsia="ar-SA"/>
        </w:rPr>
        <w:t xml:space="preserve"> </w:t>
      </w:r>
      <w:r w:rsidRPr="007C3424">
        <w:rPr>
          <w:rFonts w:cs="Times New Roman"/>
          <w:bCs/>
          <w:szCs w:val="24"/>
          <w:lang w:eastAsia="ar-SA"/>
        </w:rPr>
        <w:t>Wartość dofinansowania dla projektu MOPR „Alzheimer - model usług społecznych dla osób niesamodzielnych w Kielcach ” wynosi ponad 3,5 mln zł. Fundusze unijne pokryły wydatki związane z kompleksowym remontem budynku, w którym mieści się Ośrodek oraz zakupem niezbędnego wyposażenia. Wszystkie podjęte działania pozwolą na realizację różnego rodzaju specjalistycznych zajęć, treningów terapeutycznych, spotkań międzypokoleniowych oraz warsztatów, które autorzy projektu zaplanowali dla seniorów. Również dla ich opiekunów przewidziano wsparcie psychologiczne, warsztaty komunikacji z chorymi i instruktaż prowadzenia opieki w domu nad osobą starszą z zespołem otępiennym.</w:t>
      </w:r>
    </w:p>
    <w:p w14:paraId="61C51484" w14:textId="77777777" w:rsidR="00931877" w:rsidRDefault="00931877" w:rsidP="007C3424">
      <w:pPr>
        <w:rPr>
          <w:rFonts w:cs="Times New Roman"/>
          <w:bCs/>
          <w:szCs w:val="24"/>
          <w:lang w:eastAsia="ar-SA"/>
        </w:rPr>
      </w:pPr>
    </w:p>
    <w:p w14:paraId="65C276DE" w14:textId="458A32A1" w:rsidR="007C3424" w:rsidRPr="00931877" w:rsidRDefault="007C3424" w:rsidP="007C3424">
      <w:pPr>
        <w:rPr>
          <w:rFonts w:cs="Times New Roman"/>
          <w:bCs/>
          <w:szCs w:val="24"/>
          <w:u w:val="single"/>
          <w:lang w:eastAsia="ar-SA"/>
        </w:rPr>
      </w:pPr>
      <w:r w:rsidRPr="00931877">
        <w:rPr>
          <w:rFonts w:cs="Times New Roman"/>
          <w:bCs/>
          <w:szCs w:val="24"/>
          <w:u w:val="single"/>
          <w:lang w:eastAsia="ar-SA"/>
        </w:rPr>
        <w:t>Dzienne Domy Opieki Medycznej dla osób niesamodzielnych i seniorów - w Pierzchnicy, Ostrowcu Świętokrzyskim oraz Skarżysku Kamiennej</w:t>
      </w:r>
    </w:p>
    <w:p w14:paraId="4DE0FE0B" w14:textId="5929C99B" w:rsidR="007C3424" w:rsidRPr="007C3424" w:rsidRDefault="007C3424" w:rsidP="007C3424">
      <w:pPr>
        <w:rPr>
          <w:rFonts w:cs="Times New Roman"/>
          <w:bCs/>
          <w:szCs w:val="24"/>
          <w:lang w:eastAsia="ar-SA"/>
        </w:rPr>
      </w:pPr>
      <w:r w:rsidRPr="007C3424">
        <w:rPr>
          <w:rFonts w:cs="Times New Roman"/>
          <w:bCs/>
          <w:szCs w:val="24"/>
          <w:lang w:eastAsia="ar-SA"/>
        </w:rPr>
        <w:t xml:space="preserve">W dniu 3 czerwca 2020 r. Zarząd Województwa Świętokrzyskiego Urzędu Marszałkowskiego zatwierdził do dofinansowania trzy projekty Regionalnego Programu Operacyjnego </w:t>
      </w:r>
      <w:r w:rsidRPr="007C3424">
        <w:rPr>
          <w:rFonts w:cs="Times New Roman"/>
          <w:bCs/>
          <w:szCs w:val="24"/>
          <w:lang w:eastAsia="ar-SA"/>
        </w:rPr>
        <w:lastRenderedPageBreak/>
        <w:t>Województwa Świętokrzyskiego, dotyczące opieki medycznej nad osobami niesamodzielnymi i seniorami.</w:t>
      </w:r>
      <w:r w:rsidR="00931877">
        <w:rPr>
          <w:rFonts w:cs="Times New Roman"/>
          <w:bCs/>
          <w:szCs w:val="24"/>
          <w:lang w:eastAsia="ar-SA"/>
        </w:rPr>
        <w:t xml:space="preserve"> </w:t>
      </w:r>
      <w:r w:rsidRPr="007C3424">
        <w:rPr>
          <w:rFonts w:cs="Times New Roman"/>
          <w:bCs/>
          <w:szCs w:val="24"/>
          <w:lang w:eastAsia="ar-SA"/>
        </w:rPr>
        <w:t>Dofinansowanie w kwocie ponad 6,8 mln zł przeznaczono na utworzenie Dziennych Domów Opieki Medycznej w regionie.</w:t>
      </w:r>
      <w:r w:rsidR="00931877">
        <w:rPr>
          <w:rFonts w:cs="Times New Roman"/>
          <w:bCs/>
          <w:szCs w:val="24"/>
          <w:lang w:eastAsia="ar-SA"/>
        </w:rPr>
        <w:t xml:space="preserve"> </w:t>
      </w:r>
      <w:r w:rsidRPr="007C3424">
        <w:rPr>
          <w:rFonts w:cs="Times New Roman"/>
          <w:bCs/>
          <w:szCs w:val="24"/>
          <w:lang w:eastAsia="ar-SA"/>
        </w:rPr>
        <w:t>Nowe placówki powstaną w Pierzchnicy, w Ostrowcu Świętokrzyskim oraz w Skarżysku - Kamiennej. Łącznie będzie w nich dostępnych 50 miejsc opieki dla osób chorych, niesamodzielnych, starszych. Z tych trzech projektów skorzysta w sumie ponad 320 osób. W Dziennych Domach Opieki Medycznej pacjenci po zakończonym leczeniu szpitalnym mogą korzystać z niezbędnych zabiegów i opieki lekarzy, przez kilka godzin w ciągu dnia, a następnie powracać do swoich miejsc zamieszkania. Chodzi jednak nie tylko o opiekę poszpitalną. Te placówki wypełniają pewną lukę w systemie zdrowia i są odpowiedzią na potrzeby także tej grupy osób chorych, które potrzebują wsparcia bardziej specjalistycznego i w większym zakresie, niż to jest dostępne w placówkach podstawowej opieki zdrowotnej. Jednocześnie są to osoby niewymagające stałej opieki szpitalnej, w tym całodobowego nadzoru lekarskiego i pielęgniarskiego.</w:t>
      </w:r>
      <w:r w:rsidR="00931877">
        <w:rPr>
          <w:rFonts w:cs="Times New Roman"/>
          <w:bCs/>
          <w:szCs w:val="24"/>
          <w:lang w:eastAsia="ar-SA"/>
        </w:rPr>
        <w:t xml:space="preserve"> </w:t>
      </w:r>
      <w:r w:rsidRPr="007C3424">
        <w:rPr>
          <w:rFonts w:cs="Times New Roman"/>
          <w:bCs/>
          <w:szCs w:val="24"/>
          <w:lang w:eastAsia="ar-SA"/>
        </w:rPr>
        <w:t>Tworzenie Dziennych Domów Opieki Medycznej wpisuje się w szerszy kontekst społeczny i stanowi odpowiedź na obecne wyzwania demograficzne, związane przede wszystkim ze starzeniem się społeczeństwa. Na przykład w samej gminie Skarżysko-Kamienna, gdzie usytuowany ma być jeden z DDOM-ów, aż jedna czwarta mieszkańców to osoby po 65 roku życia.</w:t>
      </w:r>
      <w:r w:rsidR="00931877">
        <w:rPr>
          <w:rFonts w:cs="Times New Roman"/>
          <w:bCs/>
          <w:szCs w:val="24"/>
          <w:lang w:eastAsia="ar-SA"/>
        </w:rPr>
        <w:t xml:space="preserve"> </w:t>
      </w:r>
      <w:r w:rsidRPr="007C3424">
        <w:rPr>
          <w:rFonts w:cs="Times New Roman"/>
          <w:bCs/>
          <w:szCs w:val="24"/>
          <w:lang w:eastAsia="ar-SA"/>
        </w:rPr>
        <w:t xml:space="preserve">Pacjenci korzystający z opieki w Dziennych Domach Opieki Medycznej mogą mieć dostęp do wielu specjalistów, np. lekarza z zakresu medycyny rodzinnej lub chorób wewnętrznych, lekarza - specjalisty z zakresu rehabilitacji medycznej, fizjoterapeuty, opiekuna medycznego, terapeuty zajęciowego, psychologa, pielęgniarki, dietetyka, logopedy - </w:t>
      </w:r>
      <w:proofErr w:type="spellStart"/>
      <w:r w:rsidRPr="007C3424">
        <w:rPr>
          <w:rFonts w:cs="Times New Roman"/>
          <w:bCs/>
          <w:szCs w:val="24"/>
          <w:lang w:eastAsia="ar-SA"/>
        </w:rPr>
        <w:t>afazjologa</w:t>
      </w:r>
      <w:proofErr w:type="spellEnd"/>
      <w:r w:rsidRPr="007C3424">
        <w:rPr>
          <w:rFonts w:cs="Times New Roman"/>
          <w:bCs/>
          <w:szCs w:val="24"/>
          <w:lang w:eastAsia="ar-SA"/>
        </w:rPr>
        <w:t>, farmaceuty itd. Bardzo ważnym aspektem takich projektów jest wsparcie dla opiekunów osób. Są to przecież najczęściej najbliżsi seniorów. Choroba i niepełnosprawność rodzica jest dla nich bardzo dużym obciążeniem. Opiekunowie nierzadko nie mogą podjąć lub kontynuować zatrudnienia, co wpływa bezpośrednio na sytuacje finansową całej rodziny. Z analiz, przeprowadzanych na potrzeby projektów, jednoznacznie wynika, że standard bytowy tych rodzin jest o wiele niższy od jakości życia takich rodzin, w których osoba starsza jest samodzielna. Dlatego odciążenie członków rodzin, poprzez zapewnienie opieki seniorom przez kilka godzin w ciągu dnia, jest ważnym elementem.</w:t>
      </w:r>
    </w:p>
    <w:p w14:paraId="24D812CA" w14:textId="77777777" w:rsidR="00931877" w:rsidRDefault="00931877" w:rsidP="007C3424">
      <w:pPr>
        <w:rPr>
          <w:rFonts w:cs="Times New Roman"/>
          <w:bCs/>
          <w:szCs w:val="24"/>
          <w:lang w:eastAsia="ar-SA"/>
        </w:rPr>
      </w:pPr>
    </w:p>
    <w:p w14:paraId="5A476B1A" w14:textId="33281C72" w:rsidR="007C3424" w:rsidRPr="00931877" w:rsidRDefault="007C3424" w:rsidP="007C3424">
      <w:pPr>
        <w:rPr>
          <w:rFonts w:cs="Times New Roman"/>
          <w:bCs/>
          <w:szCs w:val="24"/>
          <w:u w:val="single"/>
          <w:lang w:eastAsia="ar-SA"/>
        </w:rPr>
      </w:pPr>
      <w:r w:rsidRPr="00931877">
        <w:rPr>
          <w:rFonts w:cs="Times New Roman"/>
          <w:bCs/>
          <w:szCs w:val="24"/>
          <w:u w:val="single"/>
          <w:lang w:eastAsia="ar-SA"/>
        </w:rPr>
        <w:t>Kluby seniora w Chmielniku, w miejscowościach Celiny, Śladków i Zrecze Chałupczańskie</w:t>
      </w:r>
    </w:p>
    <w:p w14:paraId="053920DA" w14:textId="7BB46FE1" w:rsidR="007C3424" w:rsidRPr="007C3424" w:rsidRDefault="007C3424" w:rsidP="007C3424">
      <w:pPr>
        <w:rPr>
          <w:rFonts w:cs="Times New Roman"/>
          <w:bCs/>
          <w:szCs w:val="24"/>
          <w:lang w:eastAsia="ar-SA"/>
        </w:rPr>
      </w:pPr>
      <w:r w:rsidRPr="007C3424">
        <w:rPr>
          <w:rFonts w:cs="Times New Roman"/>
          <w:bCs/>
          <w:szCs w:val="24"/>
          <w:lang w:eastAsia="ar-SA"/>
        </w:rPr>
        <w:t>Dzięki dofinansowaniu z Regionalnego Programu Operacyjnego Województwa Świętokrzyskiego Seniorzy w Chmielniku zyskali miejsce, w którym będą mogli ciekawie spędzać czas, nawiązywać znajomości, rozwijać pasje i zdobywać nowe umiejętności, np. obsługi komputera. Filie placówki ruszyły także w miejscowościach Celiny, Śladków i Zrecze Chałupczańskie.</w:t>
      </w:r>
      <w:r w:rsidR="00931877">
        <w:rPr>
          <w:rFonts w:cs="Times New Roman"/>
          <w:bCs/>
          <w:szCs w:val="24"/>
          <w:lang w:eastAsia="ar-SA"/>
        </w:rPr>
        <w:t xml:space="preserve"> </w:t>
      </w:r>
      <w:r w:rsidRPr="007C3424">
        <w:rPr>
          <w:rFonts w:cs="Times New Roman"/>
          <w:bCs/>
          <w:szCs w:val="24"/>
          <w:lang w:eastAsia="ar-SA"/>
        </w:rPr>
        <w:t>Placówka, wraz z filiami, została utworzona w dniu 1 października 2020 r. w ramach projektu „Pora na klub seniora w Chmielniku”, które realizuje tamtejszy Miejsko Gminny - Ośrodek Pomocy Społecznej.</w:t>
      </w:r>
      <w:r w:rsidR="00931877">
        <w:rPr>
          <w:rFonts w:cs="Times New Roman"/>
          <w:bCs/>
          <w:szCs w:val="24"/>
          <w:lang w:eastAsia="ar-SA"/>
        </w:rPr>
        <w:t xml:space="preserve"> </w:t>
      </w:r>
      <w:r w:rsidRPr="007C3424">
        <w:rPr>
          <w:rFonts w:cs="Times New Roman"/>
          <w:bCs/>
          <w:szCs w:val="24"/>
          <w:lang w:eastAsia="ar-SA"/>
        </w:rPr>
        <w:t>Oficjalne otwarcie siedziby nowego Klubu Senior Plus w Chmielniku przypadło w Międzynarodowy Dzień Osób Starszych. Z tej okazji Seniorzy przygotowali bogaty program artystyczny.</w:t>
      </w:r>
      <w:r w:rsidR="00931877">
        <w:rPr>
          <w:rFonts w:cs="Times New Roman"/>
          <w:bCs/>
          <w:szCs w:val="24"/>
          <w:lang w:eastAsia="ar-SA"/>
        </w:rPr>
        <w:t xml:space="preserve"> </w:t>
      </w:r>
      <w:r w:rsidRPr="007C3424">
        <w:rPr>
          <w:rFonts w:cs="Times New Roman"/>
          <w:bCs/>
          <w:szCs w:val="24"/>
          <w:lang w:eastAsia="ar-SA"/>
        </w:rPr>
        <w:t>W klubie i filiach przewidziano miejsca dla pięćdziesięciu osób, które do końca 2022 r. będą mogły korzystać z zajęć w ramach projektu. Dodatkowe miejsca powstaną dzięki innym źródłom finansowania. Jest to świetny przykład wykorzystania możliwości, jakie dają programy rządowe i unijne w połączeniu z finansami samorządu.</w:t>
      </w:r>
    </w:p>
    <w:p w14:paraId="7BAE117A" w14:textId="77777777" w:rsidR="007C3424" w:rsidRPr="007C3424" w:rsidRDefault="007C3424" w:rsidP="007C3424">
      <w:pPr>
        <w:rPr>
          <w:rFonts w:cs="Times New Roman"/>
          <w:bCs/>
          <w:szCs w:val="24"/>
          <w:lang w:eastAsia="ar-SA"/>
        </w:rPr>
      </w:pPr>
      <w:r w:rsidRPr="007C3424">
        <w:rPr>
          <w:rFonts w:cs="Times New Roman"/>
          <w:bCs/>
          <w:szCs w:val="24"/>
          <w:lang w:eastAsia="ar-SA"/>
        </w:rPr>
        <w:lastRenderedPageBreak/>
        <w:t>Pieniądze na remont i częściowe wyposażenie budynku, w którym mieści się klub, pochodzą z rządowego programu SENIOR+ i budżetu gminy Chmielnik. Natomiast fundusze z Regionalnego Programu Operacyjnego w wysokości ponad 1,3 mln zł dały możliwość zakupu dodatkowego wyposażenia do klubu i filii, ale przede wszystkim pozwolą na realizację różnego rodzaju zajęć, spotkań okolicznościowych, warsztatów, wspólnych wyjazdów do kina czy teatru i innych atrakcji, które autorzy projektu zaplanowali dla uczestników tych placówek.</w:t>
      </w:r>
    </w:p>
    <w:p w14:paraId="6132077E" w14:textId="5FE15DB2" w:rsidR="007C3424" w:rsidRPr="007C3424" w:rsidRDefault="007C3424" w:rsidP="007C3424">
      <w:pPr>
        <w:rPr>
          <w:rFonts w:cs="Times New Roman"/>
          <w:bCs/>
          <w:szCs w:val="24"/>
          <w:lang w:eastAsia="ar-SA"/>
        </w:rPr>
      </w:pPr>
      <w:r w:rsidRPr="007C3424">
        <w:rPr>
          <w:rFonts w:cs="Times New Roman"/>
          <w:bCs/>
          <w:szCs w:val="24"/>
          <w:lang w:eastAsia="ar-SA"/>
        </w:rPr>
        <w:t xml:space="preserve">W klubie seniorzy będą mogli nawiązywać kontakty z innymi osobami starszymi, czas umilą im zajęcia rozwijające pasje (np. szachowe, majsterkowanie) jak i warsztaty rozwijające przydatne umiejętności, np. kulinarne. W klubie i filiach będą także prowadzone zajęcia komputerowe dla seniorów - posłuży do tego 8 komputerów zakupionych w ramach projektu. Dla seniorów zaplanowano wsparcie psychologiczne oraz zajęcia artystyczne, pobudzające kreatywność i rozwijające umiejętności plastyczne. Będzie także coś dla ciała, sala do ćwiczeń czyli zajęcia </w:t>
      </w:r>
      <w:proofErr w:type="spellStart"/>
      <w:r w:rsidRPr="007C3424">
        <w:rPr>
          <w:rFonts w:cs="Times New Roman"/>
          <w:bCs/>
          <w:szCs w:val="24"/>
          <w:lang w:eastAsia="ar-SA"/>
        </w:rPr>
        <w:t>gimnastyczno</w:t>
      </w:r>
      <w:proofErr w:type="spellEnd"/>
      <w:r w:rsidRPr="007C3424">
        <w:rPr>
          <w:rFonts w:cs="Times New Roman"/>
          <w:bCs/>
          <w:szCs w:val="24"/>
          <w:lang w:eastAsia="ar-SA"/>
        </w:rPr>
        <w:t xml:space="preserve"> - ruchowe. W ramach RPO chmielniccy seniorzy spotkają się także ze specjalistami, którzy wesprą ich swoją wiedzą z różnych dziedzin życia. Będą to m. in. fizjoterapeuta, dietetyk, a także policjant.</w:t>
      </w:r>
    </w:p>
    <w:p w14:paraId="24FF39C7" w14:textId="77777777" w:rsidR="007C3424" w:rsidRDefault="007C3424" w:rsidP="000D7CDE">
      <w:pPr>
        <w:rPr>
          <w:rFonts w:cs="Times New Roman"/>
          <w:b/>
          <w:color w:val="FF0000"/>
          <w:szCs w:val="24"/>
          <w:lang w:eastAsia="ar-SA"/>
        </w:rPr>
      </w:pPr>
    </w:p>
    <w:p w14:paraId="56344A5B" w14:textId="555D1C86" w:rsidR="00DA2C16" w:rsidRDefault="007C3424" w:rsidP="00DA2C16">
      <w:pPr>
        <w:pStyle w:val="Nagwek3"/>
      </w:pPr>
      <w:bookmarkStart w:id="297" w:name="_Toc77514028"/>
      <w:bookmarkStart w:id="298" w:name="_Toc80523188"/>
      <w:r w:rsidRPr="007C3424">
        <w:t xml:space="preserve">Działania związane z ochroną seniorów przed negatywnymi skutkami pandemii COVID-19, które zostały podjęte w 2020 r w województwie </w:t>
      </w:r>
      <w:r>
        <w:t>świętokrzyskim</w:t>
      </w:r>
      <w:bookmarkEnd w:id="297"/>
      <w:bookmarkEnd w:id="298"/>
    </w:p>
    <w:p w14:paraId="701C1A5E" w14:textId="77777777" w:rsidR="000B1B06" w:rsidRPr="000B1B06" w:rsidRDefault="000B1B06" w:rsidP="000B1B06"/>
    <w:p w14:paraId="557C4FFD" w14:textId="0F22F1A2" w:rsidR="007C3424" w:rsidRDefault="007C3424" w:rsidP="007C3424">
      <w:pPr>
        <w:rPr>
          <w:rFonts w:cs="Times New Roman"/>
          <w:szCs w:val="24"/>
        </w:rPr>
      </w:pPr>
      <w:r w:rsidRPr="007C3424">
        <w:rPr>
          <w:rFonts w:cs="Times New Roman"/>
          <w:szCs w:val="24"/>
        </w:rPr>
        <w:t>W ramach działań związanych z ochroną seniorów przed negatywnymi skutkami pandemii COVID-19 pracownicy Wydziału Polityki Społecznej i Zdrowia w 2020 r. przygotowali dla beneficjentów placówek Senior+ z terenu województwa świętokrzyskiego imprezę „</w:t>
      </w:r>
      <w:proofErr w:type="spellStart"/>
      <w:r w:rsidRPr="007C3424">
        <w:rPr>
          <w:rFonts w:cs="Times New Roman"/>
          <w:szCs w:val="24"/>
        </w:rPr>
        <w:t>Senioralia</w:t>
      </w:r>
      <w:proofErr w:type="spellEnd"/>
      <w:r w:rsidRPr="007C3424">
        <w:rPr>
          <w:rFonts w:cs="Times New Roman"/>
          <w:szCs w:val="24"/>
        </w:rPr>
        <w:t>” w bezpiecznej formie w postaci wideokonferencji prowadzonej online z siedziby ŚUW za pomocą przekazu teleinformatycznego.</w:t>
      </w:r>
    </w:p>
    <w:p w14:paraId="4A9C884D" w14:textId="77777777" w:rsidR="00931877" w:rsidRPr="007C3424" w:rsidRDefault="00931877" w:rsidP="007C3424">
      <w:pPr>
        <w:rPr>
          <w:rFonts w:cs="Times New Roman"/>
          <w:szCs w:val="24"/>
        </w:rPr>
      </w:pPr>
    </w:p>
    <w:p w14:paraId="1D158AD5" w14:textId="77777777" w:rsidR="007C3424" w:rsidRPr="007C3424" w:rsidRDefault="007C3424" w:rsidP="007C3424">
      <w:pPr>
        <w:rPr>
          <w:rFonts w:cs="Times New Roman"/>
          <w:szCs w:val="24"/>
        </w:rPr>
      </w:pPr>
      <w:r w:rsidRPr="007C3424">
        <w:rPr>
          <w:rFonts w:cs="Times New Roman"/>
          <w:szCs w:val="24"/>
        </w:rPr>
        <w:t>W dniu 24 listopada 2020 r. w imprezie wzięło udział 23 uczestników (Domów/Klubów Senior+) przedstawiając materiał w postaci występów i prezentacji z działalności placówek.</w:t>
      </w:r>
    </w:p>
    <w:p w14:paraId="4F516452" w14:textId="55FB9CEA" w:rsidR="007C3424" w:rsidRDefault="007C3424" w:rsidP="007C3424">
      <w:pPr>
        <w:rPr>
          <w:rFonts w:cs="Times New Roman"/>
          <w:szCs w:val="24"/>
        </w:rPr>
      </w:pPr>
      <w:r w:rsidRPr="007C3424">
        <w:rPr>
          <w:rFonts w:cs="Times New Roman"/>
          <w:szCs w:val="24"/>
        </w:rPr>
        <w:t xml:space="preserve">W spotkaniu uczestniczyli również przedstawiciele zaproszonych instytucji (ZUS Oddział w Kielcach, NFZ Kielce, UJK Collegium </w:t>
      </w:r>
      <w:proofErr w:type="spellStart"/>
      <w:r w:rsidRPr="007C3424">
        <w:rPr>
          <w:rFonts w:cs="Times New Roman"/>
          <w:szCs w:val="24"/>
        </w:rPr>
        <w:t>Medicum</w:t>
      </w:r>
      <w:proofErr w:type="spellEnd"/>
      <w:r w:rsidRPr="007C3424">
        <w:rPr>
          <w:rFonts w:cs="Times New Roman"/>
          <w:szCs w:val="24"/>
        </w:rPr>
        <w:t>, Komenda Wojewódzka Policji w Kielcach, Wojewódzki Inspektorat Inspekcji Handlowej w Kielcach, Świętokrzyskie Centrum Profilaktyki i Edukacji) prezentujący materiał z zakresu bezpiecznego funkcjonowania osób starszych w przestrzeni publicznej, dbania o zdrowie, czy też podstawowych zagadnień z zakresu aktywizacji społecznej.</w:t>
      </w:r>
      <w:r w:rsidR="002D70DE">
        <w:rPr>
          <w:rFonts w:cs="Times New Roman"/>
          <w:szCs w:val="24"/>
        </w:rPr>
        <w:t xml:space="preserve"> </w:t>
      </w:r>
      <w:r w:rsidRPr="007C3424">
        <w:rPr>
          <w:rFonts w:cs="Times New Roman"/>
          <w:szCs w:val="24"/>
        </w:rPr>
        <w:t>Przebieg imprezy śledziły (z możliwością włączenia się) poprzez przekaz internetowy wszystkie placówki Senior+ z terenu województwa świętokrzyskiego.</w:t>
      </w:r>
    </w:p>
    <w:p w14:paraId="4F4245D0" w14:textId="77777777" w:rsidR="00931877" w:rsidRPr="007C3424" w:rsidRDefault="00931877" w:rsidP="007C3424">
      <w:pPr>
        <w:rPr>
          <w:rFonts w:cs="Times New Roman"/>
          <w:szCs w:val="24"/>
        </w:rPr>
      </w:pPr>
    </w:p>
    <w:p w14:paraId="2A02F857" w14:textId="50240F0D" w:rsidR="007C3424" w:rsidRDefault="007C3424" w:rsidP="007C3424">
      <w:pPr>
        <w:rPr>
          <w:rFonts w:cs="Times New Roman"/>
          <w:szCs w:val="24"/>
        </w:rPr>
      </w:pPr>
      <w:r w:rsidRPr="007C3424">
        <w:rPr>
          <w:rFonts w:cs="Times New Roman"/>
          <w:szCs w:val="24"/>
        </w:rPr>
        <w:t>Ochrona Seniorów przed negatywnymi skutkami pandemii COVID-19 wśród beneficjentów placówek Senior+ znalazła swój wyraz w alternatywnym prowadzeniu zajęć z seniorami możliwych do realizacji dzięki wydanym poleceniom i decyzjom Wojewody Świętokrzyskiego. Działania te przybierały różną i co najważniejsze bezpieczną dla podopiecznych formę kontaktu poprzez dostarczanie materiałów i usług bezpośrednio do osób starszych lub poprzez kontakt telefoniczny czy internetowy.</w:t>
      </w:r>
    </w:p>
    <w:p w14:paraId="12624C31" w14:textId="77777777" w:rsidR="004326EB" w:rsidRPr="007C3424" w:rsidRDefault="004326EB" w:rsidP="007C3424">
      <w:pPr>
        <w:rPr>
          <w:rFonts w:cs="Times New Roman"/>
          <w:szCs w:val="24"/>
        </w:rPr>
      </w:pPr>
    </w:p>
    <w:p w14:paraId="285AE1DD" w14:textId="77777777" w:rsidR="00931877" w:rsidRDefault="00931877" w:rsidP="007C3424">
      <w:pPr>
        <w:rPr>
          <w:rFonts w:cs="Times New Roman"/>
          <w:szCs w:val="24"/>
        </w:rPr>
      </w:pPr>
    </w:p>
    <w:p w14:paraId="4EFDEFAE" w14:textId="3C7D2756" w:rsidR="007C3424" w:rsidRPr="007C3424" w:rsidRDefault="007C3424" w:rsidP="007C3424">
      <w:pPr>
        <w:rPr>
          <w:rFonts w:cs="Times New Roman"/>
          <w:szCs w:val="24"/>
        </w:rPr>
      </w:pPr>
      <w:r w:rsidRPr="007C3424">
        <w:rPr>
          <w:rFonts w:cs="Times New Roman"/>
          <w:szCs w:val="24"/>
        </w:rPr>
        <w:lastRenderedPageBreak/>
        <w:t>Przykładowe działania alternatywne w placówkach Senior+ realizowano poprzez:</w:t>
      </w:r>
    </w:p>
    <w:p w14:paraId="5756DB19" w14:textId="77777777" w:rsidR="00931877" w:rsidRDefault="007C3424" w:rsidP="00FE70E3">
      <w:pPr>
        <w:pStyle w:val="Akapitzlist"/>
        <w:numPr>
          <w:ilvl w:val="0"/>
          <w:numId w:val="206"/>
        </w:numPr>
        <w:rPr>
          <w:rFonts w:cs="Times New Roman"/>
          <w:szCs w:val="24"/>
        </w:rPr>
      </w:pPr>
      <w:r w:rsidRPr="00931877">
        <w:rPr>
          <w:rFonts w:cs="Times New Roman"/>
          <w:szCs w:val="24"/>
        </w:rPr>
        <w:t xml:space="preserve">dostarczanie seniorom różnego rodzaju zadań do wykonania: krzyżówek, łamigłówek, zagadek logicznych, </w:t>
      </w:r>
      <w:proofErr w:type="spellStart"/>
      <w:r w:rsidRPr="00931877">
        <w:rPr>
          <w:rFonts w:cs="Times New Roman"/>
          <w:szCs w:val="24"/>
        </w:rPr>
        <w:t>wykreślanek</w:t>
      </w:r>
      <w:proofErr w:type="spellEnd"/>
      <w:r w:rsidRPr="00931877">
        <w:rPr>
          <w:rFonts w:cs="Times New Roman"/>
          <w:szCs w:val="24"/>
        </w:rPr>
        <w:t>, gier, prasy, książek. W zakresie terapii zajęciowej dostarczano materiały (np. bibułę, kartony, klej wełnę itp.) do samodzielnego wykonywania prac;</w:t>
      </w:r>
    </w:p>
    <w:p w14:paraId="2B3E86B0" w14:textId="77777777" w:rsidR="00931877" w:rsidRDefault="007C3424" w:rsidP="00FE70E3">
      <w:pPr>
        <w:pStyle w:val="Akapitzlist"/>
        <w:numPr>
          <w:ilvl w:val="0"/>
          <w:numId w:val="206"/>
        </w:numPr>
        <w:rPr>
          <w:rFonts w:cs="Times New Roman"/>
          <w:szCs w:val="24"/>
        </w:rPr>
      </w:pPr>
      <w:r w:rsidRPr="00931877">
        <w:rPr>
          <w:rFonts w:cs="Times New Roman"/>
          <w:szCs w:val="24"/>
        </w:rPr>
        <w:t>opisywanie przez fizjoterapeutę sposobów wykonywania ćwiczeń ruchowych, oddechowych, rozluźniających lub telefoniczne instruowanie seniorów o sposobie wykonania ćwiczeń, udzielanie indywidualnych wskazówek zdrowotnych;</w:t>
      </w:r>
    </w:p>
    <w:p w14:paraId="149CAFC0" w14:textId="77777777" w:rsidR="00931877" w:rsidRDefault="007C3424" w:rsidP="00FE70E3">
      <w:pPr>
        <w:pStyle w:val="Akapitzlist"/>
        <w:numPr>
          <w:ilvl w:val="0"/>
          <w:numId w:val="206"/>
        </w:numPr>
        <w:rPr>
          <w:rFonts w:cs="Times New Roman"/>
          <w:szCs w:val="24"/>
        </w:rPr>
      </w:pPr>
      <w:r w:rsidRPr="00931877">
        <w:rPr>
          <w:rFonts w:cs="Times New Roman"/>
          <w:szCs w:val="24"/>
        </w:rPr>
        <w:t>przygotowanie w domach przez seniorów wypieków, które wręczane były z paczkami na Święta Bożego Narodzenia dla osób potrzebujących z terenu gminy;</w:t>
      </w:r>
    </w:p>
    <w:p w14:paraId="1E7E5CB7" w14:textId="77777777" w:rsidR="00931877" w:rsidRDefault="007C3424" w:rsidP="00FE70E3">
      <w:pPr>
        <w:pStyle w:val="Akapitzlist"/>
        <w:numPr>
          <w:ilvl w:val="0"/>
          <w:numId w:val="206"/>
        </w:numPr>
        <w:rPr>
          <w:rFonts w:cs="Times New Roman"/>
          <w:szCs w:val="24"/>
        </w:rPr>
      </w:pPr>
      <w:r w:rsidRPr="00931877">
        <w:rPr>
          <w:rFonts w:cs="Times New Roman"/>
          <w:szCs w:val="24"/>
        </w:rPr>
        <w:t>aktywne uczestniczenie seniorów w różnych akcjach pomocowych np. zbiórkach nakrętek dla chorych dzieci. Ponadto seniorzy pomagali osobom potrzebującym poprzez zbieranie odzieży i podstawowych artykułów spożywczych;</w:t>
      </w:r>
    </w:p>
    <w:p w14:paraId="30EE3802" w14:textId="77777777" w:rsidR="00931877" w:rsidRDefault="007C3424" w:rsidP="00FE70E3">
      <w:pPr>
        <w:pStyle w:val="Akapitzlist"/>
        <w:numPr>
          <w:ilvl w:val="0"/>
          <w:numId w:val="206"/>
        </w:numPr>
        <w:rPr>
          <w:rFonts w:cs="Times New Roman"/>
          <w:szCs w:val="24"/>
        </w:rPr>
      </w:pPr>
      <w:r w:rsidRPr="00931877">
        <w:rPr>
          <w:rFonts w:cs="Times New Roman"/>
          <w:szCs w:val="24"/>
        </w:rPr>
        <w:t>umieszczanie na stronie internetowej Facebook skierowanych dla beneficjentów danej placówki, ciekawych artykułów, zajęć edukacyjnych zawierających pakiety edukacyjne, na które składały cię zadania umysłowe, rebusy itp.;</w:t>
      </w:r>
    </w:p>
    <w:p w14:paraId="0C61572B" w14:textId="77777777" w:rsidR="00931877" w:rsidRDefault="007C3424" w:rsidP="00FE70E3">
      <w:pPr>
        <w:pStyle w:val="Akapitzlist"/>
        <w:numPr>
          <w:ilvl w:val="0"/>
          <w:numId w:val="206"/>
        </w:numPr>
        <w:rPr>
          <w:rFonts w:cs="Times New Roman"/>
          <w:szCs w:val="24"/>
        </w:rPr>
      </w:pPr>
      <w:r w:rsidRPr="00931877">
        <w:rPr>
          <w:rFonts w:cs="Times New Roman"/>
          <w:szCs w:val="24"/>
        </w:rPr>
        <w:t>informowanie i edukowanie uczestników na tematy związane z pandemią COVID-19, udostępnianie ulotek informacyjnych, plakatów. Ponadto przeprowadzono pogadanki na temat ryzyka zakażenia i profilaktykę dbania o higienę osobistą, monitorowano temperaturę ciała i prawidłową dezynfekcję dłoni;</w:t>
      </w:r>
    </w:p>
    <w:p w14:paraId="56DC8DFF" w14:textId="77777777" w:rsidR="00931877" w:rsidRDefault="007C3424" w:rsidP="00FE70E3">
      <w:pPr>
        <w:pStyle w:val="Akapitzlist"/>
        <w:numPr>
          <w:ilvl w:val="0"/>
          <w:numId w:val="206"/>
        </w:numPr>
        <w:rPr>
          <w:rFonts w:cs="Times New Roman"/>
          <w:szCs w:val="24"/>
        </w:rPr>
      </w:pPr>
      <w:r w:rsidRPr="00931877">
        <w:rPr>
          <w:rFonts w:cs="Times New Roman"/>
          <w:szCs w:val="24"/>
        </w:rPr>
        <w:t>dostarczanie (głównie dla seniorów korzystających z domów) gorących posiłków z dowozem do domu, jak również wykonywanie przez uczestników prac plastycznych, technicznych, rękodzieła, ćwiczeń gimnastycznych z załączonymi instrukcjami, ćwiczeń grafomotorycznych, rozmów (porad) telefonicznych z psychologiem;</w:t>
      </w:r>
    </w:p>
    <w:p w14:paraId="6D679355" w14:textId="77777777" w:rsidR="00931877" w:rsidRDefault="007C3424" w:rsidP="00FE70E3">
      <w:pPr>
        <w:pStyle w:val="Akapitzlist"/>
        <w:numPr>
          <w:ilvl w:val="0"/>
          <w:numId w:val="206"/>
        </w:numPr>
        <w:rPr>
          <w:rFonts w:cs="Times New Roman"/>
          <w:szCs w:val="24"/>
        </w:rPr>
      </w:pPr>
      <w:r w:rsidRPr="00931877">
        <w:rPr>
          <w:rFonts w:cs="Times New Roman"/>
          <w:szCs w:val="24"/>
        </w:rPr>
        <w:t>organizowanie beneficjentom pomocy doraźnej w postaci pomocy ,,Pomoc Zakupowej”, pomocy w zakresie drobnych spraw do załatwienia na poczcie, aptece, w urzędach. Dostarczane były pakiety ze środkami ochrony osobistej (maseczki ,rękawiczki środki ochrony osobistej). Kontakt telefoniczny często zapewniał komunikator Messenger, Skype i inne;</w:t>
      </w:r>
    </w:p>
    <w:p w14:paraId="45DC424E" w14:textId="77777777" w:rsidR="00931877" w:rsidRDefault="007C3424" w:rsidP="00FE70E3">
      <w:pPr>
        <w:pStyle w:val="Akapitzlist"/>
        <w:numPr>
          <w:ilvl w:val="0"/>
          <w:numId w:val="206"/>
        </w:numPr>
        <w:rPr>
          <w:rFonts w:cs="Times New Roman"/>
          <w:szCs w:val="24"/>
        </w:rPr>
      </w:pPr>
      <w:r w:rsidRPr="00931877">
        <w:rPr>
          <w:rFonts w:cs="Times New Roman"/>
          <w:szCs w:val="24"/>
        </w:rPr>
        <w:t xml:space="preserve">zorganizowaniu (w jednej z Gmin) współpracy z Poradnią </w:t>
      </w:r>
      <w:proofErr w:type="spellStart"/>
      <w:r w:rsidRPr="00931877">
        <w:rPr>
          <w:rFonts w:cs="Times New Roman"/>
          <w:szCs w:val="24"/>
        </w:rPr>
        <w:t>Psychologiczno</w:t>
      </w:r>
      <w:proofErr w:type="spellEnd"/>
      <w:r w:rsidRPr="00931877">
        <w:rPr>
          <w:rFonts w:cs="Times New Roman"/>
          <w:szCs w:val="24"/>
        </w:rPr>
        <w:t xml:space="preserve"> - Pedagogiczną, gdzie Seniorzy mogli skorzystać z </w:t>
      </w:r>
      <w:proofErr w:type="spellStart"/>
      <w:r w:rsidRPr="00931877">
        <w:rPr>
          <w:rFonts w:cs="Times New Roman"/>
          <w:szCs w:val="24"/>
        </w:rPr>
        <w:t>teleporad</w:t>
      </w:r>
      <w:proofErr w:type="spellEnd"/>
      <w:r w:rsidRPr="00931877">
        <w:rPr>
          <w:rFonts w:cs="Times New Roman"/>
          <w:szCs w:val="24"/>
        </w:rPr>
        <w:t>, psychologa w czasie izolacji społecznej;</w:t>
      </w:r>
    </w:p>
    <w:p w14:paraId="69E47B96" w14:textId="6F97A1F3" w:rsidR="002D70DE" w:rsidRDefault="007C3424" w:rsidP="00FE70E3">
      <w:pPr>
        <w:pStyle w:val="Akapitzlist"/>
        <w:numPr>
          <w:ilvl w:val="0"/>
          <w:numId w:val="206"/>
        </w:numPr>
        <w:rPr>
          <w:rFonts w:cs="Times New Roman"/>
          <w:szCs w:val="24"/>
        </w:rPr>
      </w:pPr>
      <w:r w:rsidRPr="00931877">
        <w:rPr>
          <w:rFonts w:cs="Times New Roman"/>
          <w:szCs w:val="24"/>
        </w:rPr>
        <w:t>realizowano alternatywne działania dla seniorów</w:t>
      </w:r>
      <w:r w:rsidR="00D6492C">
        <w:rPr>
          <w:rFonts w:cs="Times New Roman"/>
          <w:szCs w:val="24"/>
        </w:rPr>
        <w:t>,</w:t>
      </w:r>
      <w:r w:rsidRPr="00931877">
        <w:rPr>
          <w:rFonts w:cs="Times New Roman"/>
          <w:szCs w:val="24"/>
        </w:rPr>
        <w:t xml:space="preserve"> tj.: udzielanie wsparcia poprzez kontakt telefoniczny, kontakt z rodzinami seniorów, pomoc w dowozie do placówek zdrowia, organizację wolontariatu pomocowego np. w robieniu zakupów, realizacji recept.</w:t>
      </w:r>
    </w:p>
    <w:p w14:paraId="767386E4" w14:textId="77777777" w:rsidR="002D70DE" w:rsidRPr="002D70DE" w:rsidRDefault="002D70DE" w:rsidP="002D70DE">
      <w:pPr>
        <w:pStyle w:val="Akapitzlist"/>
        <w:ind w:left="360"/>
        <w:rPr>
          <w:rFonts w:cs="Times New Roman"/>
          <w:szCs w:val="24"/>
        </w:rPr>
      </w:pPr>
    </w:p>
    <w:p w14:paraId="735D6E86" w14:textId="77777777" w:rsidR="007C3424" w:rsidRPr="007C3424" w:rsidRDefault="007C3424" w:rsidP="007C3424">
      <w:pPr>
        <w:rPr>
          <w:rFonts w:cs="Times New Roman"/>
          <w:szCs w:val="24"/>
        </w:rPr>
      </w:pPr>
      <w:r w:rsidRPr="007C3424">
        <w:rPr>
          <w:rFonts w:cs="Times New Roman"/>
          <w:szCs w:val="24"/>
        </w:rPr>
        <w:t>Zdrowie w warunkach izolacji domowej spowodowanej przez COVID-19</w:t>
      </w:r>
    </w:p>
    <w:p w14:paraId="2B08D929" w14:textId="2BCCCB8B" w:rsidR="007C3424" w:rsidRDefault="007C3424" w:rsidP="007C3424">
      <w:pPr>
        <w:rPr>
          <w:rFonts w:cs="Times New Roman"/>
          <w:szCs w:val="24"/>
        </w:rPr>
      </w:pPr>
      <w:r w:rsidRPr="007C3424">
        <w:rPr>
          <w:rFonts w:cs="Times New Roman"/>
          <w:szCs w:val="24"/>
        </w:rPr>
        <w:t xml:space="preserve">By wyjść naprzeciw potrzebom seniorów województwa świętokrzyskiego, został stworzony film edukacyjny, prezentujący zestaw ćwiczeń na każdy dzień tygodnia dostępny na stronie </w:t>
      </w:r>
      <w:r w:rsidR="00931877" w:rsidRPr="00931877">
        <w:rPr>
          <w:rFonts w:cs="Times New Roman"/>
          <w:szCs w:val="24"/>
        </w:rPr>
        <w:t>www.świetokrzyskie.pro</w:t>
      </w:r>
      <w:r w:rsidRPr="007C3424">
        <w:rPr>
          <w:rFonts w:cs="Times New Roman"/>
          <w:szCs w:val="24"/>
        </w:rPr>
        <w:t>.</w:t>
      </w:r>
      <w:r w:rsidR="00931877">
        <w:rPr>
          <w:rFonts w:cs="Times New Roman"/>
          <w:szCs w:val="24"/>
        </w:rPr>
        <w:t xml:space="preserve"> </w:t>
      </w:r>
      <w:r w:rsidRPr="007C3424">
        <w:rPr>
          <w:rFonts w:cs="Times New Roman"/>
          <w:szCs w:val="24"/>
        </w:rPr>
        <w:t>Ekranizacja filmu powstała z inicjatywy Departamentu Ochrony Zdrowia Urzędu Marszałkowskiego Województwa Świętokrzyskiego przy współpracy z: Świętokrzyskim Centrum Rehabilitacji w Czarnieckiej Górze, Świętokrzyskim Centrum Psychiatrii w Morawicy oraz Wojewódzkim Szpitalem Zespolonym w Kielcach.</w:t>
      </w:r>
      <w:r w:rsidR="00931877">
        <w:rPr>
          <w:rFonts w:cs="Times New Roman"/>
          <w:szCs w:val="24"/>
        </w:rPr>
        <w:t xml:space="preserve"> </w:t>
      </w:r>
      <w:r w:rsidRPr="007C3424">
        <w:rPr>
          <w:rFonts w:cs="Times New Roman"/>
          <w:szCs w:val="24"/>
        </w:rPr>
        <w:t xml:space="preserve">Zaproponowany film z ćwiczeniami fizycznymi oraz prelekcje dietetyka i psychologa to </w:t>
      </w:r>
      <w:r w:rsidRPr="007C3424">
        <w:rPr>
          <w:rFonts w:cs="Times New Roman"/>
          <w:szCs w:val="24"/>
        </w:rPr>
        <w:lastRenderedPageBreak/>
        <w:t>kontynuacja spotkania pn. „Wpływ COVID-19 na zdrowie psychiczne mieszkańców województwa świętokrzyskiego”.</w:t>
      </w:r>
      <w:r w:rsidR="00931877">
        <w:rPr>
          <w:rFonts w:cs="Times New Roman"/>
          <w:szCs w:val="24"/>
        </w:rPr>
        <w:t xml:space="preserve"> </w:t>
      </w:r>
      <w:r w:rsidRPr="007C3424">
        <w:rPr>
          <w:rFonts w:cs="Times New Roman"/>
          <w:szCs w:val="24"/>
        </w:rPr>
        <w:t>Trwająca wciąż sytuacja epidemiologiczna skłania nas do zwrócenia szczególnej uwagi na seniorów, ponieważ jest to grupa najbardziej narażona na obecną sytuację wywołaną wirusem COVID-19.</w:t>
      </w:r>
      <w:r w:rsidR="00931877">
        <w:rPr>
          <w:rFonts w:cs="Times New Roman"/>
          <w:szCs w:val="24"/>
        </w:rPr>
        <w:t xml:space="preserve"> </w:t>
      </w:r>
      <w:r w:rsidRPr="007C3424">
        <w:rPr>
          <w:rFonts w:cs="Times New Roman"/>
          <w:szCs w:val="24"/>
        </w:rPr>
        <w:t>Zrealizowany film edukacyjny pt.: „Zdrowie w warunkach izolacji domowej spowodowanej przez COVID-19” oraz stosowanie się do wskazówek trenerów przyczynia się do polepszenia zdrowia seniorów.</w:t>
      </w:r>
    </w:p>
    <w:p w14:paraId="6AA96DB5" w14:textId="77777777" w:rsidR="00931877" w:rsidRPr="007C3424" w:rsidRDefault="00931877" w:rsidP="007C3424">
      <w:pPr>
        <w:rPr>
          <w:rFonts w:cs="Times New Roman"/>
          <w:szCs w:val="24"/>
        </w:rPr>
      </w:pPr>
    </w:p>
    <w:p w14:paraId="796C81AD" w14:textId="131DF4DB" w:rsidR="007C3424" w:rsidRPr="007C3424" w:rsidRDefault="007C3424" w:rsidP="007C3424">
      <w:pPr>
        <w:rPr>
          <w:rFonts w:cs="Times New Roman"/>
          <w:szCs w:val="24"/>
        </w:rPr>
      </w:pPr>
      <w:r w:rsidRPr="007C3424">
        <w:rPr>
          <w:rFonts w:cs="Times New Roman"/>
          <w:szCs w:val="24"/>
        </w:rPr>
        <w:t>Ponadto w związku z zapobieganiem rozprzestrzeniania się wirusa COVID-19, domy pomocy społecznej zarówno gminne jak i powiatowe otrzymały dofinansowanie min. na przygotowanie i zabezpieczenie domów pomocy społecznej przed wzrostem zakażeń wywołanych wirusem SARS-CoV-2, w szczególności na zapewnienie kadry niezbędnej do zagwarantowania ciągłości usług świadczonych przez te jednostki. W ramach walki z wirusem COVID-19 domy pomocy społecznej, w których umieszczone są osoby w podeszłym wieku oraz przewlekle somatycznie chore otrzymały dofinansowanie do 80% kosztów realizacji zadania w kwocie ogółem 4.019.895,58 zł.</w:t>
      </w:r>
      <w:r w:rsidR="00931877">
        <w:rPr>
          <w:rFonts w:cs="Times New Roman"/>
          <w:szCs w:val="24"/>
        </w:rPr>
        <w:t xml:space="preserve"> </w:t>
      </w:r>
      <w:r w:rsidRPr="007C3424">
        <w:rPr>
          <w:rFonts w:cs="Times New Roman"/>
          <w:szCs w:val="24"/>
        </w:rPr>
        <w:t xml:space="preserve">Podczas ścisłej izolacji społecznej związanej z pandemią COVID-19 organizator cyklu imprez Senior Show specjalnie dla artystów-amatorów ze środowiska osób 60+ założył na Facebooku grupę Senior Show on-line, która pomogła seniorom przetrwać trudne czasy </w:t>
      </w:r>
      <w:proofErr w:type="spellStart"/>
      <w:r w:rsidRPr="007C3424">
        <w:rPr>
          <w:rFonts w:cs="Times New Roman"/>
          <w:szCs w:val="24"/>
        </w:rPr>
        <w:t>lockdownu</w:t>
      </w:r>
      <w:proofErr w:type="spellEnd"/>
      <w:r w:rsidRPr="007C3424">
        <w:rPr>
          <w:rFonts w:cs="Times New Roman"/>
          <w:szCs w:val="24"/>
        </w:rPr>
        <w:t>, i która działa do dziś, zrzeszając członków z kraju i ze świata</w:t>
      </w:r>
    </w:p>
    <w:p w14:paraId="7156E342" w14:textId="1D08CE58" w:rsidR="007C3424" w:rsidRDefault="007C3424" w:rsidP="007C3424">
      <w:pPr>
        <w:rPr>
          <w:rFonts w:cs="Times New Roman"/>
          <w:szCs w:val="24"/>
        </w:rPr>
      </w:pPr>
      <w:r w:rsidRPr="007C3424">
        <w:rPr>
          <w:rFonts w:cs="Times New Roman"/>
          <w:szCs w:val="24"/>
        </w:rPr>
        <w:t>Od paru lat w Wojewódzkim Domu Kultury pod nazwą Senior Show organizowane są</w:t>
      </w:r>
      <w:r w:rsidR="00931877">
        <w:rPr>
          <w:rFonts w:cs="Times New Roman"/>
          <w:szCs w:val="24"/>
        </w:rPr>
        <w:t xml:space="preserve"> </w:t>
      </w:r>
      <w:r w:rsidRPr="007C3424">
        <w:rPr>
          <w:rFonts w:cs="Times New Roman"/>
          <w:szCs w:val="24"/>
        </w:rPr>
        <w:t>cykliczne prezentacje artystyczne osób reprezentujących środowisko 60+.</w:t>
      </w:r>
      <w:r w:rsidR="00931877">
        <w:rPr>
          <w:rFonts w:cs="Times New Roman"/>
          <w:szCs w:val="24"/>
        </w:rPr>
        <w:t xml:space="preserve"> </w:t>
      </w:r>
      <w:r w:rsidRPr="007C3424">
        <w:rPr>
          <w:rFonts w:cs="Times New Roman"/>
          <w:szCs w:val="24"/>
        </w:rPr>
        <w:t>Senior Show jest propozycją kulturalną zrzeszającą przed wszystkim amatorskie środowiska senioralne, ale również koła gospodyń wiejskich, miejsko-gminne ośrodki kultury z naszego regionu.</w:t>
      </w:r>
      <w:r w:rsidR="00931877">
        <w:rPr>
          <w:rFonts w:cs="Times New Roman"/>
          <w:szCs w:val="24"/>
        </w:rPr>
        <w:t xml:space="preserve"> </w:t>
      </w:r>
      <w:r w:rsidRPr="007C3424">
        <w:rPr>
          <w:rFonts w:cs="Times New Roman"/>
          <w:szCs w:val="24"/>
        </w:rPr>
        <w:t>Widząc wielkie zaangażowanie seniorów, którzy cyklicznie nagrywają swoje domowe produkcje i prezentują je w sieci, animatorzy kultury postanowili najbardziej aktywnych uczestników grupy uhonorować specjalnymi podziękowaniami podczas stacjonarnej edycji Senior Show podczas Międzynarodowego Dnia Seniora.</w:t>
      </w:r>
      <w:r w:rsidR="00931877">
        <w:rPr>
          <w:rFonts w:cs="Times New Roman"/>
          <w:szCs w:val="24"/>
        </w:rPr>
        <w:t xml:space="preserve"> </w:t>
      </w:r>
      <w:r w:rsidRPr="007C3424">
        <w:rPr>
          <w:rFonts w:cs="Times New Roman"/>
          <w:szCs w:val="24"/>
        </w:rPr>
        <w:t>W związku z panującą pandemią i wciąż obowiązującymi obostrzeniami, specjalnie dla wszystkich sympatyków i członków utworzonej na Facebooku grupy, przeprowadzona została również transmisja online z tego wydarzenia. Powstała w czasie społecznej izolacji grupa bardzo szybko zdobyła popularność nie tylko w naszym regionie i kraju, ale swym zasięgiem objęła takie zakątki świata jak: Tajwan, Finlandia, Rosja, Rumunia, Gruzja, czy Indie. Pomimo złagodzenia obostrzeń na stronie wciąż przybywa nowych wykonawców, którzy chętnie prezentują swoje domowe produkcje.</w:t>
      </w:r>
    </w:p>
    <w:p w14:paraId="517C28E1" w14:textId="77777777" w:rsidR="00BC3EB7" w:rsidRDefault="00BC3EB7" w:rsidP="000D7CDE">
      <w:pPr>
        <w:rPr>
          <w:rFonts w:cs="Times New Roman"/>
          <w:b/>
          <w:color w:val="FF0000"/>
          <w:szCs w:val="24"/>
          <w:lang w:eastAsia="ar-SA"/>
        </w:rPr>
      </w:pPr>
    </w:p>
    <w:p w14:paraId="36431A42" w14:textId="012C7240" w:rsidR="00AC180B" w:rsidRDefault="007C3424" w:rsidP="007C3424">
      <w:pPr>
        <w:pStyle w:val="Nagwek3"/>
      </w:pPr>
      <w:bookmarkStart w:id="299" w:name="_Toc77514029"/>
      <w:bookmarkStart w:id="300" w:name="_Toc80523189"/>
      <w:r w:rsidRPr="007C3424">
        <w:t>Infrastruktura społeczna oraz usługi świadczone osobom starszym w 2020 r.</w:t>
      </w:r>
      <w:bookmarkEnd w:id="299"/>
      <w:bookmarkEnd w:id="300"/>
    </w:p>
    <w:p w14:paraId="2127BC85" w14:textId="77777777" w:rsidR="000B1B06" w:rsidRPr="000B1B06" w:rsidRDefault="000B1B06" w:rsidP="000B1B06"/>
    <w:p w14:paraId="475316A4" w14:textId="5C0DD20F" w:rsidR="00AC180B" w:rsidRDefault="00AC180B" w:rsidP="00AC180B">
      <w:pPr>
        <w:rPr>
          <w:rFonts w:cs="Times New Roman"/>
          <w:szCs w:val="24"/>
        </w:rPr>
      </w:pPr>
      <w:r w:rsidRPr="00D96C8C">
        <w:rPr>
          <w:rFonts w:cs="Times New Roman"/>
          <w:szCs w:val="24"/>
        </w:rPr>
        <w:t xml:space="preserve">Szczegółowe informacje dotyczące usług oraz infrastruktury społecznej dostępnej dla osób starszych w województwie </w:t>
      </w:r>
      <w:r w:rsidR="005C3916">
        <w:rPr>
          <w:rFonts w:cs="Times New Roman"/>
          <w:szCs w:val="24"/>
        </w:rPr>
        <w:t>świętokrzyskim</w:t>
      </w:r>
      <w:r>
        <w:rPr>
          <w:rFonts w:cs="Times New Roman"/>
          <w:szCs w:val="24"/>
        </w:rPr>
        <w:t xml:space="preserve"> w 2020 r. przedstawia poniższa tabela</w:t>
      </w:r>
    </w:p>
    <w:p w14:paraId="59986D84" w14:textId="77777777" w:rsidR="00AC180B" w:rsidRDefault="00AC180B" w:rsidP="000D7CDE">
      <w:pPr>
        <w:rPr>
          <w:rFonts w:cs="Times New Roman"/>
          <w:color w:val="FF0000"/>
          <w:szCs w:val="24"/>
        </w:rPr>
      </w:pPr>
    </w:p>
    <w:p w14:paraId="47AE35EC" w14:textId="77777777" w:rsidR="00AC180B" w:rsidRDefault="00AC180B" w:rsidP="000D7CDE">
      <w:pPr>
        <w:rPr>
          <w:rFonts w:cs="Times New Roman"/>
          <w:color w:val="FF0000"/>
          <w:szCs w:val="24"/>
        </w:rPr>
      </w:pPr>
    </w:p>
    <w:p w14:paraId="015777D4" w14:textId="77777777" w:rsidR="00AC180B" w:rsidRPr="0092226B" w:rsidRDefault="00AC180B" w:rsidP="000D7CDE">
      <w:pPr>
        <w:rPr>
          <w:rFonts w:cs="Times New Roman"/>
          <w:color w:val="FF0000"/>
          <w:szCs w:val="24"/>
        </w:rPr>
        <w:sectPr w:rsidR="00AC180B" w:rsidRPr="0092226B" w:rsidSect="00FC210F">
          <w:pgSz w:w="11906" w:h="16840"/>
          <w:pgMar w:top="1418" w:right="1418" w:bottom="1417" w:left="1418" w:header="708" w:footer="708" w:gutter="0"/>
          <w:cols w:space="708"/>
          <w:docGrid w:linePitch="360"/>
        </w:sectPr>
      </w:pPr>
    </w:p>
    <w:p w14:paraId="139CB25F" w14:textId="39F294ED" w:rsidR="004D48DD" w:rsidRPr="00144D2F" w:rsidRDefault="004D48DD" w:rsidP="004D48DD">
      <w:pPr>
        <w:pStyle w:val="Legenda"/>
        <w:keepNext/>
        <w:rPr>
          <w:rFonts w:cs="Times New Roman"/>
          <w:b/>
          <w:i w:val="0"/>
          <w:color w:val="auto"/>
          <w:sz w:val="24"/>
          <w:szCs w:val="24"/>
        </w:rPr>
      </w:pPr>
      <w:bookmarkStart w:id="301" w:name="_Toc49171442"/>
      <w:r w:rsidRPr="00144D2F">
        <w:rPr>
          <w:rFonts w:cs="Times New Roman"/>
          <w:b/>
          <w:i w:val="0"/>
          <w:color w:val="auto"/>
          <w:sz w:val="24"/>
          <w:szCs w:val="24"/>
        </w:rPr>
        <w:lastRenderedPageBreak/>
        <w:t xml:space="preserve">Tabela </w:t>
      </w:r>
      <w:r w:rsidR="006E7700">
        <w:rPr>
          <w:rFonts w:cs="Times New Roman"/>
          <w:b/>
          <w:i w:val="0"/>
          <w:color w:val="auto"/>
          <w:sz w:val="24"/>
          <w:szCs w:val="24"/>
        </w:rPr>
        <w:t>74</w:t>
      </w:r>
      <w:r w:rsidR="00054E88">
        <w:rPr>
          <w:rFonts w:cs="Times New Roman"/>
          <w:b/>
          <w:i w:val="0"/>
          <w:color w:val="auto"/>
          <w:sz w:val="24"/>
          <w:szCs w:val="24"/>
        </w:rPr>
        <w:t>.</w:t>
      </w:r>
      <w:r w:rsidR="006E7700">
        <w:rPr>
          <w:rFonts w:cs="Times New Roman"/>
          <w:b/>
          <w:i w:val="0"/>
          <w:color w:val="auto"/>
          <w:sz w:val="24"/>
          <w:szCs w:val="24"/>
        </w:rPr>
        <w:t xml:space="preserve"> </w:t>
      </w:r>
      <w:r w:rsidRPr="00144D2F">
        <w:rPr>
          <w:rFonts w:cs="Times New Roman"/>
          <w:b/>
          <w:i w:val="0"/>
          <w:color w:val="auto"/>
          <w:sz w:val="24"/>
          <w:szCs w:val="24"/>
        </w:rPr>
        <w:t>Karta województwa świętokrzyskiego</w:t>
      </w:r>
      <w:bookmarkEnd w:id="301"/>
    </w:p>
    <w:tbl>
      <w:tblPr>
        <w:tblStyle w:val="Tabelasiatki5ciemnaakcent2"/>
        <w:tblpPr w:leftFromText="141" w:rightFromText="141" w:vertAnchor="text" w:tblpXSpec="center" w:tblpY="1"/>
        <w:tblW w:w="14741" w:type="dxa"/>
        <w:tblLayout w:type="fixed"/>
        <w:tblLook w:val="04A0" w:firstRow="1" w:lastRow="0" w:firstColumn="1" w:lastColumn="0" w:noHBand="0" w:noVBand="1"/>
      </w:tblPr>
      <w:tblGrid>
        <w:gridCol w:w="2830"/>
        <w:gridCol w:w="3066"/>
        <w:gridCol w:w="53"/>
        <w:gridCol w:w="2895"/>
        <w:gridCol w:w="790"/>
        <w:gridCol w:w="2158"/>
        <w:gridCol w:w="2949"/>
      </w:tblGrid>
      <w:tr w:rsidR="00DF18DB" w:rsidRPr="002F69B3" w14:paraId="3EDA3555" w14:textId="77777777" w:rsidTr="00DF18DB">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723D906A" w14:textId="20750C18" w:rsidR="00DF18DB" w:rsidRPr="002F69B3" w:rsidRDefault="00DF18DB" w:rsidP="00DB3494">
            <w:pPr>
              <w:spacing w:line="240" w:lineRule="auto"/>
              <w:jc w:val="center"/>
              <w:rPr>
                <w:color w:val="auto"/>
                <w:sz w:val="20"/>
                <w:szCs w:val="20"/>
              </w:rPr>
            </w:pPr>
            <w:r w:rsidRPr="002F69B3">
              <w:rPr>
                <w:color w:val="auto"/>
                <w:sz w:val="20"/>
                <w:szCs w:val="20"/>
              </w:rPr>
              <w:t>WOJEWÓDZTWO ŚWIĘTOKRZYSKIE</w:t>
            </w:r>
          </w:p>
        </w:tc>
      </w:tr>
      <w:tr w:rsidR="00DF18DB" w:rsidRPr="002F69B3" w14:paraId="574357F2" w14:textId="77777777" w:rsidTr="00DF18D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7D739C62" w14:textId="21655D5B" w:rsidR="00E260BE" w:rsidRPr="002F69B3" w:rsidRDefault="00E260BE" w:rsidP="00DB3494">
            <w:pPr>
              <w:spacing w:line="240" w:lineRule="auto"/>
              <w:jc w:val="center"/>
              <w:rPr>
                <w:color w:val="auto"/>
                <w:sz w:val="20"/>
                <w:szCs w:val="20"/>
              </w:rPr>
            </w:pPr>
            <w:r w:rsidRPr="002F69B3">
              <w:rPr>
                <w:color w:val="auto"/>
                <w:sz w:val="20"/>
                <w:szCs w:val="20"/>
              </w:rPr>
              <w:t>USŁUGI SPOŁECZNE DLA OSÓB STARSZYCH / INFRASTRUKTURA POMOCY SPOLECZNEJ – DANE ZA 20</w:t>
            </w:r>
            <w:r w:rsidR="006E7700" w:rsidRPr="002F69B3">
              <w:rPr>
                <w:color w:val="auto"/>
                <w:sz w:val="20"/>
                <w:szCs w:val="20"/>
              </w:rPr>
              <w:t>20</w:t>
            </w:r>
            <w:r w:rsidRPr="002F69B3">
              <w:rPr>
                <w:color w:val="auto"/>
                <w:sz w:val="20"/>
                <w:szCs w:val="20"/>
              </w:rPr>
              <w:t xml:space="preserve"> R.</w:t>
            </w:r>
          </w:p>
        </w:tc>
      </w:tr>
      <w:tr w:rsidR="00DF18DB" w:rsidRPr="002F69B3" w14:paraId="278AD8DD" w14:textId="77777777" w:rsidTr="00DF18DB">
        <w:trPr>
          <w:trHeight w:val="7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4D91B634" w14:textId="1F09D715" w:rsidR="00E260BE" w:rsidRPr="002F69B3" w:rsidRDefault="00E260BE" w:rsidP="00403F40">
            <w:pPr>
              <w:spacing w:line="240" w:lineRule="auto"/>
              <w:rPr>
                <w:rFonts w:eastAsia="Times New Roman"/>
                <w:b w:val="0"/>
                <w:bCs w:val="0"/>
                <w:color w:val="auto"/>
                <w:sz w:val="20"/>
                <w:szCs w:val="20"/>
                <w:lang w:eastAsia="pl-PL"/>
              </w:rPr>
            </w:pPr>
            <w:r w:rsidRPr="002F69B3">
              <w:rPr>
                <w:rFonts w:eastAsia="Times New Roman"/>
                <w:color w:val="auto"/>
                <w:sz w:val="20"/>
                <w:szCs w:val="20"/>
                <w:lang w:eastAsia="pl-PL"/>
              </w:rPr>
              <w:t>Instytucje pomocy społecznej, w tym:</w:t>
            </w:r>
          </w:p>
        </w:tc>
        <w:tc>
          <w:tcPr>
            <w:tcW w:w="3066" w:type="dxa"/>
          </w:tcPr>
          <w:p w14:paraId="6A07DA2E" w14:textId="77777777" w:rsidR="00E260BE" w:rsidRPr="002F69B3" w:rsidRDefault="00E260BE" w:rsidP="00DB3494">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F69B3">
              <w:rPr>
                <w:b/>
                <w:sz w:val="20"/>
                <w:szCs w:val="20"/>
              </w:rPr>
              <w:t>Rodzaj placówki</w:t>
            </w:r>
          </w:p>
        </w:tc>
        <w:tc>
          <w:tcPr>
            <w:tcW w:w="2948" w:type="dxa"/>
            <w:gridSpan w:val="2"/>
          </w:tcPr>
          <w:p w14:paraId="4A4A0920" w14:textId="77777777" w:rsidR="00E260BE" w:rsidRPr="002F69B3" w:rsidRDefault="00E260BE" w:rsidP="00DB3494">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F69B3">
              <w:rPr>
                <w:b/>
                <w:sz w:val="20"/>
                <w:szCs w:val="20"/>
              </w:rPr>
              <w:t>Liczba placówek</w:t>
            </w:r>
          </w:p>
        </w:tc>
        <w:tc>
          <w:tcPr>
            <w:tcW w:w="2948" w:type="dxa"/>
            <w:gridSpan w:val="2"/>
          </w:tcPr>
          <w:p w14:paraId="154CF87B" w14:textId="77777777" w:rsidR="00E260BE" w:rsidRPr="002F69B3" w:rsidRDefault="00E260BE" w:rsidP="00DB3494">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F69B3">
              <w:rPr>
                <w:b/>
                <w:sz w:val="20"/>
                <w:szCs w:val="20"/>
              </w:rPr>
              <w:t>Liczba miejsc dla osób starszych</w:t>
            </w:r>
          </w:p>
        </w:tc>
        <w:tc>
          <w:tcPr>
            <w:tcW w:w="2949" w:type="dxa"/>
          </w:tcPr>
          <w:p w14:paraId="44E530B8" w14:textId="77777777" w:rsidR="00E260BE" w:rsidRPr="002F69B3" w:rsidRDefault="00E260BE" w:rsidP="00DB3494">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2F69B3">
              <w:rPr>
                <w:b/>
                <w:sz w:val="20"/>
                <w:szCs w:val="20"/>
              </w:rPr>
              <w:t>Liczba korzystających osób starszych</w:t>
            </w:r>
          </w:p>
        </w:tc>
      </w:tr>
      <w:tr w:rsidR="00144D2F" w:rsidRPr="002F69B3" w14:paraId="234A28C4" w14:textId="77777777" w:rsidTr="00DF18D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BC74F82" w14:textId="77777777" w:rsidR="00144D2F" w:rsidRPr="002F69B3" w:rsidRDefault="00144D2F" w:rsidP="00144D2F">
            <w:pPr>
              <w:spacing w:line="240" w:lineRule="auto"/>
              <w:rPr>
                <w:rFonts w:eastAsia="Times New Roman"/>
                <w:color w:val="auto"/>
                <w:sz w:val="20"/>
                <w:szCs w:val="20"/>
                <w:lang w:eastAsia="pl-PL"/>
              </w:rPr>
            </w:pPr>
          </w:p>
        </w:tc>
        <w:tc>
          <w:tcPr>
            <w:tcW w:w="3066" w:type="dxa"/>
          </w:tcPr>
          <w:p w14:paraId="1841FDF4" w14:textId="77777777" w:rsidR="00144D2F" w:rsidRPr="002F69B3" w:rsidRDefault="00144D2F" w:rsidP="00144D2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Środowiskowe Domy Samopomocy</w:t>
            </w:r>
          </w:p>
        </w:tc>
        <w:tc>
          <w:tcPr>
            <w:tcW w:w="2948" w:type="dxa"/>
            <w:gridSpan w:val="2"/>
          </w:tcPr>
          <w:p w14:paraId="36B8374F" w14:textId="1C4A80CB"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33</w:t>
            </w:r>
          </w:p>
        </w:tc>
        <w:tc>
          <w:tcPr>
            <w:tcW w:w="2948" w:type="dxa"/>
            <w:gridSpan w:val="2"/>
          </w:tcPr>
          <w:p w14:paraId="542E97FB" w14:textId="17CDFA14"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1 024</w:t>
            </w:r>
          </w:p>
        </w:tc>
        <w:tc>
          <w:tcPr>
            <w:tcW w:w="2949" w:type="dxa"/>
          </w:tcPr>
          <w:p w14:paraId="1A896090" w14:textId="0FF297E7"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472</w:t>
            </w:r>
          </w:p>
        </w:tc>
      </w:tr>
      <w:tr w:rsidR="00144D2F" w:rsidRPr="002F69B3" w14:paraId="48FD6D63" w14:textId="77777777" w:rsidTr="00DF18DB">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F0AA05F" w14:textId="77777777" w:rsidR="00144D2F" w:rsidRPr="002F69B3" w:rsidRDefault="00144D2F" w:rsidP="00144D2F">
            <w:pPr>
              <w:spacing w:line="240" w:lineRule="auto"/>
              <w:rPr>
                <w:rFonts w:eastAsia="Times New Roman"/>
                <w:color w:val="auto"/>
                <w:sz w:val="20"/>
                <w:szCs w:val="20"/>
                <w:lang w:eastAsia="pl-PL"/>
              </w:rPr>
            </w:pPr>
          </w:p>
        </w:tc>
        <w:tc>
          <w:tcPr>
            <w:tcW w:w="3066" w:type="dxa"/>
          </w:tcPr>
          <w:p w14:paraId="05B74D0F" w14:textId="77777777" w:rsidR="00144D2F" w:rsidRPr="002F69B3" w:rsidRDefault="00144D2F" w:rsidP="00144D2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Dzienne Domy Pomocy</w:t>
            </w:r>
          </w:p>
        </w:tc>
        <w:tc>
          <w:tcPr>
            <w:tcW w:w="2948" w:type="dxa"/>
            <w:gridSpan w:val="2"/>
          </w:tcPr>
          <w:p w14:paraId="6413E554" w14:textId="47E74024"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0</w:t>
            </w:r>
          </w:p>
        </w:tc>
        <w:tc>
          <w:tcPr>
            <w:tcW w:w="2948" w:type="dxa"/>
            <w:gridSpan w:val="2"/>
          </w:tcPr>
          <w:p w14:paraId="6A51C026" w14:textId="155FC8D7"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0</w:t>
            </w:r>
          </w:p>
        </w:tc>
        <w:tc>
          <w:tcPr>
            <w:tcW w:w="2949" w:type="dxa"/>
          </w:tcPr>
          <w:p w14:paraId="5D455C93" w14:textId="5B3B57EC"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0</w:t>
            </w:r>
          </w:p>
        </w:tc>
      </w:tr>
      <w:tr w:rsidR="00144D2F" w:rsidRPr="002F69B3" w14:paraId="664DF58F" w14:textId="77777777" w:rsidTr="00DF18D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D5A3DB7" w14:textId="77777777" w:rsidR="00144D2F" w:rsidRPr="002F69B3" w:rsidRDefault="00144D2F" w:rsidP="00144D2F">
            <w:pPr>
              <w:spacing w:line="240" w:lineRule="auto"/>
              <w:rPr>
                <w:rFonts w:eastAsia="Times New Roman"/>
                <w:color w:val="auto"/>
                <w:sz w:val="20"/>
                <w:szCs w:val="20"/>
                <w:lang w:eastAsia="pl-PL"/>
              </w:rPr>
            </w:pPr>
          </w:p>
        </w:tc>
        <w:tc>
          <w:tcPr>
            <w:tcW w:w="3066" w:type="dxa"/>
          </w:tcPr>
          <w:p w14:paraId="49FE6BA6" w14:textId="77777777" w:rsidR="00144D2F" w:rsidRPr="002F69B3" w:rsidRDefault="00144D2F" w:rsidP="00144D2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Noclegownie, schroniska i domy dla osób bezdomnych</w:t>
            </w:r>
          </w:p>
        </w:tc>
        <w:tc>
          <w:tcPr>
            <w:tcW w:w="2948" w:type="dxa"/>
            <w:gridSpan w:val="2"/>
          </w:tcPr>
          <w:p w14:paraId="407494CC" w14:textId="7EF09412"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18</w:t>
            </w:r>
          </w:p>
        </w:tc>
        <w:tc>
          <w:tcPr>
            <w:tcW w:w="2948" w:type="dxa"/>
            <w:gridSpan w:val="2"/>
          </w:tcPr>
          <w:p w14:paraId="537D399D" w14:textId="75B98810"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366</w:t>
            </w:r>
          </w:p>
        </w:tc>
        <w:tc>
          <w:tcPr>
            <w:tcW w:w="2949" w:type="dxa"/>
          </w:tcPr>
          <w:p w14:paraId="06181E45" w14:textId="19D47615"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192</w:t>
            </w:r>
          </w:p>
        </w:tc>
      </w:tr>
      <w:tr w:rsidR="00144D2F" w:rsidRPr="002F69B3" w14:paraId="6F85C02A" w14:textId="77777777" w:rsidTr="00DF18DB">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7D26D81" w14:textId="77777777" w:rsidR="00144D2F" w:rsidRPr="002F69B3" w:rsidRDefault="00144D2F" w:rsidP="00144D2F">
            <w:pPr>
              <w:spacing w:line="240" w:lineRule="auto"/>
              <w:rPr>
                <w:rFonts w:eastAsia="Times New Roman"/>
                <w:color w:val="auto"/>
                <w:sz w:val="20"/>
                <w:szCs w:val="20"/>
                <w:lang w:eastAsia="pl-PL"/>
              </w:rPr>
            </w:pPr>
          </w:p>
        </w:tc>
        <w:tc>
          <w:tcPr>
            <w:tcW w:w="3066" w:type="dxa"/>
          </w:tcPr>
          <w:p w14:paraId="3EBFBFAF" w14:textId="77777777" w:rsidR="00144D2F" w:rsidRPr="002F69B3" w:rsidRDefault="00144D2F" w:rsidP="00144D2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Ogrzewalnie</w:t>
            </w:r>
          </w:p>
        </w:tc>
        <w:tc>
          <w:tcPr>
            <w:tcW w:w="2948" w:type="dxa"/>
            <w:gridSpan w:val="2"/>
          </w:tcPr>
          <w:p w14:paraId="5D2983E6" w14:textId="05D38084"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2</w:t>
            </w:r>
          </w:p>
        </w:tc>
        <w:tc>
          <w:tcPr>
            <w:tcW w:w="2948" w:type="dxa"/>
            <w:gridSpan w:val="2"/>
          </w:tcPr>
          <w:p w14:paraId="1CB5FAE7" w14:textId="02EC036B"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40</w:t>
            </w:r>
          </w:p>
        </w:tc>
        <w:tc>
          <w:tcPr>
            <w:tcW w:w="2949" w:type="dxa"/>
          </w:tcPr>
          <w:p w14:paraId="0C673C6C" w14:textId="7F342C49"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37</w:t>
            </w:r>
          </w:p>
        </w:tc>
      </w:tr>
      <w:tr w:rsidR="00144D2F" w:rsidRPr="002F69B3" w14:paraId="0A38C353" w14:textId="77777777" w:rsidTr="00DF18D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92A0FA7" w14:textId="77777777" w:rsidR="00144D2F" w:rsidRPr="002F69B3" w:rsidRDefault="00144D2F" w:rsidP="00144D2F">
            <w:pPr>
              <w:spacing w:line="240" w:lineRule="auto"/>
              <w:rPr>
                <w:rFonts w:eastAsia="Times New Roman"/>
                <w:color w:val="auto"/>
                <w:sz w:val="20"/>
                <w:szCs w:val="20"/>
                <w:lang w:eastAsia="pl-PL"/>
              </w:rPr>
            </w:pPr>
          </w:p>
        </w:tc>
        <w:tc>
          <w:tcPr>
            <w:tcW w:w="3066" w:type="dxa"/>
          </w:tcPr>
          <w:p w14:paraId="5DA7785F" w14:textId="77777777" w:rsidR="00144D2F" w:rsidRPr="002F69B3" w:rsidRDefault="00144D2F" w:rsidP="00144D2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Kluby Samopomocy</w:t>
            </w:r>
          </w:p>
        </w:tc>
        <w:tc>
          <w:tcPr>
            <w:tcW w:w="2948" w:type="dxa"/>
            <w:gridSpan w:val="2"/>
          </w:tcPr>
          <w:p w14:paraId="7CC1B457" w14:textId="3AD5F0F8"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29</w:t>
            </w:r>
          </w:p>
        </w:tc>
        <w:tc>
          <w:tcPr>
            <w:tcW w:w="2948" w:type="dxa"/>
            <w:gridSpan w:val="2"/>
          </w:tcPr>
          <w:p w14:paraId="2E307A06" w14:textId="1C700F94"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677</w:t>
            </w:r>
          </w:p>
        </w:tc>
        <w:tc>
          <w:tcPr>
            <w:tcW w:w="2949" w:type="dxa"/>
          </w:tcPr>
          <w:p w14:paraId="14C5FAF2" w14:textId="646D3DBC"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2 798</w:t>
            </w:r>
          </w:p>
        </w:tc>
      </w:tr>
      <w:tr w:rsidR="00144D2F" w:rsidRPr="002F69B3" w14:paraId="2E632694" w14:textId="77777777" w:rsidTr="00DF18DB">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EA9FD7A" w14:textId="77777777" w:rsidR="00144D2F" w:rsidRPr="002F69B3" w:rsidRDefault="00144D2F" w:rsidP="00144D2F">
            <w:pPr>
              <w:spacing w:line="240" w:lineRule="auto"/>
              <w:rPr>
                <w:rFonts w:eastAsia="Times New Roman"/>
                <w:color w:val="auto"/>
                <w:sz w:val="20"/>
                <w:szCs w:val="20"/>
                <w:lang w:eastAsia="pl-PL"/>
              </w:rPr>
            </w:pPr>
          </w:p>
        </w:tc>
        <w:tc>
          <w:tcPr>
            <w:tcW w:w="3066" w:type="dxa"/>
          </w:tcPr>
          <w:p w14:paraId="1A6DFF40" w14:textId="77777777" w:rsidR="00144D2F" w:rsidRPr="002F69B3" w:rsidRDefault="00144D2F" w:rsidP="00144D2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Placówki zapewniające całodobową opiekę osobom niepełnosprawnym, przewlekle chorym lub osobom w podeszłym wieku</w:t>
            </w:r>
          </w:p>
        </w:tc>
        <w:tc>
          <w:tcPr>
            <w:tcW w:w="2948" w:type="dxa"/>
            <w:gridSpan w:val="2"/>
          </w:tcPr>
          <w:p w14:paraId="08E5EA22" w14:textId="181D44AB"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17</w:t>
            </w:r>
          </w:p>
        </w:tc>
        <w:tc>
          <w:tcPr>
            <w:tcW w:w="2948" w:type="dxa"/>
            <w:gridSpan w:val="2"/>
          </w:tcPr>
          <w:p w14:paraId="7753D072" w14:textId="6DEC719F"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744</w:t>
            </w:r>
          </w:p>
        </w:tc>
        <w:tc>
          <w:tcPr>
            <w:tcW w:w="2949" w:type="dxa"/>
          </w:tcPr>
          <w:p w14:paraId="6570AB29" w14:textId="1C9A0E09"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567</w:t>
            </w:r>
          </w:p>
        </w:tc>
      </w:tr>
      <w:tr w:rsidR="00144D2F" w:rsidRPr="002F69B3" w14:paraId="39E641D5" w14:textId="77777777" w:rsidTr="00DF18D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CCBB7B6" w14:textId="77777777" w:rsidR="00144D2F" w:rsidRPr="002F69B3" w:rsidRDefault="00144D2F" w:rsidP="00144D2F">
            <w:pPr>
              <w:spacing w:line="240" w:lineRule="auto"/>
              <w:rPr>
                <w:rFonts w:eastAsia="Times New Roman"/>
                <w:color w:val="auto"/>
                <w:sz w:val="20"/>
                <w:szCs w:val="20"/>
                <w:lang w:eastAsia="pl-PL"/>
              </w:rPr>
            </w:pPr>
          </w:p>
        </w:tc>
        <w:tc>
          <w:tcPr>
            <w:tcW w:w="3066" w:type="dxa"/>
          </w:tcPr>
          <w:p w14:paraId="1E538095" w14:textId="77777777" w:rsidR="00144D2F" w:rsidRPr="002F69B3" w:rsidRDefault="00144D2F" w:rsidP="00144D2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Domy Pomocy Społecznej</w:t>
            </w:r>
          </w:p>
        </w:tc>
        <w:tc>
          <w:tcPr>
            <w:tcW w:w="2948" w:type="dxa"/>
            <w:gridSpan w:val="2"/>
          </w:tcPr>
          <w:p w14:paraId="0478A834" w14:textId="279073FC"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15</w:t>
            </w:r>
          </w:p>
        </w:tc>
        <w:tc>
          <w:tcPr>
            <w:tcW w:w="2948" w:type="dxa"/>
            <w:gridSpan w:val="2"/>
          </w:tcPr>
          <w:p w14:paraId="23D97EBA" w14:textId="7EAB8356"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1190</w:t>
            </w:r>
          </w:p>
        </w:tc>
        <w:tc>
          <w:tcPr>
            <w:tcW w:w="2949" w:type="dxa"/>
          </w:tcPr>
          <w:p w14:paraId="69DF6302" w14:textId="1C6A3B3C"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1041</w:t>
            </w:r>
          </w:p>
        </w:tc>
      </w:tr>
      <w:tr w:rsidR="00144D2F" w:rsidRPr="002F69B3" w14:paraId="66E20629" w14:textId="77777777" w:rsidTr="00DF18DB">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17856C1" w14:textId="77777777" w:rsidR="00144D2F" w:rsidRPr="002F69B3" w:rsidRDefault="00144D2F" w:rsidP="00144D2F">
            <w:pPr>
              <w:spacing w:line="240" w:lineRule="auto"/>
              <w:rPr>
                <w:rFonts w:eastAsia="Times New Roman"/>
                <w:color w:val="auto"/>
                <w:sz w:val="20"/>
                <w:szCs w:val="20"/>
                <w:lang w:eastAsia="pl-PL"/>
              </w:rPr>
            </w:pPr>
          </w:p>
        </w:tc>
        <w:tc>
          <w:tcPr>
            <w:tcW w:w="3066" w:type="dxa"/>
          </w:tcPr>
          <w:p w14:paraId="10A503CE" w14:textId="77777777" w:rsidR="00144D2F" w:rsidRPr="002F69B3" w:rsidRDefault="00144D2F" w:rsidP="00144D2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Mieszkania chronione ogółem</w:t>
            </w:r>
          </w:p>
        </w:tc>
        <w:tc>
          <w:tcPr>
            <w:tcW w:w="2948" w:type="dxa"/>
            <w:gridSpan w:val="2"/>
          </w:tcPr>
          <w:p w14:paraId="258FB993" w14:textId="6B921679"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15</w:t>
            </w:r>
          </w:p>
        </w:tc>
        <w:tc>
          <w:tcPr>
            <w:tcW w:w="2948" w:type="dxa"/>
            <w:gridSpan w:val="2"/>
          </w:tcPr>
          <w:p w14:paraId="15CEF7AC" w14:textId="4943B169"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148</w:t>
            </w:r>
          </w:p>
        </w:tc>
        <w:tc>
          <w:tcPr>
            <w:tcW w:w="2949" w:type="dxa"/>
          </w:tcPr>
          <w:p w14:paraId="40004EF6" w14:textId="40BF5824"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115</w:t>
            </w:r>
          </w:p>
        </w:tc>
      </w:tr>
      <w:tr w:rsidR="00144D2F" w:rsidRPr="002F69B3" w14:paraId="498BD3E7" w14:textId="77777777" w:rsidTr="00DF18D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8134816" w14:textId="77777777" w:rsidR="00144D2F" w:rsidRPr="002F69B3" w:rsidRDefault="00144D2F" w:rsidP="00144D2F">
            <w:pPr>
              <w:spacing w:line="240" w:lineRule="auto"/>
              <w:rPr>
                <w:rFonts w:eastAsia="Times New Roman"/>
                <w:color w:val="auto"/>
                <w:sz w:val="20"/>
                <w:szCs w:val="20"/>
                <w:lang w:eastAsia="pl-PL"/>
              </w:rPr>
            </w:pPr>
          </w:p>
        </w:tc>
        <w:tc>
          <w:tcPr>
            <w:tcW w:w="3066" w:type="dxa"/>
          </w:tcPr>
          <w:p w14:paraId="66C12AC3" w14:textId="77777777" w:rsidR="00144D2F" w:rsidRPr="002F69B3" w:rsidRDefault="00144D2F" w:rsidP="00144D2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Ośrodki Interwencji Kryzysowej ogółem</w:t>
            </w:r>
          </w:p>
        </w:tc>
        <w:tc>
          <w:tcPr>
            <w:tcW w:w="2948" w:type="dxa"/>
            <w:gridSpan w:val="2"/>
          </w:tcPr>
          <w:p w14:paraId="1B927294" w14:textId="6A85EC87"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6 (dla wszystkich)</w:t>
            </w:r>
          </w:p>
        </w:tc>
        <w:tc>
          <w:tcPr>
            <w:tcW w:w="2948" w:type="dxa"/>
            <w:gridSpan w:val="2"/>
          </w:tcPr>
          <w:p w14:paraId="5C425548" w14:textId="4D5986CF" w:rsidR="00144D2F" w:rsidRPr="002F69B3" w:rsidRDefault="002F69B3"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b.d.</w:t>
            </w:r>
          </w:p>
        </w:tc>
        <w:tc>
          <w:tcPr>
            <w:tcW w:w="2949" w:type="dxa"/>
          </w:tcPr>
          <w:p w14:paraId="77CE89DD" w14:textId="7CDDDF79" w:rsidR="00144D2F" w:rsidRPr="002F69B3" w:rsidRDefault="002F69B3"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b.d.</w:t>
            </w:r>
          </w:p>
        </w:tc>
      </w:tr>
      <w:tr w:rsidR="00144D2F" w:rsidRPr="002F69B3" w14:paraId="05135C20" w14:textId="77777777" w:rsidTr="00DF18DB">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44D1F0F" w14:textId="77777777" w:rsidR="00144D2F" w:rsidRPr="002F69B3" w:rsidRDefault="00144D2F" w:rsidP="00144D2F">
            <w:pPr>
              <w:spacing w:line="240" w:lineRule="auto"/>
              <w:rPr>
                <w:rFonts w:eastAsia="Times New Roman"/>
                <w:color w:val="auto"/>
                <w:sz w:val="20"/>
                <w:szCs w:val="20"/>
                <w:lang w:eastAsia="pl-PL"/>
              </w:rPr>
            </w:pPr>
          </w:p>
        </w:tc>
        <w:tc>
          <w:tcPr>
            <w:tcW w:w="3066" w:type="dxa"/>
          </w:tcPr>
          <w:p w14:paraId="6DAD49A1" w14:textId="77777777" w:rsidR="00144D2F" w:rsidRPr="002F69B3" w:rsidRDefault="00144D2F" w:rsidP="00144D2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Jednostki specjalistycznego poradnictwa</w:t>
            </w:r>
          </w:p>
        </w:tc>
        <w:tc>
          <w:tcPr>
            <w:tcW w:w="2948" w:type="dxa"/>
            <w:gridSpan w:val="2"/>
          </w:tcPr>
          <w:p w14:paraId="2BEE94C2" w14:textId="2A7DB863"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33 (dla wszystkich)</w:t>
            </w:r>
          </w:p>
        </w:tc>
        <w:tc>
          <w:tcPr>
            <w:tcW w:w="2948" w:type="dxa"/>
            <w:gridSpan w:val="2"/>
          </w:tcPr>
          <w:p w14:paraId="7ACDA646" w14:textId="4DC3029A" w:rsidR="00144D2F" w:rsidRPr="002F69B3" w:rsidRDefault="002F69B3"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b.d.</w:t>
            </w:r>
          </w:p>
        </w:tc>
        <w:tc>
          <w:tcPr>
            <w:tcW w:w="2949" w:type="dxa"/>
          </w:tcPr>
          <w:p w14:paraId="3E70B66D" w14:textId="68E59905" w:rsidR="00144D2F" w:rsidRPr="002F69B3" w:rsidRDefault="002F69B3"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b.d.</w:t>
            </w:r>
          </w:p>
        </w:tc>
      </w:tr>
      <w:tr w:rsidR="00144D2F" w:rsidRPr="002F69B3" w14:paraId="2B194601" w14:textId="77777777" w:rsidTr="00DF18DB">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1158BCE" w14:textId="77777777" w:rsidR="00144D2F" w:rsidRPr="002F69B3" w:rsidRDefault="00144D2F" w:rsidP="00403F40">
            <w:pPr>
              <w:spacing w:line="240" w:lineRule="auto"/>
              <w:rPr>
                <w:rFonts w:eastAsia="Times New Roman"/>
                <w:sz w:val="20"/>
                <w:szCs w:val="20"/>
                <w:lang w:eastAsia="pl-PL"/>
              </w:rPr>
            </w:pPr>
          </w:p>
        </w:tc>
        <w:tc>
          <w:tcPr>
            <w:tcW w:w="3066" w:type="dxa"/>
          </w:tcPr>
          <w:p w14:paraId="12A14038" w14:textId="40D60517" w:rsidR="00144D2F" w:rsidRPr="002F69B3" w:rsidRDefault="00144D2F" w:rsidP="00403F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Placówki wsparcia dziennego</w:t>
            </w:r>
          </w:p>
        </w:tc>
        <w:tc>
          <w:tcPr>
            <w:tcW w:w="2948" w:type="dxa"/>
            <w:gridSpan w:val="2"/>
          </w:tcPr>
          <w:p w14:paraId="4F296AC7" w14:textId="457CDBFE" w:rsidR="00144D2F" w:rsidRPr="002F69B3" w:rsidRDefault="00144D2F" w:rsidP="009B7D2E">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b.d.</w:t>
            </w:r>
          </w:p>
        </w:tc>
        <w:tc>
          <w:tcPr>
            <w:tcW w:w="2948" w:type="dxa"/>
            <w:gridSpan w:val="2"/>
          </w:tcPr>
          <w:p w14:paraId="02F2243F" w14:textId="2711B6A5" w:rsidR="00144D2F" w:rsidRPr="002F69B3" w:rsidRDefault="00144D2F" w:rsidP="009B7D2E">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b.d.</w:t>
            </w:r>
          </w:p>
        </w:tc>
        <w:tc>
          <w:tcPr>
            <w:tcW w:w="2949" w:type="dxa"/>
          </w:tcPr>
          <w:p w14:paraId="1E653119" w14:textId="18D42C95" w:rsidR="00144D2F" w:rsidRPr="002F69B3" w:rsidRDefault="00144D2F" w:rsidP="009B7D2E">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b.d.</w:t>
            </w:r>
          </w:p>
        </w:tc>
      </w:tr>
      <w:tr w:rsidR="00DF18DB" w:rsidRPr="002F69B3" w14:paraId="02637B76" w14:textId="77777777" w:rsidTr="00DF18DB">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2C1FA03" w14:textId="77777777" w:rsidR="00E260BE" w:rsidRPr="002F69B3" w:rsidRDefault="00E260BE" w:rsidP="00403F40">
            <w:pPr>
              <w:spacing w:line="240" w:lineRule="auto"/>
              <w:rPr>
                <w:rFonts w:eastAsia="Times New Roman"/>
                <w:color w:val="auto"/>
                <w:sz w:val="20"/>
                <w:szCs w:val="20"/>
                <w:lang w:eastAsia="pl-PL"/>
              </w:rPr>
            </w:pPr>
          </w:p>
        </w:tc>
        <w:tc>
          <w:tcPr>
            <w:tcW w:w="3066" w:type="dxa"/>
          </w:tcPr>
          <w:p w14:paraId="76A11C61" w14:textId="77777777" w:rsidR="00E260BE" w:rsidRPr="002F69B3" w:rsidRDefault="00E260BE" w:rsidP="00403F4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Placówki Senior+, w tym:</w:t>
            </w:r>
          </w:p>
        </w:tc>
        <w:tc>
          <w:tcPr>
            <w:tcW w:w="8845" w:type="dxa"/>
            <w:gridSpan w:val="5"/>
          </w:tcPr>
          <w:p w14:paraId="1DCAA688" w14:textId="77777777" w:rsidR="00E260BE" w:rsidRPr="002F69B3" w:rsidRDefault="00E260BE" w:rsidP="009B7D2E">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64E07" w:rsidRPr="002F69B3" w14:paraId="4663B13A" w14:textId="77777777" w:rsidTr="00064E07">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D841F5B" w14:textId="77777777" w:rsidR="00064E07" w:rsidRPr="002F69B3" w:rsidRDefault="00064E07" w:rsidP="00144D2F">
            <w:pPr>
              <w:spacing w:line="240" w:lineRule="auto"/>
              <w:rPr>
                <w:rFonts w:eastAsia="Times New Roman"/>
                <w:color w:val="auto"/>
                <w:sz w:val="20"/>
                <w:szCs w:val="20"/>
                <w:lang w:eastAsia="pl-PL"/>
              </w:rPr>
            </w:pPr>
          </w:p>
        </w:tc>
        <w:tc>
          <w:tcPr>
            <w:tcW w:w="3066" w:type="dxa"/>
          </w:tcPr>
          <w:p w14:paraId="10B3B676" w14:textId="77777777" w:rsidR="00064E07" w:rsidRPr="002F69B3" w:rsidRDefault="00064E07" w:rsidP="00144D2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Domy Dziennego Pobytu</w:t>
            </w:r>
          </w:p>
        </w:tc>
        <w:tc>
          <w:tcPr>
            <w:tcW w:w="2948" w:type="dxa"/>
            <w:gridSpan w:val="2"/>
          </w:tcPr>
          <w:p w14:paraId="596B9386" w14:textId="706482E5" w:rsidR="00064E07" w:rsidRPr="002F69B3" w:rsidRDefault="00064E07"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tc>
        <w:tc>
          <w:tcPr>
            <w:tcW w:w="2948" w:type="dxa"/>
            <w:gridSpan w:val="2"/>
          </w:tcPr>
          <w:p w14:paraId="0F076089" w14:textId="677C3C0E" w:rsidR="00064E07" w:rsidRPr="002F69B3" w:rsidRDefault="00064E07"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298</w:t>
            </w:r>
          </w:p>
        </w:tc>
        <w:tc>
          <w:tcPr>
            <w:tcW w:w="2949" w:type="dxa"/>
            <w:vMerge w:val="restart"/>
            <w:vAlign w:val="center"/>
          </w:tcPr>
          <w:p w14:paraId="290F2DFB" w14:textId="5C18C87C" w:rsidR="00064E07" w:rsidRPr="002F69B3" w:rsidRDefault="00064E07" w:rsidP="00064E07">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1 897</w:t>
            </w:r>
          </w:p>
        </w:tc>
      </w:tr>
      <w:tr w:rsidR="00064E07" w:rsidRPr="002F69B3" w14:paraId="6BFD59C1" w14:textId="77777777" w:rsidTr="00DF18DB">
        <w:trPr>
          <w:trHeight w:val="85"/>
        </w:trPr>
        <w:tc>
          <w:tcPr>
            <w:cnfStyle w:val="001000000000" w:firstRow="0" w:lastRow="0" w:firstColumn="1" w:lastColumn="0" w:oddVBand="0" w:evenVBand="0" w:oddHBand="0" w:evenHBand="0" w:firstRowFirstColumn="0" w:firstRowLastColumn="0" w:lastRowFirstColumn="0" w:lastRowLastColumn="0"/>
            <w:tcW w:w="2830" w:type="dxa"/>
            <w:vMerge/>
          </w:tcPr>
          <w:p w14:paraId="7992DD00" w14:textId="77777777" w:rsidR="00064E07" w:rsidRPr="002F69B3" w:rsidRDefault="00064E07" w:rsidP="00144D2F">
            <w:pPr>
              <w:spacing w:line="240" w:lineRule="auto"/>
              <w:rPr>
                <w:rFonts w:eastAsia="Times New Roman"/>
                <w:color w:val="auto"/>
                <w:sz w:val="20"/>
                <w:szCs w:val="20"/>
                <w:lang w:eastAsia="pl-PL"/>
              </w:rPr>
            </w:pPr>
          </w:p>
        </w:tc>
        <w:tc>
          <w:tcPr>
            <w:tcW w:w="3066" w:type="dxa"/>
          </w:tcPr>
          <w:p w14:paraId="12354E86" w14:textId="77777777" w:rsidR="00064E07" w:rsidRPr="002F69B3" w:rsidRDefault="00064E07" w:rsidP="00144D2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Kluby Senior+</w:t>
            </w:r>
          </w:p>
        </w:tc>
        <w:tc>
          <w:tcPr>
            <w:tcW w:w="2948" w:type="dxa"/>
            <w:gridSpan w:val="2"/>
          </w:tcPr>
          <w:p w14:paraId="22123888" w14:textId="4F070CEA" w:rsidR="00064E07" w:rsidRPr="002F69B3" w:rsidRDefault="00064E07"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w:t>
            </w:r>
          </w:p>
        </w:tc>
        <w:tc>
          <w:tcPr>
            <w:tcW w:w="2948" w:type="dxa"/>
            <w:gridSpan w:val="2"/>
          </w:tcPr>
          <w:p w14:paraId="300F88AF" w14:textId="1BA9BF90" w:rsidR="00064E07" w:rsidRPr="002F69B3" w:rsidRDefault="00064E07"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896</w:t>
            </w:r>
          </w:p>
        </w:tc>
        <w:tc>
          <w:tcPr>
            <w:tcW w:w="2949" w:type="dxa"/>
            <w:vMerge/>
          </w:tcPr>
          <w:p w14:paraId="5EFB5BCB" w14:textId="0B7E0F51" w:rsidR="00064E07" w:rsidRPr="002F69B3" w:rsidRDefault="00064E07"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F18DB" w:rsidRPr="002F69B3" w14:paraId="617C2C81" w14:textId="77777777" w:rsidTr="00DF18DB">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1A9FF177" w14:textId="77777777" w:rsidR="00E260BE" w:rsidRPr="002F69B3" w:rsidRDefault="00E260BE" w:rsidP="00403F40">
            <w:pPr>
              <w:spacing w:line="240" w:lineRule="auto"/>
              <w:rPr>
                <w:rFonts w:eastAsia="Times New Roman"/>
                <w:b w:val="0"/>
                <w:bCs w:val="0"/>
                <w:color w:val="auto"/>
                <w:sz w:val="20"/>
                <w:szCs w:val="20"/>
                <w:lang w:eastAsia="pl-PL"/>
              </w:rPr>
            </w:pPr>
            <w:r w:rsidRPr="002F69B3">
              <w:rPr>
                <w:rFonts w:eastAsia="Times New Roman"/>
                <w:color w:val="auto"/>
                <w:sz w:val="20"/>
                <w:szCs w:val="20"/>
                <w:lang w:eastAsia="pl-PL"/>
              </w:rPr>
              <w:t>Usługi świadczone osobom starszym</w:t>
            </w:r>
          </w:p>
        </w:tc>
        <w:tc>
          <w:tcPr>
            <w:tcW w:w="3119" w:type="dxa"/>
            <w:gridSpan w:val="2"/>
          </w:tcPr>
          <w:p w14:paraId="04FF1A48" w14:textId="77777777" w:rsidR="00E260BE" w:rsidRPr="002F69B3" w:rsidRDefault="00E260BE" w:rsidP="009B7D2E">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2F69B3">
              <w:rPr>
                <w:b/>
                <w:sz w:val="20"/>
                <w:szCs w:val="20"/>
              </w:rPr>
              <w:t>Rodzaj usług</w:t>
            </w:r>
          </w:p>
        </w:tc>
        <w:tc>
          <w:tcPr>
            <w:tcW w:w="3685" w:type="dxa"/>
            <w:gridSpan w:val="2"/>
          </w:tcPr>
          <w:p w14:paraId="499FEA89" w14:textId="77777777" w:rsidR="00E260BE" w:rsidRPr="002F69B3" w:rsidRDefault="00E260BE" w:rsidP="009B7D2E">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2F69B3">
              <w:rPr>
                <w:b/>
                <w:sz w:val="20"/>
                <w:szCs w:val="20"/>
              </w:rPr>
              <w:t>Liczba osób starszych objętych pomocą</w:t>
            </w:r>
          </w:p>
        </w:tc>
        <w:tc>
          <w:tcPr>
            <w:tcW w:w="5107" w:type="dxa"/>
            <w:gridSpan w:val="2"/>
          </w:tcPr>
          <w:p w14:paraId="16F57452" w14:textId="77777777" w:rsidR="00E260BE" w:rsidRPr="002F69B3" w:rsidRDefault="00E260BE" w:rsidP="009B7D2E">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2F69B3">
              <w:rPr>
                <w:b/>
                <w:sz w:val="20"/>
                <w:szCs w:val="20"/>
              </w:rPr>
              <w:t>Wysokość środków przeznaczonych na usługi</w:t>
            </w:r>
          </w:p>
        </w:tc>
      </w:tr>
      <w:tr w:rsidR="00144D2F" w:rsidRPr="002F69B3" w14:paraId="001E4ED2" w14:textId="77777777" w:rsidTr="00DF18DB">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73C42BF9" w14:textId="77777777" w:rsidR="00144D2F" w:rsidRPr="002F69B3" w:rsidRDefault="00144D2F" w:rsidP="00144D2F">
            <w:pPr>
              <w:spacing w:line="240" w:lineRule="auto"/>
              <w:rPr>
                <w:rFonts w:eastAsia="Times New Roman"/>
                <w:b w:val="0"/>
                <w:bCs w:val="0"/>
                <w:color w:val="auto"/>
                <w:sz w:val="20"/>
                <w:szCs w:val="20"/>
                <w:lang w:eastAsia="pl-PL"/>
              </w:rPr>
            </w:pPr>
          </w:p>
        </w:tc>
        <w:tc>
          <w:tcPr>
            <w:tcW w:w="3119" w:type="dxa"/>
            <w:gridSpan w:val="2"/>
          </w:tcPr>
          <w:p w14:paraId="47D7EADD" w14:textId="77777777" w:rsidR="00144D2F" w:rsidRPr="002F69B3" w:rsidRDefault="00144D2F" w:rsidP="00144D2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Usługi opiekuńcze ogółem</w:t>
            </w:r>
          </w:p>
        </w:tc>
        <w:tc>
          <w:tcPr>
            <w:tcW w:w="3685" w:type="dxa"/>
            <w:gridSpan w:val="2"/>
          </w:tcPr>
          <w:p w14:paraId="415A006B" w14:textId="1EBC406E"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3 350</w:t>
            </w:r>
          </w:p>
        </w:tc>
        <w:tc>
          <w:tcPr>
            <w:tcW w:w="5107" w:type="dxa"/>
            <w:gridSpan w:val="2"/>
          </w:tcPr>
          <w:p w14:paraId="34CEE46F" w14:textId="0F602506"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36 594 943,95</w:t>
            </w:r>
            <w:r w:rsidR="002F69B3" w:rsidRPr="002F69B3">
              <w:rPr>
                <w:sz w:val="20"/>
                <w:szCs w:val="20"/>
              </w:rPr>
              <w:t xml:space="preserve"> zł</w:t>
            </w:r>
          </w:p>
        </w:tc>
      </w:tr>
      <w:tr w:rsidR="00DF18DB" w:rsidRPr="002F69B3" w14:paraId="54A60728" w14:textId="77777777" w:rsidTr="00DF18DB">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25C26F42" w14:textId="77777777" w:rsidR="009B7D2E" w:rsidRPr="002F69B3" w:rsidRDefault="009B7D2E" w:rsidP="00403F40">
            <w:pPr>
              <w:spacing w:line="240" w:lineRule="auto"/>
              <w:rPr>
                <w:rFonts w:eastAsia="Times New Roman"/>
                <w:b w:val="0"/>
                <w:bCs w:val="0"/>
                <w:color w:val="auto"/>
                <w:sz w:val="20"/>
                <w:szCs w:val="20"/>
                <w:lang w:eastAsia="pl-PL"/>
              </w:rPr>
            </w:pPr>
          </w:p>
        </w:tc>
        <w:tc>
          <w:tcPr>
            <w:tcW w:w="11911" w:type="dxa"/>
            <w:gridSpan w:val="6"/>
          </w:tcPr>
          <w:p w14:paraId="2F330DD2" w14:textId="77777777" w:rsidR="009B7D2E" w:rsidRPr="002F69B3" w:rsidRDefault="009B7D2E" w:rsidP="00403F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w tym:</w:t>
            </w:r>
          </w:p>
        </w:tc>
      </w:tr>
      <w:tr w:rsidR="00144D2F" w:rsidRPr="002F69B3" w14:paraId="213BC9B3" w14:textId="77777777" w:rsidTr="00DF18DB">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006D6985" w14:textId="77777777" w:rsidR="00144D2F" w:rsidRPr="002F69B3" w:rsidRDefault="00144D2F" w:rsidP="00144D2F">
            <w:pPr>
              <w:spacing w:line="240" w:lineRule="auto"/>
              <w:rPr>
                <w:rFonts w:eastAsia="Times New Roman"/>
                <w:b w:val="0"/>
                <w:bCs w:val="0"/>
                <w:color w:val="auto"/>
                <w:sz w:val="20"/>
                <w:szCs w:val="20"/>
                <w:lang w:eastAsia="pl-PL"/>
              </w:rPr>
            </w:pPr>
          </w:p>
        </w:tc>
        <w:tc>
          <w:tcPr>
            <w:tcW w:w="3119" w:type="dxa"/>
            <w:gridSpan w:val="2"/>
          </w:tcPr>
          <w:p w14:paraId="0075BA95" w14:textId="77777777" w:rsidR="00144D2F" w:rsidRPr="002F69B3" w:rsidRDefault="00144D2F" w:rsidP="00144D2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specjalistyczne usługi opiekuńcze</w:t>
            </w:r>
          </w:p>
        </w:tc>
        <w:tc>
          <w:tcPr>
            <w:tcW w:w="3685" w:type="dxa"/>
            <w:gridSpan w:val="2"/>
          </w:tcPr>
          <w:p w14:paraId="3F83A080" w14:textId="66E16376"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197</w:t>
            </w:r>
          </w:p>
        </w:tc>
        <w:tc>
          <w:tcPr>
            <w:tcW w:w="5107" w:type="dxa"/>
            <w:gridSpan w:val="2"/>
          </w:tcPr>
          <w:p w14:paraId="37B12095" w14:textId="6B59457E"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1 353 927,51</w:t>
            </w:r>
            <w:r w:rsidR="002F69B3" w:rsidRPr="002F69B3">
              <w:rPr>
                <w:sz w:val="20"/>
                <w:szCs w:val="20"/>
              </w:rPr>
              <w:t xml:space="preserve"> zł</w:t>
            </w:r>
          </w:p>
        </w:tc>
      </w:tr>
      <w:tr w:rsidR="00144D2F" w:rsidRPr="002F69B3" w14:paraId="64C6DDEE" w14:textId="77777777" w:rsidTr="00DF18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0" w:type="dxa"/>
            <w:vMerge/>
          </w:tcPr>
          <w:p w14:paraId="0DB59C24" w14:textId="77777777" w:rsidR="00144D2F" w:rsidRPr="002F69B3" w:rsidRDefault="00144D2F" w:rsidP="00144D2F">
            <w:pPr>
              <w:spacing w:line="240" w:lineRule="auto"/>
              <w:rPr>
                <w:rFonts w:eastAsia="Times New Roman"/>
                <w:b w:val="0"/>
                <w:bCs w:val="0"/>
                <w:color w:val="auto"/>
                <w:sz w:val="20"/>
                <w:szCs w:val="20"/>
                <w:lang w:eastAsia="pl-PL"/>
              </w:rPr>
            </w:pPr>
          </w:p>
        </w:tc>
        <w:tc>
          <w:tcPr>
            <w:tcW w:w="3119" w:type="dxa"/>
            <w:gridSpan w:val="2"/>
          </w:tcPr>
          <w:p w14:paraId="0B33C8D4" w14:textId="77777777" w:rsidR="00144D2F" w:rsidRPr="002F69B3" w:rsidRDefault="00144D2F" w:rsidP="00144D2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specjalistyczne usługi opiekuńcze w miejscu zamieszkania dla osób z zaburzeniami psychicznymi</w:t>
            </w:r>
          </w:p>
        </w:tc>
        <w:tc>
          <w:tcPr>
            <w:tcW w:w="3685" w:type="dxa"/>
            <w:gridSpan w:val="2"/>
          </w:tcPr>
          <w:p w14:paraId="5CAC25E3" w14:textId="3D6FF56B"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510</w:t>
            </w:r>
          </w:p>
        </w:tc>
        <w:tc>
          <w:tcPr>
            <w:tcW w:w="5107" w:type="dxa"/>
            <w:gridSpan w:val="2"/>
          </w:tcPr>
          <w:p w14:paraId="53364A22" w14:textId="01319CE0"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4 087 475,76</w:t>
            </w:r>
            <w:r w:rsidR="002F69B3" w:rsidRPr="002F69B3">
              <w:rPr>
                <w:sz w:val="20"/>
                <w:szCs w:val="20"/>
              </w:rPr>
              <w:t xml:space="preserve"> zł</w:t>
            </w:r>
          </w:p>
        </w:tc>
      </w:tr>
      <w:tr w:rsidR="00DF18DB" w:rsidRPr="002F69B3" w14:paraId="1B7E5C35" w14:textId="77777777" w:rsidTr="00DF18DB">
        <w:trPr>
          <w:trHeight w:val="19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3C3CDCA9" w14:textId="77777777" w:rsidR="00E260BE" w:rsidRPr="002F69B3" w:rsidRDefault="00E260BE" w:rsidP="00403F40">
            <w:pPr>
              <w:spacing w:line="240" w:lineRule="auto"/>
              <w:rPr>
                <w:rFonts w:eastAsia="Times New Roman"/>
                <w:b w:val="0"/>
                <w:bCs w:val="0"/>
                <w:color w:val="auto"/>
                <w:sz w:val="20"/>
                <w:szCs w:val="20"/>
                <w:lang w:eastAsia="pl-PL"/>
              </w:rPr>
            </w:pPr>
            <w:r w:rsidRPr="002F69B3">
              <w:rPr>
                <w:rFonts w:eastAsia="Times New Roman"/>
                <w:color w:val="auto"/>
                <w:sz w:val="20"/>
                <w:szCs w:val="20"/>
                <w:lang w:eastAsia="pl-PL"/>
              </w:rPr>
              <w:t>Świadczenia pieniężne przyznane osobom starszym</w:t>
            </w:r>
          </w:p>
        </w:tc>
        <w:tc>
          <w:tcPr>
            <w:tcW w:w="3119" w:type="dxa"/>
            <w:gridSpan w:val="2"/>
          </w:tcPr>
          <w:p w14:paraId="05EA1A23" w14:textId="77777777" w:rsidR="00E260BE" w:rsidRPr="002F69B3" w:rsidRDefault="00E260BE" w:rsidP="009B7D2E">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2F69B3">
              <w:rPr>
                <w:b/>
                <w:sz w:val="20"/>
                <w:szCs w:val="20"/>
              </w:rPr>
              <w:t>Nazwa świadczenia</w:t>
            </w:r>
          </w:p>
        </w:tc>
        <w:tc>
          <w:tcPr>
            <w:tcW w:w="3685" w:type="dxa"/>
            <w:gridSpan w:val="2"/>
          </w:tcPr>
          <w:p w14:paraId="00F962EC" w14:textId="77777777" w:rsidR="00E260BE" w:rsidRPr="002F69B3" w:rsidRDefault="00E260BE" w:rsidP="009B7D2E">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2F69B3">
              <w:rPr>
                <w:b/>
                <w:sz w:val="20"/>
                <w:szCs w:val="20"/>
              </w:rPr>
              <w:t>Liczba osób starszych</w:t>
            </w:r>
          </w:p>
        </w:tc>
        <w:tc>
          <w:tcPr>
            <w:tcW w:w="5107" w:type="dxa"/>
            <w:gridSpan w:val="2"/>
          </w:tcPr>
          <w:p w14:paraId="7A549FAB" w14:textId="77777777" w:rsidR="00E260BE" w:rsidRPr="002F69B3" w:rsidRDefault="00E260BE" w:rsidP="009B7D2E">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2F69B3">
              <w:rPr>
                <w:b/>
                <w:sz w:val="20"/>
                <w:szCs w:val="20"/>
              </w:rPr>
              <w:t>Kwota świadczenia</w:t>
            </w:r>
          </w:p>
        </w:tc>
      </w:tr>
      <w:tr w:rsidR="00144D2F" w:rsidRPr="002F69B3" w14:paraId="568797B5" w14:textId="77777777" w:rsidTr="00DF18DB">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59A430A6" w14:textId="77777777" w:rsidR="00144D2F" w:rsidRPr="002F69B3" w:rsidRDefault="00144D2F" w:rsidP="00144D2F">
            <w:pPr>
              <w:spacing w:line="240" w:lineRule="auto"/>
              <w:rPr>
                <w:rFonts w:eastAsia="Times New Roman"/>
                <w:b w:val="0"/>
                <w:bCs w:val="0"/>
                <w:color w:val="auto"/>
                <w:sz w:val="20"/>
                <w:szCs w:val="20"/>
                <w:lang w:eastAsia="pl-PL"/>
              </w:rPr>
            </w:pPr>
          </w:p>
        </w:tc>
        <w:tc>
          <w:tcPr>
            <w:tcW w:w="3119" w:type="dxa"/>
            <w:gridSpan w:val="2"/>
          </w:tcPr>
          <w:p w14:paraId="0AEB3084" w14:textId="77777777" w:rsidR="00144D2F" w:rsidRPr="002F69B3" w:rsidRDefault="00144D2F" w:rsidP="00144D2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Zasiłek stały</w:t>
            </w:r>
          </w:p>
        </w:tc>
        <w:tc>
          <w:tcPr>
            <w:tcW w:w="3685" w:type="dxa"/>
            <w:gridSpan w:val="2"/>
          </w:tcPr>
          <w:p w14:paraId="7BB0F41E" w14:textId="10784335"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2 810</w:t>
            </w:r>
          </w:p>
        </w:tc>
        <w:tc>
          <w:tcPr>
            <w:tcW w:w="5107" w:type="dxa"/>
            <w:gridSpan w:val="2"/>
          </w:tcPr>
          <w:p w14:paraId="4E921DA1" w14:textId="213BC869"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15 000 642,67</w:t>
            </w:r>
            <w:r w:rsidR="002F69B3" w:rsidRPr="002F69B3">
              <w:rPr>
                <w:sz w:val="20"/>
                <w:szCs w:val="20"/>
              </w:rPr>
              <w:t xml:space="preserve"> zł</w:t>
            </w:r>
          </w:p>
        </w:tc>
      </w:tr>
      <w:tr w:rsidR="00144D2F" w:rsidRPr="002F69B3" w14:paraId="01015054" w14:textId="77777777" w:rsidTr="00DF18DB">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2AD3DC03" w14:textId="77777777" w:rsidR="00144D2F" w:rsidRPr="002F69B3" w:rsidRDefault="00144D2F" w:rsidP="00144D2F">
            <w:pPr>
              <w:spacing w:line="240" w:lineRule="auto"/>
              <w:rPr>
                <w:rFonts w:eastAsia="Times New Roman"/>
                <w:b w:val="0"/>
                <w:bCs w:val="0"/>
                <w:color w:val="auto"/>
                <w:sz w:val="20"/>
                <w:szCs w:val="20"/>
                <w:lang w:eastAsia="pl-PL"/>
              </w:rPr>
            </w:pPr>
          </w:p>
        </w:tc>
        <w:tc>
          <w:tcPr>
            <w:tcW w:w="3119" w:type="dxa"/>
            <w:gridSpan w:val="2"/>
          </w:tcPr>
          <w:p w14:paraId="1CAC3017" w14:textId="77777777" w:rsidR="00144D2F" w:rsidRPr="002F69B3" w:rsidRDefault="00144D2F" w:rsidP="00144D2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Zasiłek okresowy</w:t>
            </w:r>
          </w:p>
        </w:tc>
        <w:tc>
          <w:tcPr>
            <w:tcW w:w="3685" w:type="dxa"/>
            <w:gridSpan w:val="2"/>
          </w:tcPr>
          <w:p w14:paraId="14BDA365" w14:textId="7DEAA129"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902</w:t>
            </w:r>
          </w:p>
        </w:tc>
        <w:tc>
          <w:tcPr>
            <w:tcW w:w="5107" w:type="dxa"/>
            <w:gridSpan w:val="2"/>
          </w:tcPr>
          <w:p w14:paraId="4A3226A4" w14:textId="6D2092E9"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1 582 120,80</w:t>
            </w:r>
            <w:r w:rsidR="002F69B3" w:rsidRPr="002F69B3">
              <w:rPr>
                <w:sz w:val="20"/>
                <w:szCs w:val="20"/>
              </w:rPr>
              <w:t xml:space="preserve"> zł</w:t>
            </w:r>
          </w:p>
        </w:tc>
      </w:tr>
      <w:tr w:rsidR="00144D2F" w:rsidRPr="002F69B3" w14:paraId="4787F424" w14:textId="77777777" w:rsidTr="00DF18DB">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2A734576" w14:textId="77777777" w:rsidR="00144D2F" w:rsidRPr="002F69B3" w:rsidRDefault="00144D2F" w:rsidP="00144D2F">
            <w:pPr>
              <w:spacing w:line="240" w:lineRule="auto"/>
              <w:rPr>
                <w:rFonts w:eastAsia="Times New Roman"/>
                <w:b w:val="0"/>
                <w:bCs w:val="0"/>
                <w:color w:val="auto"/>
                <w:sz w:val="20"/>
                <w:szCs w:val="20"/>
                <w:lang w:eastAsia="pl-PL"/>
              </w:rPr>
            </w:pPr>
          </w:p>
        </w:tc>
        <w:tc>
          <w:tcPr>
            <w:tcW w:w="3119" w:type="dxa"/>
            <w:gridSpan w:val="2"/>
          </w:tcPr>
          <w:p w14:paraId="233C9A62" w14:textId="77777777" w:rsidR="00144D2F" w:rsidRPr="002F69B3" w:rsidRDefault="00144D2F" w:rsidP="00144D2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Zasiłek celowy</w:t>
            </w:r>
          </w:p>
        </w:tc>
        <w:tc>
          <w:tcPr>
            <w:tcW w:w="3685" w:type="dxa"/>
            <w:gridSpan w:val="2"/>
          </w:tcPr>
          <w:p w14:paraId="66FB70C3" w14:textId="119CDB43"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2109</w:t>
            </w:r>
          </w:p>
        </w:tc>
        <w:tc>
          <w:tcPr>
            <w:tcW w:w="5107" w:type="dxa"/>
            <w:gridSpan w:val="2"/>
          </w:tcPr>
          <w:p w14:paraId="5721D227" w14:textId="26E6FF23" w:rsidR="00144D2F" w:rsidRPr="002F69B3" w:rsidRDefault="00144D2F" w:rsidP="00144D2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2F69B3">
              <w:rPr>
                <w:sz w:val="20"/>
                <w:szCs w:val="20"/>
              </w:rPr>
              <w:t>1 485 621,87</w:t>
            </w:r>
            <w:r w:rsidR="002F69B3" w:rsidRPr="002F69B3">
              <w:rPr>
                <w:sz w:val="20"/>
                <w:szCs w:val="20"/>
              </w:rPr>
              <w:t xml:space="preserve"> zł</w:t>
            </w:r>
          </w:p>
        </w:tc>
      </w:tr>
      <w:tr w:rsidR="00144D2F" w:rsidRPr="002F69B3" w14:paraId="0CBC49D5" w14:textId="77777777" w:rsidTr="00DF18DB">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45ADD7FA" w14:textId="77777777" w:rsidR="00144D2F" w:rsidRPr="002F69B3" w:rsidRDefault="00144D2F" w:rsidP="00144D2F">
            <w:pPr>
              <w:spacing w:line="240" w:lineRule="auto"/>
              <w:rPr>
                <w:rFonts w:eastAsia="Times New Roman"/>
                <w:b w:val="0"/>
                <w:bCs w:val="0"/>
                <w:color w:val="auto"/>
                <w:sz w:val="20"/>
                <w:szCs w:val="20"/>
                <w:lang w:eastAsia="pl-PL"/>
              </w:rPr>
            </w:pPr>
          </w:p>
        </w:tc>
        <w:tc>
          <w:tcPr>
            <w:tcW w:w="3119" w:type="dxa"/>
            <w:gridSpan w:val="2"/>
          </w:tcPr>
          <w:p w14:paraId="394375ED" w14:textId="77777777" w:rsidR="00144D2F" w:rsidRPr="002F69B3" w:rsidRDefault="00144D2F" w:rsidP="00144D2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Specjalny zasiłek celowy</w:t>
            </w:r>
          </w:p>
        </w:tc>
        <w:tc>
          <w:tcPr>
            <w:tcW w:w="3685" w:type="dxa"/>
            <w:gridSpan w:val="2"/>
          </w:tcPr>
          <w:p w14:paraId="6C0FD259" w14:textId="2998793C"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1 974</w:t>
            </w:r>
          </w:p>
        </w:tc>
        <w:tc>
          <w:tcPr>
            <w:tcW w:w="5107" w:type="dxa"/>
            <w:gridSpan w:val="2"/>
          </w:tcPr>
          <w:p w14:paraId="36058496" w14:textId="663012C4" w:rsidR="00144D2F" w:rsidRPr="002F69B3" w:rsidRDefault="00144D2F" w:rsidP="00144D2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1 044 129,99</w:t>
            </w:r>
            <w:r w:rsidR="002F69B3" w:rsidRPr="002F69B3">
              <w:rPr>
                <w:sz w:val="20"/>
                <w:szCs w:val="20"/>
              </w:rPr>
              <w:t xml:space="preserve"> zł</w:t>
            </w:r>
          </w:p>
        </w:tc>
      </w:tr>
      <w:tr w:rsidR="00DF18DB" w:rsidRPr="002F69B3" w14:paraId="0A625152" w14:textId="77777777" w:rsidTr="00DF18DB">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2E6933F7" w14:textId="77777777" w:rsidR="00E260BE" w:rsidRPr="002F69B3" w:rsidRDefault="00E260BE" w:rsidP="00403F40">
            <w:pPr>
              <w:spacing w:line="240" w:lineRule="auto"/>
              <w:rPr>
                <w:b w:val="0"/>
                <w:color w:val="auto"/>
                <w:sz w:val="20"/>
                <w:szCs w:val="20"/>
                <w:lang w:eastAsia="pl-PL"/>
              </w:rPr>
            </w:pPr>
            <w:r w:rsidRPr="002F69B3">
              <w:rPr>
                <w:color w:val="auto"/>
                <w:sz w:val="20"/>
                <w:szCs w:val="20"/>
                <w:lang w:eastAsia="pl-PL"/>
              </w:rPr>
              <w:t>Największe problemy/niedogodności w świadczeniu opieki nad osobami starszymi (np. zasoby kadrowe, rzeczowe, finansowe itp.)</w:t>
            </w:r>
          </w:p>
        </w:tc>
        <w:tc>
          <w:tcPr>
            <w:tcW w:w="11911" w:type="dxa"/>
            <w:gridSpan w:val="6"/>
          </w:tcPr>
          <w:p w14:paraId="14FB5E6E" w14:textId="4C42E14B" w:rsidR="00E260BE" w:rsidRPr="002F69B3" w:rsidRDefault="00E260BE" w:rsidP="00403F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69B3">
              <w:rPr>
                <w:b/>
                <w:sz w:val="20"/>
                <w:szCs w:val="20"/>
              </w:rPr>
              <w:t>1.</w:t>
            </w:r>
            <w:r w:rsidR="00DF18DB" w:rsidRPr="002F69B3">
              <w:rPr>
                <w:rFonts w:eastAsia="Times New Roman"/>
                <w:sz w:val="20"/>
                <w:szCs w:val="20"/>
                <w:lang w:eastAsia="pl-PL"/>
              </w:rPr>
              <w:t xml:space="preserve"> Ograniczone środki finansowe na zabezpieczenie opieki dla osób samotnych starszych i niepełnosprawnych przebywających we </w:t>
            </w:r>
            <w:r w:rsidR="00DF18DB" w:rsidRPr="002F69B3">
              <w:rPr>
                <w:sz w:val="20"/>
                <w:szCs w:val="20"/>
              </w:rPr>
              <w:t xml:space="preserve"> </w:t>
            </w:r>
            <w:r w:rsidR="00DF18DB" w:rsidRPr="002F69B3">
              <w:rPr>
                <w:rFonts w:eastAsia="Times New Roman"/>
                <w:sz w:val="20"/>
                <w:szCs w:val="20"/>
                <w:lang w:eastAsia="pl-PL"/>
              </w:rPr>
              <w:t>własnych domach, zwłaszcza specjalistycznych usług opiekuńczych.</w:t>
            </w:r>
          </w:p>
        </w:tc>
      </w:tr>
      <w:tr w:rsidR="00DF18DB" w:rsidRPr="002F69B3" w14:paraId="52C32BC9" w14:textId="77777777" w:rsidTr="00DF18DB">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78D66278" w14:textId="77777777" w:rsidR="00E260BE" w:rsidRPr="002F69B3" w:rsidRDefault="00E260BE" w:rsidP="00403F40">
            <w:pPr>
              <w:spacing w:line="240" w:lineRule="auto"/>
              <w:rPr>
                <w:color w:val="auto"/>
                <w:sz w:val="20"/>
                <w:szCs w:val="20"/>
                <w:lang w:eastAsia="pl-PL"/>
              </w:rPr>
            </w:pPr>
          </w:p>
        </w:tc>
        <w:tc>
          <w:tcPr>
            <w:tcW w:w="11911" w:type="dxa"/>
            <w:gridSpan w:val="6"/>
          </w:tcPr>
          <w:p w14:paraId="538C91D3" w14:textId="07D17122" w:rsidR="00E260BE" w:rsidRPr="002F69B3" w:rsidRDefault="00DC6520" w:rsidP="00403F4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69B3">
              <w:rPr>
                <w:b/>
                <w:sz w:val="20"/>
                <w:szCs w:val="20"/>
              </w:rPr>
              <w:t>2.</w:t>
            </w:r>
            <w:r w:rsidR="00DF18DB" w:rsidRPr="002F69B3">
              <w:rPr>
                <w:sz w:val="20"/>
                <w:szCs w:val="20"/>
              </w:rPr>
              <w:t xml:space="preserve"> Brak odpowiednio przeszkolonej kadry (brak osób z wykształceniem w zawodzie asystent osoby niepełnosprawnej) i brak chętnych do świadczenia usług.</w:t>
            </w:r>
          </w:p>
        </w:tc>
      </w:tr>
      <w:tr w:rsidR="00DF18DB" w:rsidRPr="002F69B3" w14:paraId="4D2BB818" w14:textId="77777777" w:rsidTr="00DF18D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24739995" w14:textId="77777777" w:rsidR="00E260BE" w:rsidRPr="002F69B3" w:rsidRDefault="00E260BE" w:rsidP="00403F40">
            <w:pPr>
              <w:spacing w:line="240" w:lineRule="auto"/>
              <w:rPr>
                <w:color w:val="auto"/>
                <w:sz w:val="20"/>
                <w:szCs w:val="20"/>
                <w:lang w:eastAsia="pl-PL"/>
              </w:rPr>
            </w:pPr>
          </w:p>
        </w:tc>
        <w:tc>
          <w:tcPr>
            <w:tcW w:w="11911" w:type="dxa"/>
            <w:gridSpan w:val="6"/>
          </w:tcPr>
          <w:p w14:paraId="01D7C1A0" w14:textId="71789ED5" w:rsidR="00E260BE" w:rsidRPr="002F69B3" w:rsidRDefault="00E900E1" w:rsidP="00403F4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69B3">
              <w:rPr>
                <w:b/>
                <w:sz w:val="20"/>
                <w:szCs w:val="20"/>
              </w:rPr>
              <w:t>3.</w:t>
            </w:r>
            <w:r w:rsidRPr="002F69B3">
              <w:rPr>
                <w:sz w:val="20"/>
                <w:szCs w:val="20"/>
              </w:rPr>
              <w:t xml:space="preserve"> </w:t>
            </w:r>
            <w:r w:rsidR="00DF18DB" w:rsidRPr="002F69B3">
              <w:rPr>
                <w:sz w:val="20"/>
                <w:szCs w:val="20"/>
              </w:rPr>
              <w:t>Trudności z dojazdem szczególnie do małych miejscowości na terenach wiejskich.</w:t>
            </w:r>
          </w:p>
        </w:tc>
      </w:tr>
      <w:tr w:rsidR="00DF18DB" w:rsidRPr="002F69B3" w14:paraId="180F96D3" w14:textId="77777777" w:rsidTr="00DF18DB">
        <w:trPr>
          <w:trHeight w:val="442"/>
        </w:trPr>
        <w:tc>
          <w:tcPr>
            <w:cnfStyle w:val="001000000000" w:firstRow="0" w:lastRow="0" w:firstColumn="1" w:lastColumn="0" w:oddVBand="0" w:evenVBand="0" w:oddHBand="0" w:evenHBand="0" w:firstRowFirstColumn="0" w:firstRowLastColumn="0" w:lastRowFirstColumn="0" w:lastRowLastColumn="0"/>
            <w:tcW w:w="2830" w:type="dxa"/>
          </w:tcPr>
          <w:p w14:paraId="21424791" w14:textId="77777777" w:rsidR="00E260BE" w:rsidRPr="002F69B3" w:rsidRDefault="00E260BE" w:rsidP="00403F40">
            <w:pPr>
              <w:spacing w:line="240" w:lineRule="auto"/>
              <w:rPr>
                <w:color w:val="auto"/>
                <w:sz w:val="20"/>
                <w:szCs w:val="20"/>
                <w:lang w:eastAsia="pl-PL"/>
              </w:rPr>
            </w:pPr>
            <w:r w:rsidRPr="002F69B3">
              <w:rPr>
                <w:color w:val="auto"/>
                <w:sz w:val="20"/>
                <w:szCs w:val="20"/>
                <w:lang w:eastAsia="pl-PL"/>
              </w:rPr>
              <w:t>Stopień zaspokojenia potrzeb w zakresie usług opiekuńczych</w:t>
            </w:r>
          </w:p>
        </w:tc>
        <w:tc>
          <w:tcPr>
            <w:tcW w:w="11911" w:type="dxa"/>
            <w:gridSpan w:val="6"/>
          </w:tcPr>
          <w:p w14:paraId="06C03DCD" w14:textId="1CF056E3" w:rsidR="00E260BE" w:rsidRPr="002F69B3" w:rsidRDefault="00DF18DB" w:rsidP="00403F4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69B3">
              <w:rPr>
                <w:sz w:val="20"/>
                <w:szCs w:val="20"/>
              </w:rPr>
              <w:t>Z informacji przekazanej przez ośrodki pomocy społecznej wynika, że usługi opiekuńcze są zaspakajane. W mniejszych gminach dużą pomocą są usługi świadczone w ramach programu „Opieka 75+”.W 2020</w:t>
            </w:r>
            <w:r w:rsidR="0047037D">
              <w:rPr>
                <w:sz w:val="20"/>
                <w:szCs w:val="20"/>
              </w:rPr>
              <w:t xml:space="preserve"> r.</w:t>
            </w:r>
            <w:r w:rsidRPr="002F69B3">
              <w:rPr>
                <w:sz w:val="20"/>
                <w:szCs w:val="20"/>
              </w:rPr>
              <w:t xml:space="preserve"> nie wydano decyzji odmawiającej tej formy wsparcia. Tylko jedna gmina zgłosiła, że ze względu na brak kadry, usługi zabezpieczone są w stopniu dostatecznym. W kilku gminach usługi nie są realizowane, ale osoby ich potrzebujące mają zapewnioną opiekę ze strony najbliższych, a w sytuacji kiedy stan zdrowia ulega pogorszeniu kierowane są do domów pomocy społecznej.</w:t>
            </w:r>
          </w:p>
        </w:tc>
      </w:tr>
    </w:tbl>
    <w:p w14:paraId="2919DCB8" w14:textId="77777777" w:rsidR="005C6286" w:rsidRPr="005C6286" w:rsidRDefault="005C6286" w:rsidP="005C6286">
      <w:pPr>
        <w:tabs>
          <w:tab w:val="left" w:pos="5400"/>
        </w:tabs>
        <w:rPr>
          <w:rFonts w:eastAsia="Times New Roman" w:cs="Times New Roman"/>
          <w:b/>
          <w:szCs w:val="24"/>
          <w:lang w:eastAsia="pl-PL"/>
        </w:rPr>
      </w:pPr>
      <w:r w:rsidRPr="005C6286">
        <w:rPr>
          <w:rFonts w:eastAsia="Times New Roman" w:cs="Times New Roman"/>
          <w:b/>
          <w:szCs w:val="24"/>
          <w:lang w:eastAsia="pl-PL"/>
        </w:rPr>
        <w:t xml:space="preserve">Źródło: Dane Wojewody </w:t>
      </w:r>
      <w:r>
        <w:rPr>
          <w:rFonts w:eastAsia="Times New Roman" w:cs="Times New Roman"/>
          <w:b/>
          <w:szCs w:val="24"/>
          <w:lang w:eastAsia="pl-PL"/>
        </w:rPr>
        <w:t>Świętokrzyskiego</w:t>
      </w:r>
      <w:r w:rsidRPr="005C6286">
        <w:rPr>
          <w:rFonts w:eastAsia="Times New Roman" w:cs="Times New Roman"/>
          <w:b/>
          <w:szCs w:val="24"/>
          <w:lang w:eastAsia="pl-PL"/>
        </w:rPr>
        <w:t xml:space="preserve">. </w:t>
      </w:r>
    </w:p>
    <w:p w14:paraId="60353DEF" w14:textId="77777777" w:rsidR="00E260BE" w:rsidRPr="0092226B" w:rsidRDefault="00E260BE" w:rsidP="00FE70E3">
      <w:pPr>
        <w:pStyle w:val="Nagwek2"/>
        <w:numPr>
          <w:ilvl w:val="1"/>
          <w:numId w:val="12"/>
        </w:numPr>
        <w:spacing w:before="0"/>
        <w:rPr>
          <w:rFonts w:eastAsia="Times New Roman" w:cs="Times New Roman"/>
          <w:color w:val="FF0000"/>
          <w:sz w:val="24"/>
          <w:szCs w:val="24"/>
          <w:lang w:eastAsia="ar-SA"/>
        </w:rPr>
        <w:sectPr w:rsidR="00E260BE" w:rsidRPr="0092226B" w:rsidSect="00E260BE">
          <w:pgSz w:w="16840" w:h="11906" w:orient="landscape"/>
          <w:pgMar w:top="1418" w:right="1418" w:bottom="1418" w:left="1417" w:header="708" w:footer="708" w:gutter="0"/>
          <w:cols w:space="708"/>
          <w:docGrid w:linePitch="360"/>
        </w:sectPr>
      </w:pPr>
    </w:p>
    <w:p w14:paraId="7595D16A" w14:textId="77777777" w:rsidR="00AB1786" w:rsidRPr="0092226B" w:rsidRDefault="0012413B" w:rsidP="00FE70E3">
      <w:pPr>
        <w:pStyle w:val="Nagwek2"/>
        <w:numPr>
          <w:ilvl w:val="1"/>
          <w:numId w:val="12"/>
        </w:numPr>
        <w:spacing w:before="240" w:after="240"/>
        <w:rPr>
          <w:rFonts w:eastAsia="Times New Roman" w:cs="Times New Roman"/>
          <w:color w:val="FF0000"/>
          <w:sz w:val="40"/>
          <w:lang w:eastAsia="ar-SA"/>
        </w:rPr>
      </w:pPr>
      <w:r>
        <w:rPr>
          <w:rFonts w:eastAsia="Times New Roman" w:cs="Times New Roman"/>
          <w:color w:val="FF0000"/>
          <w:sz w:val="40"/>
          <w:lang w:eastAsia="ar-SA"/>
        </w:rPr>
        <w:lastRenderedPageBreak/>
        <w:t xml:space="preserve"> </w:t>
      </w:r>
      <w:bookmarkStart w:id="302" w:name="_Toc80523190"/>
      <w:r w:rsidR="00B25D75" w:rsidRPr="0012413B">
        <w:rPr>
          <w:rFonts w:eastAsia="Times New Roman" w:cs="Times New Roman"/>
          <w:sz w:val="40"/>
          <w:lang w:eastAsia="ar-SA"/>
        </w:rPr>
        <w:t xml:space="preserve">Województwo </w:t>
      </w:r>
      <w:r w:rsidR="005F0A32" w:rsidRPr="0012413B">
        <w:rPr>
          <w:rFonts w:eastAsia="Times New Roman" w:cs="Times New Roman"/>
          <w:sz w:val="40"/>
          <w:lang w:eastAsia="ar-SA"/>
        </w:rPr>
        <w:t>warmińsko-m</w:t>
      </w:r>
      <w:r w:rsidR="00475EFA" w:rsidRPr="0012413B">
        <w:rPr>
          <w:rFonts w:eastAsia="Times New Roman" w:cs="Times New Roman"/>
          <w:sz w:val="40"/>
          <w:lang w:eastAsia="ar-SA"/>
        </w:rPr>
        <w:t>azurskie</w:t>
      </w:r>
      <w:bookmarkEnd w:id="302"/>
    </w:p>
    <w:p w14:paraId="14C304C2" w14:textId="77777777" w:rsidR="00A871AD" w:rsidRPr="00A871AD" w:rsidRDefault="00A871AD" w:rsidP="00A871AD">
      <w:pPr>
        <w:pStyle w:val="Akapitzlist"/>
        <w:keepNext/>
        <w:keepLines/>
        <w:numPr>
          <w:ilvl w:val="1"/>
          <w:numId w:val="1"/>
        </w:numPr>
        <w:spacing w:before="120" w:after="120"/>
        <w:contextualSpacing w:val="0"/>
        <w:outlineLvl w:val="1"/>
        <w:rPr>
          <w:rFonts w:eastAsiaTheme="majorEastAsia" w:cstheme="majorBidi"/>
          <w:b/>
          <w:vanish/>
          <w:color w:val="ED7D31" w:themeColor="accent2"/>
          <w:sz w:val="34"/>
          <w:szCs w:val="26"/>
          <w:lang w:eastAsia="ar-SA"/>
        </w:rPr>
      </w:pPr>
      <w:bookmarkStart w:id="303" w:name="_Toc80523191"/>
      <w:bookmarkStart w:id="304" w:name="_Toc77514031"/>
      <w:bookmarkEnd w:id="303"/>
    </w:p>
    <w:p w14:paraId="0F8FB650" w14:textId="0C7807CC" w:rsidR="005F09EE" w:rsidRDefault="005F09EE" w:rsidP="00A871AD">
      <w:pPr>
        <w:pStyle w:val="Nagwek3"/>
        <w:rPr>
          <w:lang w:eastAsia="ar-SA"/>
        </w:rPr>
      </w:pPr>
      <w:bookmarkStart w:id="305" w:name="_Toc80523192"/>
      <w:r w:rsidRPr="005F09EE">
        <w:rPr>
          <w:lang w:eastAsia="ar-SA"/>
        </w:rPr>
        <w:t>Aktywność ekonomiczna i warunki bytowe</w:t>
      </w:r>
      <w:bookmarkEnd w:id="304"/>
      <w:bookmarkEnd w:id="305"/>
    </w:p>
    <w:p w14:paraId="73CFD50A" w14:textId="77777777" w:rsidR="000B1B06" w:rsidRPr="000B1B06" w:rsidRDefault="000B1B06" w:rsidP="000B1B06">
      <w:pPr>
        <w:rPr>
          <w:lang w:eastAsia="ar-SA"/>
        </w:rPr>
      </w:pPr>
    </w:p>
    <w:p w14:paraId="1751D6A2" w14:textId="77777777" w:rsidR="005F09EE" w:rsidRPr="005F09EE" w:rsidRDefault="005F09EE" w:rsidP="005F09EE">
      <w:pPr>
        <w:rPr>
          <w:rFonts w:cs="Times New Roman"/>
          <w:szCs w:val="24"/>
        </w:rPr>
      </w:pPr>
      <w:r w:rsidRPr="005F09EE">
        <w:rPr>
          <w:rFonts w:cs="Times New Roman"/>
          <w:szCs w:val="24"/>
        </w:rPr>
        <w:t>W 2020 r. w województwie warmińsko-mazurskim przeciętny miesięczny dochód rozporządzalny przypadający na 1 osobę w gospodarstwach domowych wyniósł  1884 zł. Na dochód rozporządzalny gospodarstwa domowego składają się przede wszystkim dochody z pracy najemnej oraz dochody ze świadczeń społecznych. W 2020 r. ich udział w dochodzie rozporządzalnym wyniósł odpowiednio 51,0% i 33,1%. W 2020 r. przeciętne miesięczne wydatki na 1 osobę w gospodarstwach domowych wyniosły 1073 zł.  Na żywność i napoje bezalkoholowe gospodarstwa domowe przeznaczały przeciętnie 30,5% ogólnej kwoty wydatków, na opłaty z tytułu użytkowania mieszkania lub domu i za korzystanie z nośników energii  - 19,3%, a na zdrowie – 5,1%.</w:t>
      </w:r>
    </w:p>
    <w:p w14:paraId="39A3C7D7" w14:textId="77777777" w:rsidR="005F09EE" w:rsidRPr="005F09EE" w:rsidRDefault="005F09EE" w:rsidP="005F09EE">
      <w:pPr>
        <w:rPr>
          <w:rFonts w:cs="Times New Roman"/>
          <w:szCs w:val="24"/>
        </w:rPr>
      </w:pPr>
    </w:p>
    <w:p w14:paraId="5B36456A" w14:textId="77777777" w:rsidR="005F09EE" w:rsidRPr="005F09EE" w:rsidRDefault="005F09EE" w:rsidP="005F09EE">
      <w:pPr>
        <w:rPr>
          <w:rFonts w:cs="Times New Roman"/>
          <w:szCs w:val="24"/>
        </w:rPr>
      </w:pPr>
      <w:r w:rsidRPr="005F09EE">
        <w:rPr>
          <w:rFonts w:cs="Times New Roman"/>
          <w:szCs w:val="24"/>
        </w:rPr>
        <w:t>W 2020 r. swoją sytuację materialną jako bardzo dobrą i raczej dobrą oceniło 55,4% gospodarstw domowych. Udział gospodarstw określających swoją sytuację materialną jako przeciętną wyniósł 37,7%, a raczej złą i złą ukształtował się na poziomie 6,9%.</w:t>
      </w:r>
    </w:p>
    <w:p w14:paraId="4C11EA32" w14:textId="77777777" w:rsidR="005F09EE" w:rsidRPr="005F09EE" w:rsidRDefault="005F09EE" w:rsidP="005F09EE">
      <w:pPr>
        <w:rPr>
          <w:rFonts w:cs="Times New Roman"/>
          <w:szCs w:val="24"/>
        </w:rPr>
      </w:pPr>
    </w:p>
    <w:p w14:paraId="66524F36" w14:textId="77777777" w:rsidR="005F09EE" w:rsidRPr="005F09EE" w:rsidRDefault="005F09EE" w:rsidP="005F09EE">
      <w:pPr>
        <w:rPr>
          <w:rFonts w:cs="Times New Roman"/>
          <w:szCs w:val="24"/>
        </w:rPr>
      </w:pPr>
      <w:r w:rsidRPr="005F09EE">
        <w:rPr>
          <w:rFonts w:cs="Times New Roman"/>
          <w:szCs w:val="24"/>
        </w:rPr>
        <w:t>W analizowanym roku przeciętna liczba osób w gospodarstwie domowym ukształtowała się na poziomie 2,56. Przeciętna powierzchnia użytkowa mieszkania zajmowana przez gospodarstwo domowe wyniosła 74,79 m</w:t>
      </w:r>
      <w:r w:rsidRPr="005F09EE">
        <w:rPr>
          <w:rFonts w:cs="Times New Roman"/>
          <w:szCs w:val="24"/>
          <w:vertAlign w:val="superscript"/>
        </w:rPr>
        <w:t>2</w:t>
      </w:r>
      <w:r w:rsidRPr="005F09EE">
        <w:rPr>
          <w:rFonts w:cs="Times New Roman"/>
          <w:szCs w:val="24"/>
        </w:rPr>
        <w:t>.</w:t>
      </w:r>
    </w:p>
    <w:p w14:paraId="7EB5BCA8" w14:textId="77777777" w:rsidR="005F09EE" w:rsidRPr="005F09EE" w:rsidRDefault="005F09EE" w:rsidP="005F09EE">
      <w:pPr>
        <w:rPr>
          <w:rFonts w:cs="Times New Roman"/>
          <w:b/>
          <w:color w:val="FF0000"/>
          <w:szCs w:val="24"/>
          <w:lang w:eastAsia="ar-SA"/>
        </w:rPr>
      </w:pPr>
    </w:p>
    <w:p w14:paraId="1D136468" w14:textId="0623DF81" w:rsidR="005F09EE" w:rsidRDefault="005F09EE" w:rsidP="005F09EE">
      <w:pPr>
        <w:pStyle w:val="Legenda"/>
        <w:keepNext/>
        <w:rPr>
          <w:rFonts w:cs="Times New Roman"/>
          <w:b/>
          <w:i w:val="0"/>
          <w:color w:val="auto"/>
          <w:sz w:val="24"/>
        </w:rPr>
      </w:pPr>
      <w:r w:rsidRPr="00432294">
        <w:rPr>
          <w:rFonts w:cs="Times New Roman"/>
          <w:b/>
          <w:i w:val="0"/>
          <w:color w:val="auto"/>
          <w:sz w:val="24"/>
        </w:rPr>
        <w:t xml:space="preserve">Tabela </w:t>
      </w:r>
      <w:r w:rsidR="00A871AD">
        <w:rPr>
          <w:rFonts w:cs="Times New Roman"/>
          <w:b/>
          <w:i w:val="0"/>
          <w:color w:val="auto"/>
          <w:sz w:val="24"/>
        </w:rPr>
        <w:t>75</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Aktywność ekonomiczna osób starszych w województwie warmińsko-mazurskim</w:t>
      </w:r>
    </w:p>
    <w:tbl>
      <w:tblPr>
        <w:tblStyle w:val="Tabelasiatki6kolorowaakcent21"/>
        <w:tblpPr w:leftFromText="141" w:rightFromText="141" w:vertAnchor="text" w:tblpXSpec="center" w:tblpY="1"/>
        <w:tblW w:w="9067" w:type="dxa"/>
        <w:tblLayout w:type="fixed"/>
        <w:tblLook w:val="04A0" w:firstRow="1" w:lastRow="0" w:firstColumn="1" w:lastColumn="0" w:noHBand="0" w:noVBand="1"/>
      </w:tblPr>
      <w:tblGrid>
        <w:gridCol w:w="2409"/>
        <w:gridCol w:w="3969"/>
        <w:gridCol w:w="2689"/>
      </w:tblGrid>
      <w:tr w:rsidR="005F09EE" w:rsidRPr="005F09EE" w14:paraId="69EFEB3F" w14:textId="77777777" w:rsidTr="00430970">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067" w:type="dxa"/>
            <w:gridSpan w:val="3"/>
          </w:tcPr>
          <w:p w14:paraId="0BFFA880" w14:textId="77777777" w:rsidR="005F09EE" w:rsidRPr="005F09EE" w:rsidRDefault="005F09EE" w:rsidP="00430970">
            <w:pPr>
              <w:jc w:val="center"/>
              <w:rPr>
                <w:rFonts w:cs="Times New Roman"/>
                <w:color w:val="auto"/>
                <w:sz w:val="20"/>
                <w:szCs w:val="20"/>
              </w:rPr>
            </w:pPr>
            <w:r w:rsidRPr="005F09EE">
              <w:rPr>
                <w:rFonts w:cs="Times New Roman"/>
                <w:color w:val="auto"/>
                <w:sz w:val="20"/>
                <w:szCs w:val="20"/>
                <w:lang w:eastAsia="pl-PL"/>
              </w:rPr>
              <w:t>AKTYWNOŚĆ EKONOMICZNA OSÓB STARSZYCH – DANE ZA 2020 R.</w:t>
            </w:r>
          </w:p>
        </w:tc>
      </w:tr>
      <w:tr w:rsidR="005F09EE" w:rsidRPr="005F09EE" w14:paraId="1FC770EF" w14:textId="77777777" w:rsidTr="0043097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378" w:type="dxa"/>
            <w:gridSpan w:val="2"/>
          </w:tcPr>
          <w:p w14:paraId="3420CB4B" w14:textId="77777777" w:rsidR="005F09EE" w:rsidRPr="005F09EE" w:rsidRDefault="005F09EE" w:rsidP="00430970">
            <w:pPr>
              <w:rPr>
                <w:rFonts w:cs="Times New Roman"/>
                <w:color w:val="auto"/>
                <w:sz w:val="20"/>
                <w:szCs w:val="20"/>
              </w:rPr>
            </w:pPr>
            <w:r w:rsidRPr="005F09EE">
              <w:rPr>
                <w:rFonts w:cs="Times New Roman"/>
                <w:color w:val="auto"/>
                <w:sz w:val="20"/>
                <w:szCs w:val="20"/>
              </w:rPr>
              <w:t>Podział</w:t>
            </w:r>
          </w:p>
        </w:tc>
        <w:tc>
          <w:tcPr>
            <w:tcW w:w="2689" w:type="dxa"/>
          </w:tcPr>
          <w:p w14:paraId="6923DC4D" w14:textId="77777777" w:rsidR="005F09EE" w:rsidRPr="005F09EE" w:rsidRDefault="005F09EE" w:rsidP="00430970">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5F09EE">
              <w:rPr>
                <w:rFonts w:cs="Times New Roman"/>
                <w:b/>
                <w:color w:val="auto"/>
                <w:sz w:val="20"/>
                <w:szCs w:val="20"/>
              </w:rPr>
              <w:t>Liczba</w:t>
            </w:r>
          </w:p>
        </w:tc>
      </w:tr>
      <w:tr w:rsidR="005F09EE" w:rsidRPr="005F09EE" w14:paraId="16DD00C2" w14:textId="77777777" w:rsidTr="00430970">
        <w:trPr>
          <w:trHeight w:val="224"/>
        </w:trPr>
        <w:tc>
          <w:tcPr>
            <w:cnfStyle w:val="001000000000" w:firstRow="0" w:lastRow="0" w:firstColumn="1" w:lastColumn="0" w:oddVBand="0" w:evenVBand="0" w:oddHBand="0" w:evenHBand="0" w:firstRowFirstColumn="0" w:firstRowLastColumn="0" w:lastRowFirstColumn="0" w:lastRowLastColumn="0"/>
            <w:tcW w:w="2409" w:type="dxa"/>
            <w:vMerge w:val="restart"/>
          </w:tcPr>
          <w:p w14:paraId="41443713" w14:textId="77777777" w:rsidR="005F09EE" w:rsidRPr="005F09EE" w:rsidRDefault="005F09EE" w:rsidP="00430970">
            <w:pPr>
              <w:rPr>
                <w:rFonts w:cs="Times New Roman"/>
                <w:b w:val="0"/>
                <w:color w:val="auto"/>
                <w:sz w:val="20"/>
                <w:szCs w:val="20"/>
                <w:lang w:eastAsia="pl-PL"/>
              </w:rPr>
            </w:pPr>
            <w:r w:rsidRPr="005F09EE">
              <w:rPr>
                <w:rFonts w:cs="Times New Roman"/>
                <w:color w:val="auto"/>
                <w:sz w:val="20"/>
                <w:szCs w:val="20"/>
                <w:lang w:eastAsia="pl-PL"/>
              </w:rPr>
              <w:t>Osoby aktywne zawodowo razem (w tys.)</w:t>
            </w:r>
          </w:p>
        </w:tc>
        <w:tc>
          <w:tcPr>
            <w:tcW w:w="3969" w:type="dxa"/>
          </w:tcPr>
          <w:p w14:paraId="71019ADB"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ogółem</w:t>
            </w:r>
          </w:p>
        </w:tc>
        <w:tc>
          <w:tcPr>
            <w:tcW w:w="2689" w:type="dxa"/>
          </w:tcPr>
          <w:p w14:paraId="659EC449"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583</w:t>
            </w:r>
          </w:p>
        </w:tc>
      </w:tr>
      <w:tr w:rsidR="005F09EE" w:rsidRPr="005F09EE" w14:paraId="22B1E79E" w14:textId="77777777" w:rsidTr="0043097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409" w:type="dxa"/>
            <w:vMerge/>
          </w:tcPr>
          <w:p w14:paraId="3772DCF5" w14:textId="77777777" w:rsidR="005F09EE" w:rsidRPr="005F09EE" w:rsidRDefault="005F09EE" w:rsidP="00430970">
            <w:pPr>
              <w:rPr>
                <w:rFonts w:cs="Times New Roman"/>
                <w:b w:val="0"/>
                <w:color w:val="auto"/>
                <w:sz w:val="20"/>
                <w:szCs w:val="20"/>
                <w:lang w:eastAsia="pl-PL"/>
              </w:rPr>
            </w:pPr>
          </w:p>
        </w:tc>
        <w:tc>
          <w:tcPr>
            <w:tcW w:w="3969" w:type="dxa"/>
          </w:tcPr>
          <w:p w14:paraId="4C936B9C"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w tym w wieku 60+</w:t>
            </w:r>
          </w:p>
        </w:tc>
        <w:tc>
          <w:tcPr>
            <w:tcW w:w="2689" w:type="dxa"/>
          </w:tcPr>
          <w:p w14:paraId="4E9419E3"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48</w:t>
            </w:r>
          </w:p>
        </w:tc>
      </w:tr>
      <w:tr w:rsidR="005F09EE" w:rsidRPr="005F09EE" w14:paraId="633D15D0" w14:textId="77777777" w:rsidTr="00430970">
        <w:trPr>
          <w:trHeight w:val="285"/>
        </w:trPr>
        <w:tc>
          <w:tcPr>
            <w:cnfStyle w:val="001000000000" w:firstRow="0" w:lastRow="0" w:firstColumn="1" w:lastColumn="0" w:oddVBand="0" w:evenVBand="0" w:oddHBand="0" w:evenHBand="0" w:firstRowFirstColumn="0" w:firstRowLastColumn="0" w:lastRowFirstColumn="0" w:lastRowLastColumn="0"/>
            <w:tcW w:w="2409" w:type="dxa"/>
            <w:vMerge w:val="restart"/>
          </w:tcPr>
          <w:p w14:paraId="1E0F5D2F" w14:textId="77777777" w:rsidR="005F09EE" w:rsidRPr="005F09EE" w:rsidRDefault="005F09EE" w:rsidP="00430970">
            <w:pPr>
              <w:rPr>
                <w:rFonts w:cs="Times New Roman"/>
                <w:b w:val="0"/>
                <w:color w:val="auto"/>
                <w:sz w:val="20"/>
                <w:szCs w:val="20"/>
                <w:lang w:eastAsia="pl-PL"/>
              </w:rPr>
            </w:pPr>
            <w:r w:rsidRPr="005F09EE">
              <w:rPr>
                <w:rFonts w:cs="Times New Roman"/>
                <w:color w:val="auto"/>
                <w:sz w:val="20"/>
                <w:szCs w:val="20"/>
                <w:lang w:eastAsia="pl-PL"/>
              </w:rPr>
              <w:t xml:space="preserve">Osoby aktywne zawodowo </w:t>
            </w:r>
            <w:r w:rsidRPr="005F09EE">
              <w:rPr>
                <w:rFonts w:cs="Times New Roman"/>
                <w:color w:val="auto"/>
                <w:sz w:val="20"/>
                <w:szCs w:val="20"/>
                <w:lang w:eastAsia="pl-PL"/>
              </w:rPr>
              <w:br/>
              <w:t>– pracujący (w tys.)</w:t>
            </w:r>
          </w:p>
        </w:tc>
        <w:tc>
          <w:tcPr>
            <w:tcW w:w="3969" w:type="dxa"/>
          </w:tcPr>
          <w:p w14:paraId="4E76A42C"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Ogółem</w:t>
            </w:r>
          </w:p>
        </w:tc>
        <w:tc>
          <w:tcPr>
            <w:tcW w:w="2689" w:type="dxa"/>
          </w:tcPr>
          <w:p w14:paraId="38850C7E"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565</w:t>
            </w:r>
          </w:p>
        </w:tc>
      </w:tr>
      <w:tr w:rsidR="005F09EE" w:rsidRPr="005F09EE" w14:paraId="14C09005" w14:textId="77777777" w:rsidTr="0043097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vMerge/>
          </w:tcPr>
          <w:p w14:paraId="397AB6D0" w14:textId="77777777" w:rsidR="005F09EE" w:rsidRPr="005F09EE" w:rsidRDefault="005F09EE" w:rsidP="00430970">
            <w:pPr>
              <w:rPr>
                <w:rFonts w:cs="Times New Roman"/>
                <w:b w:val="0"/>
                <w:color w:val="auto"/>
                <w:sz w:val="20"/>
                <w:szCs w:val="20"/>
                <w:lang w:eastAsia="pl-PL"/>
              </w:rPr>
            </w:pPr>
          </w:p>
        </w:tc>
        <w:tc>
          <w:tcPr>
            <w:tcW w:w="3969" w:type="dxa"/>
          </w:tcPr>
          <w:p w14:paraId="33C412C5"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w tym w wieku 60+</w:t>
            </w:r>
          </w:p>
        </w:tc>
        <w:tc>
          <w:tcPr>
            <w:tcW w:w="2689" w:type="dxa"/>
          </w:tcPr>
          <w:p w14:paraId="0410D4CE"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47</w:t>
            </w:r>
          </w:p>
        </w:tc>
      </w:tr>
      <w:tr w:rsidR="005F09EE" w:rsidRPr="005F09EE" w14:paraId="53428B04" w14:textId="77777777" w:rsidTr="00430970">
        <w:trPr>
          <w:trHeight w:val="224"/>
        </w:trPr>
        <w:tc>
          <w:tcPr>
            <w:cnfStyle w:val="001000000000" w:firstRow="0" w:lastRow="0" w:firstColumn="1" w:lastColumn="0" w:oddVBand="0" w:evenVBand="0" w:oddHBand="0" w:evenHBand="0" w:firstRowFirstColumn="0" w:firstRowLastColumn="0" w:lastRowFirstColumn="0" w:lastRowLastColumn="0"/>
            <w:tcW w:w="2409" w:type="dxa"/>
            <w:vMerge w:val="restart"/>
          </w:tcPr>
          <w:p w14:paraId="3A61D799" w14:textId="77777777" w:rsidR="005F09EE" w:rsidRPr="005F09EE" w:rsidRDefault="005F09EE" w:rsidP="00430970">
            <w:pPr>
              <w:rPr>
                <w:rFonts w:cs="Times New Roman"/>
                <w:b w:val="0"/>
                <w:color w:val="auto"/>
                <w:sz w:val="20"/>
                <w:szCs w:val="20"/>
                <w:lang w:eastAsia="pl-PL"/>
              </w:rPr>
            </w:pPr>
            <w:r w:rsidRPr="005F09EE">
              <w:rPr>
                <w:rFonts w:cs="Times New Roman"/>
                <w:color w:val="auto"/>
                <w:sz w:val="20"/>
                <w:szCs w:val="20"/>
                <w:lang w:eastAsia="pl-PL"/>
              </w:rPr>
              <w:t>Osoby bierne zawodowo (w tys.)</w:t>
            </w:r>
          </w:p>
        </w:tc>
        <w:tc>
          <w:tcPr>
            <w:tcW w:w="3969" w:type="dxa"/>
          </w:tcPr>
          <w:p w14:paraId="5698E2DF"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ogółem</w:t>
            </w:r>
          </w:p>
        </w:tc>
        <w:tc>
          <w:tcPr>
            <w:tcW w:w="2689" w:type="dxa"/>
          </w:tcPr>
          <w:p w14:paraId="42445A21"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509</w:t>
            </w:r>
          </w:p>
        </w:tc>
      </w:tr>
      <w:tr w:rsidR="005F09EE" w:rsidRPr="005F09EE" w14:paraId="6D5165B7" w14:textId="77777777" w:rsidTr="0043097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409" w:type="dxa"/>
            <w:vMerge/>
          </w:tcPr>
          <w:p w14:paraId="3ADBE8ED" w14:textId="77777777" w:rsidR="005F09EE" w:rsidRPr="005F09EE" w:rsidRDefault="005F09EE" w:rsidP="00430970">
            <w:pPr>
              <w:rPr>
                <w:rFonts w:cs="Times New Roman"/>
                <w:b w:val="0"/>
                <w:color w:val="auto"/>
                <w:sz w:val="20"/>
                <w:szCs w:val="20"/>
                <w:lang w:eastAsia="pl-PL"/>
              </w:rPr>
            </w:pPr>
          </w:p>
        </w:tc>
        <w:tc>
          <w:tcPr>
            <w:tcW w:w="3969" w:type="dxa"/>
          </w:tcPr>
          <w:p w14:paraId="2183A916"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w tym w wieku 60+</w:t>
            </w:r>
          </w:p>
        </w:tc>
        <w:tc>
          <w:tcPr>
            <w:tcW w:w="2689" w:type="dxa"/>
          </w:tcPr>
          <w:p w14:paraId="52FA746D"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288</w:t>
            </w:r>
          </w:p>
        </w:tc>
      </w:tr>
      <w:tr w:rsidR="005F09EE" w:rsidRPr="005F09EE" w14:paraId="6C2596F3" w14:textId="77777777" w:rsidTr="00430970">
        <w:trPr>
          <w:trHeight w:val="285"/>
        </w:trPr>
        <w:tc>
          <w:tcPr>
            <w:cnfStyle w:val="001000000000" w:firstRow="0" w:lastRow="0" w:firstColumn="1" w:lastColumn="0" w:oddVBand="0" w:evenVBand="0" w:oddHBand="0" w:evenHBand="0" w:firstRowFirstColumn="0" w:firstRowLastColumn="0" w:lastRowFirstColumn="0" w:lastRowLastColumn="0"/>
            <w:tcW w:w="2409" w:type="dxa"/>
            <w:vMerge w:val="restart"/>
          </w:tcPr>
          <w:p w14:paraId="66B821CD" w14:textId="77777777" w:rsidR="005F09EE" w:rsidRPr="005F09EE" w:rsidRDefault="005F09EE" w:rsidP="00430970">
            <w:pPr>
              <w:rPr>
                <w:rFonts w:cs="Times New Roman"/>
                <w:b w:val="0"/>
                <w:color w:val="auto"/>
                <w:sz w:val="20"/>
                <w:szCs w:val="20"/>
                <w:lang w:eastAsia="pl-PL"/>
              </w:rPr>
            </w:pPr>
            <w:r w:rsidRPr="005F09EE">
              <w:rPr>
                <w:rFonts w:cs="Times New Roman"/>
                <w:color w:val="auto"/>
                <w:sz w:val="20"/>
                <w:szCs w:val="20"/>
                <w:lang w:eastAsia="pl-PL"/>
              </w:rPr>
              <w:t>Współczynnik aktywności zawodowej %</w:t>
            </w:r>
          </w:p>
        </w:tc>
        <w:tc>
          <w:tcPr>
            <w:tcW w:w="3969" w:type="dxa"/>
          </w:tcPr>
          <w:p w14:paraId="40F5AD49"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Ogółem</w:t>
            </w:r>
          </w:p>
        </w:tc>
        <w:tc>
          <w:tcPr>
            <w:tcW w:w="2689" w:type="dxa"/>
          </w:tcPr>
          <w:p w14:paraId="2C058E01"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53,4</w:t>
            </w:r>
          </w:p>
        </w:tc>
      </w:tr>
      <w:tr w:rsidR="005F09EE" w:rsidRPr="005F09EE" w14:paraId="0D3E24B7" w14:textId="77777777" w:rsidTr="0043097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vMerge/>
          </w:tcPr>
          <w:p w14:paraId="791CD944" w14:textId="77777777" w:rsidR="005F09EE" w:rsidRPr="005F09EE" w:rsidRDefault="005F09EE" w:rsidP="00430970">
            <w:pPr>
              <w:rPr>
                <w:rFonts w:cs="Times New Roman"/>
                <w:b w:val="0"/>
                <w:color w:val="auto"/>
                <w:sz w:val="20"/>
                <w:szCs w:val="20"/>
                <w:lang w:eastAsia="pl-PL"/>
              </w:rPr>
            </w:pPr>
          </w:p>
        </w:tc>
        <w:tc>
          <w:tcPr>
            <w:tcW w:w="3969" w:type="dxa"/>
          </w:tcPr>
          <w:p w14:paraId="62C8029B"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w tym w wieku 60+</w:t>
            </w:r>
          </w:p>
        </w:tc>
        <w:tc>
          <w:tcPr>
            <w:tcW w:w="2689" w:type="dxa"/>
          </w:tcPr>
          <w:p w14:paraId="2E18ECB8"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14,3</w:t>
            </w:r>
          </w:p>
        </w:tc>
      </w:tr>
      <w:tr w:rsidR="005F09EE" w:rsidRPr="005F09EE" w14:paraId="68855803" w14:textId="77777777" w:rsidTr="00430970">
        <w:trPr>
          <w:trHeight w:val="143"/>
        </w:trPr>
        <w:tc>
          <w:tcPr>
            <w:cnfStyle w:val="001000000000" w:firstRow="0" w:lastRow="0" w:firstColumn="1" w:lastColumn="0" w:oddVBand="0" w:evenVBand="0" w:oddHBand="0" w:evenHBand="0" w:firstRowFirstColumn="0" w:firstRowLastColumn="0" w:lastRowFirstColumn="0" w:lastRowLastColumn="0"/>
            <w:tcW w:w="2409" w:type="dxa"/>
            <w:vMerge w:val="restart"/>
          </w:tcPr>
          <w:p w14:paraId="24133A1A" w14:textId="77777777" w:rsidR="005F09EE" w:rsidRPr="005F09EE" w:rsidRDefault="005F09EE" w:rsidP="00430970">
            <w:pPr>
              <w:rPr>
                <w:rFonts w:cs="Times New Roman"/>
                <w:b w:val="0"/>
                <w:color w:val="auto"/>
                <w:sz w:val="20"/>
                <w:szCs w:val="20"/>
                <w:lang w:eastAsia="pl-PL"/>
              </w:rPr>
            </w:pPr>
            <w:r w:rsidRPr="005F09EE">
              <w:rPr>
                <w:rFonts w:cs="Times New Roman"/>
                <w:color w:val="auto"/>
                <w:sz w:val="20"/>
                <w:szCs w:val="20"/>
                <w:lang w:eastAsia="pl-PL"/>
              </w:rPr>
              <w:t>Wskaźnik zatrudnienia %</w:t>
            </w:r>
          </w:p>
        </w:tc>
        <w:tc>
          <w:tcPr>
            <w:tcW w:w="3969" w:type="dxa"/>
          </w:tcPr>
          <w:p w14:paraId="10A8C513"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ogółem</w:t>
            </w:r>
          </w:p>
        </w:tc>
        <w:tc>
          <w:tcPr>
            <w:tcW w:w="2689" w:type="dxa"/>
          </w:tcPr>
          <w:p w14:paraId="359D2446"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51,8</w:t>
            </w:r>
          </w:p>
        </w:tc>
      </w:tr>
      <w:tr w:rsidR="005F09EE" w:rsidRPr="005F09EE" w14:paraId="7F116F32" w14:textId="77777777" w:rsidTr="00430970">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09" w:type="dxa"/>
            <w:vMerge/>
          </w:tcPr>
          <w:p w14:paraId="5E8E48F9" w14:textId="77777777" w:rsidR="005F09EE" w:rsidRPr="005F09EE" w:rsidRDefault="005F09EE" w:rsidP="00430970">
            <w:pPr>
              <w:rPr>
                <w:rFonts w:cs="Times New Roman"/>
                <w:b w:val="0"/>
                <w:color w:val="auto"/>
                <w:sz w:val="20"/>
                <w:szCs w:val="20"/>
                <w:lang w:eastAsia="pl-PL"/>
              </w:rPr>
            </w:pPr>
          </w:p>
        </w:tc>
        <w:tc>
          <w:tcPr>
            <w:tcW w:w="3969" w:type="dxa"/>
          </w:tcPr>
          <w:p w14:paraId="13926927"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w tym w wieku 60+</w:t>
            </w:r>
          </w:p>
        </w:tc>
        <w:tc>
          <w:tcPr>
            <w:tcW w:w="2689" w:type="dxa"/>
          </w:tcPr>
          <w:p w14:paraId="72D8B7D6"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14,0</w:t>
            </w:r>
          </w:p>
        </w:tc>
      </w:tr>
      <w:tr w:rsidR="005F09EE" w:rsidRPr="005F09EE" w14:paraId="620ECB39" w14:textId="77777777" w:rsidTr="00430970">
        <w:trPr>
          <w:trHeight w:val="282"/>
        </w:trPr>
        <w:tc>
          <w:tcPr>
            <w:cnfStyle w:val="001000000000" w:firstRow="0" w:lastRow="0" w:firstColumn="1" w:lastColumn="0" w:oddVBand="0" w:evenVBand="0" w:oddHBand="0" w:evenHBand="0" w:firstRowFirstColumn="0" w:firstRowLastColumn="0" w:lastRowFirstColumn="0" w:lastRowLastColumn="0"/>
            <w:tcW w:w="2409" w:type="dxa"/>
            <w:vMerge w:val="restart"/>
          </w:tcPr>
          <w:p w14:paraId="5AE3C514" w14:textId="77777777" w:rsidR="005F09EE" w:rsidRPr="005F09EE" w:rsidRDefault="005F09EE" w:rsidP="00430970">
            <w:pPr>
              <w:rPr>
                <w:rFonts w:cs="Times New Roman"/>
                <w:b w:val="0"/>
                <w:color w:val="auto"/>
                <w:sz w:val="20"/>
                <w:szCs w:val="20"/>
                <w:lang w:eastAsia="pl-PL"/>
              </w:rPr>
            </w:pPr>
            <w:r w:rsidRPr="005F09EE">
              <w:rPr>
                <w:rFonts w:eastAsia="Times New Roman" w:cs="Times New Roman"/>
                <w:color w:val="auto"/>
                <w:sz w:val="20"/>
                <w:szCs w:val="20"/>
                <w:lang w:eastAsia="pl-PL"/>
              </w:rPr>
              <w:t xml:space="preserve">Osoby bierne zawodowo  w wieku 60 lat i więcej według wybranych przyczyn bierności </w:t>
            </w:r>
            <w:r w:rsidRPr="005F09EE">
              <w:rPr>
                <w:rFonts w:eastAsia="Times New Roman" w:cs="Times New Roman"/>
                <w:color w:val="auto"/>
                <w:sz w:val="20"/>
                <w:szCs w:val="20"/>
                <w:lang w:eastAsia="pl-PL"/>
              </w:rPr>
              <w:br/>
              <w:t>(w tys.)</w:t>
            </w:r>
          </w:p>
        </w:tc>
        <w:tc>
          <w:tcPr>
            <w:tcW w:w="3969" w:type="dxa"/>
          </w:tcPr>
          <w:p w14:paraId="6F0C6A1A"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ogółem</w:t>
            </w:r>
          </w:p>
        </w:tc>
        <w:tc>
          <w:tcPr>
            <w:tcW w:w="2689" w:type="dxa"/>
          </w:tcPr>
          <w:p w14:paraId="4A4F5F7B"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288</w:t>
            </w:r>
          </w:p>
        </w:tc>
      </w:tr>
      <w:tr w:rsidR="005F09EE" w:rsidRPr="005F09EE" w14:paraId="49B8A47B" w14:textId="77777777" w:rsidTr="0043097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09" w:type="dxa"/>
            <w:vMerge/>
          </w:tcPr>
          <w:p w14:paraId="6C9725DE" w14:textId="77777777" w:rsidR="005F09EE" w:rsidRPr="005F09EE" w:rsidRDefault="005F09EE" w:rsidP="00430970">
            <w:pPr>
              <w:rPr>
                <w:rFonts w:eastAsia="Times New Roman" w:cs="Times New Roman"/>
                <w:b w:val="0"/>
                <w:bCs w:val="0"/>
                <w:color w:val="auto"/>
                <w:sz w:val="20"/>
                <w:szCs w:val="20"/>
                <w:lang w:eastAsia="pl-PL"/>
              </w:rPr>
            </w:pPr>
          </w:p>
        </w:tc>
        <w:tc>
          <w:tcPr>
            <w:tcW w:w="6658" w:type="dxa"/>
            <w:gridSpan w:val="2"/>
          </w:tcPr>
          <w:p w14:paraId="7D949F85"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w tym:</w:t>
            </w:r>
          </w:p>
        </w:tc>
      </w:tr>
      <w:tr w:rsidR="005F09EE" w:rsidRPr="005F09EE" w14:paraId="0CA3AD48" w14:textId="77777777" w:rsidTr="00430970">
        <w:trPr>
          <w:trHeight w:val="280"/>
        </w:trPr>
        <w:tc>
          <w:tcPr>
            <w:cnfStyle w:val="001000000000" w:firstRow="0" w:lastRow="0" w:firstColumn="1" w:lastColumn="0" w:oddVBand="0" w:evenVBand="0" w:oddHBand="0" w:evenHBand="0" w:firstRowFirstColumn="0" w:firstRowLastColumn="0" w:lastRowFirstColumn="0" w:lastRowLastColumn="0"/>
            <w:tcW w:w="2409" w:type="dxa"/>
            <w:vMerge/>
          </w:tcPr>
          <w:p w14:paraId="4B8AE391" w14:textId="77777777" w:rsidR="005F09EE" w:rsidRPr="005F09EE" w:rsidRDefault="005F09EE" w:rsidP="00430970">
            <w:pPr>
              <w:rPr>
                <w:rFonts w:eastAsia="Times New Roman" w:cs="Times New Roman"/>
                <w:b w:val="0"/>
                <w:bCs w:val="0"/>
                <w:color w:val="auto"/>
                <w:sz w:val="20"/>
                <w:szCs w:val="20"/>
                <w:lang w:eastAsia="pl-PL"/>
              </w:rPr>
            </w:pPr>
          </w:p>
        </w:tc>
        <w:tc>
          <w:tcPr>
            <w:tcW w:w="3969" w:type="dxa"/>
          </w:tcPr>
          <w:p w14:paraId="2A490632"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5F09EE">
              <w:rPr>
                <w:rFonts w:eastAsia="Times New Roman" w:cs="Times New Roman"/>
                <w:color w:val="auto"/>
                <w:sz w:val="20"/>
                <w:szCs w:val="20"/>
                <w:lang w:eastAsia="pl-PL"/>
              </w:rPr>
              <w:t>osoby nieposzukujące pracy - razem</w:t>
            </w:r>
          </w:p>
        </w:tc>
        <w:tc>
          <w:tcPr>
            <w:tcW w:w="2689" w:type="dxa"/>
          </w:tcPr>
          <w:p w14:paraId="4E7F81CE"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288</w:t>
            </w:r>
          </w:p>
        </w:tc>
      </w:tr>
      <w:tr w:rsidR="005F09EE" w:rsidRPr="005F09EE" w14:paraId="2F231D2C" w14:textId="77777777" w:rsidTr="0043097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09" w:type="dxa"/>
            <w:vMerge/>
          </w:tcPr>
          <w:p w14:paraId="7E3B56C7" w14:textId="77777777" w:rsidR="005F09EE" w:rsidRPr="005F09EE" w:rsidRDefault="005F09EE" w:rsidP="00430970">
            <w:pPr>
              <w:rPr>
                <w:rFonts w:eastAsia="Times New Roman" w:cs="Times New Roman"/>
                <w:b w:val="0"/>
                <w:bCs w:val="0"/>
                <w:color w:val="auto"/>
                <w:sz w:val="20"/>
                <w:szCs w:val="20"/>
                <w:lang w:eastAsia="pl-PL"/>
              </w:rPr>
            </w:pPr>
          </w:p>
        </w:tc>
        <w:tc>
          <w:tcPr>
            <w:tcW w:w="3969" w:type="dxa"/>
          </w:tcPr>
          <w:p w14:paraId="457D1644"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eastAsia="Times New Roman" w:cs="Times New Roman"/>
                <w:color w:val="auto"/>
                <w:sz w:val="20"/>
                <w:szCs w:val="20"/>
                <w:lang w:eastAsia="pl-PL"/>
              </w:rPr>
              <w:t>osoby nieposzukujące pracy - emerytura</w:t>
            </w:r>
          </w:p>
        </w:tc>
        <w:tc>
          <w:tcPr>
            <w:tcW w:w="2689" w:type="dxa"/>
          </w:tcPr>
          <w:p w14:paraId="6ACBFFD9"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260</w:t>
            </w:r>
          </w:p>
        </w:tc>
      </w:tr>
      <w:tr w:rsidR="005F09EE" w:rsidRPr="005F09EE" w14:paraId="644800B0" w14:textId="77777777" w:rsidTr="00430970">
        <w:trPr>
          <w:trHeight w:val="280"/>
        </w:trPr>
        <w:tc>
          <w:tcPr>
            <w:cnfStyle w:val="001000000000" w:firstRow="0" w:lastRow="0" w:firstColumn="1" w:lastColumn="0" w:oddVBand="0" w:evenVBand="0" w:oddHBand="0" w:evenHBand="0" w:firstRowFirstColumn="0" w:firstRowLastColumn="0" w:lastRowFirstColumn="0" w:lastRowLastColumn="0"/>
            <w:tcW w:w="2409" w:type="dxa"/>
            <w:vMerge/>
          </w:tcPr>
          <w:p w14:paraId="7122E5D7" w14:textId="77777777" w:rsidR="005F09EE" w:rsidRPr="005F09EE" w:rsidRDefault="005F09EE" w:rsidP="00430970">
            <w:pPr>
              <w:rPr>
                <w:rFonts w:eastAsia="Times New Roman" w:cs="Times New Roman"/>
                <w:b w:val="0"/>
                <w:bCs w:val="0"/>
                <w:color w:val="auto"/>
                <w:sz w:val="20"/>
                <w:szCs w:val="20"/>
                <w:lang w:eastAsia="pl-PL"/>
              </w:rPr>
            </w:pPr>
          </w:p>
        </w:tc>
        <w:tc>
          <w:tcPr>
            <w:tcW w:w="3969" w:type="dxa"/>
          </w:tcPr>
          <w:p w14:paraId="62D86689"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eastAsia="Times New Roman" w:cs="Times New Roman"/>
                <w:color w:val="auto"/>
                <w:sz w:val="20"/>
                <w:szCs w:val="20"/>
                <w:lang w:eastAsia="pl-PL"/>
              </w:rPr>
              <w:t>osoby nieposzukujące pracy - choroba, niepełnosprawność</w:t>
            </w:r>
          </w:p>
        </w:tc>
        <w:tc>
          <w:tcPr>
            <w:tcW w:w="2689" w:type="dxa"/>
          </w:tcPr>
          <w:p w14:paraId="22E2724F"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19*</w:t>
            </w:r>
          </w:p>
        </w:tc>
      </w:tr>
      <w:tr w:rsidR="005F09EE" w:rsidRPr="005F09EE" w14:paraId="195D4110" w14:textId="77777777" w:rsidTr="0043097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409" w:type="dxa"/>
            <w:vMerge w:val="restart"/>
          </w:tcPr>
          <w:p w14:paraId="394F3E6C" w14:textId="77777777" w:rsidR="005F09EE" w:rsidRPr="005F09EE" w:rsidRDefault="005F09EE" w:rsidP="00430970">
            <w:pPr>
              <w:rPr>
                <w:rFonts w:eastAsia="Times New Roman" w:cs="Times New Roman"/>
                <w:b w:val="0"/>
                <w:bCs w:val="0"/>
                <w:color w:val="auto"/>
                <w:sz w:val="20"/>
                <w:szCs w:val="20"/>
                <w:lang w:eastAsia="pl-PL"/>
              </w:rPr>
            </w:pPr>
            <w:r w:rsidRPr="005F09EE">
              <w:rPr>
                <w:rFonts w:eastAsia="Times New Roman" w:cs="Times New Roman"/>
                <w:color w:val="auto"/>
                <w:sz w:val="20"/>
                <w:szCs w:val="20"/>
                <w:lang w:eastAsia="pl-PL"/>
              </w:rPr>
              <w:t>Osoby bezrobotne zarejestrowane w urzędach pracy (w tys.)</w:t>
            </w:r>
          </w:p>
        </w:tc>
        <w:tc>
          <w:tcPr>
            <w:tcW w:w="3969" w:type="dxa"/>
          </w:tcPr>
          <w:p w14:paraId="301A90F3"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ogółem</w:t>
            </w:r>
          </w:p>
        </w:tc>
        <w:tc>
          <w:tcPr>
            <w:tcW w:w="2689" w:type="dxa"/>
          </w:tcPr>
          <w:p w14:paraId="06377A58"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51,5</w:t>
            </w:r>
          </w:p>
        </w:tc>
      </w:tr>
      <w:tr w:rsidR="005F09EE" w:rsidRPr="005F09EE" w14:paraId="70903509" w14:textId="77777777" w:rsidTr="00430970">
        <w:trPr>
          <w:trHeight w:val="284"/>
        </w:trPr>
        <w:tc>
          <w:tcPr>
            <w:cnfStyle w:val="001000000000" w:firstRow="0" w:lastRow="0" w:firstColumn="1" w:lastColumn="0" w:oddVBand="0" w:evenVBand="0" w:oddHBand="0" w:evenHBand="0" w:firstRowFirstColumn="0" w:firstRowLastColumn="0" w:lastRowFirstColumn="0" w:lastRowLastColumn="0"/>
            <w:tcW w:w="2409" w:type="dxa"/>
            <w:vMerge/>
          </w:tcPr>
          <w:p w14:paraId="2995B40B" w14:textId="77777777" w:rsidR="005F09EE" w:rsidRPr="005F09EE" w:rsidRDefault="005F09EE" w:rsidP="00430970">
            <w:pPr>
              <w:rPr>
                <w:rFonts w:eastAsia="Times New Roman" w:cs="Times New Roman"/>
                <w:b w:val="0"/>
                <w:bCs w:val="0"/>
                <w:color w:val="auto"/>
                <w:sz w:val="20"/>
                <w:szCs w:val="20"/>
                <w:lang w:eastAsia="pl-PL"/>
              </w:rPr>
            </w:pPr>
          </w:p>
        </w:tc>
        <w:tc>
          <w:tcPr>
            <w:tcW w:w="3969" w:type="dxa"/>
          </w:tcPr>
          <w:p w14:paraId="6F28CA6F"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w tym w wieku 60+</w:t>
            </w:r>
          </w:p>
        </w:tc>
        <w:tc>
          <w:tcPr>
            <w:tcW w:w="2689" w:type="dxa"/>
          </w:tcPr>
          <w:p w14:paraId="0AEAE642"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3,6</w:t>
            </w:r>
          </w:p>
        </w:tc>
      </w:tr>
      <w:tr w:rsidR="005F09EE" w:rsidRPr="005F09EE" w14:paraId="22E380C9" w14:textId="77777777" w:rsidTr="00430970">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409" w:type="dxa"/>
            <w:vMerge w:val="restart"/>
          </w:tcPr>
          <w:p w14:paraId="674F89E9" w14:textId="77777777" w:rsidR="005F09EE" w:rsidRPr="005F09EE" w:rsidRDefault="005F09EE" w:rsidP="00430970">
            <w:pPr>
              <w:rPr>
                <w:rFonts w:eastAsia="Times New Roman" w:cs="Times New Roman"/>
                <w:b w:val="0"/>
                <w:bCs w:val="0"/>
                <w:color w:val="auto"/>
                <w:sz w:val="20"/>
                <w:szCs w:val="20"/>
                <w:lang w:eastAsia="pl-PL"/>
              </w:rPr>
            </w:pPr>
            <w:r w:rsidRPr="005F09EE">
              <w:rPr>
                <w:rFonts w:eastAsia="Times New Roman" w:cs="Times New Roman"/>
                <w:color w:val="auto"/>
                <w:sz w:val="20"/>
                <w:szCs w:val="20"/>
                <w:lang w:eastAsia="pl-PL"/>
              </w:rPr>
              <w:lastRenderedPageBreak/>
              <w:t xml:space="preserve">Osoby pobierające renty </w:t>
            </w:r>
            <w:r w:rsidRPr="005F09EE">
              <w:rPr>
                <w:rFonts w:eastAsia="Times New Roman" w:cs="Times New Roman"/>
                <w:color w:val="auto"/>
                <w:sz w:val="20"/>
                <w:szCs w:val="20"/>
                <w:lang w:eastAsia="pl-PL"/>
              </w:rPr>
              <w:br/>
              <w:t xml:space="preserve">i emerytury </w:t>
            </w:r>
          </w:p>
        </w:tc>
        <w:tc>
          <w:tcPr>
            <w:tcW w:w="6658" w:type="dxa"/>
            <w:gridSpan w:val="2"/>
          </w:tcPr>
          <w:p w14:paraId="716AA25B" w14:textId="77777777" w:rsidR="005F09EE" w:rsidRPr="005F09EE" w:rsidRDefault="005F09EE" w:rsidP="00430970">
            <w:pPr>
              <w:tabs>
                <w:tab w:val="left" w:pos="1725"/>
                <w:tab w:val="center" w:pos="2363"/>
              </w:tabs>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5F09EE">
              <w:rPr>
                <w:rFonts w:cs="Times New Roman"/>
                <w:b/>
                <w:color w:val="auto"/>
                <w:sz w:val="20"/>
                <w:szCs w:val="20"/>
              </w:rPr>
              <w:t>ZUS</w:t>
            </w:r>
          </w:p>
        </w:tc>
      </w:tr>
      <w:tr w:rsidR="005F09EE" w:rsidRPr="005F09EE" w14:paraId="7373B224" w14:textId="77777777" w:rsidTr="00430970">
        <w:trPr>
          <w:trHeight w:val="189"/>
        </w:trPr>
        <w:tc>
          <w:tcPr>
            <w:cnfStyle w:val="001000000000" w:firstRow="0" w:lastRow="0" w:firstColumn="1" w:lastColumn="0" w:oddVBand="0" w:evenVBand="0" w:oddHBand="0" w:evenHBand="0" w:firstRowFirstColumn="0" w:firstRowLastColumn="0" w:lastRowFirstColumn="0" w:lastRowLastColumn="0"/>
            <w:tcW w:w="2409" w:type="dxa"/>
            <w:vMerge/>
          </w:tcPr>
          <w:p w14:paraId="0CD05F16" w14:textId="77777777" w:rsidR="005F09EE" w:rsidRPr="005F09EE" w:rsidRDefault="005F09EE" w:rsidP="00430970">
            <w:pPr>
              <w:rPr>
                <w:rFonts w:eastAsia="Times New Roman" w:cs="Times New Roman"/>
                <w:b w:val="0"/>
                <w:bCs w:val="0"/>
                <w:color w:val="auto"/>
                <w:sz w:val="20"/>
                <w:szCs w:val="20"/>
                <w:lang w:eastAsia="pl-PL"/>
              </w:rPr>
            </w:pPr>
          </w:p>
        </w:tc>
        <w:tc>
          <w:tcPr>
            <w:tcW w:w="3969" w:type="dxa"/>
          </w:tcPr>
          <w:p w14:paraId="30DC8E15" w14:textId="77777777" w:rsidR="005F09EE" w:rsidRPr="005F09EE" w:rsidRDefault="005F09EE" w:rsidP="00430970">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5F09EE">
              <w:rPr>
                <w:rFonts w:cs="Times New Roman"/>
                <w:b/>
                <w:color w:val="auto"/>
                <w:sz w:val="20"/>
                <w:szCs w:val="20"/>
              </w:rPr>
              <w:t>Rodzaj świadczenia</w:t>
            </w:r>
          </w:p>
        </w:tc>
        <w:tc>
          <w:tcPr>
            <w:tcW w:w="2689" w:type="dxa"/>
          </w:tcPr>
          <w:p w14:paraId="18439339" w14:textId="77777777" w:rsidR="005F09EE" w:rsidRPr="005F09EE" w:rsidRDefault="005F09EE" w:rsidP="00430970">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5F09EE">
              <w:rPr>
                <w:rFonts w:cs="Times New Roman"/>
                <w:b/>
                <w:color w:val="auto"/>
                <w:sz w:val="20"/>
                <w:szCs w:val="20"/>
              </w:rPr>
              <w:t>Przeciętna miesięczna liczba emerytów i rencistów (w tys.)</w:t>
            </w:r>
          </w:p>
        </w:tc>
      </w:tr>
      <w:tr w:rsidR="005F09EE" w:rsidRPr="005F09EE" w14:paraId="778C07CB" w14:textId="77777777" w:rsidTr="00430970">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409" w:type="dxa"/>
            <w:vMerge/>
          </w:tcPr>
          <w:p w14:paraId="38861760" w14:textId="77777777" w:rsidR="005F09EE" w:rsidRPr="005F09EE" w:rsidRDefault="005F09EE" w:rsidP="00430970">
            <w:pPr>
              <w:rPr>
                <w:rFonts w:eastAsia="Times New Roman" w:cs="Times New Roman"/>
                <w:b w:val="0"/>
                <w:bCs w:val="0"/>
                <w:color w:val="auto"/>
                <w:sz w:val="20"/>
                <w:szCs w:val="20"/>
                <w:lang w:eastAsia="pl-PL"/>
              </w:rPr>
            </w:pPr>
          </w:p>
        </w:tc>
        <w:tc>
          <w:tcPr>
            <w:tcW w:w="3969" w:type="dxa"/>
          </w:tcPr>
          <w:p w14:paraId="0B3B80F0"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Emerytury</w:t>
            </w:r>
          </w:p>
        </w:tc>
        <w:tc>
          <w:tcPr>
            <w:tcW w:w="2689" w:type="dxa"/>
          </w:tcPr>
          <w:p w14:paraId="04CE4079"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201,5</w:t>
            </w:r>
          </w:p>
        </w:tc>
      </w:tr>
      <w:tr w:rsidR="005F09EE" w:rsidRPr="005F09EE" w14:paraId="2D585A2A" w14:textId="77777777" w:rsidTr="00430970">
        <w:trPr>
          <w:trHeight w:val="142"/>
        </w:trPr>
        <w:tc>
          <w:tcPr>
            <w:cnfStyle w:val="001000000000" w:firstRow="0" w:lastRow="0" w:firstColumn="1" w:lastColumn="0" w:oddVBand="0" w:evenVBand="0" w:oddHBand="0" w:evenHBand="0" w:firstRowFirstColumn="0" w:firstRowLastColumn="0" w:lastRowFirstColumn="0" w:lastRowLastColumn="0"/>
            <w:tcW w:w="2409" w:type="dxa"/>
            <w:vMerge/>
          </w:tcPr>
          <w:p w14:paraId="5213EC88" w14:textId="77777777" w:rsidR="005F09EE" w:rsidRPr="005F09EE" w:rsidRDefault="005F09EE" w:rsidP="00430970">
            <w:pPr>
              <w:rPr>
                <w:rFonts w:eastAsia="Times New Roman" w:cs="Times New Roman"/>
                <w:b w:val="0"/>
                <w:bCs w:val="0"/>
                <w:color w:val="auto"/>
                <w:sz w:val="20"/>
                <w:szCs w:val="20"/>
                <w:lang w:eastAsia="pl-PL"/>
              </w:rPr>
            </w:pPr>
          </w:p>
        </w:tc>
        <w:tc>
          <w:tcPr>
            <w:tcW w:w="3969" w:type="dxa"/>
          </w:tcPr>
          <w:p w14:paraId="61660BEC"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Renty z tytułu niezdolności do pracy</w:t>
            </w:r>
          </w:p>
        </w:tc>
        <w:tc>
          <w:tcPr>
            <w:tcW w:w="2689" w:type="dxa"/>
          </w:tcPr>
          <w:p w14:paraId="22E459DE"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27,1</w:t>
            </w:r>
          </w:p>
        </w:tc>
      </w:tr>
      <w:tr w:rsidR="005F09EE" w:rsidRPr="005F09EE" w14:paraId="61C58807" w14:textId="77777777" w:rsidTr="00430970">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09" w:type="dxa"/>
            <w:vMerge/>
          </w:tcPr>
          <w:p w14:paraId="3187BFCC" w14:textId="77777777" w:rsidR="005F09EE" w:rsidRPr="005F09EE" w:rsidRDefault="005F09EE" w:rsidP="00430970">
            <w:pPr>
              <w:rPr>
                <w:rFonts w:eastAsia="Times New Roman" w:cs="Times New Roman"/>
                <w:b w:val="0"/>
                <w:bCs w:val="0"/>
                <w:color w:val="auto"/>
                <w:sz w:val="20"/>
                <w:szCs w:val="20"/>
                <w:lang w:eastAsia="pl-PL"/>
              </w:rPr>
            </w:pPr>
          </w:p>
        </w:tc>
        <w:tc>
          <w:tcPr>
            <w:tcW w:w="3969" w:type="dxa"/>
          </w:tcPr>
          <w:p w14:paraId="3FD5B3F9"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Renty rodzinne</w:t>
            </w:r>
          </w:p>
        </w:tc>
        <w:tc>
          <w:tcPr>
            <w:tcW w:w="2689" w:type="dxa"/>
          </w:tcPr>
          <w:p w14:paraId="04664083"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40,9</w:t>
            </w:r>
          </w:p>
        </w:tc>
      </w:tr>
      <w:tr w:rsidR="005F09EE" w:rsidRPr="005F09EE" w14:paraId="06A2E9BB" w14:textId="77777777" w:rsidTr="00430970">
        <w:trPr>
          <w:trHeight w:val="284"/>
        </w:trPr>
        <w:tc>
          <w:tcPr>
            <w:cnfStyle w:val="001000000000" w:firstRow="0" w:lastRow="0" w:firstColumn="1" w:lastColumn="0" w:oddVBand="0" w:evenVBand="0" w:oddHBand="0" w:evenHBand="0" w:firstRowFirstColumn="0" w:firstRowLastColumn="0" w:lastRowFirstColumn="0" w:lastRowLastColumn="0"/>
            <w:tcW w:w="2409" w:type="dxa"/>
            <w:vMerge/>
          </w:tcPr>
          <w:p w14:paraId="72005559" w14:textId="77777777" w:rsidR="005F09EE" w:rsidRPr="005F09EE" w:rsidRDefault="005F09EE" w:rsidP="00430970">
            <w:pPr>
              <w:rPr>
                <w:rFonts w:eastAsia="Times New Roman" w:cs="Times New Roman"/>
                <w:b w:val="0"/>
                <w:bCs w:val="0"/>
                <w:color w:val="auto"/>
                <w:sz w:val="20"/>
                <w:szCs w:val="20"/>
                <w:lang w:eastAsia="pl-PL"/>
              </w:rPr>
            </w:pPr>
          </w:p>
        </w:tc>
        <w:tc>
          <w:tcPr>
            <w:tcW w:w="6658" w:type="dxa"/>
            <w:gridSpan w:val="2"/>
          </w:tcPr>
          <w:p w14:paraId="11D72B40" w14:textId="77777777" w:rsidR="005F09EE" w:rsidRPr="005F09EE" w:rsidRDefault="005F09EE" w:rsidP="00430970">
            <w:pPr>
              <w:tabs>
                <w:tab w:val="left" w:pos="1507"/>
                <w:tab w:val="center" w:pos="2363"/>
              </w:tabs>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5F09EE">
              <w:rPr>
                <w:rFonts w:cs="Times New Roman"/>
                <w:b/>
                <w:color w:val="auto"/>
                <w:sz w:val="20"/>
                <w:szCs w:val="20"/>
              </w:rPr>
              <w:t>KRUS</w:t>
            </w:r>
          </w:p>
        </w:tc>
      </w:tr>
      <w:tr w:rsidR="005F09EE" w:rsidRPr="005F09EE" w14:paraId="1B9EF58D" w14:textId="77777777" w:rsidTr="0043097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409" w:type="dxa"/>
            <w:vMerge/>
          </w:tcPr>
          <w:p w14:paraId="32ED563E" w14:textId="77777777" w:rsidR="005F09EE" w:rsidRPr="005F09EE" w:rsidRDefault="005F09EE" w:rsidP="00430970">
            <w:pPr>
              <w:rPr>
                <w:rFonts w:eastAsia="Times New Roman" w:cs="Times New Roman"/>
                <w:b w:val="0"/>
                <w:bCs w:val="0"/>
                <w:color w:val="auto"/>
                <w:sz w:val="20"/>
                <w:szCs w:val="20"/>
                <w:lang w:eastAsia="pl-PL"/>
              </w:rPr>
            </w:pPr>
          </w:p>
        </w:tc>
        <w:tc>
          <w:tcPr>
            <w:tcW w:w="3969" w:type="dxa"/>
          </w:tcPr>
          <w:p w14:paraId="561261E9" w14:textId="77777777" w:rsidR="005F09EE" w:rsidRPr="005F09EE" w:rsidRDefault="005F09EE" w:rsidP="00430970">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5F09EE">
              <w:rPr>
                <w:rFonts w:cs="Times New Roman"/>
                <w:b/>
                <w:color w:val="auto"/>
                <w:sz w:val="20"/>
                <w:szCs w:val="20"/>
              </w:rPr>
              <w:t>Rodzaj świadczenia</w:t>
            </w:r>
          </w:p>
        </w:tc>
        <w:tc>
          <w:tcPr>
            <w:tcW w:w="2689" w:type="dxa"/>
          </w:tcPr>
          <w:p w14:paraId="1A431C3C" w14:textId="77777777" w:rsidR="005F09EE" w:rsidRPr="005F09EE" w:rsidRDefault="005F09EE" w:rsidP="00430970">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5F09EE">
              <w:rPr>
                <w:rFonts w:cs="Times New Roman"/>
                <w:b/>
                <w:color w:val="auto"/>
                <w:sz w:val="20"/>
                <w:szCs w:val="20"/>
              </w:rPr>
              <w:t>Przeciętna miesięczna liczba emerytów i rencistów (w tys.)</w:t>
            </w:r>
          </w:p>
        </w:tc>
      </w:tr>
      <w:tr w:rsidR="005F09EE" w:rsidRPr="005F09EE" w14:paraId="575EB266" w14:textId="77777777" w:rsidTr="00430970">
        <w:trPr>
          <w:trHeight w:val="79"/>
        </w:trPr>
        <w:tc>
          <w:tcPr>
            <w:cnfStyle w:val="001000000000" w:firstRow="0" w:lastRow="0" w:firstColumn="1" w:lastColumn="0" w:oddVBand="0" w:evenVBand="0" w:oddHBand="0" w:evenHBand="0" w:firstRowFirstColumn="0" w:firstRowLastColumn="0" w:lastRowFirstColumn="0" w:lastRowLastColumn="0"/>
            <w:tcW w:w="2409" w:type="dxa"/>
            <w:vMerge/>
          </w:tcPr>
          <w:p w14:paraId="3C3EEE33" w14:textId="77777777" w:rsidR="005F09EE" w:rsidRPr="005F09EE" w:rsidRDefault="005F09EE" w:rsidP="00430970">
            <w:pPr>
              <w:rPr>
                <w:rFonts w:eastAsia="Times New Roman" w:cs="Times New Roman"/>
                <w:b w:val="0"/>
                <w:bCs w:val="0"/>
                <w:color w:val="auto"/>
                <w:sz w:val="20"/>
                <w:szCs w:val="20"/>
                <w:lang w:eastAsia="pl-PL"/>
              </w:rPr>
            </w:pPr>
          </w:p>
        </w:tc>
        <w:tc>
          <w:tcPr>
            <w:tcW w:w="3969" w:type="dxa"/>
          </w:tcPr>
          <w:p w14:paraId="5544FB69"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Emerytury</w:t>
            </w:r>
          </w:p>
        </w:tc>
        <w:tc>
          <w:tcPr>
            <w:tcW w:w="2689" w:type="dxa"/>
          </w:tcPr>
          <w:p w14:paraId="526DBFAA"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30,2</w:t>
            </w:r>
          </w:p>
        </w:tc>
      </w:tr>
      <w:tr w:rsidR="005F09EE" w:rsidRPr="005F09EE" w14:paraId="148FD3F2" w14:textId="77777777" w:rsidTr="00430970">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409" w:type="dxa"/>
            <w:vMerge/>
          </w:tcPr>
          <w:p w14:paraId="66EEE47E" w14:textId="77777777" w:rsidR="005F09EE" w:rsidRPr="005F09EE" w:rsidRDefault="005F09EE" w:rsidP="00430970">
            <w:pPr>
              <w:rPr>
                <w:rFonts w:eastAsia="Times New Roman" w:cs="Times New Roman"/>
                <w:b w:val="0"/>
                <w:bCs w:val="0"/>
                <w:color w:val="auto"/>
                <w:sz w:val="20"/>
                <w:szCs w:val="20"/>
                <w:lang w:eastAsia="pl-PL"/>
              </w:rPr>
            </w:pPr>
          </w:p>
        </w:tc>
        <w:tc>
          <w:tcPr>
            <w:tcW w:w="3969" w:type="dxa"/>
          </w:tcPr>
          <w:p w14:paraId="75C0B61F"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Renty z tytułu niezdolności do pracy</w:t>
            </w:r>
          </w:p>
        </w:tc>
        <w:tc>
          <w:tcPr>
            <w:tcW w:w="2689" w:type="dxa"/>
          </w:tcPr>
          <w:p w14:paraId="7D17C93B" w14:textId="77777777" w:rsidR="005F09EE" w:rsidRPr="005F09EE" w:rsidRDefault="005F09EE"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F09EE">
              <w:rPr>
                <w:rFonts w:cs="Times New Roman"/>
                <w:color w:val="auto"/>
                <w:sz w:val="20"/>
                <w:szCs w:val="20"/>
              </w:rPr>
              <w:t>7,3</w:t>
            </w:r>
          </w:p>
        </w:tc>
      </w:tr>
      <w:tr w:rsidR="005F09EE" w:rsidRPr="005F09EE" w14:paraId="7BDD7DE9" w14:textId="77777777" w:rsidTr="00430970">
        <w:trPr>
          <w:trHeight w:val="79"/>
        </w:trPr>
        <w:tc>
          <w:tcPr>
            <w:cnfStyle w:val="001000000000" w:firstRow="0" w:lastRow="0" w:firstColumn="1" w:lastColumn="0" w:oddVBand="0" w:evenVBand="0" w:oddHBand="0" w:evenHBand="0" w:firstRowFirstColumn="0" w:firstRowLastColumn="0" w:lastRowFirstColumn="0" w:lastRowLastColumn="0"/>
            <w:tcW w:w="2409" w:type="dxa"/>
            <w:vMerge/>
          </w:tcPr>
          <w:p w14:paraId="6CC2B9F6" w14:textId="77777777" w:rsidR="005F09EE" w:rsidRPr="005F09EE" w:rsidRDefault="005F09EE" w:rsidP="00430970">
            <w:pPr>
              <w:rPr>
                <w:rFonts w:eastAsia="Times New Roman" w:cs="Times New Roman"/>
                <w:b w:val="0"/>
                <w:bCs w:val="0"/>
                <w:color w:val="auto"/>
                <w:sz w:val="20"/>
                <w:szCs w:val="20"/>
                <w:lang w:eastAsia="pl-PL"/>
              </w:rPr>
            </w:pPr>
          </w:p>
        </w:tc>
        <w:tc>
          <w:tcPr>
            <w:tcW w:w="3969" w:type="dxa"/>
          </w:tcPr>
          <w:p w14:paraId="05650469" w14:textId="77777777" w:rsidR="005F09EE" w:rsidRPr="005F09EE" w:rsidRDefault="005F09EE"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Renty rodzinne</w:t>
            </w:r>
          </w:p>
        </w:tc>
        <w:tc>
          <w:tcPr>
            <w:tcW w:w="2689" w:type="dxa"/>
          </w:tcPr>
          <w:p w14:paraId="0F66F54E" w14:textId="77777777" w:rsidR="005F09EE" w:rsidRPr="005F09EE" w:rsidRDefault="005F09EE" w:rsidP="00430970">
            <w:pPr>
              <w:tabs>
                <w:tab w:val="left" w:pos="262"/>
              </w:tabs>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F09EE">
              <w:rPr>
                <w:rFonts w:cs="Times New Roman"/>
                <w:color w:val="auto"/>
                <w:sz w:val="20"/>
                <w:szCs w:val="20"/>
              </w:rPr>
              <w:t>1,9</w:t>
            </w:r>
          </w:p>
        </w:tc>
      </w:tr>
    </w:tbl>
    <w:p w14:paraId="7B3445E8" w14:textId="77777777" w:rsidR="005F09EE" w:rsidRPr="005F09EE" w:rsidRDefault="005F09EE" w:rsidP="005F09EE">
      <w:pPr>
        <w:tabs>
          <w:tab w:val="left" w:pos="5400"/>
        </w:tabs>
        <w:rPr>
          <w:rFonts w:eastAsia="Times New Roman" w:cs="Times New Roman"/>
          <w:b/>
          <w:szCs w:val="24"/>
          <w:lang w:eastAsia="pl-PL"/>
        </w:rPr>
      </w:pPr>
      <w:r w:rsidRPr="005F09EE">
        <w:rPr>
          <w:rFonts w:eastAsia="Times New Roman" w:cs="Times New Roman"/>
          <w:b/>
          <w:szCs w:val="24"/>
          <w:lang w:eastAsia="pl-PL"/>
        </w:rPr>
        <w:t xml:space="preserve">Źródło: GUS. </w:t>
      </w:r>
    </w:p>
    <w:p w14:paraId="60928789" w14:textId="77777777" w:rsidR="005F09EE" w:rsidRDefault="005F09EE" w:rsidP="000D7CDE">
      <w:pPr>
        <w:rPr>
          <w:rFonts w:cs="Times New Roman"/>
          <w:b/>
          <w:color w:val="FF0000"/>
          <w:szCs w:val="24"/>
          <w:lang w:eastAsia="ar-SA"/>
        </w:rPr>
      </w:pPr>
    </w:p>
    <w:p w14:paraId="21B0D505" w14:textId="792F368E" w:rsidR="00CB5554" w:rsidRDefault="00CB5554" w:rsidP="00CB5554">
      <w:pPr>
        <w:pStyle w:val="Nagwek3"/>
      </w:pPr>
      <w:bookmarkStart w:id="306" w:name="_Toc77514032"/>
      <w:bookmarkStart w:id="307" w:name="_Toc80523193"/>
      <w:r w:rsidRPr="00CB5554">
        <w:t>Sytuacja osób niepełnosprawnych i ich opiekunów</w:t>
      </w:r>
      <w:bookmarkEnd w:id="306"/>
      <w:bookmarkEnd w:id="307"/>
    </w:p>
    <w:p w14:paraId="234CECFC" w14:textId="77777777" w:rsidR="000B1B06" w:rsidRPr="000B1B06" w:rsidRDefault="000B1B06" w:rsidP="000B1B06"/>
    <w:p w14:paraId="17E8F7BC" w14:textId="29C31881" w:rsidR="00CB5554" w:rsidRDefault="004B0185" w:rsidP="00CB5554">
      <w:pPr>
        <w:rPr>
          <w:rFonts w:cs="Times New Roman"/>
          <w:szCs w:val="24"/>
        </w:rPr>
      </w:pPr>
      <w:r>
        <w:rPr>
          <w:rFonts w:cs="Times New Roman"/>
          <w:szCs w:val="24"/>
        </w:rPr>
        <w:t>Warmińsko-Mazurski</w:t>
      </w:r>
      <w:r w:rsidRPr="004B0185">
        <w:rPr>
          <w:rFonts w:cs="Times New Roman"/>
          <w:szCs w:val="24"/>
        </w:rPr>
        <w:t xml:space="preserve"> Urząd Wojewódzki nie dysponuje szczegółowymi danymi w</w:t>
      </w:r>
      <w:r w:rsidR="00DB4B66">
        <w:rPr>
          <w:rFonts w:cs="Times New Roman"/>
          <w:szCs w:val="24"/>
        </w:rPr>
        <w:t> </w:t>
      </w:r>
      <w:r w:rsidRPr="004B0185">
        <w:rPr>
          <w:rFonts w:cs="Times New Roman"/>
          <w:szCs w:val="24"/>
        </w:rPr>
        <w:t xml:space="preserve">przedmiotowym zakresie. </w:t>
      </w:r>
    </w:p>
    <w:p w14:paraId="0D6F07BB" w14:textId="778841C9" w:rsidR="004B0185" w:rsidRDefault="004B0185" w:rsidP="00CB5554">
      <w:pPr>
        <w:rPr>
          <w:rFonts w:cs="Times New Roman"/>
          <w:szCs w:val="24"/>
        </w:rPr>
      </w:pPr>
    </w:p>
    <w:p w14:paraId="4150A658" w14:textId="3F760E57" w:rsidR="004B0185" w:rsidRDefault="004B0185" w:rsidP="00DB4B66">
      <w:pPr>
        <w:rPr>
          <w:rFonts w:cs="Times New Roman"/>
          <w:szCs w:val="24"/>
        </w:rPr>
      </w:pPr>
      <w:r>
        <w:rPr>
          <w:rFonts w:cs="Times New Roman"/>
          <w:szCs w:val="24"/>
        </w:rPr>
        <w:t xml:space="preserve">Z </w:t>
      </w:r>
      <w:r w:rsidRPr="004B0185">
        <w:rPr>
          <w:rFonts w:cs="Times New Roman"/>
          <w:szCs w:val="24"/>
        </w:rPr>
        <w:t xml:space="preserve">Według Narodowego Spisu Powszechnego Ludności i Mieszkań </w:t>
      </w:r>
      <w:r>
        <w:rPr>
          <w:rFonts w:cs="Times New Roman"/>
          <w:szCs w:val="24"/>
        </w:rPr>
        <w:t xml:space="preserve">z </w:t>
      </w:r>
      <w:r w:rsidRPr="004B0185">
        <w:rPr>
          <w:rFonts w:cs="Times New Roman"/>
          <w:szCs w:val="24"/>
        </w:rPr>
        <w:t>2011</w:t>
      </w:r>
      <w:r>
        <w:rPr>
          <w:rFonts w:cs="Times New Roman"/>
          <w:szCs w:val="24"/>
        </w:rPr>
        <w:t xml:space="preserve"> r</w:t>
      </w:r>
      <w:r w:rsidR="0047037D">
        <w:rPr>
          <w:rFonts w:cs="Times New Roman"/>
          <w:szCs w:val="24"/>
        </w:rPr>
        <w:t>.</w:t>
      </w:r>
      <w:r>
        <w:rPr>
          <w:rFonts w:cs="Times New Roman"/>
          <w:szCs w:val="24"/>
        </w:rPr>
        <w:t xml:space="preserve"> na terenie województwa </w:t>
      </w:r>
      <w:r w:rsidR="00DB4B66">
        <w:rPr>
          <w:rFonts w:cs="Times New Roman"/>
          <w:szCs w:val="24"/>
        </w:rPr>
        <w:t xml:space="preserve">warmińsko-mazurskiego zamieszkiwały </w:t>
      </w:r>
      <w:r w:rsidR="00DB4B66" w:rsidRPr="00DB4B66">
        <w:rPr>
          <w:rFonts w:cs="Times New Roman"/>
          <w:szCs w:val="24"/>
        </w:rPr>
        <w:t>ogółem 197 293 osoby z</w:t>
      </w:r>
      <w:r w:rsidR="00DB4B66">
        <w:rPr>
          <w:rFonts w:cs="Times New Roman"/>
          <w:szCs w:val="24"/>
        </w:rPr>
        <w:t> </w:t>
      </w:r>
      <w:r w:rsidR="00DB4B66" w:rsidRPr="00DB4B66">
        <w:rPr>
          <w:rFonts w:cs="Times New Roman"/>
          <w:szCs w:val="24"/>
        </w:rPr>
        <w:t>niepełnosprawnościami, co stanowi 13,6% ogółu społeczeństwa tego</w:t>
      </w:r>
      <w:r w:rsidR="00DB4B66">
        <w:rPr>
          <w:rFonts w:cs="Times New Roman"/>
          <w:szCs w:val="24"/>
        </w:rPr>
        <w:t> </w:t>
      </w:r>
      <w:r w:rsidR="00DB4B66" w:rsidRPr="00DB4B66">
        <w:rPr>
          <w:rFonts w:cs="Times New Roman"/>
          <w:szCs w:val="24"/>
        </w:rPr>
        <w:t>regionu, tj. więcej o</w:t>
      </w:r>
      <w:r w:rsidR="00DB4B66">
        <w:rPr>
          <w:rFonts w:cs="Times New Roman"/>
          <w:szCs w:val="24"/>
        </w:rPr>
        <w:t> </w:t>
      </w:r>
      <w:r w:rsidR="00DB4B66" w:rsidRPr="00DB4B66">
        <w:rPr>
          <w:rFonts w:cs="Times New Roman"/>
          <w:szCs w:val="24"/>
        </w:rPr>
        <w:t>1,4% niż średnio w kraju</w:t>
      </w:r>
      <w:r w:rsidR="00DB4B66">
        <w:rPr>
          <w:rFonts w:cs="Times New Roman"/>
          <w:szCs w:val="24"/>
        </w:rPr>
        <w:t>, z czego:</w:t>
      </w:r>
    </w:p>
    <w:p w14:paraId="7D88F068" w14:textId="77777777" w:rsidR="006950E8" w:rsidRDefault="00DB4B66" w:rsidP="00FE70E3">
      <w:pPr>
        <w:pStyle w:val="Akapitzlist"/>
        <w:numPr>
          <w:ilvl w:val="0"/>
          <w:numId w:val="207"/>
        </w:numPr>
        <w:rPr>
          <w:rFonts w:cs="Times New Roman"/>
          <w:szCs w:val="24"/>
        </w:rPr>
      </w:pPr>
      <w:r w:rsidRPr="006950E8">
        <w:rPr>
          <w:rFonts w:cs="Times New Roman"/>
          <w:szCs w:val="24"/>
        </w:rPr>
        <w:t>144 082 to osoby niepełnosprawne prawnie tj. takie, które posiadają odpowiednie, aktualne orzeczenie wydane przez organ do tego uprawniony (73,03%),</w:t>
      </w:r>
    </w:p>
    <w:p w14:paraId="1758FB06" w14:textId="7D493BD2" w:rsidR="00DB4B66" w:rsidRPr="006950E8" w:rsidRDefault="00DB4B66" w:rsidP="00FE70E3">
      <w:pPr>
        <w:pStyle w:val="Akapitzlist"/>
        <w:numPr>
          <w:ilvl w:val="0"/>
          <w:numId w:val="207"/>
        </w:numPr>
        <w:rPr>
          <w:rFonts w:cs="Times New Roman"/>
          <w:szCs w:val="24"/>
        </w:rPr>
      </w:pPr>
      <w:r w:rsidRPr="006950E8">
        <w:rPr>
          <w:rFonts w:cs="Times New Roman"/>
          <w:szCs w:val="24"/>
        </w:rPr>
        <w:t>53 211 to osoby niepełnosprawne tylko biologicznie tj. takie, które nie posiadają aktualnego orzeczenia, ale mają (odczuwają) całkowicie lub poważnie ograniczoną zdolność do wykonywania podstawowych czynności. (26,97%).</w:t>
      </w:r>
    </w:p>
    <w:p w14:paraId="10DAE72C" w14:textId="1104AC81" w:rsidR="00DB4B66" w:rsidRDefault="00DB4B66" w:rsidP="00DB4B66">
      <w:pPr>
        <w:rPr>
          <w:rFonts w:cs="Times New Roman"/>
          <w:szCs w:val="24"/>
        </w:rPr>
      </w:pPr>
    </w:p>
    <w:p w14:paraId="7B5A8DDA" w14:textId="36ADC544" w:rsidR="00DB4B66" w:rsidRPr="00DB4B66" w:rsidRDefault="00DB4B66" w:rsidP="00DB4B66">
      <w:pPr>
        <w:rPr>
          <w:rFonts w:cs="Times New Roman"/>
          <w:szCs w:val="24"/>
        </w:rPr>
      </w:pPr>
      <w:r w:rsidRPr="00DB4B66">
        <w:rPr>
          <w:rFonts w:cs="Times New Roman"/>
          <w:szCs w:val="24"/>
        </w:rPr>
        <w:t>Z ogólnej liczby osób z niepełnosprawnościami</w:t>
      </w:r>
      <w:r>
        <w:rPr>
          <w:rStyle w:val="Odwoanieprzypisudolnego"/>
          <w:rFonts w:cs="Times New Roman"/>
          <w:szCs w:val="24"/>
        </w:rPr>
        <w:footnoteReference w:id="51"/>
      </w:r>
      <w:r>
        <w:rPr>
          <w:rFonts w:cs="Times New Roman"/>
          <w:szCs w:val="24"/>
        </w:rPr>
        <w:t xml:space="preserve"> </w:t>
      </w:r>
      <w:r w:rsidRPr="00DB4B66">
        <w:rPr>
          <w:rFonts w:cs="Times New Roman"/>
          <w:szCs w:val="24"/>
        </w:rPr>
        <w:t>największą grupę, tj. 97 000 (46,2%) stanowiły osoby w wieku 50-69, a najmniejszą</w:t>
      </w:r>
      <w:r>
        <w:rPr>
          <w:rFonts w:cs="Times New Roman"/>
          <w:szCs w:val="24"/>
        </w:rPr>
        <w:t xml:space="preserve"> </w:t>
      </w:r>
      <w:r w:rsidRPr="00DB4B66">
        <w:rPr>
          <w:rFonts w:cs="Times New Roman"/>
          <w:szCs w:val="24"/>
        </w:rPr>
        <w:t>w wieku 0-14 lat - 10 300 osób (4,9%). Liczba osób z niepełnosprawnościami w wieku</w:t>
      </w:r>
      <w:r>
        <w:rPr>
          <w:rFonts w:cs="Times New Roman"/>
          <w:szCs w:val="24"/>
        </w:rPr>
        <w:t xml:space="preserve"> </w:t>
      </w:r>
      <w:r w:rsidRPr="00DB4B66">
        <w:rPr>
          <w:rFonts w:cs="Times New Roman"/>
          <w:szCs w:val="24"/>
        </w:rPr>
        <w:t>aktywności zawodowej (15-69 lat) wyniosła 143 800 osób, co stanowiło 68,44% ogółu osób</w:t>
      </w:r>
      <w:r>
        <w:rPr>
          <w:rFonts w:cs="Times New Roman"/>
          <w:szCs w:val="24"/>
        </w:rPr>
        <w:t xml:space="preserve"> </w:t>
      </w:r>
      <w:r w:rsidRPr="00DB4B66">
        <w:rPr>
          <w:rFonts w:cs="Times New Roman"/>
          <w:szCs w:val="24"/>
        </w:rPr>
        <w:t>z niepełnosprawnościami.</w:t>
      </w:r>
      <w:r>
        <w:rPr>
          <w:rFonts w:cs="Times New Roman"/>
          <w:szCs w:val="24"/>
        </w:rPr>
        <w:t xml:space="preserve"> </w:t>
      </w:r>
      <w:r w:rsidRPr="00DB4B66">
        <w:rPr>
          <w:rFonts w:cs="Times New Roman"/>
          <w:szCs w:val="24"/>
        </w:rPr>
        <w:t>W latach 2015-2019 w</w:t>
      </w:r>
      <w:r>
        <w:rPr>
          <w:rFonts w:cs="Times New Roman"/>
          <w:szCs w:val="24"/>
        </w:rPr>
        <w:t> </w:t>
      </w:r>
      <w:r w:rsidRPr="00DB4B66">
        <w:rPr>
          <w:rFonts w:cs="Times New Roman"/>
          <w:szCs w:val="24"/>
        </w:rPr>
        <w:t>województwie warmińsko-mazurskim wydano łącznie 182 877 orzeczeń o</w:t>
      </w:r>
      <w:r>
        <w:rPr>
          <w:rFonts w:cs="Times New Roman"/>
          <w:szCs w:val="24"/>
        </w:rPr>
        <w:t> </w:t>
      </w:r>
      <w:r w:rsidRPr="00DB4B66">
        <w:rPr>
          <w:rFonts w:cs="Times New Roman"/>
          <w:szCs w:val="24"/>
        </w:rPr>
        <w:t>niepełnosprawności. W tej grupie ludności najczęściej występującym schorzeniem były upośledzenia narządu ruchu (56 953 osoby).</w:t>
      </w:r>
    </w:p>
    <w:p w14:paraId="55385CFE" w14:textId="43758524" w:rsidR="00CB5554" w:rsidRDefault="00CB5554" w:rsidP="000D7CDE">
      <w:pPr>
        <w:rPr>
          <w:rFonts w:cs="Times New Roman"/>
          <w:b/>
          <w:color w:val="FF0000"/>
          <w:szCs w:val="24"/>
          <w:lang w:eastAsia="ar-SA"/>
        </w:rPr>
      </w:pPr>
    </w:p>
    <w:p w14:paraId="0E1FFCA9" w14:textId="55C1F9AC" w:rsidR="00DB4B66" w:rsidRPr="00DB4B66" w:rsidRDefault="00DB4B66" w:rsidP="00DB4B66">
      <w:pPr>
        <w:rPr>
          <w:rFonts w:cs="Times New Roman"/>
          <w:bCs/>
          <w:szCs w:val="24"/>
          <w:lang w:eastAsia="ar-SA"/>
        </w:rPr>
      </w:pPr>
      <w:r w:rsidRPr="00DB4B66">
        <w:rPr>
          <w:rFonts w:cs="Times New Roman"/>
          <w:bCs/>
          <w:szCs w:val="24"/>
          <w:lang w:eastAsia="ar-SA"/>
        </w:rPr>
        <w:t>Od 1999 r. Samorząd Województwa Warmińsko-Mazurskiego realizuje programy wieloletnie na rzecz mieszkańców województwa z niepełnosprawnościami.</w:t>
      </w:r>
      <w:r w:rsidR="00705A74">
        <w:rPr>
          <w:rFonts w:cs="Times New Roman"/>
          <w:bCs/>
          <w:szCs w:val="24"/>
          <w:lang w:eastAsia="ar-SA"/>
        </w:rPr>
        <w:t xml:space="preserve"> </w:t>
      </w:r>
      <w:r w:rsidRPr="00DB4B66">
        <w:rPr>
          <w:rFonts w:cs="Times New Roman"/>
          <w:bCs/>
          <w:szCs w:val="24"/>
          <w:lang w:eastAsia="ar-SA"/>
        </w:rPr>
        <w:t>„Wojewódzki program wyrównywania szans i przeciwdziałaniu wykluczeniu</w:t>
      </w:r>
      <w:r w:rsidR="00705A74">
        <w:rPr>
          <w:rFonts w:cs="Times New Roman"/>
          <w:bCs/>
          <w:szCs w:val="24"/>
          <w:lang w:eastAsia="ar-SA"/>
        </w:rPr>
        <w:t xml:space="preserve"> </w:t>
      </w:r>
      <w:r w:rsidRPr="00DB4B66">
        <w:rPr>
          <w:rFonts w:cs="Times New Roman"/>
          <w:bCs/>
          <w:szCs w:val="24"/>
          <w:lang w:eastAsia="ar-SA"/>
        </w:rPr>
        <w:t xml:space="preserve">społecznemu oraz pomocy w realizacji zadań na rzecz zatrudniania osób niepełnosprawnych na lata 2016-2020” </w:t>
      </w:r>
      <w:r w:rsidR="00705A74">
        <w:rPr>
          <w:rFonts w:cs="Times New Roman"/>
          <w:bCs/>
          <w:szCs w:val="24"/>
          <w:lang w:eastAsia="ar-SA"/>
        </w:rPr>
        <w:t>był</w:t>
      </w:r>
      <w:r w:rsidRPr="00DB4B66">
        <w:rPr>
          <w:rFonts w:cs="Times New Roman"/>
          <w:bCs/>
          <w:szCs w:val="24"/>
          <w:lang w:eastAsia="ar-SA"/>
        </w:rPr>
        <w:t xml:space="preserve"> piątym programem, który </w:t>
      </w:r>
      <w:r w:rsidR="00705A74">
        <w:rPr>
          <w:rFonts w:cs="Times New Roman"/>
          <w:bCs/>
          <w:szCs w:val="24"/>
          <w:lang w:eastAsia="ar-SA"/>
        </w:rPr>
        <w:t>był</w:t>
      </w:r>
      <w:r w:rsidRPr="00DB4B66">
        <w:rPr>
          <w:rFonts w:cs="Times New Roman"/>
          <w:bCs/>
          <w:szCs w:val="24"/>
          <w:lang w:eastAsia="ar-SA"/>
        </w:rPr>
        <w:t xml:space="preserve"> systematycznie wdrażany i monitorowany. Jak wynika z informacji </w:t>
      </w:r>
      <w:r w:rsidRPr="00DB4B66">
        <w:rPr>
          <w:rFonts w:cs="Times New Roman"/>
          <w:bCs/>
          <w:szCs w:val="24"/>
          <w:lang w:eastAsia="ar-SA"/>
        </w:rPr>
        <w:lastRenderedPageBreak/>
        <w:t>uzyskanych z Państwowego Funduszu Rehabilitacji Osób</w:t>
      </w:r>
      <w:r w:rsidR="00705A74">
        <w:rPr>
          <w:rFonts w:cs="Times New Roman"/>
          <w:bCs/>
          <w:szCs w:val="24"/>
          <w:lang w:eastAsia="ar-SA"/>
        </w:rPr>
        <w:t xml:space="preserve"> </w:t>
      </w:r>
      <w:r w:rsidRPr="00DB4B66">
        <w:rPr>
          <w:rFonts w:cs="Times New Roman"/>
          <w:bCs/>
          <w:szCs w:val="24"/>
          <w:lang w:eastAsia="ar-SA"/>
        </w:rPr>
        <w:t xml:space="preserve">Niepełnosprawnych na temat </w:t>
      </w:r>
      <w:r w:rsidR="00705A74">
        <w:rPr>
          <w:rFonts w:cs="Times New Roman"/>
          <w:bCs/>
          <w:szCs w:val="24"/>
          <w:lang w:eastAsia="ar-SA"/>
        </w:rPr>
        <w:t xml:space="preserve"> ś</w:t>
      </w:r>
      <w:r w:rsidRPr="00DB4B66">
        <w:rPr>
          <w:rFonts w:cs="Times New Roman"/>
          <w:bCs/>
          <w:szCs w:val="24"/>
          <w:lang w:eastAsia="ar-SA"/>
        </w:rPr>
        <w:t>rodków finansowych przekazanych z Systemu Obsługi</w:t>
      </w:r>
      <w:r w:rsidR="00705A74">
        <w:rPr>
          <w:rFonts w:cs="Times New Roman"/>
          <w:bCs/>
          <w:szCs w:val="24"/>
          <w:lang w:eastAsia="ar-SA"/>
        </w:rPr>
        <w:t xml:space="preserve"> </w:t>
      </w:r>
      <w:r w:rsidRPr="00DB4B66">
        <w:rPr>
          <w:rFonts w:cs="Times New Roman"/>
          <w:bCs/>
          <w:szCs w:val="24"/>
          <w:lang w:eastAsia="ar-SA"/>
        </w:rPr>
        <w:t>Dofinansowań i Refundacji (SODIR) i wypłaconych beneficjentom, w województwie</w:t>
      </w:r>
      <w:r w:rsidR="00705A74">
        <w:rPr>
          <w:rFonts w:cs="Times New Roman"/>
          <w:bCs/>
          <w:szCs w:val="24"/>
          <w:lang w:eastAsia="ar-SA"/>
        </w:rPr>
        <w:t xml:space="preserve"> </w:t>
      </w:r>
      <w:r w:rsidRPr="00DB4B66">
        <w:rPr>
          <w:rFonts w:cs="Times New Roman"/>
          <w:bCs/>
          <w:szCs w:val="24"/>
          <w:lang w:eastAsia="ar-SA"/>
        </w:rPr>
        <w:t>warmińsko-mazurskim w 2019 r.</w:t>
      </w:r>
      <w:r w:rsidR="00705A74">
        <w:rPr>
          <w:rFonts w:cs="Times New Roman"/>
          <w:bCs/>
          <w:szCs w:val="24"/>
          <w:lang w:eastAsia="ar-SA"/>
        </w:rPr>
        <w:t xml:space="preserve"> </w:t>
      </w:r>
      <w:r w:rsidRPr="00DB4B66">
        <w:rPr>
          <w:rFonts w:cs="Times New Roman"/>
          <w:bCs/>
          <w:szCs w:val="24"/>
          <w:lang w:eastAsia="ar-SA"/>
        </w:rPr>
        <w:t>zatrudnionych było 13 346 osób z niepełnosprawnościami,</w:t>
      </w:r>
      <w:r w:rsidR="00705A74">
        <w:rPr>
          <w:rFonts w:cs="Times New Roman"/>
          <w:bCs/>
          <w:szCs w:val="24"/>
          <w:lang w:eastAsia="ar-SA"/>
        </w:rPr>
        <w:t xml:space="preserve"> </w:t>
      </w:r>
      <w:r w:rsidRPr="00DB4B66">
        <w:rPr>
          <w:rFonts w:cs="Times New Roman"/>
          <w:bCs/>
          <w:szCs w:val="24"/>
          <w:lang w:eastAsia="ar-SA"/>
        </w:rPr>
        <w:t>w tym:</w:t>
      </w:r>
    </w:p>
    <w:p w14:paraId="226172D1" w14:textId="77777777" w:rsidR="00DB4B66" w:rsidRPr="00DB4B66" w:rsidRDefault="00DB4B66" w:rsidP="00FE70E3">
      <w:pPr>
        <w:pStyle w:val="Akapitzlist"/>
        <w:numPr>
          <w:ilvl w:val="0"/>
          <w:numId w:val="73"/>
        </w:numPr>
        <w:rPr>
          <w:rFonts w:cs="Times New Roman"/>
          <w:bCs/>
          <w:szCs w:val="24"/>
          <w:lang w:eastAsia="ar-SA"/>
        </w:rPr>
      </w:pPr>
      <w:r w:rsidRPr="00DB4B66">
        <w:rPr>
          <w:rFonts w:cs="Times New Roman"/>
          <w:bCs/>
          <w:szCs w:val="24"/>
          <w:lang w:eastAsia="ar-SA"/>
        </w:rPr>
        <w:t>8 456 osób na otwartym rynku pracy,</w:t>
      </w:r>
    </w:p>
    <w:p w14:paraId="0E817BD7" w14:textId="2623393B" w:rsidR="00DB4B66" w:rsidRDefault="00DB4B66" w:rsidP="00FE70E3">
      <w:pPr>
        <w:pStyle w:val="Akapitzlist"/>
        <w:numPr>
          <w:ilvl w:val="0"/>
          <w:numId w:val="73"/>
        </w:numPr>
        <w:rPr>
          <w:rFonts w:cs="Times New Roman"/>
          <w:bCs/>
          <w:szCs w:val="24"/>
          <w:lang w:eastAsia="ar-SA"/>
        </w:rPr>
      </w:pPr>
      <w:r w:rsidRPr="00DB4B66">
        <w:rPr>
          <w:rFonts w:cs="Times New Roman"/>
          <w:bCs/>
          <w:szCs w:val="24"/>
          <w:lang w:eastAsia="ar-SA"/>
        </w:rPr>
        <w:t>4 890 osób na chronionym rynku pracy</w:t>
      </w:r>
      <w:r w:rsidR="00705A74">
        <w:rPr>
          <w:rFonts w:cs="Times New Roman"/>
          <w:bCs/>
          <w:szCs w:val="24"/>
          <w:lang w:eastAsia="ar-SA"/>
        </w:rPr>
        <w:t>.</w:t>
      </w:r>
    </w:p>
    <w:p w14:paraId="305744EE" w14:textId="5EC0E059" w:rsidR="008A089A" w:rsidRDefault="008A089A" w:rsidP="008A089A">
      <w:pPr>
        <w:rPr>
          <w:rFonts w:cs="Times New Roman"/>
          <w:bCs/>
          <w:szCs w:val="24"/>
          <w:lang w:eastAsia="ar-SA"/>
        </w:rPr>
      </w:pPr>
    </w:p>
    <w:p w14:paraId="0EC4B6C7" w14:textId="77777777" w:rsidR="008A089A" w:rsidRDefault="008A089A" w:rsidP="008A089A">
      <w:r>
        <w:t xml:space="preserve">Z informacji z Wojewódzkiego Urzędu Pracy w Olsztynie, Raportu z monitoringu jednostek administracji publicznej Województwa Warmińsko-Mazurskiego, Raportu monitoringu wdrażania w latach 2018-2019 „Wojewódzkiego programu wyrównywania szans i przeciwdziałaniu wykluczeniu społecznemu oraz pomocy w realizacji zadań na rzecz zatrudniania osób niepełnosprawnych na lata 2016-2020” powodem braku aktywności zawodowej osób z niepełnosprawnościami są między innymi: </w:t>
      </w:r>
    </w:p>
    <w:p w14:paraId="418C551C" w14:textId="77777777" w:rsidR="008A089A" w:rsidRPr="008A089A" w:rsidRDefault="008A089A" w:rsidP="00FE70E3">
      <w:pPr>
        <w:pStyle w:val="Akapitzlist"/>
        <w:numPr>
          <w:ilvl w:val="0"/>
          <w:numId w:val="74"/>
        </w:numPr>
        <w:rPr>
          <w:rFonts w:cs="Times New Roman"/>
          <w:bCs/>
          <w:szCs w:val="24"/>
          <w:lang w:eastAsia="ar-SA"/>
        </w:rPr>
      </w:pPr>
      <w:r>
        <w:t xml:space="preserve">bariery edukacyjno-kompetencyjne (niski poziom ich wykształcenia i kompetencji zawodowych), </w:t>
      </w:r>
    </w:p>
    <w:p w14:paraId="489D0C38" w14:textId="77777777" w:rsidR="008A089A" w:rsidRPr="008A089A" w:rsidRDefault="008A089A" w:rsidP="00FE70E3">
      <w:pPr>
        <w:pStyle w:val="Akapitzlist"/>
        <w:numPr>
          <w:ilvl w:val="0"/>
          <w:numId w:val="74"/>
        </w:numPr>
        <w:rPr>
          <w:rFonts w:cs="Times New Roman"/>
          <w:bCs/>
          <w:szCs w:val="24"/>
          <w:lang w:eastAsia="ar-SA"/>
        </w:rPr>
      </w:pPr>
      <w:r>
        <w:t xml:space="preserve">bariery instytucjonalne (np. niewystarczająca infrastruktura społeczna i bariery architektoniczne), </w:t>
      </w:r>
    </w:p>
    <w:p w14:paraId="3589D7BE" w14:textId="77777777" w:rsidR="008A089A" w:rsidRPr="008A089A" w:rsidRDefault="008A089A" w:rsidP="00FE70E3">
      <w:pPr>
        <w:pStyle w:val="Akapitzlist"/>
        <w:numPr>
          <w:ilvl w:val="0"/>
          <w:numId w:val="74"/>
        </w:numPr>
        <w:rPr>
          <w:rFonts w:cs="Times New Roman"/>
          <w:bCs/>
          <w:szCs w:val="24"/>
          <w:lang w:eastAsia="ar-SA"/>
        </w:rPr>
      </w:pPr>
      <w:r>
        <w:t>problemy organizacyjne (np. utrudniony dostęp do usług, słaba organizacja w społecznościach lokalnych, słaba mobilność przestrzenna osób z niepełnosprawnościami),</w:t>
      </w:r>
    </w:p>
    <w:p w14:paraId="245C6BC3" w14:textId="77777777" w:rsidR="008A089A" w:rsidRPr="008A089A" w:rsidRDefault="008A089A" w:rsidP="00FE70E3">
      <w:pPr>
        <w:pStyle w:val="Akapitzlist"/>
        <w:numPr>
          <w:ilvl w:val="0"/>
          <w:numId w:val="74"/>
        </w:numPr>
        <w:rPr>
          <w:rFonts w:cs="Times New Roman"/>
          <w:bCs/>
          <w:szCs w:val="24"/>
          <w:lang w:eastAsia="ar-SA"/>
        </w:rPr>
      </w:pPr>
      <w:r>
        <w:t>niekorzystne zapisy w orzecznictwie o niepełnosprawności, wydawanym przez ZUS do celów rentowych, dyskwalifikujące osobę z niepełnosprawnościami jako potencjalnego pracownika,</w:t>
      </w:r>
    </w:p>
    <w:p w14:paraId="0A8DC464" w14:textId="77777777" w:rsidR="008A089A" w:rsidRPr="008A089A" w:rsidRDefault="008A089A" w:rsidP="00FE70E3">
      <w:pPr>
        <w:pStyle w:val="Akapitzlist"/>
        <w:numPr>
          <w:ilvl w:val="0"/>
          <w:numId w:val="74"/>
        </w:numPr>
        <w:rPr>
          <w:rFonts w:cs="Times New Roman"/>
          <w:bCs/>
          <w:szCs w:val="24"/>
          <w:lang w:eastAsia="ar-SA"/>
        </w:rPr>
      </w:pPr>
      <w:r>
        <w:t xml:space="preserve">programy socjalne niekiedy demobilizujące do podjęcia aktywności zawodowej, </w:t>
      </w:r>
    </w:p>
    <w:p w14:paraId="286B945E" w14:textId="7BB3D869" w:rsidR="008A089A" w:rsidRPr="008A089A" w:rsidRDefault="008A089A" w:rsidP="00FE70E3">
      <w:pPr>
        <w:pStyle w:val="Akapitzlist"/>
        <w:numPr>
          <w:ilvl w:val="0"/>
          <w:numId w:val="74"/>
        </w:numPr>
        <w:rPr>
          <w:rFonts w:cs="Times New Roman"/>
          <w:bCs/>
          <w:szCs w:val="24"/>
          <w:lang w:eastAsia="ar-SA"/>
        </w:rPr>
      </w:pPr>
      <w:r>
        <w:t>brak dostępności architektonicznej, cyfrowej lub informacyjno-komunikacyjnej.</w:t>
      </w:r>
    </w:p>
    <w:p w14:paraId="3D823B2A" w14:textId="677C48CE" w:rsidR="008A089A" w:rsidRDefault="008A089A" w:rsidP="008A089A">
      <w:pPr>
        <w:rPr>
          <w:rFonts w:cs="Times New Roman"/>
          <w:bCs/>
          <w:szCs w:val="24"/>
          <w:lang w:eastAsia="ar-SA"/>
        </w:rPr>
      </w:pPr>
    </w:p>
    <w:p w14:paraId="2601E805" w14:textId="4BA1DE7E" w:rsidR="008A089A" w:rsidRPr="008A089A" w:rsidRDefault="008A089A" w:rsidP="008A089A">
      <w:pPr>
        <w:rPr>
          <w:lang w:eastAsia="ar-SA"/>
        </w:rPr>
      </w:pPr>
      <w:r w:rsidRPr="008A089A">
        <w:rPr>
          <w:lang w:eastAsia="ar-SA"/>
        </w:rPr>
        <w:t>Ograniczone możliwości zarobkowania oraz wysokie wydatki na opiekę zdrowotną,</w:t>
      </w:r>
      <w:r>
        <w:rPr>
          <w:lang w:eastAsia="ar-SA"/>
        </w:rPr>
        <w:t xml:space="preserve"> </w:t>
      </w:r>
      <w:r w:rsidRPr="008A089A">
        <w:rPr>
          <w:lang w:eastAsia="ar-SA"/>
        </w:rPr>
        <w:t>czy</w:t>
      </w:r>
      <w:r>
        <w:rPr>
          <w:lang w:eastAsia="ar-SA"/>
        </w:rPr>
        <w:t xml:space="preserve"> </w:t>
      </w:r>
      <w:r w:rsidRPr="008A089A">
        <w:rPr>
          <w:lang w:eastAsia="ar-SA"/>
        </w:rPr>
        <w:t>rehabilitację sprawiają, że gospodarstwa domowe z osobami z niepełnosprawnościami</w:t>
      </w:r>
      <w:r>
        <w:rPr>
          <w:lang w:eastAsia="ar-SA"/>
        </w:rPr>
        <w:t xml:space="preserve"> </w:t>
      </w:r>
      <w:r w:rsidRPr="008A089A">
        <w:rPr>
          <w:lang w:eastAsia="ar-SA"/>
        </w:rPr>
        <w:t>borykają</w:t>
      </w:r>
      <w:r>
        <w:rPr>
          <w:lang w:eastAsia="ar-SA"/>
        </w:rPr>
        <w:t xml:space="preserve"> </w:t>
      </w:r>
      <w:r w:rsidRPr="008A089A">
        <w:rPr>
          <w:lang w:eastAsia="ar-SA"/>
        </w:rPr>
        <w:t>się z kłopotami finansowymi, a nawet żyją na granicy ubóstwa. W procesie</w:t>
      </w:r>
      <w:r>
        <w:rPr>
          <w:lang w:eastAsia="ar-SA"/>
        </w:rPr>
        <w:t xml:space="preserve"> </w:t>
      </w:r>
      <w:r w:rsidRPr="008A089A">
        <w:rPr>
          <w:lang w:eastAsia="ar-SA"/>
        </w:rPr>
        <w:t>dążenia do zagwarantowania tym osobom równych praw do godnego życia, szczególne</w:t>
      </w:r>
      <w:r>
        <w:rPr>
          <w:lang w:eastAsia="ar-SA"/>
        </w:rPr>
        <w:t xml:space="preserve"> </w:t>
      </w:r>
      <w:r w:rsidRPr="008A089A">
        <w:rPr>
          <w:lang w:eastAsia="ar-SA"/>
        </w:rPr>
        <w:t>znaczenie ma zapewnienie poczucia bezpieczeństwa oraz stwarzanie warunków do</w:t>
      </w:r>
      <w:r>
        <w:rPr>
          <w:lang w:eastAsia="ar-SA"/>
        </w:rPr>
        <w:t xml:space="preserve"> </w:t>
      </w:r>
      <w:r w:rsidRPr="008A089A">
        <w:rPr>
          <w:lang w:eastAsia="ar-SA"/>
        </w:rPr>
        <w:t>przezwyciężenia trudnych sytuacji życiowych.</w:t>
      </w:r>
    </w:p>
    <w:p w14:paraId="666D30B0" w14:textId="77777777" w:rsidR="00DB4B66" w:rsidRDefault="00DB4B66" w:rsidP="000D7CDE">
      <w:pPr>
        <w:rPr>
          <w:rFonts w:cs="Times New Roman"/>
          <w:b/>
          <w:color w:val="FF0000"/>
          <w:szCs w:val="24"/>
          <w:lang w:eastAsia="ar-SA"/>
        </w:rPr>
      </w:pPr>
    </w:p>
    <w:p w14:paraId="496528F9" w14:textId="592C3BB7" w:rsidR="00CB5554" w:rsidRDefault="00CB5554" w:rsidP="00CB5554">
      <w:pPr>
        <w:pStyle w:val="Nagwek3"/>
      </w:pPr>
      <w:bookmarkStart w:id="308" w:name="_Toc77514033"/>
      <w:bookmarkStart w:id="309" w:name="_Toc80523194"/>
      <w:r w:rsidRPr="00CB5554">
        <w:t xml:space="preserve">Działania i inicjatywy realizowane na rzecz osób starszych w województwie </w:t>
      </w:r>
      <w:r>
        <w:t>warmińsko-mazurskim</w:t>
      </w:r>
      <w:bookmarkEnd w:id="308"/>
      <w:bookmarkEnd w:id="309"/>
    </w:p>
    <w:p w14:paraId="6857A736" w14:textId="05B69F4F" w:rsidR="00C164D7" w:rsidRDefault="00C164D7" w:rsidP="00CB5554">
      <w:pPr>
        <w:rPr>
          <w:rFonts w:cs="Times New Roman"/>
          <w:szCs w:val="24"/>
        </w:rPr>
      </w:pPr>
    </w:p>
    <w:p w14:paraId="5F1C9CD5" w14:textId="2F10F374" w:rsidR="00C164D7" w:rsidRPr="00C164D7" w:rsidRDefault="00C164D7" w:rsidP="00C164D7">
      <w:pPr>
        <w:rPr>
          <w:rFonts w:cs="Times New Roman"/>
          <w:szCs w:val="24"/>
        </w:rPr>
      </w:pPr>
      <w:r w:rsidRPr="00C164D7">
        <w:rPr>
          <w:rFonts w:cs="Times New Roman"/>
          <w:szCs w:val="24"/>
        </w:rPr>
        <w:t>Wojewoda Warmińsko-Mazurski w drodze otwartego konkursu ofert dla organizacji, o których mowa w art. 3 ust. 2 ustawy z dnia 24 kwietnia 2003 r. o działalności pożytku publicznego i o wolontariacie oraz podmiotów wymienionych w art. 3 ust. 3 tej ustawy, prowadzących działalność w zakresie pomocy społecznej (zgodnie z art. 25 ustawy z dnia 12 marca 2004 r. o pomocy społecznej), w 2020</w:t>
      </w:r>
      <w:r w:rsidR="0047037D">
        <w:rPr>
          <w:rFonts w:cs="Times New Roman"/>
          <w:szCs w:val="24"/>
        </w:rPr>
        <w:t xml:space="preserve"> r.</w:t>
      </w:r>
      <w:r w:rsidRPr="00C164D7">
        <w:rPr>
          <w:rFonts w:cs="Times New Roman"/>
          <w:szCs w:val="24"/>
        </w:rPr>
        <w:t xml:space="preserve"> przekazał środki na realizację działań w ramach konkursu pn. „Aktywizacja i przeciwdziałanie marginalizacji osób starszych”.</w:t>
      </w:r>
      <w:r w:rsidR="006950E8">
        <w:rPr>
          <w:rFonts w:cs="Times New Roman"/>
          <w:szCs w:val="24"/>
        </w:rPr>
        <w:t xml:space="preserve"> </w:t>
      </w:r>
      <w:r w:rsidRPr="00C164D7">
        <w:rPr>
          <w:rFonts w:cs="Times New Roman"/>
          <w:szCs w:val="24"/>
        </w:rPr>
        <w:t xml:space="preserve">W ramach środków przeznaczonych na realizację ww. zadania rozdysponowano na podmioty uprawnione środki w </w:t>
      </w:r>
      <w:r w:rsidRPr="00C164D7">
        <w:rPr>
          <w:rFonts w:cs="Times New Roman"/>
          <w:szCs w:val="24"/>
        </w:rPr>
        <w:lastRenderedPageBreak/>
        <w:t>łącznej wysokości 96.850,00 zł, na realizację 5 projektów.</w:t>
      </w:r>
      <w:r w:rsidR="006950E8">
        <w:rPr>
          <w:rFonts w:cs="Times New Roman"/>
          <w:szCs w:val="24"/>
        </w:rPr>
        <w:t xml:space="preserve"> </w:t>
      </w:r>
      <w:r w:rsidRPr="00C164D7">
        <w:rPr>
          <w:rFonts w:cs="Times New Roman"/>
          <w:szCs w:val="24"/>
        </w:rPr>
        <w:t>Głównymi założeniami ww. konkursu było:</w:t>
      </w:r>
    </w:p>
    <w:p w14:paraId="29CCDC0A" w14:textId="77777777" w:rsidR="006950E8" w:rsidRDefault="00C164D7" w:rsidP="00FE70E3">
      <w:pPr>
        <w:pStyle w:val="Akapitzlist"/>
        <w:numPr>
          <w:ilvl w:val="0"/>
          <w:numId w:val="208"/>
        </w:numPr>
        <w:rPr>
          <w:rFonts w:cs="Times New Roman"/>
          <w:szCs w:val="24"/>
        </w:rPr>
      </w:pPr>
      <w:r w:rsidRPr="006950E8">
        <w:rPr>
          <w:rFonts w:cs="Times New Roman"/>
          <w:szCs w:val="24"/>
        </w:rPr>
        <w:t>Podniesienie aktywności i świadomości społecznej osób starszych, poprzez poszerzenie oferty kulturalnej i edukacyjnej oraz poprawę jej jakości.</w:t>
      </w:r>
    </w:p>
    <w:p w14:paraId="2B590352" w14:textId="77777777" w:rsidR="006950E8" w:rsidRDefault="00C164D7" w:rsidP="00FE70E3">
      <w:pPr>
        <w:pStyle w:val="Akapitzlist"/>
        <w:numPr>
          <w:ilvl w:val="0"/>
          <w:numId w:val="208"/>
        </w:numPr>
        <w:rPr>
          <w:rFonts w:cs="Times New Roman"/>
          <w:szCs w:val="24"/>
        </w:rPr>
      </w:pPr>
      <w:r w:rsidRPr="006950E8">
        <w:rPr>
          <w:rFonts w:cs="Times New Roman"/>
          <w:szCs w:val="24"/>
        </w:rPr>
        <w:t>Zmniejszenie stopnia marginalizacji seniorów w sferze społecznej, poprzez kreowanie pozytywnego wizerunku osoby starszej i przełamywanie stereotypów dotyczących starości, funkcjonujących nie tylko wśród młodszego pokolenia, lecz również samych seniorów.</w:t>
      </w:r>
    </w:p>
    <w:p w14:paraId="371933A0" w14:textId="487AD563" w:rsidR="00C164D7" w:rsidRPr="006950E8" w:rsidRDefault="00C164D7" w:rsidP="00FE70E3">
      <w:pPr>
        <w:pStyle w:val="Akapitzlist"/>
        <w:numPr>
          <w:ilvl w:val="0"/>
          <w:numId w:val="208"/>
        </w:numPr>
        <w:rPr>
          <w:rFonts w:cs="Times New Roman"/>
          <w:szCs w:val="24"/>
        </w:rPr>
      </w:pPr>
      <w:r w:rsidRPr="006950E8">
        <w:rPr>
          <w:rFonts w:cs="Times New Roman"/>
          <w:szCs w:val="24"/>
        </w:rPr>
        <w:t>Wzrost poczucia własnej wartości, aspiracji, lepszego rozpoznawania własnych możliwości rozwojowych przez seniorów.</w:t>
      </w:r>
    </w:p>
    <w:p w14:paraId="5CDE5B1D" w14:textId="77777777" w:rsidR="00C164D7" w:rsidRPr="00C164D7" w:rsidRDefault="00C164D7" w:rsidP="00C164D7">
      <w:pPr>
        <w:rPr>
          <w:rFonts w:cs="Times New Roman"/>
          <w:szCs w:val="24"/>
        </w:rPr>
      </w:pPr>
      <w:r w:rsidRPr="00C164D7">
        <w:rPr>
          <w:rFonts w:cs="Times New Roman"/>
          <w:szCs w:val="24"/>
        </w:rPr>
        <w:t>Realizacja programu przebiegała w zakresie:</w:t>
      </w:r>
    </w:p>
    <w:p w14:paraId="590D8E29" w14:textId="77777777" w:rsidR="006950E8" w:rsidRDefault="00C164D7" w:rsidP="00FE70E3">
      <w:pPr>
        <w:pStyle w:val="Akapitzlist"/>
        <w:numPr>
          <w:ilvl w:val="0"/>
          <w:numId w:val="209"/>
        </w:numPr>
        <w:rPr>
          <w:rFonts w:cs="Times New Roman"/>
          <w:szCs w:val="24"/>
        </w:rPr>
      </w:pPr>
      <w:r w:rsidRPr="006950E8">
        <w:rPr>
          <w:rFonts w:cs="Times New Roman"/>
          <w:szCs w:val="24"/>
        </w:rPr>
        <w:t>wsparcia klubów samopomocowych (poza klubami dofinansowanymi w ramach programu Senior +),</w:t>
      </w:r>
    </w:p>
    <w:p w14:paraId="558A77D8" w14:textId="77777777" w:rsidR="006950E8" w:rsidRDefault="00C164D7" w:rsidP="00FE70E3">
      <w:pPr>
        <w:pStyle w:val="Akapitzlist"/>
        <w:numPr>
          <w:ilvl w:val="0"/>
          <w:numId w:val="209"/>
        </w:numPr>
        <w:rPr>
          <w:rFonts w:cs="Times New Roman"/>
          <w:szCs w:val="24"/>
        </w:rPr>
      </w:pPr>
      <w:r w:rsidRPr="006950E8">
        <w:rPr>
          <w:rFonts w:cs="Times New Roman"/>
          <w:szCs w:val="24"/>
        </w:rPr>
        <w:t>włączenia osób starszych w działania na rzecz środowiska lokalnego,</w:t>
      </w:r>
    </w:p>
    <w:p w14:paraId="71C39AD4" w14:textId="701E4D5A" w:rsidR="00C164D7" w:rsidRPr="006950E8" w:rsidRDefault="00C164D7" w:rsidP="00FE70E3">
      <w:pPr>
        <w:pStyle w:val="Akapitzlist"/>
        <w:numPr>
          <w:ilvl w:val="0"/>
          <w:numId w:val="209"/>
        </w:numPr>
        <w:rPr>
          <w:rFonts w:cs="Times New Roman"/>
          <w:szCs w:val="24"/>
        </w:rPr>
      </w:pPr>
      <w:r w:rsidRPr="006950E8">
        <w:rPr>
          <w:rFonts w:cs="Times New Roman"/>
          <w:szCs w:val="24"/>
        </w:rPr>
        <w:t>umożliwienia rozwoju zainteresowań, organizację zajęć edukacyjno-kulturalnych i sportowo- rekreacyjnych w miejscu zamieszkania.</w:t>
      </w:r>
    </w:p>
    <w:p w14:paraId="7817A23C" w14:textId="77777777" w:rsidR="00C164D7" w:rsidRPr="00C164D7" w:rsidRDefault="00C164D7" w:rsidP="00C164D7">
      <w:pPr>
        <w:rPr>
          <w:rFonts w:cs="Times New Roman"/>
          <w:szCs w:val="24"/>
        </w:rPr>
      </w:pPr>
      <w:r w:rsidRPr="00C164D7">
        <w:rPr>
          <w:rFonts w:cs="Times New Roman"/>
          <w:szCs w:val="24"/>
        </w:rPr>
        <w:t>Przedmiotowe cele zostały osiągnięte w wymiarze określonym w złożonych ofertach.</w:t>
      </w:r>
    </w:p>
    <w:p w14:paraId="60598D7C" w14:textId="77777777" w:rsidR="006950E8" w:rsidRDefault="006950E8" w:rsidP="00C164D7">
      <w:pPr>
        <w:rPr>
          <w:rFonts w:cs="Times New Roman"/>
          <w:szCs w:val="24"/>
        </w:rPr>
      </w:pPr>
    </w:p>
    <w:p w14:paraId="45845E06" w14:textId="089B7F09" w:rsidR="00C164D7" w:rsidRPr="00C164D7" w:rsidRDefault="00C164D7" w:rsidP="00C164D7">
      <w:pPr>
        <w:rPr>
          <w:rFonts w:cs="Times New Roman"/>
          <w:szCs w:val="24"/>
        </w:rPr>
      </w:pPr>
      <w:r w:rsidRPr="00C164D7">
        <w:rPr>
          <w:rFonts w:cs="Times New Roman"/>
          <w:szCs w:val="24"/>
        </w:rPr>
        <w:t xml:space="preserve">Samorząd Województwa Warmińsko-Mazurskiego realizował </w:t>
      </w:r>
      <w:r w:rsidR="006950E8">
        <w:rPr>
          <w:rFonts w:cs="Times New Roman"/>
          <w:szCs w:val="24"/>
        </w:rPr>
        <w:t xml:space="preserve">również </w:t>
      </w:r>
      <w:r w:rsidRPr="00C164D7">
        <w:rPr>
          <w:rFonts w:cs="Times New Roman"/>
          <w:szCs w:val="24"/>
        </w:rPr>
        <w:t>wiele programów na rzecz osób starszych, w tym m.in.:</w:t>
      </w:r>
    </w:p>
    <w:p w14:paraId="1CC73464" w14:textId="325E7A21" w:rsidR="006950E8" w:rsidRDefault="00C164D7" w:rsidP="00FE70E3">
      <w:pPr>
        <w:pStyle w:val="Akapitzlist"/>
        <w:numPr>
          <w:ilvl w:val="0"/>
          <w:numId w:val="210"/>
        </w:numPr>
        <w:rPr>
          <w:rFonts w:cs="Times New Roman"/>
          <w:szCs w:val="24"/>
        </w:rPr>
      </w:pPr>
      <w:r w:rsidRPr="006950E8">
        <w:rPr>
          <w:rFonts w:cs="Times New Roman"/>
          <w:szCs w:val="24"/>
        </w:rPr>
        <w:t>Regionalny Program Operacyjny Województwa Warmińsko-Mazurskiego na lata 2014-2020.</w:t>
      </w:r>
      <w:r w:rsidR="006950E8">
        <w:rPr>
          <w:rFonts w:cs="Times New Roman"/>
          <w:szCs w:val="24"/>
        </w:rPr>
        <w:t xml:space="preserve"> </w:t>
      </w:r>
      <w:r w:rsidRPr="006950E8">
        <w:rPr>
          <w:rFonts w:cs="Times New Roman"/>
          <w:szCs w:val="24"/>
        </w:rPr>
        <w:t>W ramach Działania 10.7 "Aktywne i zdrowe starzenie się" Regionalnego Programu Operacyjnego Województwa Warmińsko-Mazurskiego na lata 2014-2020, w 2020 r</w:t>
      </w:r>
      <w:r w:rsidR="0047037D">
        <w:rPr>
          <w:rFonts w:cs="Times New Roman"/>
          <w:szCs w:val="24"/>
        </w:rPr>
        <w:t>.</w:t>
      </w:r>
      <w:r w:rsidRPr="006950E8">
        <w:rPr>
          <w:rFonts w:cs="Times New Roman"/>
          <w:szCs w:val="24"/>
        </w:rPr>
        <w:t xml:space="preserve"> wsparciem w formie programów zdrowotnych objęto ponad 5 814 aktywnych zawodowo mieszkańców województwa, ze szczególnym uwzględnieniem osób powyżej 50 roku życia.</w:t>
      </w:r>
    </w:p>
    <w:p w14:paraId="62700EA8" w14:textId="77777777" w:rsidR="006950E8" w:rsidRDefault="00C164D7" w:rsidP="00FE70E3">
      <w:pPr>
        <w:pStyle w:val="Akapitzlist"/>
        <w:numPr>
          <w:ilvl w:val="0"/>
          <w:numId w:val="210"/>
        </w:numPr>
        <w:rPr>
          <w:rFonts w:cs="Times New Roman"/>
          <w:szCs w:val="24"/>
        </w:rPr>
      </w:pPr>
      <w:r w:rsidRPr="006950E8">
        <w:rPr>
          <w:rFonts w:cs="Times New Roman"/>
          <w:szCs w:val="24"/>
        </w:rPr>
        <w:t>Program „Polityka senioralna województwa warmińsko-mazurskiego na lata 2014-2020”:</w:t>
      </w:r>
    </w:p>
    <w:p w14:paraId="7C40ACC1" w14:textId="77777777" w:rsidR="006950E8" w:rsidRDefault="00C164D7" w:rsidP="00FE70E3">
      <w:pPr>
        <w:pStyle w:val="Akapitzlist"/>
        <w:numPr>
          <w:ilvl w:val="1"/>
          <w:numId w:val="210"/>
        </w:numPr>
        <w:rPr>
          <w:rFonts w:cs="Times New Roman"/>
          <w:szCs w:val="24"/>
        </w:rPr>
      </w:pPr>
      <w:r w:rsidRPr="006950E8">
        <w:rPr>
          <w:rFonts w:cs="Times New Roman"/>
          <w:szCs w:val="24"/>
        </w:rPr>
        <w:t>Zagadnienia dotyczące aktywizacji osób starszych uwzględnione zostały w rocznym Programie współpracy Samorządu Województwa Warmińsko-Mazurskiego z organizacjami pozarządowymi oraz podmiotami wymienionymi w art. 3 ust. 3 ustawy o działalności pożytku publicznego i o wolontariacie na rok 2020, przyjętym Uchwałą Nr XII/188/19 Sejmiku Województwa Warmińsko-Mazurskiego z dnia 26 listopada 2019 r. m.in. w obszarze pomocy społecznej, edukacji, profilaktyki i promocji zdrowia publicznego, kultury i ochrony dziedzictwa kulturowego oraz rozwoju kultury fizycznej.</w:t>
      </w:r>
      <w:r w:rsidR="006950E8">
        <w:rPr>
          <w:rFonts w:cs="Times New Roman"/>
          <w:szCs w:val="24"/>
        </w:rPr>
        <w:t xml:space="preserve"> </w:t>
      </w:r>
      <w:r w:rsidRPr="006950E8">
        <w:rPr>
          <w:rFonts w:cs="Times New Roman"/>
          <w:szCs w:val="24"/>
        </w:rPr>
        <w:t>Jednym z najnowszych priorytetów współpracy z organizacjami pozarządowymi, ujętym w ww. Programie na wniosek organizacji seniorskich, był Priorytet XIV Działalność na rzecz osób w wieku emerytalnym. Prezentuje on zadania skierowane do osób w wieku emerytalnym, mieszkańców naszego regionu, które szczegółowo opisane są w innych priorytetach współpracy. Celem ogólnym realizowanych w powyższym zakresie zadań było: zwiększenie aktywnego udziału osób w wieku emerytalnym w życiu społecznym, kulturalnym oraz edukacyjnym. Osiągnięte wskaźniki dot. działalności na rzecz osób w wieku emerytalnym:</w:t>
      </w:r>
    </w:p>
    <w:p w14:paraId="48A85153" w14:textId="6D801A9A" w:rsidR="006950E8" w:rsidRDefault="00C164D7" w:rsidP="00FE70E3">
      <w:pPr>
        <w:pStyle w:val="Akapitzlist"/>
        <w:numPr>
          <w:ilvl w:val="2"/>
          <w:numId w:val="210"/>
        </w:numPr>
        <w:rPr>
          <w:rFonts w:cs="Times New Roman"/>
          <w:szCs w:val="24"/>
        </w:rPr>
      </w:pPr>
      <w:r w:rsidRPr="006950E8">
        <w:rPr>
          <w:rFonts w:cs="Times New Roman"/>
          <w:szCs w:val="24"/>
        </w:rPr>
        <w:t xml:space="preserve">W zakresie rozwoju kultury fizycznej zlecono realizację 6 zadań na rzecz seniorów (1 zadanie nie zostało zrealizowane z uwagi na pandemię), m.in. </w:t>
      </w:r>
      <w:r w:rsidRPr="006950E8">
        <w:rPr>
          <w:rFonts w:cs="Times New Roman"/>
          <w:szCs w:val="24"/>
        </w:rPr>
        <w:lastRenderedPageBreak/>
        <w:t>w zakresie propagowania i promowania aktywności fizycznej osób starszych, w których uczestniczyło łącznie 409 osób (łączna kwota przekazanych dotacji: 62 257 zł)</w:t>
      </w:r>
      <w:r w:rsidR="00D6492C">
        <w:rPr>
          <w:rFonts w:cs="Times New Roman"/>
          <w:szCs w:val="24"/>
        </w:rPr>
        <w:t>.</w:t>
      </w:r>
    </w:p>
    <w:p w14:paraId="083C2343" w14:textId="77777777" w:rsidR="006950E8" w:rsidRDefault="00C164D7" w:rsidP="00FE70E3">
      <w:pPr>
        <w:pStyle w:val="Akapitzlist"/>
        <w:numPr>
          <w:ilvl w:val="2"/>
          <w:numId w:val="210"/>
        </w:numPr>
        <w:rPr>
          <w:rFonts w:cs="Times New Roman"/>
          <w:szCs w:val="24"/>
        </w:rPr>
      </w:pPr>
      <w:r w:rsidRPr="006950E8">
        <w:rPr>
          <w:rFonts w:cs="Times New Roman"/>
          <w:szCs w:val="24"/>
        </w:rPr>
        <w:t>W zakresie pomocy społecznej zlecono 6 zadań, w których uczestniczyło 195 osób (łączna kwota dotacji: 65 000 zł). Były to zadania polegające na aktywizowaniu osób starszych, budowaniu i promowaniu ich pozytywnego wizerunku, w tym m.in.: dofinansowano działalność Wojewódzkich Rzeczników Praw Osób Starszych, zrealizowano warsztaty/kursy aktywizujące seniorów, w tym m.in. szkolenia z zakresu wolontariatu dla seniorów, promowano pozytywny wizerunek seniorów.</w:t>
      </w:r>
    </w:p>
    <w:p w14:paraId="173ADCA0" w14:textId="77777777" w:rsidR="006950E8" w:rsidRDefault="00C164D7" w:rsidP="00FE70E3">
      <w:pPr>
        <w:pStyle w:val="Akapitzlist"/>
        <w:numPr>
          <w:ilvl w:val="2"/>
          <w:numId w:val="210"/>
        </w:numPr>
        <w:rPr>
          <w:rFonts w:cs="Times New Roman"/>
          <w:szCs w:val="24"/>
        </w:rPr>
      </w:pPr>
      <w:r w:rsidRPr="006950E8">
        <w:rPr>
          <w:rFonts w:cs="Times New Roman"/>
          <w:szCs w:val="24"/>
        </w:rPr>
        <w:t>W zakresie kultury i ochrony dziedzictwa kulturowego zlecono 7 zadań, w tym 1 z zakresu współpracy międzypokoleniowej w których uczestniczyło łącznie 1 412 osób (łączna kwota przekazanych dotacji: 53 000 zł).</w:t>
      </w:r>
    </w:p>
    <w:p w14:paraId="33775DD0" w14:textId="77777777" w:rsidR="006950E8" w:rsidRDefault="00C164D7" w:rsidP="006950E8">
      <w:pPr>
        <w:pStyle w:val="Akapitzlist"/>
        <w:ind w:left="1080"/>
        <w:rPr>
          <w:rFonts w:cs="Times New Roman"/>
          <w:szCs w:val="24"/>
        </w:rPr>
      </w:pPr>
      <w:r w:rsidRPr="006950E8">
        <w:rPr>
          <w:rFonts w:cs="Times New Roman"/>
          <w:szCs w:val="24"/>
        </w:rPr>
        <w:t>Łącznie zlecono 19 zadań bezpośrednio dedykowanych seniorom (również w zakresie integracji międzypokoleniowej), w których wzięło udział ok. 2 016 osób. Kwota udzielonych dotacji to: 180 257 zł. Należy przy tym podkreślić, że Seniorzy brali udział również w innych zadaniach zlecanych przez Samorząd Województwa Warmińsko-Mazurskiego kierowanych do mieszkańców regionu.</w:t>
      </w:r>
    </w:p>
    <w:p w14:paraId="652DA152" w14:textId="77777777" w:rsidR="006950E8" w:rsidRDefault="00C164D7" w:rsidP="00FE70E3">
      <w:pPr>
        <w:pStyle w:val="Akapitzlist"/>
        <w:numPr>
          <w:ilvl w:val="1"/>
          <w:numId w:val="210"/>
        </w:numPr>
        <w:rPr>
          <w:rFonts w:cs="Times New Roman"/>
          <w:szCs w:val="24"/>
        </w:rPr>
      </w:pPr>
      <w:r w:rsidRPr="006950E8">
        <w:rPr>
          <w:rFonts w:cs="Times New Roman"/>
          <w:szCs w:val="24"/>
        </w:rPr>
        <w:t xml:space="preserve">Rok 2020 był drugim rokiem działalności Społecznej Rady Seniorów Województwa Warmińsko-Mazurskiego, powołanej Zarządzeniem Marszałka Województwa Warmińsko- Mazurskiego. W związku z zaistniałą sytuacją wynikającą z pandemii odbyło się jedno posiedzenie Rady w formule tradycyjnej oraz trzy spotkania w formule on-line. Podczas zrealizowanych posiedzeń omawiano m.in. następujące tematy: prawa pacjenta w obszarze opieki zdrowotnej, działania Rady Działalności Pożytku Publicznego Woj. W-M, Rady Dialogu Społecznego Woj. W-M, zasady otwartego konkursu ofert dla organizacji pozarządowych, opracowywanie projektu programu „Polityka senioralna województwa warmińsko- mazurskiego na lata 2021-2027”, </w:t>
      </w:r>
      <w:proofErr w:type="spellStart"/>
      <w:r w:rsidRPr="006950E8">
        <w:rPr>
          <w:rFonts w:cs="Times New Roman"/>
          <w:szCs w:val="24"/>
        </w:rPr>
        <w:t>deinstytucjonalizacja</w:t>
      </w:r>
      <w:proofErr w:type="spellEnd"/>
      <w:r w:rsidRPr="006950E8">
        <w:rPr>
          <w:rFonts w:cs="Times New Roman"/>
          <w:szCs w:val="24"/>
        </w:rPr>
        <w:t xml:space="preserve"> usług dla osób starszych oraz zmagania seniorów związane z pandemią COVID-19.</w:t>
      </w:r>
    </w:p>
    <w:p w14:paraId="22A68BD0" w14:textId="44C9B31A" w:rsidR="00C164D7" w:rsidRPr="006950E8" w:rsidRDefault="00C164D7" w:rsidP="00FE70E3">
      <w:pPr>
        <w:pStyle w:val="Akapitzlist"/>
        <w:numPr>
          <w:ilvl w:val="1"/>
          <w:numId w:val="210"/>
        </w:numPr>
        <w:rPr>
          <w:rFonts w:cs="Times New Roman"/>
          <w:szCs w:val="24"/>
        </w:rPr>
      </w:pPr>
      <w:r w:rsidRPr="006950E8">
        <w:rPr>
          <w:rFonts w:cs="Times New Roman"/>
          <w:szCs w:val="24"/>
        </w:rPr>
        <w:t>W 2020 r</w:t>
      </w:r>
      <w:r w:rsidR="0047037D">
        <w:rPr>
          <w:rFonts w:cs="Times New Roman"/>
          <w:szCs w:val="24"/>
        </w:rPr>
        <w:t>.</w:t>
      </w:r>
      <w:r w:rsidRPr="006950E8">
        <w:rPr>
          <w:rFonts w:cs="Times New Roman"/>
          <w:szCs w:val="24"/>
        </w:rPr>
        <w:t xml:space="preserve"> opracowano projekt programu „Polityka senioralna województwa warmińsko- mazurskiego na lata 2021-2027”, który został przyjęty przez Zarząd Województwa Warmińsko-Mazurskiego w grudniu 2020 r. i skierowany do konsultacji społecznych. Działania podejmowane w ramach ww. Programu mają wpływ na zwiększenie udziału osób starszych w życiu publicznym, społecznym, gospodarczym i kulturalnym Regionu. Przyczyniają się tym samym do rozwoju społeczeństwa obywatelskiego, sprzyjają również integracji i współpracy podmiotów publicznych oraz pozarządowych. Ostatecznie program został przyjęty do wdrażania w marcu 2021 r. na mocy uchwały Zarządu Województwa Warmińsko-Mazurskiego.</w:t>
      </w:r>
    </w:p>
    <w:p w14:paraId="6F9BE179" w14:textId="77777777" w:rsidR="006950E8" w:rsidRDefault="006950E8" w:rsidP="00C164D7">
      <w:pPr>
        <w:rPr>
          <w:rFonts w:cs="Times New Roman"/>
          <w:szCs w:val="24"/>
        </w:rPr>
      </w:pPr>
    </w:p>
    <w:p w14:paraId="0F07FEDD" w14:textId="77777777" w:rsidR="00A74BAA" w:rsidRDefault="00A74BAA" w:rsidP="00C164D7">
      <w:pPr>
        <w:rPr>
          <w:rFonts w:cs="Times New Roman"/>
          <w:b/>
          <w:bCs/>
          <w:szCs w:val="24"/>
        </w:rPr>
      </w:pPr>
      <w:r w:rsidRPr="00A74BAA">
        <w:rPr>
          <w:rFonts w:cs="Times New Roman"/>
          <w:b/>
          <w:bCs/>
          <w:szCs w:val="24"/>
        </w:rPr>
        <w:t>Przykłady dobrych praktyk na poziomie powiatu, gminy.</w:t>
      </w:r>
    </w:p>
    <w:p w14:paraId="4108174F" w14:textId="3EDAC2AD" w:rsidR="00C164D7" w:rsidRDefault="00C164D7" w:rsidP="00C164D7">
      <w:pPr>
        <w:rPr>
          <w:rFonts w:cs="Times New Roman"/>
          <w:szCs w:val="24"/>
        </w:rPr>
      </w:pPr>
      <w:r w:rsidRPr="00C164D7">
        <w:rPr>
          <w:rFonts w:cs="Times New Roman"/>
          <w:szCs w:val="24"/>
        </w:rPr>
        <w:t>Miasto na prawach powiatu Elbląg : wysokiej jakości usługi społeczne dla osób starszych i ich rodzin w Elblągu - okres realizacji 1</w:t>
      </w:r>
      <w:r w:rsidR="00D6492C">
        <w:rPr>
          <w:rFonts w:cs="Times New Roman"/>
          <w:szCs w:val="24"/>
        </w:rPr>
        <w:t xml:space="preserve"> kwietnia </w:t>
      </w:r>
      <w:r w:rsidRPr="00C164D7">
        <w:rPr>
          <w:rFonts w:cs="Times New Roman"/>
          <w:szCs w:val="24"/>
        </w:rPr>
        <w:t xml:space="preserve">2019 r. </w:t>
      </w:r>
      <w:r w:rsidR="00D6492C">
        <w:rPr>
          <w:rFonts w:cs="Times New Roman"/>
          <w:szCs w:val="24"/>
        </w:rPr>
        <w:t>–</w:t>
      </w:r>
      <w:r w:rsidRPr="00C164D7">
        <w:rPr>
          <w:rFonts w:cs="Times New Roman"/>
          <w:szCs w:val="24"/>
        </w:rPr>
        <w:t xml:space="preserve"> 31</w:t>
      </w:r>
      <w:r w:rsidR="00D6492C">
        <w:rPr>
          <w:rFonts w:cs="Times New Roman"/>
          <w:szCs w:val="24"/>
        </w:rPr>
        <w:t xml:space="preserve"> marca </w:t>
      </w:r>
      <w:r w:rsidRPr="00C164D7">
        <w:rPr>
          <w:rFonts w:cs="Times New Roman"/>
          <w:szCs w:val="24"/>
        </w:rPr>
        <w:t xml:space="preserve">2020 r. Cel - podniesienie stopnia postaw prospołecznych oraz aktywnego udziału w życiu społecznym i poprawa sytuacji </w:t>
      </w:r>
      <w:r w:rsidRPr="00C164D7">
        <w:rPr>
          <w:rFonts w:cs="Times New Roman"/>
          <w:szCs w:val="24"/>
        </w:rPr>
        <w:lastRenderedPageBreak/>
        <w:t>rodzinnej 42 osób zagrożonych ubóstwem i/lub wykluczeniem społecznym.</w:t>
      </w:r>
      <w:r w:rsidR="00A74BAA">
        <w:rPr>
          <w:rFonts w:cs="Times New Roman"/>
          <w:szCs w:val="24"/>
        </w:rPr>
        <w:t xml:space="preserve"> </w:t>
      </w:r>
      <w:r w:rsidRPr="00C164D7">
        <w:rPr>
          <w:rFonts w:cs="Times New Roman"/>
          <w:szCs w:val="24"/>
        </w:rPr>
        <w:t xml:space="preserve">Działaniami projektowymi objęto 42 osoby w wieku od 60 roku życia. Odbyły się warsztaty tematyczne - artystyczne, taneczne, rękodzielnicze, kulinarne, florystyczne, </w:t>
      </w:r>
      <w:proofErr w:type="spellStart"/>
      <w:r w:rsidRPr="00C164D7">
        <w:rPr>
          <w:rFonts w:cs="Times New Roman"/>
          <w:szCs w:val="24"/>
        </w:rPr>
        <w:t>poezjoterapii</w:t>
      </w:r>
      <w:proofErr w:type="spellEnd"/>
      <w:r w:rsidRPr="00C164D7">
        <w:rPr>
          <w:rFonts w:cs="Times New Roman"/>
          <w:szCs w:val="24"/>
        </w:rPr>
        <w:t>, radzenia sobie ze stresem, koła zainteresowań- historyczne, geograficzne, poradnictwa specjalistycznego - prawnego, dietetycznego, diabetologicznego, psychologicznego.</w:t>
      </w:r>
    </w:p>
    <w:p w14:paraId="7EA82E37" w14:textId="77777777" w:rsidR="00A74BAA" w:rsidRPr="00C164D7" w:rsidRDefault="00A74BAA" w:rsidP="00C164D7">
      <w:pPr>
        <w:rPr>
          <w:rFonts w:cs="Times New Roman"/>
          <w:szCs w:val="24"/>
        </w:rPr>
      </w:pPr>
    </w:p>
    <w:p w14:paraId="4EFBB9E4" w14:textId="1501F768" w:rsidR="00C164D7" w:rsidRDefault="00C164D7" w:rsidP="00C164D7">
      <w:pPr>
        <w:rPr>
          <w:rFonts w:cs="Times New Roman"/>
          <w:szCs w:val="24"/>
        </w:rPr>
      </w:pPr>
      <w:r w:rsidRPr="00C164D7">
        <w:rPr>
          <w:rFonts w:cs="Times New Roman"/>
          <w:szCs w:val="24"/>
        </w:rPr>
        <w:t>Gmina Iława - Uczestnictwo osób starszych w ramach "Klubów seniora" w zajęciach edukacyjnych w zakresie przeciwdziałania dyskryminacji ze względu na wiek: z psychologiem, nauka języka angielskiego.</w:t>
      </w:r>
    </w:p>
    <w:p w14:paraId="1E334134" w14:textId="6CB02F32" w:rsidR="00C164D7" w:rsidRPr="00C164D7" w:rsidRDefault="00C164D7" w:rsidP="00C164D7">
      <w:pPr>
        <w:rPr>
          <w:rFonts w:cs="Times New Roman"/>
          <w:szCs w:val="24"/>
        </w:rPr>
      </w:pPr>
    </w:p>
    <w:p w14:paraId="2F591A8B" w14:textId="77777777" w:rsidR="00C164D7" w:rsidRPr="00C164D7" w:rsidRDefault="00C164D7" w:rsidP="00C164D7">
      <w:pPr>
        <w:rPr>
          <w:rFonts w:cs="Times New Roman"/>
          <w:szCs w:val="24"/>
        </w:rPr>
      </w:pPr>
      <w:r w:rsidRPr="00C164D7">
        <w:rPr>
          <w:rFonts w:cs="Times New Roman"/>
          <w:szCs w:val="24"/>
        </w:rPr>
        <w:t>Miasto Bartoszyce</w:t>
      </w:r>
    </w:p>
    <w:p w14:paraId="085C183F" w14:textId="3798BC76" w:rsidR="00C164D7" w:rsidRPr="00C164D7" w:rsidRDefault="00C164D7" w:rsidP="00C164D7">
      <w:pPr>
        <w:rPr>
          <w:rFonts w:cs="Times New Roman"/>
          <w:szCs w:val="24"/>
        </w:rPr>
      </w:pPr>
      <w:r w:rsidRPr="00C164D7">
        <w:rPr>
          <w:rFonts w:cs="Times New Roman"/>
          <w:szCs w:val="24"/>
        </w:rPr>
        <w:t xml:space="preserve">Działania skierowane do seniorów były realizowane m.in. w ramach Programu Wieloletniego "Senior+" Edycja 2020, w tym głównie: zajęcia ukierunkowane na utrzymanie lub zwiększenie aktywności ruchowej seniorów (gimnastyka, w tym również na świeżym powietrzu oraz aerobik); zajęcia "stolikowe " - rękodzielnicze (m.in. </w:t>
      </w:r>
      <w:proofErr w:type="spellStart"/>
      <w:r w:rsidRPr="00C164D7">
        <w:rPr>
          <w:rFonts w:cs="Times New Roman"/>
          <w:szCs w:val="24"/>
        </w:rPr>
        <w:t>decupage</w:t>
      </w:r>
      <w:proofErr w:type="spellEnd"/>
      <w:r w:rsidRPr="00C164D7">
        <w:rPr>
          <w:rFonts w:cs="Times New Roman"/>
          <w:szCs w:val="24"/>
        </w:rPr>
        <w:t xml:space="preserve">, </w:t>
      </w:r>
      <w:proofErr w:type="spellStart"/>
      <w:r w:rsidRPr="00C164D7">
        <w:rPr>
          <w:rFonts w:cs="Times New Roman"/>
          <w:szCs w:val="24"/>
        </w:rPr>
        <w:t>makrama</w:t>
      </w:r>
      <w:proofErr w:type="spellEnd"/>
      <w:r w:rsidRPr="00C164D7">
        <w:rPr>
          <w:rFonts w:cs="Times New Roman"/>
          <w:szCs w:val="24"/>
        </w:rPr>
        <w:t>, metaloplastyka ), przygotowanie kart okolicznościowych, ozdób świątecznych, drobnych upominków dla zapraszanych gości, jak również uczestników Domu z okazji imienin czy jubileuszy. Odbyły się zajęcia muzyczne, w trakcie których seniorzy oraz zespół śpiewaczy Srebrne nuty(11osobowy) przygotowywali programy artystyczno-muzyczne, które prezentowali, m.in. podczas wizyty w DPS w Bartoszycach w dniu 15</w:t>
      </w:r>
      <w:r w:rsidR="00D6492C">
        <w:rPr>
          <w:rFonts w:cs="Times New Roman"/>
          <w:szCs w:val="24"/>
        </w:rPr>
        <w:t xml:space="preserve"> stycznia </w:t>
      </w:r>
      <w:r w:rsidRPr="00C164D7">
        <w:rPr>
          <w:rFonts w:cs="Times New Roman"/>
          <w:szCs w:val="24"/>
        </w:rPr>
        <w:t>20r. (repertuar bożenarodzeniowy pt. "Po kolędzie"), miały miejsce wspólne spotkania okolicznościowe z członkami Klubu Seniora, m.in. z okazji "Dnia Babci i Dziadka" (16</w:t>
      </w:r>
      <w:r w:rsidR="00D6492C">
        <w:rPr>
          <w:rFonts w:cs="Times New Roman"/>
          <w:szCs w:val="24"/>
        </w:rPr>
        <w:t xml:space="preserve"> stycznia </w:t>
      </w:r>
      <w:r w:rsidRPr="00C164D7">
        <w:rPr>
          <w:rFonts w:cs="Times New Roman"/>
          <w:szCs w:val="24"/>
        </w:rPr>
        <w:t>20 r.), Walentynek (13</w:t>
      </w:r>
      <w:r w:rsidR="00D6492C">
        <w:rPr>
          <w:rFonts w:cs="Times New Roman"/>
          <w:szCs w:val="24"/>
        </w:rPr>
        <w:t xml:space="preserve"> lutego </w:t>
      </w:r>
      <w:r w:rsidRPr="00C164D7">
        <w:rPr>
          <w:rFonts w:cs="Times New Roman"/>
          <w:szCs w:val="24"/>
        </w:rPr>
        <w:t xml:space="preserve">20r.) Występy przygotowywane były we współpracy z grupą teatralno-wokalną (4osobową); zajęcia edukacyjne w zakresie dietetyki-wspólne przygotowywanie tygodniowych jadłospisów, pogadanki edukacyjne na temat zasad zdrowego żywienia. Dodatkowo, uzupełnieniem zajęć były również spotkania z pielęgniarką, która dbała o stan zdrowia uczestników poprzez m.in. pomiary poziomu cukru we krwi, mierzenie ciśnienia krwi, pogadanki z zakresu zdrowego stylu życia, prawidłowej diety, higieny. Odbyły się spotkania integracyjne, tematyczne i rekreacyjne, w trakcie których organizowano wspólnie spotkania z członkami Klubu Seniora, m.in. spotkanie przy muzyce, </w:t>
      </w:r>
      <w:proofErr w:type="spellStart"/>
      <w:r w:rsidRPr="00C164D7">
        <w:rPr>
          <w:rFonts w:cs="Times New Roman"/>
          <w:szCs w:val="24"/>
        </w:rPr>
        <w:t>pn</w:t>
      </w:r>
      <w:proofErr w:type="spellEnd"/>
      <w:r w:rsidRPr="00C164D7">
        <w:rPr>
          <w:rFonts w:cs="Times New Roman"/>
          <w:szCs w:val="24"/>
        </w:rPr>
        <w:t>."Noworoczne spotkanie" (31</w:t>
      </w:r>
      <w:r w:rsidR="00D6492C">
        <w:rPr>
          <w:rFonts w:cs="Times New Roman"/>
          <w:szCs w:val="24"/>
        </w:rPr>
        <w:t xml:space="preserve"> stycznia </w:t>
      </w:r>
      <w:r w:rsidRPr="00C164D7">
        <w:rPr>
          <w:rFonts w:cs="Times New Roman"/>
          <w:szCs w:val="24"/>
        </w:rPr>
        <w:t>20r), zabawa taneczna "Ostatkowa" (21</w:t>
      </w:r>
      <w:r w:rsidR="00D6492C">
        <w:rPr>
          <w:rFonts w:cs="Times New Roman"/>
          <w:szCs w:val="24"/>
        </w:rPr>
        <w:t xml:space="preserve"> lutego </w:t>
      </w:r>
      <w:r w:rsidRPr="00C164D7">
        <w:rPr>
          <w:rFonts w:cs="Times New Roman"/>
          <w:szCs w:val="24"/>
        </w:rPr>
        <w:t>20r). W 2020 r</w:t>
      </w:r>
      <w:r w:rsidR="0047037D">
        <w:rPr>
          <w:rFonts w:cs="Times New Roman"/>
          <w:szCs w:val="24"/>
        </w:rPr>
        <w:t>.</w:t>
      </w:r>
      <w:r w:rsidRPr="00C164D7">
        <w:rPr>
          <w:rFonts w:cs="Times New Roman"/>
          <w:szCs w:val="24"/>
        </w:rPr>
        <w:t xml:space="preserve"> w ramach realizacji Programu szeroko pojętą aktywnością objętych było 24 seniorów, natomiast 171 seniorów członków Klubu Seniora, Bartoszyckiego Uniwersytetu Trzeciego Wieku skorzystało z usług edukacyjnych, kulturalno- oświatowych, aktywności ruchowej i społecznej, w tym wolontariatu międzypokoleniowego.</w:t>
      </w:r>
    </w:p>
    <w:p w14:paraId="604EAA16" w14:textId="77777777" w:rsidR="00A74BAA" w:rsidRDefault="00A74BAA" w:rsidP="00C164D7">
      <w:pPr>
        <w:rPr>
          <w:rFonts w:cs="Times New Roman"/>
          <w:szCs w:val="24"/>
        </w:rPr>
      </w:pPr>
    </w:p>
    <w:p w14:paraId="501AE2E1" w14:textId="34168DE7" w:rsidR="00C164D7" w:rsidRPr="00C164D7" w:rsidRDefault="00C164D7" w:rsidP="00C164D7">
      <w:pPr>
        <w:rPr>
          <w:rFonts w:cs="Times New Roman"/>
          <w:szCs w:val="24"/>
        </w:rPr>
      </w:pPr>
      <w:r w:rsidRPr="00C164D7">
        <w:rPr>
          <w:rFonts w:cs="Times New Roman"/>
          <w:szCs w:val="24"/>
        </w:rPr>
        <w:t>Gmina Frombork</w:t>
      </w:r>
    </w:p>
    <w:p w14:paraId="43ED3762" w14:textId="2F6459DA" w:rsidR="00C164D7" w:rsidRDefault="00C164D7" w:rsidP="00C164D7">
      <w:pPr>
        <w:rPr>
          <w:rFonts w:cs="Times New Roman"/>
          <w:szCs w:val="24"/>
        </w:rPr>
      </w:pPr>
      <w:r w:rsidRPr="00C164D7">
        <w:rPr>
          <w:rFonts w:cs="Times New Roman"/>
          <w:szCs w:val="24"/>
        </w:rPr>
        <w:t>Od 2019</w:t>
      </w:r>
      <w:r w:rsidR="0047037D">
        <w:rPr>
          <w:rFonts w:cs="Times New Roman"/>
          <w:szCs w:val="24"/>
        </w:rPr>
        <w:t xml:space="preserve"> </w:t>
      </w:r>
      <w:r w:rsidRPr="00C164D7">
        <w:rPr>
          <w:rFonts w:cs="Times New Roman"/>
          <w:szCs w:val="24"/>
        </w:rPr>
        <w:t>r</w:t>
      </w:r>
      <w:r w:rsidR="0047037D">
        <w:rPr>
          <w:rFonts w:cs="Times New Roman"/>
          <w:szCs w:val="24"/>
        </w:rPr>
        <w:t>.</w:t>
      </w:r>
      <w:r w:rsidRPr="00C164D7">
        <w:rPr>
          <w:rFonts w:cs="Times New Roman"/>
          <w:szCs w:val="24"/>
        </w:rPr>
        <w:t xml:space="preserve"> do lutego 202</w:t>
      </w:r>
      <w:r w:rsidR="006D786D">
        <w:rPr>
          <w:rFonts w:cs="Times New Roman"/>
          <w:szCs w:val="24"/>
        </w:rPr>
        <w:t xml:space="preserve">0 </w:t>
      </w:r>
      <w:r w:rsidRPr="00C164D7">
        <w:rPr>
          <w:rFonts w:cs="Times New Roman"/>
          <w:szCs w:val="24"/>
        </w:rPr>
        <w:t>r</w:t>
      </w:r>
      <w:r w:rsidR="006D786D">
        <w:rPr>
          <w:rFonts w:cs="Times New Roman"/>
          <w:szCs w:val="24"/>
        </w:rPr>
        <w:t>.</w:t>
      </w:r>
      <w:r w:rsidRPr="00C164D7">
        <w:rPr>
          <w:rFonts w:cs="Times New Roman"/>
          <w:szCs w:val="24"/>
        </w:rPr>
        <w:t xml:space="preserve"> realizowany był projekt" Wysokiej jakości usługi społeczne dla osób starszych w gminach Frombork i Braniewo". Łącznie w I </w:t>
      </w:r>
      <w:proofErr w:type="spellStart"/>
      <w:r w:rsidRPr="00C164D7">
        <w:rPr>
          <w:rFonts w:cs="Times New Roman"/>
          <w:szCs w:val="24"/>
        </w:rPr>
        <w:t>i</w:t>
      </w:r>
      <w:proofErr w:type="spellEnd"/>
      <w:r w:rsidRPr="00C164D7">
        <w:rPr>
          <w:rFonts w:cs="Times New Roman"/>
          <w:szCs w:val="24"/>
        </w:rPr>
        <w:t xml:space="preserve"> II edycji skorzystało z wsparcia 28 osób powyżej 60</w:t>
      </w:r>
      <w:r w:rsidR="0047037D">
        <w:rPr>
          <w:rFonts w:cs="Times New Roman"/>
          <w:szCs w:val="24"/>
        </w:rPr>
        <w:t xml:space="preserve"> </w:t>
      </w:r>
      <w:r w:rsidRPr="00C164D7">
        <w:rPr>
          <w:rFonts w:cs="Times New Roman"/>
          <w:szCs w:val="24"/>
        </w:rPr>
        <w:t>r</w:t>
      </w:r>
      <w:r w:rsidR="0047037D">
        <w:rPr>
          <w:rFonts w:cs="Times New Roman"/>
          <w:szCs w:val="24"/>
        </w:rPr>
        <w:t>oku</w:t>
      </w:r>
      <w:r w:rsidRPr="00C164D7">
        <w:rPr>
          <w:rFonts w:cs="Times New Roman"/>
          <w:szCs w:val="24"/>
        </w:rPr>
        <w:t xml:space="preserve"> życia z gminy Frombork. Celem projektu było podniesienie aktywności społecznej i poprawa sytuacji rodzinnej osób powyżej 60 roku życia i ich rodzin, zagrożonych ryzykiem ubóstwa oraz wykluczeniem społecznym z wielu powodów. Każdy uczestnik został poddany diagnozie potrzeb przez zespół specjalistów. Na jej podstawie dla każdego uczestnika przygotowano indywidualną ścieżkę reintegracji, obejmująca przynajmniej trzy typy wsparcia określone w projekcie. Wspomniane wsparcie obejmowało:</w:t>
      </w:r>
      <w:r w:rsidR="00A74BAA">
        <w:rPr>
          <w:rFonts w:cs="Times New Roman"/>
          <w:szCs w:val="24"/>
        </w:rPr>
        <w:t xml:space="preserve"> </w:t>
      </w:r>
      <w:r w:rsidRPr="00C164D7">
        <w:rPr>
          <w:rFonts w:cs="Times New Roman"/>
          <w:szCs w:val="24"/>
        </w:rPr>
        <w:t xml:space="preserve">poradnictwo </w:t>
      </w:r>
      <w:r w:rsidRPr="00C164D7">
        <w:rPr>
          <w:rFonts w:cs="Times New Roman"/>
          <w:szCs w:val="24"/>
        </w:rPr>
        <w:lastRenderedPageBreak/>
        <w:t>specjalistyczne (prawne, mediacyjne, z tematyki: profilaktyki zdrowia, rodzinnej, zdrowego żywienia, gospodarowania budżetem oraz inne, w zależności od potrzeb), wsparcie psychologa, cykle edukacyjne (szkoła dla rodziców, gospodarowanie budżetem domowym, żywienie, higiena), usługi opiekuńcze dla osób starszych i niepełnosprawnych oraz dzieci.</w:t>
      </w:r>
    </w:p>
    <w:p w14:paraId="5CDE743B" w14:textId="468463EC" w:rsidR="00A74BAA" w:rsidRDefault="00A74BAA" w:rsidP="00C164D7">
      <w:pPr>
        <w:rPr>
          <w:rFonts w:cs="Times New Roman"/>
          <w:szCs w:val="24"/>
        </w:rPr>
      </w:pPr>
    </w:p>
    <w:p w14:paraId="0811F5FD" w14:textId="56F4B57E" w:rsidR="00A74BAA" w:rsidRPr="00C164D7" w:rsidRDefault="00A74BAA" w:rsidP="00A74BAA">
      <w:pPr>
        <w:rPr>
          <w:rFonts w:cs="Times New Roman"/>
          <w:szCs w:val="24"/>
        </w:rPr>
      </w:pPr>
      <w:r w:rsidRPr="00C164D7">
        <w:rPr>
          <w:rFonts w:cs="Times New Roman"/>
          <w:szCs w:val="24"/>
        </w:rPr>
        <w:t>W 2020</w:t>
      </w:r>
      <w:r w:rsidR="0047037D">
        <w:rPr>
          <w:rFonts w:cs="Times New Roman"/>
          <w:szCs w:val="24"/>
        </w:rPr>
        <w:t xml:space="preserve"> r.</w:t>
      </w:r>
      <w:r w:rsidRPr="00C164D7">
        <w:rPr>
          <w:rFonts w:cs="Times New Roman"/>
          <w:szCs w:val="24"/>
        </w:rPr>
        <w:t xml:space="preserve"> obchodziliśmy w województwie warmińsko-mazurskim 25-lecie Uniwersytetów Trzeciego Wieku Warmii i Mazur z okazji powstania w 1995</w:t>
      </w:r>
      <w:r w:rsidR="0047037D">
        <w:rPr>
          <w:rFonts w:cs="Times New Roman"/>
          <w:szCs w:val="24"/>
        </w:rPr>
        <w:t xml:space="preserve"> r.</w:t>
      </w:r>
      <w:r w:rsidRPr="00C164D7">
        <w:rPr>
          <w:rFonts w:cs="Times New Roman"/>
          <w:szCs w:val="24"/>
        </w:rPr>
        <w:t xml:space="preserve"> pierwszego w regionie UTW - Warmińsko-Mazurskiego Uniwersytetu Trzeciego Wieku w Olsztynie. Ten ważny jubileusz, niestety z powodu izolacji społecznej, nie mógł być obchodzony w sposób wcześniej zaplanowany (w formie konferencji, debat i wystaw). Jednak na podstawie materiałów uzyskanych od Uniwersytetów Trzeciego Wieku Samorząd Województwa Warmińsko-Mazurskiego wydał z tej okazji broszurę informującą o działalności UTW w regionie.</w:t>
      </w:r>
    </w:p>
    <w:p w14:paraId="3B8568CB" w14:textId="77777777" w:rsidR="00A74BAA" w:rsidRPr="00C164D7" w:rsidRDefault="00A74BAA" w:rsidP="00C164D7">
      <w:pPr>
        <w:rPr>
          <w:rFonts w:cs="Times New Roman"/>
          <w:szCs w:val="24"/>
        </w:rPr>
      </w:pPr>
    </w:p>
    <w:p w14:paraId="7E72730E" w14:textId="77777777" w:rsidR="00C164D7" w:rsidRPr="00A74BAA" w:rsidRDefault="00C164D7" w:rsidP="00C164D7">
      <w:pPr>
        <w:rPr>
          <w:rFonts w:cs="Times New Roman"/>
          <w:b/>
          <w:bCs/>
          <w:szCs w:val="24"/>
        </w:rPr>
      </w:pPr>
      <w:r w:rsidRPr="00A74BAA">
        <w:rPr>
          <w:rFonts w:cs="Times New Roman"/>
          <w:b/>
          <w:bCs/>
          <w:szCs w:val="24"/>
        </w:rPr>
        <w:t>Przykłady innowacyjnych rozwiązań.</w:t>
      </w:r>
    </w:p>
    <w:p w14:paraId="07B4D2BB" w14:textId="67F89BA9" w:rsidR="00C164D7" w:rsidRDefault="00C164D7" w:rsidP="00C164D7">
      <w:pPr>
        <w:rPr>
          <w:rFonts w:cs="Times New Roman"/>
          <w:szCs w:val="24"/>
        </w:rPr>
      </w:pPr>
      <w:r w:rsidRPr="00C164D7">
        <w:rPr>
          <w:rFonts w:cs="Times New Roman"/>
          <w:szCs w:val="24"/>
        </w:rPr>
        <w:t>Aby zapobiec wykluczeniu cyfrowemu seniorów, w ramach zajęć z aktywności i integracji społecznej w Gminie Bartoszyce prowadzone były z seniorami zajęcia komputerowe, w ramach których byli oni zapoznawani z zasadami bezpiecznego korzystania z komputerów, Internetu, portali społecznościowych. Zajęcia te spowodowały łatwiejszy wzajemny kontakt z innymi uczestnikami Domu poprzez dostępne środki komunikacji, m.in. Messenger, WhatsApp. Również dały większą możliwość terapeutom kontaktu wizualnego z uczestnikami Domu poprzez wykorzystanie kamerki internetowej, podczas np. nieobecności uczestnika na zajęciach stacjonarnych lub też podczas prowadzonych zajęć " zdalnych".</w:t>
      </w:r>
    </w:p>
    <w:p w14:paraId="47789B54" w14:textId="77777777" w:rsidR="00A74BAA" w:rsidRPr="00C164D7" w:rsidRDefault="00A74BAA" w:rsidP="00C164D7">
      <w:pPr>
        <w:rPr>
          <w:rFonts w:cs="Times New Roman"/>
          <w:szCs w:val="24"/>
        </w:rPr>
      </w:pPr>
    </w:p>
    <w:p w14:paraId="265D8BBB" w14:textId="237F3909" w:rsidR="00C164D7" w:rsidRDefault="00C164D7" w:rsidP="00C164D7">
      <w:pPr>
        <w:rPr>
          <w:rFonts w:cs="Times New Roman"/>
          <w:szCs w:val="24"/>
        </w:rPr>
      </w:pPr>
      <w:r w:rsidRPr="00C164D7">
        <w:rPr>
          <w:rFonts w:cs="Times New Roman"/>
          <w:szCs w:val="24"/>
        </w:rPr>
        <w:t>W 2020 r</w:t>
      </w:r>
      <w:r w:rsidR="0047037D">
        <w:rPr>
          <w:rFonts w:cs="Times New Roman"/>
          <w:szCs w:val="24"/>
        </w:rPr>
        <w:t>.</w:t>
      </w:r>
      <w:r w:rsidRPr="00C164D7">
        <w:rPr>
          <w:rFonts w:cs="Times New Roman"/>
          <w:szCs w:val="24"/>
        </w:rPr>
        <w:t xml:space="preserve"> kontynuowano uruchamianie usług </w:t>
      </w:r>
      <w:proofErr w:type="spellStart"/>
      <w:r w:rsidRPr="00C164D7">
        <w:rPr>
          <w:rFonts w:cs="Times New Roman"/>
          <w:szCs w:val="24"/>
        </w:rPr>
        <w:t>teleopiekuńczych</w:t>
      </w:r>
      <w:proofErr w:type="spellEnd"/>
      <w:r w:rsidRPr="00C164D7">
        <w:rPr>
          <w:rFonts w:cs="Times New Roman"/>
          <w:szCs w:val="24"/>
        </w:rPr>
        <w:t>. Dzięki partnerskiej współpracy Samorządu Województwa z samorządami gminnymi w 2020 r</w:t>
      </w:r>
      <w:r w:rsidR="0047037D">
        <w:rPr>
          <w:rFonts w:cs="Times New Roman"/>
          <w:szCs w:val="24"/>
        </w:rPr>
        <w:t>.</w:t>
      </w:r>
      <w:r w:rsidRPr="00C164D7">
        <w:rPr>
          <w:rFonts w:cs="Times New Roman"/>
          <w:szCs w:val="24"/>
        </w:rPr>
        <w:t xml:space="preserve"> usługi </w:t>
      </w:r>
      <w:proofErr w:type="spellStart"/>
      <w:r w:rsidRPr="00C164D7">
        <w:rPr>
          <w:rFonts w:cs="Times New Roman"/>
          <w:szCs w:val="24"/>
        </w:rPr>
        <w:t>teleopiekuńcze</w:t>
      </w:r>
      <w:proofErr w:type="spellEnd"/>
      <w:r w:rsidRPr="00C164D7">
        <w:rPr>
          <w:rFonts w:cs="Times New Roman"/>
          <w:szCs w:val="24"/>
        </w:rPr>
        <w:t xml:space="preserve"> uruchomiono w kolejnych 7 gminach województwa warmińsko mazurskiego. Łącznie, według stanu na koniec 2020 r</w:t>
      </w:r>
      <w:r w:rsidR="0047037D">
        <w:rPr>
          <w:rFonts w:cs="Times New Roman"/>
          <w:szCs w:val="24"/>
        </w:rPr>
        <w:t>.</w:t>
      </w:r>
      <w:r w:rsidRPr="00C164D7">
        <w:rPr>
          <w:rFonts w:cs="Times New Roman"/>
          <w:szCs w:val="24"/>
        </w:rPr>
        <w:t xml:space="preserve">, usługi </w:t>
      </w:r>
      <w:proofErr w:type="spellStart"/>
      <w:r w:rsidRPr="00C164D7">
        <w:rPr>
          <w:rFonts w:cs="Times New Roman"/>
          <w:szCs w:val="24"/>
        </w:rPr>
        <w:t>teleopiekuńcze</w:t>
      </w:r>
      <w:proofErr w:type="spellEnd"/>
      <w:r w:rsidRPr="00C164D7">
        <w:rPr>
          <w:rFonts w:cs="Times New Roman"/>
          <w:szCs w:val="24"/>
        </w:rPr>
        <w:t xml:space="preserve"> były realizowane w 53 gminach województwa dla ponad 1000 seniorów</w:t>
      </w:r>
      <w:r w:rsidR="00A74BAA">
        <w:rPr>
          <w:rFonts w:cs="Times New Roman"/>
          <w:szCs w:val="24"/>
        </w:rPr>
        <w:t xml:space="preserve"> </w:t>
      </w:r>
      <w:r w:rsidRPr="00C164D7">
        <w:rPr>
          <w:rFonts w:cs="Times New Roman"/>
          <w:szCs w:val="24"/>
        </w:rPr>
        <w:t>Samorząd Województwa na uruchomienie ww. usług w 2020 r</w:t>
      </w:r>
      <w:r w:rsidR="0047037D">
        <w:rPr>
          <w:rFonts w:cs="Times New Roman"/>
          <w:szCs w:val="24"/>
        </w:rPr>
        <w:t>.</w:t>
      </w:r>
      <w:r w:rsidRPr="00C164D7">
        <w:rPr>
          <w:rFonts w:cs="Times New Roman"/>
          <w:szCs w:val="24"/>
        </w:rPr>
        <w:t xml:space="preserve"> udzielił gminom 50% wsparcia finansowego z budżetu Województwa w łącznej kwocie 30 798 zł.</w:t>
      </w:r>
      <w:r w:rsidR="00A74BAA">
        <w:rPr>
          <w:rFonts w:cs="Times New Roman"/>
          <w:szCs w:val="24"/>
        </w:rPr>
        <w:t xml:space="preserve"> </w:t>
      </w:r>
      <w:r w:rsidRPr="00C164D7">
        <w:rPr>
          <w:rFonts w:cs="Times New Roman"/>
          <w:szCs w:val="24"/>
        </w:rPr>
        <w:t xml:space="preserve">Odbiorcami usług opiekuńczych w formie </w:t>
      </w:r>
      <w:proofErr w:type="spellStart"/>
      <w:r w:rsidRPr="00C164D7">
        <w:rPr>
          <w:rFonts w:cs="Times New Roman"/>
          <w:szCs w:val="24"/>
        </w:rPr>
        <w:t>teleopieki</w:t>
      </w:r>
      <w:proofErr w:type="spellEnd"/>
      <w:r w:rsidRPr="00C164D7">
        <w:rPr>
          <w:rFonts w:cs="Times New Roman"/>
          <w:szCs w:val="24"/>
        </w:rPr>
        <w:t xml:space="preserve"> w 2020 r. były przede wszystkim osoby w wieku powyżej 80 r.ż. oraz w wieku 70-80 lat. Zdecydowaną większość seniorów objętych </w:t>
      </w:r>
      <w:proofErr w:type="spellStart"/>
      <w:r w:rsidRPr="00C164D7">
        <w:rPr>
          <w:rFonts w:cs="Times New Roman"/>
          <w:szCs w:val="24"/>
        </w:rPr>
        <w:t>teleopieką</w:t>
      </w:r>
      <w:proofErr w:type="spellEnd"/>
      <w:r w:rsidRPr="00C164D7">
        <w:rPr>
          <w:rFonts w:cs="Times New Roman"/>
          <w:szCs w:val="24"/>
        </w:rPr>
        <w:t xml:space="preserve"> stanowiły kobiety. Usługami </w:t>
      </w:r>
      <w:proofErr w:type="spellStart"/>
      <w:r w:rsidRPr="00C164D7">
        <w:rPr>
          <w:rFonts w:cs="Times New Roman"/>
          <w:szCs w:val="24"/>
        </w:rPr>
        <w:t>teleopiekuńczymi</w:t>
      </w:r>
      <w:proofErr w:type="spellEnd"/>
      <w:r w:rsidRPr="00C164D7">
        <w:rPr>
          <w:rFonts w:cs="Times New Roman"/>
          <w:szCs w:val="24"/>
        </w:rPr>
        <w:t xml:space="preserve"> zostały objęte przede wszystkim osoby mieszkające samotnie. Osoby starsze, które zdecydowały się na skorzystanie z usług </w:t>
      </w:r>
      <w:proofErr w:type="spellStart"/>
      <w:r w:rsidRPr="00C164D7">
        <w:rPr>
          <w:rFonts w:cs="Times New Roman"/>
          <w:szCs w:val="24"/>
        </w:rPr>
        <w:t>teleopiekuńczych</w:t>
      </w:r>
      <w:proofErr w:type="spellEnd"/>
      <w:r w:rsidRPr="00C164D7">
        <w:rPr>
          <w:rFonts w:cs="Times New Roman"/>
          <w:szCs w:val="24"/>
        </w:rPr>
        <w:t xml:space="preserve"> doceniają korzyści wynikające ze stosowania tego typu nowoczesnych rozwiązań - w większości gmin seniorzy chętnie korzystali z zaproponowanej formy wsparcia, co pozwala sformułować wniosek, że należy kontynuować realizację tego rodzaju usług.</w:t>
      </w:r>
    </w:p>
    <w:p w14:paraId="21E76779" w14:textId="77777777" w:rsidR="00A74BAA" w:rsidRPr="00C164D7" w:rsidRDefault="00A74BAA" w:rsidP="00C164D7">
      <w:pPr>
        <w:rPr>
          <w:rFonts w:cs="Times New Roman"/>
          <w:szCs w:val="24"/>
        </w:rPr>
      </w:pPr>
    </w:p>
    <w:p w14:paraId="6DC6522F" w14:textId="45795483" w:rsidR="00C164D7" w:rsidRPr="00C164D7" w:rsidRDefault="00C164D7" w:rsidP="00C164D7">
      <w:pPr>
        <w:rPr>
          <w:rFonts w:cs="Times New Roman"/>
          <w:szCs w:val="24"/>
        </w:rPr>
      </w:pPr>
      <w:r w:rsidRPr="00C164D7">
        <w:rPr>
          <w:rFonts w:cs="Times New Roman"/>
          <w:szCs w:val="24"/>
        </w:rPr>
        <w:t>Realizacja projektu Warmińsko-Mazurska Karta Seniora. Projekt ten spotkał się z pozytywnym odbiorem mieszkańców województwa w wieku powyżej 60 r.ż. W jego promocję aktywnie włączyły się organizacje seniorskie. Do końca 2020 r. wydanych zostało 8 618 kart. Do projektu przystąpiło 41 firm i instytucji oraz 7 samorządów gminnych i 3 powiaty.</w:t>
      </w:r>
    </w:p>
    <w:p w14:paraId="1B6D410C" w14:textId="16BB3130" w:rsidR="00CB5554" w:rsidRDefault="00CB5554" w:rsidP="000D7CDE">
      <w:pPr>
        <w:rPr>
          <w:rFonts w:cs="Times New Roman"/>
          <w:b/>
          <w:color w:val="FF0000"/>
          <w:szCs w:val="24"/>
          <w:lang w:eastAsia="ar-SA"/>
        </w:rPr>
      </w:pPr>
    </w:p>
    <w:p w14:paraId="02033D31" w14:textId="6329EAC8" w:rsidR="00CB5554" w:rsidRDefault="00CB5554" w:rsidP="00CB5554">
      <w:pPr>
        <w:pStyle w:val="Nagwek3"/>
      </w:pPr>
      <w:bookmarkStart w:id="310" w:name="_Toc77514034"/>
      <w:bookmarkStart w:id="311" w:name="_Toc80523195"/>
      <w:r w:rsidRPr="00CB5554">
        <w:lastRenderedPageBreak/>
        <w:t>Działania związane z ochroną seniorów przed negatywnymi skutkami pandemii COVID-19, które zostały podjęte w 2020 r w województwie dolnośląskim</w:t>
      </w:r>
      <w:bookmarkEnd w:id="310"/>
      <w:bookmarkEnd w:id="311"/>
    </w:p>
    <w:p w14:paraId="5A20D59E" w14:textId="77777777" w:rsidR="000B1B06" w:rsidRPr="000B1B06" w:rsidRDefault="000B1B06" w:rsidP="000B1B06"/>
    <w:p w14:paraId="706D423C" w14:textId="2A92F767" w:rsidR="000B1B06" w:rsidRPr="008A089A" w:rsidRDefault="008A089A" w:rsidP="008A089A">
      <w:pPr>
        <w:rPr>
          <w:rFonts w:cs="Times New Roman"/>
          <w:szCs w:val="24"/>
        </w:rPr>
      </w:pPr>
      <w:r w:rsidRPr="008A089A">
        <w:rPr>
          <w:rFonts w:cs="Times New Roman"/>
          <w:szCs w:val="24"/>
        </w:rPr>
        <w:t>Program pn. „Pomagajmy Razem”</w:t>
      </w:r>
    </w:p>
    <w:p w14:paraId="37314533" w14:textId="5A82B159" w:rsidR="008A089A" w:rsidRPr="008A089A" w:rsidRDefault="008A089A" w:rsidP="008A089A">
      <w:pPr>
        <w:rPr>
          <w:rFonts w:cs="Times New Roman"/>
          <w:szCs w:val="24"/>
        </w:rPr>
      </w:pPr>
      <w:r w:rsidRPr="008A089A">
        <w:rPr>
          <w:rFonts w:cs="Times New Roman"/>
          <w:szCs w:val="24"/>
        </w:rPr>
        <w:t>Regionalny Ośrodek Polityki Społecznej Urzędu Marszałkowskiego Województwa</w:t>
      </w:r>
      <w:r w:rsidR="006950E8">
        <w:rPr>
          <w:rFonts w:cs="Times New Roman"/>
          <w:szCs w:val="24"/>
        </w:rPr>
        <w:t xml:space="preserve"> </w:t>
      </w:r>
      <w:r w:rsidRPr="008A089A">
        <w:rPr>
          <w:rFonts w:cs="Times New Roman"/>
          <w:szCs w:val="24"/>
        </w:rPr>
        <w:t>Warmińsko-Mazurskiego w 2020 r</w:t>
      </w:r>
      <w:r w:rsidR="0047037D">
        <w:rPr>
          <w:rFonts w:cs="Times New Roman"/>
          <w:szCs w:val="24"/>
        </w:rPr>
        <w:t>.</w:t>
      </w:r>
      <w:r w:rsidRPr="008A089A">
        <w:rPr>
          <w:rFonts w:cs="Times New Roman"/>
          <w:szCs w:val="24"/>
        </w:rPr>
        <w:t xml:space="preserve"> realizował projekt grantowy pn. „Pomagajmy</w:t>
      </w:r>
    </w:p>
    <w:p w14:paraId="60C5DF1F" w14:textId="77777777" w:rsidR="006950E8" w:rsidRDefault="008A089A" w:rsidP="008A089A">
      <w:pPr>
        <w:rPr>
          <w:rFonts w:cs="Times New Roman"/>
          <w:szCs w:val="24"/>
        </w:rPr>
      </w:pPr>
      <w:r w:rsidRPr="008A089A">
        <w:rPr>
          <w:rFonts w:cs="Times New Roman"/>
          <w:szCs w:val="24"/>
        </w:rPr>
        <w:t>Razem” w ramach Programu Operacyjnego Wiedza Edukacja Rozwój 2014-2020</w:t>
      </w:r>
      <w:r w:rsidR="006950E8">
        <w:rPr>
          <w:rFonts w:cs="Times New Roman"/>
          <w:szCs w:val="24"/>
        </w:rPr>
        <w:t xml:space="preserve"> </w:t>
      </w:r>
      <w:r w:rsidRPr="008A089A">
        <w:rPr>
          <w:rFonts w:cs="Times New Roman"/>
          <w:szCs w:val="24"/>
        </w:rPr>
        <w:t>współfinansowany ze środków Europejskiego Funduszu Społecznego. Projekt</w:t>
      </w:r>
      <w:r w:rsidR="006950E8">
        <w:rPr>
          <w:rFonts w:cs="Times New Roman"/>
          <w:szCs w:val="24"/>
        </w:rPr>
        <w:t xml:space="preserve"> </w:t>
      </w:r>
      <w:r w:rsidRPr="008A089A">
        <w:rPr>
          <w:rFonts w:cs="Times New Roman"/>
          <w:szCs w:val="24"/>
        </w:rPr>
        <w:t>przeznaczony był na wsparcie Domów Pomocy Społecznej z woj. warmińsko-mazurskiego</w:t>
      </w:r>
      <w:r w:rsidR="006950E8">
        <w:rPr>
          <w:rFonts w:cs="Times New Roman"/>
          <w:szCs w:val="24"/>
        </w:rPr>
        <w:t xml:space="preserve"> </w:t>
      </w:r>
      <w:r w:rsidRPr="008A089A">
        <w:rPr>
          <w:rFonts w:cs="Times New Roman"/>
          <w:szCs w:val="24"/>
        </w:rPr>
        <w:t>w walce z COVID-19 poprzez realizację następujących działań:</w:t>
      </w:r>
    </w:p>
    <w:p w14:paraId="52CC6E8F" w14:textId="77777777" w:rsidR="006950E8" w:rsidRDefault="008A089A" w:rsidP="00FE70E3">
      <w:pPr>
        <w:pStyle w:val="Akapitzlist"/>
        <w:numPr>
          <w:ilvl w:val="0"/>
          <w:numId w:val="211"/>
        </w:numPr>
        <w:rPr>
          <w:rFonts w:cs="Times New Roman"/>
          <w:szCs w:val="24"/>
        </w:rPr>
      </w:pPr>
      <w:r w:rsidRPr="006950E8">
        <w:rPr>
          <w:rFonts w:cs="Times New Roman"/>
          <w:szCs w:val="24"/>
        </w:rPr>
        <w:t>Dodatki do wynagrodzeń dla pracowników DPS (bez lekarzy, pielęgniarek) wykonujących</w:t>
      </w:r>
      <w:r w:rsidR="006950E8">
        <w:rPr>
          <w:rFonts w:cs="Times New Roman"/>
          <w:szCs w:val="24"/>
        </w:rPr>
        <w:t xml:space="preserve"> </w:t>
      </w:r>
      <w:r w:rsidRPr="006950E8">
        <w:rPr>
          <w:rFonts w:cs="Times New Roman"/>
          <w:szCs w:val="24"/>
        </w:rPr>
        <w:t>bezpośrednią pracę z pensjonariuszami;</w:t>
      </w:r>
    </w:p>
    <w:p w14:paraId="36948452" w14:textId="77777777" w:rsidR="006950E8" w:rsidRDefault="008A089A" w:rsidP="00FE70E3">
      <w:pPr>
        <w:pStyle w:val="Akapitzlist"/>
        <w:numPr>
          <w:ilvl w:val="0"/>
          <w:numId w:val="211"/>
        </w:numPr>
        <w:rPr>
          <w:rFonts w:cs="Times New Roman"/>
          <w:szCs w:val="24"/>
        </w:rPr>
      </w:pPr>
      <w:r w:rsidRPr="006950E8">
        <w:rPr>
          <w:rFonts w:cs="Times New Roman"/>
          <w:szCs w:val="24"/>
        </w:rPr>
        <w:t>Zakup środków ochrony indywidualnej dla pracowników DPS;</w:t>
      </w:r>
    </w:p>
    <w:p w14:paraId="148896DF" w14:textId="77777777" w:rsidR="006950E8" w:rsidRDefault="008A089A" w:rsidP="00FE70E3">
      <w:pPr>
        <w:pStyle w:val="Akapitzlist"/>
        <w:numPr>
          <w:ilvl w:val="0"/>
          <w:numId w:val="211"/>
        </w:numPr>
        <w:rPr>
          <w:rFonts w:cs="Times New Roman"/>
          <w:szCs w:val="24"/>
        </w:rPr>
      </w:pPr>
      <w:r w:rsidRPr="006950E8">
        <w:rPr>
          <w:rFonts w:cs="Times New Roman"/>
          <w:szCs w:val="24"/>
        </w:rPr>
        <w:t xml:space="preserve">Zakup wyposażenia do DPS (np. </w:t>
      </w:r>
      <w:proofErr w:type="spellStart"/>
      <w:r w:rsidRPr="006950E8">
        <w:rPr>
          <w:rFonts w:cs="Times New Roman"/>
          <w:szCs w:val="24"/>
        </w:rPr>
        <w:t>dekontaminator</w:t>
      </w:r>
      <w:proofErr w:type="spellEnd"/>
      <w:r w:rsidRPr="006950E8">
        <w:rPr>
          <w:rFonts w:cs="Times New Roman"/>
          <w:szCs w:val="24"/>
        </w:rPr>
        <w:t>, ssak płucny i inne);</w:t>
      </w:r>
    </w:p>
    <w:p w14:paraId="6E962868" w14:textId="77777777" w:rsidR="006950E8" w:rsidRDefault="008A089A" w:rsidP="00FE70E3">
      <w:pPr>
        <w:pStyle w:val="Akapitzlist"/>
        <w:numPr>
          <w:ilvl w:val="0"/>
          <w:numId w:val="211"/>
        </w:numPr>
        <w:rPr>
          <w:rFonts w:cs="Times New Roman"/>
          <w:szCs w:val="24"/>
        </w:rPr>
      </w:pPr>
      <w:r w:rsidRPr="006950E8">
        <w:rPr>
          <w:rFonts w:cs="Times New Roman"/>
          <w:szCs w:val="24"/>
        </w:rPr>
        <w:t>Dofinansowanie noclegu oraz wyżywienia dla pracowników DPS poza miejscem</w:t>
      </w:r>
      <w:r w:rsidR="006950E8">
        <w:rPr>
          <w:rFonts w:cs="Times New Roman"/>
          <w:szCs w:val="24"/>
        </w:rPr>
        <w:t xml:space="preserve"> </w:t>
      </w:r>
      <w:r w:rsidRPr="006950E8">
        <w:rPr>
          <w:rFonts w:cs="Times New Roman"/>
          <w:szCs w:val="24"/>
        </w:rPr>
        <w:t>zamieszkania, którzy nie mogą lub nie chcą wrócić do własnych domów ze względu</w:t>
      </w:r>
      <w:r w:rsidR="006950E8">
        <w:rPr>
          <w:rFonts w:cs="Times New Roman"/>
          <w:szCs w:val="24"/>
        </w:rPr>
        <w:t xml:space="preserve"> </w:t>
      </w:r>
      <w:r w:rsidRPr="006950E8">
        <w:rPr>
          <w:rFonts w:cs="Times New Roman"/>
          <w:szCs w:val="24"/>
        </w:rPr>
        <w:t>na zagrożenia COVID-19;</w:t>
      </w:r>
    </w:p>
    <w:p w14:paraId="18ABB1C5" w14:textId="0DCF9D93" w:rsidR="006950E8" w:rsidRDefault="008A089A" w:rsidP="00FE70E3">
      <w:pPr>
        <w:pStyle w:val="Akapitzlist"/>
        <w:numPr>
          <w:ilvl w:val="0"/>
          <w:numId w:val="211"/>
        </w:numPr>
        <w:rPr>
          <w:rFonts w:cs="Times New Roman"/>
          <w:szCs w:val="24"/>
        </w:rPr>
      </w:pPr>
      <w:r w:rsidRPr="006950E8">
        <w:rPr>
          <w:rFonts w:cs="Times New Roman"/>
          <w:szCs w:val="24"/>
        </w:rPr>
        <w:t xml:space="preserve">Koszty związane z zakupem i przeprowadzeniem testów na obecność </w:t>
      </w:r>
      <w:proofErr w:type="spellStart"/>
      <w:r w:rsidRPr="006950E8">
        <w:rPr>
          <w:rFonts w:cs="Times New Roman"/>
          <w:szCs w:val="24"/>
        </w:rPr>
        <w:t>koronawirusa</w:t>
      </w:r>
      <w:proofErr w:type="spellEnd"/>
      <w:r w:rsidRPr="006950E8">
        <w:rPr>
          <w:rFonts w:cs="Times New Roman"/>
          <w:szCs w:val="24"/>
        </w:rPr>
        <w:t xml:space="preserve"> dla</w:t>
      </w:r>
      <w:r w:rsidR="006950E8">
        <w:rPr>
          <w:rFonts w:cs="Times New Roman"/>
          <w:szCs w:val="24"/>
        </w:rPr>
        <w:t xml:space="preserve"> </w:t>
      </w:r>
      <w:r w:rsidRPr="006950E8">
        <w:rPr>
          <w:rFonts w:cs="Times New Roman"/>
          <w:szCs w:val="24"/>
        </w:rPr>
        <w:t>pracowników i mieszkańców DPS;</w:t>
      </w:r>
    </w:p>
    <w:p w14:paraId="0D8619DA" w14:textId="66AE8288" w:rsidR="008A089A" w:rsidRPr="006950E8" w:rsidRDefault="008A089A" w:rsidP="00FE70E3">
      <w:pPr>
        <w:pStyle w:val="Akapitzlist"/>
        <w:numPr>
          <w:ilvl w:val="0"/>
          <w:numId w:val="211"/>
        </w:numPr>
        <w:rPr>
          <w:rFonts w:cs="Times New Roman"/>
          <w:szCs w:val="24"/>
        </w:rPr>
      </w:pPr>
      <w:r w:rsidRPr="006950E8">
        <w:rPr>
          <w:rFonts w:cs="Times New Roman"/>
          <w:szCs w:val="24"/>
        </w:rPr>
        <w:t>Dofinansowanie organizacji/ dostosowania miejsc przeznaczonych na kwarantannę, tzw.</w:t>
      </w:r>
      <w:r w:rsidR="006950E8">
        <w:rPr>
          <w:rFonts w:cs="Times New Roman"/>
          <w:szCs w:val="24"/>
        </w:rPr>
        <w:t xml:space="preserve"> </w:t>
      </w:r>
      <w:r w:rsidRPr="006950E8">
        <w:rPr>
          <w:rFonts w:cs="Times New Roman"/>
          <w:szCs w:val="24"/>
        </w:rPr>
        <w:t>miejsc przejściowych.</w:t>
      </w:r>
    </w:p>
    <w:p w14:paraId="6C9A86DA" w14:textId="77777777" w:rsidR="008A089A" w:rsidRPr="008A089A" w:rsidRDefault="008A089A" w:rsidP="008A089A">
      <w:pPr>
        <w:rPr>
          <w:rFonts w:cs="Times New Roman"/>
          <w:szCs w:val="24"/>
        </w:rPr>
      </w:pPr>
      <w:r w:rsidRPr="008A089A">
        <w:rPr>
          <w:rFonts w:cs="Times New Roman"/>
          <w:szCs w:val="24"/>
        </w:rPr>
        <w:t>W 2020 r. na realizację ww. działań wydatkowano 15 526 509,64 zł, wsparciem objęto</w:t>
      </w:r>
    </w:p>
    <w:p w14:paraId="7F343E0C" w14:textId="77777777" w:rsidR="008A089A" w:rsidRPr="008A089A" w:rsidRDefault="008A089A" w:rsidP="008A089A">
      <w:pPr>
        <w:rPr>
          <w:rFonts w:cs="Times New Roman"/>
          <w:szCs w:val="24"/>
        </w:rPr>
      </w:pPr>
      <w:r w:rsidRPr="008A089A">
        <w:rPr>
          <w:rFonts w:cs="Times New Roman"/>
          <w:szCs w:val="24"/>
        </w:rPr>
        <w:t>ok. 2100 pracowników DPS oraz ok. 4000 mieszkańców DPS.</w:t>
      </w:r>
    </w:p>
    <w:p w14:paraId="02D2775D" w14:textId="77777777" w:rsidR="006950E8" w:rsidRDefault="006950E8" w:rsidP="008A089A">
      <w:pPr>
        <w:rPr>
          <w:rFonts w:cs="Times New Roman"/>
          <w:szCs w:val="24"/>
        </w:rPr>
      </w:pPr>
    </w:p>
    <w:p w14:paraId="05DCE36C" w14:textId="1329BAE3" w:rsidR="008A089A" w:rsidRPr="008A089A" w:rsidRDefault="008A089A" w:rsidP="008A089A">
      <w:pPr>
        <w:rPr>
          <w:rFonts w:cs="Times New Roman"/>
          <w:szCs w:val="24"/>
        </w:rPr>
      </w:pPr>
      <w:r w:rsidRPr="008A089A">
        <w:rPr>
          <w:rFonts w:cs="Times New Roman"/>
          <w:szCs w:val="24"/>
        </w:rPr>
        <w:t>W okresach zawieszania działalności np. Dziennych Domów Senior+ wiele form wsparcia</w:t>
      </w:r>
      <w:r w:rsidR="006950E8">
        <w:rPr>
          <w:rFonts w:cs="Times New Roman"/>
          <w:szCs w:val="24"/>
        </w:rPr>
        <w:t xml:space="preserve"> </w:t>
      </w:r>
      <w:r w:rsidRPr="008A089A">
        <w:rPr>
          <w:rFonts w:cs="Times New Roman"/>
          <w:szCs w:val="24"/>
        </w:rPr>
        <w:t>zastąpiono działaniami świadczonymi "zdalnie". Terapeuci Dziennych Domów Senior+</w:t>
      </w:r>
      <w:r w:rsidR="006950E8">
        <w:rPr>
          <w:rFonts w:cs="Times New Roman"/>
          <w:szCs w:val="24"/>
        </w:rPr>
        <w:t xml:space="preserve"> </w:t>
      </w:r>
      <w:r w:rsidRPr="008A089A">
        <w:rPr>
          <w:rFonts w:cs="Times New Roman"/>
          <w:szCs w:val="24"/>
        </w:rPr>
        <w:t>codziennie, telefonicznie kontaktowali się z seniorami, przekazując informacje dotyczące</w:t>
      </w:r>
      <w:r w:rsidR="006950E8">
        <w:rPr>
          <w:rFonts w:cs="Times New Roman"/>
          <w:szCs w:val="24"/>
        </w:rPr>
        <w:t xml:space="preserve"> </w:t>
      </w:r>
      <w:r w:rsidRPr="008A089A">
        <w:rPr>
          <w:rFonts w:cs="Times New Roman"/>
          <w:szCs w:val="24"/>
        </w:rPr>
        <w:t>przestrzegania zasad obowiązujących w okresie pandemii, a także profilaktyki zdrowotnej</w:t>
      </w:r>
      <w:r w:rsidR="006950E8">
        <w:rPr>
          <w:rFonts w:cs="Times New Roman"/>
          <w:szCs w:val="24"/>
        </w:rPr>
        <w:t xml:space="preserve"> </w:t>
      </w:r>
      <w:r w:rsidRPr="008A089A">
        <w:rPr>
          <w:rFonts w:cs="Times New Roman"/>
          <w:szCs w:val="24"/>
        </w:rPr>
        <w:t xml:space="preserve">i bezpieczeństwa, a w szczególności dotyczące bezpiecznych </w:t>
      </w:r>
      <w:proofErr w:type="spellStart"/>
      <w:r w:rsidRPr="008A089A">
        <w:rPr>
          <w:rFonts w:cs="Times New Roman"/>
          <w:szCs w:val="24"/>
        </w:rPr>
        <w:t>zachowań</w:t>
      </w:r>
      <w:proofErr w:type="spellEnd"/>
      <w:r w:rsidRPr="008A089A">
        <w:rPr>
          <w:rFonts w:cs="Times New Roman"/>
          <w:szCs w:val="24"/>
        </w:rPr>
        <w:t xml:space="preserve"> i przestrzegania</w:t>
      </w:r>
      <w:r w:rsidR="006950E8">
        <w:rPr>
          <w:rFonts w:cs="Times New Roman"/>
          <w:szCs w:val="24"/>
        </w:rPr>
        <w:t xml:space="preserve"> </w:t>
      </w:r>
      <w:r w:rsidRPr="008A089A">
        <w:rPr>
          <w:rFonts w:cs="Times New Roman"/>
          <w:szCs w:val="24"/>
        </w:rPr>
        <w:t>zasad reżimu sanitarnego (m.in. przestrzegania higieny, mycia i dezynfekcji rąk,</w:t>
      </w:r>
      <w:r w:rsidR="006950E8">
        <w:rPr>
          <w:rFonts w:cs="Times New Roman"/>
          <w:szCs w:val="24"/>
        </w:rPr>
        <w:t xml:space="preserve"> </w:t>
      </w:r>
      <w:r w:rsidRPr="008A089A">
        <w:rPr>
          <w:rFonts w:cs="Times New Roman"/>
          <w:szCs w:val="24"/>
        </w:rPr>
        <w:t>zachowania dystansu społecznego, zasłaniania ust i nosa, właściwego odżywiania).</w:t>
      </w:r>
      <w:r w:rsidR="006950E8">
        <w:rPr>
          <w:rFonts w:cs="Times New Roman"/>
          <w:szCs w:val="24"/>
        </w:rPr>
        <w:t xml:space="preserve"> </w:t>
      </w:r>
      <w:r w:rsidRPr="008A089A">
        <w:rPr>
          <w:rFonts w:cs="Times New Roman"/>
          <w:szCs w:val="24"/>
        </w:rPr>
        <w:t>Przekazywali wykazy najważniejszych telefonów niezbędnych w czasie izolacji,</w:t>
      </w:r>
      <w:r w:rsidR="006950E8">
        <w:rPr>
          <w:rFonts w:cs="Times New Roman"/>
          <w:szCs w:val="24"/>
        </w:rPr>
        <w:t xml:space="preserve"> </w:t>
      </w:r>
      <w:r w:rsidRPr="008A089A">
        <w:rPr>
          <w:rFonts w:cs="Times New Roman"/>
          <w:szCs w:val="24"/>
        </w:rPr>
        <w:t>informowali o możliwości wsparcia specjalistycznego przez Poradnię Konsultacyjno</w:t>
      </w:r>
      <w:r w:rsidR="006950E8">
        <w:rPr>
          <w:rFonts w:cs="Times New Roman"/>
          <w:szCs w:val="24"/>
        </w:rPr>
        <w:t>-</w:t>
      </w:r>
      <w:r w:rsidRPr="008A089A">
        <w:rPr>
          <w:rFonts w:cs="Times New Roman"/>
          <w:szCs w:val="24"/>
        </w:rPr>
        <w:t>Terapeutyczną MOPS (psycholog, pedagog),</w:t>
      </w:r>
      <w:r w:rsidR="006950E8">
        <w:rPr>
          <w:rFonts w:cs="Times New Roman"/>
          <w:szCs w:val="24"/>
        </w:rPr>
        <w:t xml:space="preserve"> </w:t>
      </w:r>
      <w:r w:rsidRPr="008A089A">
        <w:rPr>
          <w:rFonts w:cs="Times New Roman"/>
          <w:szCs w:val="24"/>
        </w:rPr>
        <w:t>o funkcjonującym Olsztyńskim Telefonie</w:t>
      </w:r>
      <w:r w:rsidR="006950E8">
        <w:rPr>
          <w:rFonts w:cs="Times New Roman"/>
          <w:szCs w:val="24"/>
        </w:rPr>
        <w:t xml:space="preserve"> </w:t>
      </w:r>
      <w:r w:rsidRPr="008A089A">
        <w:rPr>
          <w:rFonts w:cs="Times New Roman"/>
          <w:szCs w:val="24"/>
        </w:rPr>
        <w:t>Zaufania Anonimowy Przyjaciel, o możliwości korzystania z platformy ABC senior.com,</w:t>
      </w:r>
      <w:r w:rsidR="006950E8">
        <w:rPr>
          <w:rFonts w:cs="Times New Roman"/>
          <w:szCs w:val="24"/>
        </w:rPr>
        <w:t xml:space="preserve"> </w:t>
      </w:r>
      <w:r w:rsidRPr="008A089A">
        <w:rPr>
          <w:rFonts w:cs="Times New Roman"/>
          <w:szCs w:val="24"/>
        </w:rPr>
        <w:t>o możliwości korzystania z pomocy harcerzy (zakupy, pomoc w gospodarstwie domowym),</w:t>
      </w:r>
      <w:r w:rsidR="006950E8">
        <w:rPr>
          <w:rFonts w:cs="Times New Roman"/>
          <w:szCs w:val="24"/>
        </w:rPr>
        <w:t xml:space="preserve"> </w:t>
      </w:r>
      <w:r w:rsidRPr="008A089A">
        <w:rPr>
          <w:rFonts w:cs="Times New Roman"/>
          <w:szCs w:val="24"/>
        </w:rPr>
        <w:t>udzielali instruktaży, porad związanych z samodzielnym organizowaniem sobie zajęć.</w:t>
      </w:r>
    </w:p>
    <w:p w14:paraId="5A357441" w14:textId="77777777" w:rsidR="006950E8" w:rsidRDefault="006950E8" w:rsidP="008A089A">
      <w:pPr>
        <w:rPr>
          <w:rFonts w:cs="Times New Roman"/>
          <w:szCs w:val="24"/>
        </w:rPr>
      </w:pPr>
    </w:p>
    <w:p w14:paraId="1842D241" w14:textId="6ABFC70A" w:rsidR="008A089A" w:rsidRDefault="008A089A" w:rsidP="008A089A">
      <w:pPr>
        <w:rPr>
          <w:rFonts w:cs="Times New Roman"/>
          <w:szCs w:val="24"/>
        </w:rPr>
      </w:pPr>
      <w:r w:rsidRPr="008A089A">
        <w:rPr>
          <w:rFonts w:cs="Times New Roman"/>
          <w:szCs w:val="24"/>
        </w:rPr>
        <w:t>Realizacja programu pn. Wspieraj Seniora. Program adresowany był do osób w wieku 70 lat i</w:t>
      </w:r>
      <w:r w:rsidR="006950E8">
        <w:rPr>
          <w:rFonts w:cs="Times New Roman"/>
          <w:szCs w:val="24"/>
        </w:rPr>
        <w:t xml:space="preserve"> </w:t>
      </w:r>
      <w:r w:rsidRPr="008A089A">
        <w:rPr>
          <w:rFonts w:cs="Times New Roman"/>
          <w:szCs w:val="24"/>
        </w:rPr>
        <w:t>więcej, które pozostają w domu w związku z zagrożeniem zakażeniem Covid-19, w</w:t>
      </w:r>
      <w:r w:rsidR="006950E8">
        <w:rPr>
          <w:rFonts w:cs="Times New Roman"/>
          <w:szCs w:val="24"/>
        </w:rPr>
        <w:t xml:space="preserve"> </w:t>
      </w:r>
      <w:r w:rsidRPr="008A089A">
        <w:rPr>
          <w:rFonts w:cs="Times New Roman"/>
          <w:szCs w:val="24"/>
        </w:rPr>
        <w:t>szczególnych przypadkach również do osób poniżej 70 roku życia. Pomoc polegała głównie na</w:t>
      </w:r>
      <w:r w:rsidR="006950E8">
        <w:rPr>
          <w:rFonts w:cs="Times New Roman"/>
          <w:szCs w:val="24"/>
        </w:rPr>
        <w:t xml:space="preserve"> </w:t>
      </w:r>
      <w:r w:rsidRPr="008A089A">
        <w:rPr>
          <w:rFonts w:cs="Times New Roman"/>
          <w:szCs w:val="24"/>
        </w:rPr>
        <w:t>dostarczaniu zakupów obejmującej artykuły podstawowej potrzeby oraz leki czy też</w:t>
      </w:r>
      <w:r w:rsidR="006950E8">
        <w:rPr>
          <w:rFonts w:cs="Times New Roman"/>
          <w:szCs w:val="24"/>
        </w:rPr>
        <w:t xml:space="preserve"> </w:t>
      </w:r>
      <w:r w:rsidRPr="008A089A">
        <w:rPr>
          <w:rFonts w:cs="Times New Roman"/>
          <w:szCs w:val="24"/>
        </w:rPr>
        <w:t>wyprowadzeniu pupila.</w:t>
      </w:r>
    </w:p>
    <w:p w14:paraId="5A43B062" w14:textId="77777777" w:rsidR="006950E8" w:rsidRPr="008A089A" w:rsidRDefault="006950E8" w:rsidP="008A089A">
      <w:pPr>
        <w:rPr>
          <w:rFonts w:cs="Times New Roman"/>
          <w:szCs w:val="24"/>
        </w:rPr>
      </w:pPr>
    </w:p>
    <w:p w14:paraId="130CEF04" w14:textId="23195B14" w:rsidR="008A089A" w:rsidRPr="008A089A" w:rsidRDefault="008A089A" w:rsidP="008A089A">
      <w:pPr>
        <w:rPr>
          <w:rFonts w:cs="Times New Roman"/>
          <w:szCs w:val="24"/>
        </w:rPr>
      </w:pPr>
      <w:r w:rsidRPr="008A089A">
        <w:rPr>
          <w:rFonts w:cs="Times New Roman"/>
          <w:szCs w:val="24"/>
        </w:rPr>
        <w:t>Anioły w Koronie (Miasto Giżycko) współfinansowany ze środków</w:t>
      </w:r>
      <w:r w:rsidR="006950E8">
        <w:rPr>
          <w:rFonts w:cs="Times New Roman"/>
          <w:szCs w:val="24"/>
        </w:rPr>
        <w:t xml:space="preserve"> </w:t>
      </w:r>
      <w:r w:rsidRPr="008A089A">
        <w:rPr>
          <w:rFonts w:cs="Times New Roman"/>
          <w:szCs w:val="24"/>
        </w:rPr>
        <w:t>w ramach RPO, Działanie: RPWM.11.02.00 "Ułatwienie dostępu do przystępnych cenowo,</w:t>
      </w:r>
      <w:r w:rsidR="006950E8">
        <w:rPr>
          <w:rFonts w:cs="Times New Roman"/>
          <w:szCs w:val="24"/>
        </w:rPr>
        <w:t xml:space="preserve"> t</w:t>
      </w:r>
      <w:r w:rsidRPr="008A089A">
        <w:rPr>
          <w:rFonts w:cs="Times New Roman"/>
          <w:szCs w:val="24"/>
        </w:rPr>
        <w:t>rwałych oraz wysokiej jakości usług, w tym opieki zdrowotnej i usług socjalnych</w:t>
      </w:r>
      <w:r w:rsidR="006950E8">
        <w:rPr>
          <w:rFonts w:cs="Times New Roman"/>
          <w:szCs w:val="24"/>
        </w:rPr>
        <w:t xml:space="preserve"> </w:t>
      </w:r>
      <w:r w:rsidRPr="008A089A">
        <w:rPr>
          <w:rFonts w:cs="Times New Roman"/>
          <w:szCs w:val="24"/>
        </w:rPr>
        <w:t>świadczonych w interesie ogólnym" Poddziałanie: RPWM.11.02.03 Ułatwienie dostępu do</w:t>
      </w:r>
      <w:r w:rsidR="006950E8">
        <w:rPr>
          <w:rFonts w:cs="Times New Roman"/>
          <w:szCs w:val="24"/>
        </w:rPr>
        <w:t xml:space="preserve"> </w:t>
      </w:r>
      <w:r w:rsidRPr="008A089A">
        <w:rPr>
          <w:rFonts w:cs="Times New Roman"/>
          <w:szCs w:val="24"/>
        </w:rPr>
        <w:t xml:space="preserve">usług społecznych, w tym integracja ze środowiskiem lokalnym oraz projekty konkursowe. </w:t>
      </w:r>
      <w:r w:rsidR="006950E8">
        <w:rPr>
          <w:rFonts w:cs="Times New Roman"/>
          <w:szCs w:val="24"/>
        </w:rPr>
        <w:t xml:space="preserve"> </w:t>
      </w:r>
      <w:r w:rsidRPr="008A089A">
        <w:rPr>
          <w:rFonts w:cs="Times New Roman"/>
          <w:szCs w:val="24"/>
        </w:rPr>
        <w:t>Celem projektu była ochrona życia i zdrowia osób starszych i niepełnosprawnych poprzez</w:t>
      </w:r>
      <w:r w:rsidR="006950E8">
        <w:rPr>
          <w:rFonts w:cs="Times New Roman"/>
          <w:szCs w:val="24"/>
        </w:rPr>
        <w:t xml:space="preserve"> </w:t>
      </w:r>
      <w:r w:rsidRPr="008A089A">
        <w:rPr>
          <w:rFonts w:cs="Times New Roman"/>
          <w:szCs w:val="24"/>
        </w:rPr>
        <w:t>sfinansowanie testów na obecność przeciwciał dla opiekunów jak i podopiecznych, zakup</w:t>
      </w:r>
      <w:r w:rsidR="006950E8">
        <w:rPr>
          <w:rFonts w:cs="Times New Roman"/>
          <w:szCs w:val="24"/>
        </w:rPr>
        <w:t xml:space="preserve"> </w:t>
      </w:r>
      <w:r w:rsidRPr="008A089A">
        <w:rPr>
          <w:rFonts w:cs="Times New Roman"/>
          <w:szCs w:val="24"/>
        </w:rPr>
        <w:t>i wyposażenie w środki ochrony indywidualnej, profesjonalny sprzęt chroniący i</w:t>
      </w:r>
      <w:r w:rsidR="006950E8">
        <w:rPr>
          <w:rFonts w:cs="Times New Roman"/>
          <w:szCs w:val="24"/>
        </w:rPr>
        <w:t xml:space="preserve"> </w:t>
      </w:r>
      <w:r w:rsidRPr="008A089A">
        <w:rPr>
          <w:rFonts w:cs="Times New Roman"/>
          <w:szCs w:val="24"/>
        </w:rPr>
        <w:t>zmniejszający ryzyko przeniesienia zakażenia na mieszkańców społeczności lokalnej, pomoc psychologiczna i terapeutyczna dla osób</w:t>
      </w:r>
      <w:r w:rsidR="006950E8">
        <w:rPr>
          <w:rFonts w:cs="Times New Roman"/>
          <w:szCs w:val="24"/>
        </w:rPr>
        <w:t xml:space="preserve"> </w:t>
      </w:r>
      <w:r w:rsidRPr="008A089A">
        <w:rPr>
          <w:rFonts w:cs="Times New Roman"/>
          <w:szCs w:val="24"/>
        </w:rPr>
        <w:t xml:space="preserve">objętych projektem oraz zajęcia z </w:t>
      </w:r>
      <w:proofErr w:type="spellStart"/>
      <w:r w:rsidRPr="008A089A">
        <w:rPr>
          <w:rFonts w:cs="Times New Roman"/>
          <w:szCs w:val="24"/>
        </w:rPr>
        <w:t>coachem</w:t>
      </w:r>
      <w:proofErr w:type="spellEnd"/>
      <w:r w:rsidR="006950E8">
        <w:rPr>
          <w:rFonts w:cs="Times New Roman"/>
          <w:szCs w:val="24"/>
        </w:rPr>
        <w:t xml:space="preserve"> </w:t>
      </w:r>
      <w:r w:rsidRPr="008A089A">
        <w:rPr>
          <w:rFonts w:cs="Times New Roman"/>
          <w:szCs w:val="24"/>
        </w:rPr>
        <w:t>dla osób świadczących usługi opiekuńcze.</w:t>
      </w:r>
    </w:p>
    <w:p w14:paraId="400F9D9A" w14:textId="77777777" w:rsidR="006950E8" w:rsidRDefault="006950E8" w:rsidP="008A089A">
      <w:pPr>
        <w:rPr>
          <w:rFonts w:cs="Times New Roman"/>
          <w:szCs w:val="24"/>
        </w:rPr>
      </w:pPr>
    </w:p>
    <w:p w14:paraId="7EF741DD" w14:textId="174DF5AC" w:rsidR="008A089A" w:rsidRPr="008A089A" w:rsidRDefault="008A089A" w:rsidP="008A089A">
      <w:pPr>
        <w:rPr>
          <w:rFonts w:cs="Times New Roman"/>
          <w:szCs w:val="24"/>
        </w:rPr>
      </w:pPr>
      <w:r w:rsidRPr="008A089A">
        <w:rPr>
          <w:rFonts w:cs="Times New Roman"/>
          <w:szCs w:val="24"/>
        </w:rPr>
        <w:t>Powiat Szczycieński przystąpił do Projektu Wsparcie instytucji</w:t>
      </w:r>
      <w:r w:rsidR="006950E8">
        <w:rPr>
          <w:rFonts w:cs="Times New Roman"/>
          <w:szCs w:val="24"/>
        </w:rPr>
        <w:t xml:space="preserve"> </w:t>
      </w:r>
      <w:r w:rsidRPr="008A089A">
        <w:rPr>
          <w:rFonts w:cs="Times New Roman"/>
          <w:szCs w:val="24"/>
        </w:rPr>
        <w:t>zajmujących się opieką nad</w:t>
      </w:r>
      <w:r w:rsidR="006950E8">
        <w:rPr>
          <w:rFonts w:cs="Times New Roman"/>
          <w:szCs w:val="24"/>
        </w:rPr>
        <w:t xml:space="preserve"> </w:t>
      </w:r>
      <w:r w:rsidRPr="008A089A">
        <w:rPr>
          <w:rFonts w:cs="Times New Roman"/>
          <w:szCs w:val="24"/>
        </w:rPr>
        <w:t>osobami wymagającymi wsparcia z terenu powiatu</w:t>
      </w:r>
      <w:r w:rsidR="006950E8">
        <w:rPr>
          <w:rFonts w:cs="Times New Roman"/>
          <w:szCs w:val="24"/>
        </w:rPr>
        <w:t xml:space="preserve"> </w:t>
      </w:r>
      <w:r w:rsidRPr="008A089A">
        <w:rPr>
          <w:rFonts w:cs="Times New Roman"/>
          <w:szCs w:val="24"/>
        </w:rPr>
        <w:t>szczycieńskiego. Celem było ułatwienie</w:t>
      </w:r>
      <w:r w:rsidR="006950E8">
        <w:rPr>
          <w:rFonts w:cs="Times New Roman"/>
          <w:szCs w:val="24"/>
        </w:rPr>
        <w:t xml:space="preserve"> </w:t>
      </w:r>
      <w:r w:rsidRPr="008A089A">
        <w:rPr>
          <w:rFonts w:cs="Times New Roman"/>
          <w:szCs w:val="24"/>
        </w:rPr>
        <w:t>dostępu do usług społecznych, w tym integracja</w:t>
      </w:r>
      <w:r w:rsidR="006950E8">
        <w:rPr>
          <w:rFonts w:cs="Times New Roman"/>
          <w:szCs w:val="24"/>
        </w:rPr>
        <w:t xml:space="preserve"> </w:t>
      </w:r>
      <w:r w:rsidRPr="008A089A">
        <w:rPr>
          <w:rFonts w:cs="Times New Roman"/>
          <w:szCs w:val="24"/>
        </w:rPr>
        <w:t>ze środowiskiem lokalnym i projekty</w:t>
      </w:r>
      <w:r w:rsidR="00A74BAA">
        <w:rPr>
          <w:rFonts w:cs="Times New Roman"/>
          <w:szCs w:val="24"/>
        </w:rPr>
        <w:t xml:space="preserve"> </w:t>
      </w:r>
      <w:r w:rsidRPr="008A089A">
        <w:rPr>
          <w:rFonts w:cs="Times New Roman"/>
          <w:szCs w:val="24"/>
        </w:rPr>
        <w:t>konkursowe Regionalnego Programu Operacyjnego</w:t>
      </w:r>
      <w:r w:rsidR="00A74BAA">
        <w:rPr>
          <w:rFonts w:cs="Times New Roman"/>
          <w:szCs w:val="24"/>
        </w:rPr>
        <w:t xml:space="preserve"> </w:t>
      </w:r>
      <w:r w:rsidRPr="008A089A">
        <w:rPr>
          <w:rFonts w:cs="Times New Roman"/>
          <w:szCs w:val="24"/>
        </w:rPr>
        <w:t>Województwa Warmińsko-Mazurskiego na lata 2014-2020 współfinansowanego ze</w:t>
      </w:r>
      <w:r w:rsidR="00A74BAA">
        <w:rPr>
          <w:rFonts w:cs="Times New Roman"/>
          <w:szCs w:val="24"/>
        </w:rPr>
        <w:t xml:space="preserve"> </w:t>
      </w:r>
      <w:r w:rsidRPr="008A089A">
        <w:rPr>
          <w:rFonts w:cs="Times New Roman"/>
          <w:szCs w:val="24"/>
        </w:rPr>
        <w:t xml:space="preserve">środków Europejskiego Funduszu Społecznego w ramach którego pozyskano m.in </w:t>
      </w:r>
      <w:r w:rsidR="00A74BAA">
        <w:rPr>
          <w:rFonts w:cs="Times New Roman"/>
          <w:szCs w:val="24"/>
        </w:rPr>
        <w:t xml:space="preserve"> </w:t>
      </w:r>
      <w:r w:rsidRPr="008A089A">
        <w:rPr>
          <w:rFonts w:cs="Times New Roman"/>
          <w:szCs w:val="24"/>
        </w:rPr>
        <w:t>maseczki, rękawiczki ochronne, płyny dezynfekujące, testy</w:t>
      </w:r>
      <w:r w:rsidR="00A74BAA">
        <w:rPr>
          <w:rFonts w:cs="Times New Roman"/>
          <w:szCs w:val="24"/>
        </w:rPr>
        <w:t xml:space="preserve"> </w:t>
      </w:r>
      <w:r w:rsidRPr="008A089A">
        <w:rPr>
          <w:rFonts w:cs="Times New Roman"/>
          <w:szCs w:val="24"/>
        </w:rPr>
        <w:t>antygenowe. W/w środki</w:t>
      </w:r>
      <w:r w:rsidR="00A74BAA">
        <w:rPr>
          <w:rFonts w:cs="Times New Roman"/>
          <w:szCs w:val="24"/>
        </w:rPr>
        <w:t xml:space="preserve"> </w:t>
      </w:r>
      <w:r w:rsidRPr="008A089A">
        <w:rPr>
          <w:rFonts w:cs="Times New Roman"/>
          <w:szCs w:val="24"/>
        </w:rPr>
        <w:t>zostały przeznaczone do DPS, ŚDS gdzie przebywają seniorzy.</w:t>
      </w:r>
    </w:p>
    <w:p w14:paraId="2F6D27FF" w14:textId="77777777" w:rsidR="00A74BAA" w:rsidRDefault="00A74BAA" w:rsidP="008A089A">
      <w:pPr>
        <w:rPr>
          <w:rFonts w:cs="Times New Roman"/>
          <w:szCs w:val="24"/>
        </w:rPr>
      </w:pPr>
    </w:p>
    <w:p w14:paraId="023F3640" w14:textId="11E0DF0C" w:rsidR="008A089A" w:rsidRPr="008A089A" w:rsidRDefault="008A089A" w:rsidP="008A089A">
      <w:pPr>
        <w:rPr>
          <w:rFonts w:cs="Times New Roman"/>
          <w:szCs w:val="24"/>
        </w:rPr>
      </w:pPr>
      <w:r w:rsidRPr="008A089A">
        <w:rPr>
          <w:rFonts w:cs="Times New Roman"/>
          <w:szCs w:val="24"/>
        </w:rPr>
        <w:t xml:space="preserve">Realizacja inicjatywy Koperta życia. Akcja skierowana była do osób przewlekle chorych, </w:t>
      </w:r>
      <w:r w:rsidR="00A74BAA">
        <w:rPr>
          <w:rFonts w:cs="Times New Roman"/>
          <w:szCs w:val="24"/>
        </w:rPr>
        <w:t xml:space="preserve"> </w:t>
      </w:r>
      <w:r w:rsidRPr="008A089A">
        <w:rPr>
          <w:rFonts w:cs="Times New Roman"/>
          <w:szCs w:val="24"/>
        </w:rPr>
        <w:t>starszych, samotnych i polega na umieszczeniu w specjalnie przygotowanych kopertach</w:t>
      </w:r>
      <w:r w:rsidR="00A74BAA">
        <w:rPr>
          <w:rFonts w:cs="Times New Roman"/>
          <w:szCs w:val="24"/>
        </w:rPr>
        <w:t xml:space="preserve"> </w:t>
      </w:r>
      <w:r w:rsidRPr="008A089A">
        <w:rPr>
          <w:rFonts w:cs="Times New Roman"/>
          <w:szCs w:val="24"/>
        </w:rPr>
        <w:t>najważniejszych informacji o stanie zdrowia, przyjmowanych lekach, alergiach na leki,</w:t>
      </w:r>
      <w:r w:rsidR="00A74BAA">
        <w:rPr>
          <w:rFonts w:cs="Times New Roman"/>
          <w:szCs w:val="24"/>
        </w:rPr>
        <w:t xml:space="preserve"> </w:t>
      </w:r>
      <w:r w:rsidRPr="008A089A">
        <w:rPr>
          <w:rFonts w:cs="Times New Roman"/>
          <w:szCs w:val="24"/>
        </w:rPr>
        <w:t>kontaktach do najbliższych, danych osobowych, w tym nr pesel. Pakiet z takimi</w:t>
      </w:r>
      <w:r w:rsidR="00A74BAA">
        <w:rPr>
          <w:rFonts w:cs="Times New Roman"/>
          <w:szCs w:val="24"/>
        </w:rPr>
        <w:t xml:space="preserve"> </w:t>
      </w:r>
      <w:r w:rsidRPr="008A089A">
        <w:rPr>
          <w:rFonts w:cs="Times New Roman"/>
          <w:szCs w:val="24"/>
        </w:rPr>
        <w:t>informacjami powinien być przechowywany w lodówce, czyli miejscu, które jest prawie w</w:t>
      </w:r>
      <w:r w:rsidR="00A74BAA">
        <w:rPr>
          <w:rFonts w:cs="Times New Roman"/>
          <w:szCs w:val="24"/>
        </w:rPr>
        <w:t xml:space="preserve"> </w:t>
      </w:r>
      <w:r w:rsidRPr="008A089A">
        <w:rPr>
          <w:rFonts w:cs="Times New Roman"/>
          <w:szCs w:val="24"/>
        </w:rPr>
        <w:t>każdym domu i zarazem jest łatwo dostępne.</w:t>
      </w:r>
    </w:p>
    <w:p w14:paraId="6D800AEB" w14:textId="77777777" w:rsidR="00A74BAA" w:rsidRDefault="00A74BAA" w:rsidP="008A089A">
      <w:pPr>
        <w:rPr>
          <w:rFonts w:cs="Times New Roman"/>
          <w:szCs w:val="24"/>
        </w:rPr>
      </w:pPr>
    </w:p>
    <w:p w14:paraId="514F25F7" w14:textId="30EBB69C" w:rsidR="00CB5554" w:rsidRDefault="008A089A" w:rsidP="008A089A">
      <w:pPr>
        <w:rPr>
          <w:rFonts w:cs="Times New Roman"/>
          <w:szCs w:val="24"/>
        </w:rPr>
      </w:pPr>
      <w:r w:rsidRPr="008A089A">
        <w:rPr>
          <w:rFonts w:cs="Times New Roman"/>
          <w:szCs w:val="24"/>
        </w:rPr>
        <w:t>Ponadto pracownicy ośrodków pomocy społecznej, pełnili dyżury telefoniczne dla osób</w:t>
      </w:r>
      <w:r w:rsidR="00A74BAA">
        <w:rPr>
          <w:rFonts w:cs="Times New Roman"/>
          <w:szCs w:val="24"/>
        </w:rPr>
        <w:t xml:space="preserve"> </w:t>
      </w:r>
      <w:r w:rsidRPr="008A089A">
        <w:rPr>
          <w:rFonts w:cs="Times New Roman"/>
          <w:szCs w:val="24"/>
        </w:rPr>
        <w:t>starszych, organizowali dowozy na szczepienia, pomagali w załatwianiu drobnych spraw</w:t>
      </w:r>
      <w:r w:rsidR="00A74BAA">
        <w:rPr>
          <w:rFonts w:cs="Times New Roman"/>
          <w:szCs w:val="24"/>
        </w:rPr>
        <w:t xml:space="preserve"> </w:t>
      </w:r>
      <w:r w:rsidRPr="008A089A">
        <w:rPr>
          <w:rFonts w:cs="Times New Roman"/>
          <w:szCs w:val="24"/>
        </w:rPr>
        <w:t>urzędowych, rozdawali maseczki ochronne, inne środki ochrony, informowali o</w:t>
      </w:r>
      <w:r w:rsidR="00A74BAA">
        <w:rPr>
          <w:rFonts w:cs="Times New Roman"/>
          <w:szCs w:val="24"/>
        </w:rPr>
        <w:t xml:space="preserve"> </w:t>
      </w:r>
      <w:r w:rsidRPr="008A089A">
        <w:rPr>
          <w:rFonts w:cs="Times New Roman"/>
          <w:szCs w:val="24"/>
        </w:rPr>
        <w:t>możliwościach uzyskania pomocy, zarówno materialnej jak również psychologicznej</w:t>
      </w:r>
    </w:p>
    <w:p w14:paraId="15C2E5DB" w14:textId="5DC9579C" w:rsidR="00AC180B" w:rsidRDefault="00AB1786" w:rsidP="006367B4">
      <w:pPr>
        <w:tabs>
          <w:tab w:val="left" w:pos="284"/>
        </w:tabs>
        <w:rPr>
          <w:rFonts w:cs="Times New Roman"/>
          <w:color w:val="FF0000"/>
          <w:szCs w:val="24"/>
        </w:rPr>
      </w:pPr>
      <w:r w:rsidRPr="0092226B">
        <w:rPr>
          <w:rFonts w:cs="Times New Roman"/>
          <w:color w:val="FF0000"/>
          <w:szCs w:val="24"/>
        </w:rPr>
        <w:t xml:space="preserve"> </w:t>
      </w:r>
    </w:p>
    <w:p w14:paraId="70F8CE75" w14:textId="38AFFBDF" w:rsidR="00AC180B" w:rsidRDefault="00AC180B" w:rsidP="00AC180B">
      <w:pPr>
        <w:pStyle w:val="Nagwek3"/>
      </w:pPr>
      <w:bookmarkStart w:id="312" w:name="_Toc77514035"/>
      <w:bookmarkStart w:id="313" w:name="_Toc80523196"/>
      <w:r>
        <w:t>Infrastruktura społeczna oraz usługi świadczone osobom starszym w 2020 r.</w:t>
      </w:r>
      <w:bookmarkEnd w:id="312"/>
      <w:bookmarkEnd w:id="313"/>
    </w:p>
    <w:p w14:paraId="525E5BF3" w14:textId="77777777" w:rsidR="000B1B06" w:rsidRPr="000B1B06" w:rsidRDefault="000B1B06" w:rsidP="000B1B06"/>
    <w:p w14:paraId="14155EC9" w14:textId="32D26877" w:rsidR="00AC180B" w:rsidRDefault="00AC180B" w:rsidP="00AC180B">
      <w:pPr>
        <w:rPr>
          <w:rFonts w:cs="Times New Roman"/>
          <w:szCs w:val="24"/>
        </w:rPr>
      </w:pPr>
      <w:r w:rsidRPr="00D96C8C">
        <w:rPr>
          <w:rFonts w:cs="Times New Roman"/>
          <w:szCs w:val="24"/>
        </w:rPr>
        <w:t xml:space="preserve">Szczegółowe informacje dotyczące usług oraz infrastruktury społecznej dostępnej dla osób starszych w województwie </w:t>
      </w:r>
      <w:r w:rsidR="005C3916">
        <w:rPr>
          <w:rFonts w:cs="Times New Roman"/>
          <w:szCs w:val="24"/>
        </w:rPr>
        <w:t>warmińsko-mazurskim</w:t>
      </w:r>
      <w:r>
        <w:rPr>
          <w:rFonts w:cs="Times New Roman"/>
          <w:szCs w:val="24"/>
        </w:rPr>
        <w:t xml:space="preserve"> w 2020 r. przedstawia poniższa tabela</w:t>
      </w:r>
    </w:p>
    <w:p w14:paraId="12E1F74D" w14:textId="77777777" w:rsidR="00AC180B" w:rsidRPr="0092226B" w:rsidRDefault="00AC180B" w:rsidP="006367B4">
      <w:pPr>
        <w:tabs>
          <w:tab w:val="left" w:pos="284"/>
        </w:tabs>
        <w:rPr>
          <w:rFonts w:cs="Times New Roman"/>
          <w:color w:val="FF0000"/>
          <w:szCs w:val="24"/>
        </w:rPr>
      </w:pPr>
    </w:p>
    <w:p w14:paraId="01D8F3E2" w14:textId="77777777" w:rsidR="00AB1786" w:rsidRPr="0092226B" w:rsidRDefault="00AB1786" w:rsidP="003C1988">
      <w:pPr>
        <w:rPr>
          <w:rFonts w:cs="Times New Roman"/>
          <w:b/>
          <w:bCs/>
          <w:color w:val="FF0000"/>
          <w:szCs w:val="24"/>
        </w:rPr>
      </w:pPr>
    </w:p>
    <w:p w14:paraId="7B10CD56" w14:textId="77777777" w:rsidR="00E70D90" w:rsidRPr="0092226B" w:rsidRDefault="00E70D90" w:rsidP="003C1988">
      <w:pPr>
        <w:rPr>
          <w:rFonts w:cs="Times New Roman"/>
          <w:color w:val="FF0000"/>
          <w:szCs w:val="24"/>
          <w:lang w:eastAsia="ar-SA"/>
        </w:rPr>
        <w:sectPr w:rsidR="00E70D90" w:rsidRPr="0092226B" w:rsidSect="00FC210F">
          <w:pgSz w:w="11906" w:h="16840"/>
          <w:pgMar w:top="1418" w:right="1418" w:bottom="1417" w:left="1418" w:header="708" w:footer="708" w:gutter="0"/>
          <w:cols w:space="708"/>
          <w:docGrid w:linePitch="360"/>
        </w:sectPr>
      </w:pPr>
    </w:p>
    <w:p w14:paraId="4EA24AD7" w14:textId="446A2AB0" w:rsidR="004D48DD" w:rsidRPr="00A871AD" w:rsidRDefault="004D48DD" w:rsidP="004D48DD">
      <w:pPr>
        <w:pStyle w:val="Legenda"/>
        <w:keepNext/>
        <w:rPr>
          <w:rFonts w:cs="Times New Roman"/>
          <w:b/>
          <w:i w:val="0"/>
          <w:color w:val="auto"/>
          <w:sz w:val="24"/>
        </w:rPr>
      </w:pPr>
      <w:bookmarkStart w:id="314" w:name="_Toc49171443"/>
      <w:r w:rsidRPr="00A871AD">
        <w:rPr>
          <w:rFonts w:cs="Times New Roman"/>
          <w:b/>
          <w:i w:val="0"/>
          <w:color w:val="auto"/>
          <w:sz w:val="24"/>
        </w:rPr>
        <w:lastRenderedPageBreak/>
        <w:t xml:space="preserve">Tabela </w:t>
      </w:r>
      <w:r w:rsidR="00A871AD" w:rsidRPr="00A871AD">
        <w:rPr>
          <w:rFonts w:cs="Times New Roman"/>
          <w:b/>
          <w:i w:val="0"/>
          <w:color w:val="auto"/>
          <w:sz w:val="24"/>
        </w:rPr>
        <w:t>76</w:t>
      </w:r>
      <w:r w:rsidR="00054E88">
        <w:rPr>
          <w:rFonts w:cs="Times New Roman"/>
          <w:b/>
          <w:i w:val="0"/>
          <w:color w:val="auto"/>
          <w:sz w:val="24"/>
        </w:rPr>
        <w:t>.</w:t>
      </w:r>
      <w:r w:rsidRPr="00A871AD">
        <w:rPr>
          <w:rFonts w:cs="Times New Roman"/>
          <w:b/>
          <w:i w:val="0"/>
          <w:color w:val="auto"/>
          <w:sz w:val="24"/>
        </w:rPr>
        <w:t xml:space="preserve"> Karta województwa warmińsko-mazurskiego</w:t>
      </w:r>
      <w:bookmarkEnd w:id="314"/>
    </w:p>
    <w:tbl>
      <w:tblPr>
        <w:tblStyle w:val="Tabelasiatki5ciemnaakcent2"/>
        <w:tblpPr w:leftFromText="141" w:rightFromText="141" w:vertAnchor="text" w:tblpXSpec="center" w:tblpY="1"/>
        <w:tblW w:w="14741" w:type="dxa"/>
        <w:tblLayout w:type="fixed"/>
        <w:tblLook w:val="04A0" w:firstRow="1" w:lastRow="0" w:firstColumn="1" w:lastColumn="0" w:noHBand="0" w:noVBand="1"/>
      </w:tblPr>
      <w:tblGrid>
        <w:gridCol w:w="2830"/>
        <w:gridCol w:w="3066"/>
        <w:gridCol w:w="53"/>
        <w:gridCol w:w="2895"/>
        <w:gridCol w:w="790"/>
        <w:gridCol w:w="2158"/>
        <w:gridCol w:w="2949"/>
      </w:tblGrid>
      <w:tr w:rsidR="00BD683F" w:rsidRPr="0092226B" w14:paraId="54BA706F" w14:textId="77777777" w:rsidTr="00BD683F">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77DF833B" w14:textId="117D80AC" w:rsidR="00BD683F" w:rsidRPr="007726D7" w:rsidRDefault="00BD683F" w:rsidP="00BD683F">
            <w:pPr>
              <w:spacing w:line="240" w:lineRule="auto"/>
              <w:jc w:val="center"/>
              <w:rPr>
                <w:rFonts w:cs="Times New Roman"/>
                <w:color w:val="auto"/>
                <w:sz w:val="20"/>
                <w:szCs w:val="20"/>
              </w:rPr>
            </w:pPr>
            <w:r w:rsidRPr="007726D7">
              <w:rPr>
                <w:rFonts w:cs="Times New Roman"/>
                <w:color w:val="auto"/>
                <w:sz w:val="20"/>
                <w:szCs w:val="20"/>
              </w:rPr>
              <w:t>WOJEWÓDZTWO WARMIŃSKO-MAZURSKIE</w:t>
            </w:r>
          </w:p>
        </w:tc>
      </w:tr>
      <w:tr w:rsidR="0092226B" w:rsidRPr="0092226B" w14:paraId="6D6F703E" w14:textId="77777777" w:rsidTr="00BD683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431DE88E" w14:textId="6EDA90FB" w:rsidR="00393951" w:rsidRPr="007726D7" w:rsidRDefault="00393951" w:rsidP="00C24DA4">
            <w:pPr>
              <w:spacing w:line="240" w:lineRule="auto"/>
              <w:jc w:val="center"/>
              <w:rPr>
                <w:rFonts w:cs="Times New Roman"/>
                <w:b w:val="0"/>
                <w:bCs w:val="0"/>
                <w:color w:val="auto"/>
                <w:sz w:val="20"/>
                <w:szCs w:val="20"/>
              </w:rPr>
            </w:pPr>
            <w:r w:rsidRPr="007726D7">
              <w:rPr>
                <w:rFonts w:cs="Times New Roman"/>
                <w:color w:val="auto"/>
                <w:sz w:val="20"/>
                <w:szCs w:val="20"/>
              </w:rPr>
              <w:t>USŁUGI SPOŁECZNE DLA OSÓB STARSZYCH / INFRASTRUKTURA POMOCY SPOLECZNEJ – DANE ZA 20</w:t>
            </w:r>
            <w:r w:rsidR="00A871AD" w:rsidRPr="007726D7">
              <w:rPr>
                <w:rFonts w:cs="Times New Roman"/>
                <w:color w:val="auto"/>
                <w:sz w:val="20"/>
                <w:szCs w:val="20"/>
              </w:rPr>
              <w:t>20</w:t>
            </w:r>
            <w:r w:rsidRPr="007726D7">
              <w:rPr>
                <w:rFonts w:cs="Times New Roman"/>
                <w:color w:val="auto"/>
                <w:sz w:val="20"/>
                <w:szCs w:val="20"/>
              </w:rPr>
              <w:t xml:space="preserve"> R.</w:t>
            </w:r>
          </w:p>
        </w:tc>
      </w:tr>
      <w:tr w:rsidR="0092226B" w:rsidRPr="0092226B" w14:paraId="49FF0950" w14:textId="77777777" w:rsidTr="00BD683F">
        <w:trPr>
          <w:trHeight w:val="7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6731E080" w14:textId="77777777" w:rsidR="00393951" w:rsidRPr="007726D7" w:rsidRDefault="00393951" w:rsidP="009B7D2E">
            <w:pPr>
              <w:spacing w:line="240" w:lineRule="auto"/>
              <w:rPr>
                <w:rFonts w:eastAsia="Times New Roman" w:cs="Times New Roman"/>
                <w:b w:val="0"/>
                <w:bCs w:val="0"/>
                <w:color w:val="auto"/>
                <w:sz w:val="20"/>
                <w:szCs w:val="20"/>
                <w:lang w:eastAsia="pl-PL"/>
              </w:rPr>
            </w:pPr>
            <w:r w:rsidRPr="007726D7">
              <w:rPr>
                <w:rFonts w:eastAsia="Times New Roman" w:cs="Times New Roman"/>
                <w:color w:val="auto"/>
                <w:sz w:val="20"/>
                <w:szCs w:val="20"/>
                <w:lang w:eastAsia="pl-PL"/>
              </w:rPr>
              <w:t>Instytucje pomocy społecznej, w tym:</w:t>
            </w:r>
          </w:p>
        </w:tc>
        <w:tc>
          <w:tcPr>
            <w:tcW w:w="3066" w:type="dxa"/>
          </w:tcPr>
          <w:p w14:paraId="7F7E7094" w14:textId="77777777" w:rsidR="00393951" w:rsidRPr="007726D7" w:rsidRDefault="00393951" w:rsidP="00C24DA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7726D7">
              <w:rPr>
                <w:rFonts w:cs="Times New Roman"/>
                <w:b/>
                <w:sz w:val="20"/>
                <w:szCs w:val="20"/>
              </w:rPr>
              <w:t>Rodzaj placówki</w:t>
            </w:r>
          </w:p>
        </w:tc>
        <w:tc>
          <w:tcPr>
            <w:tcW w:w="2948" w:type="dxa"/>
            <w:gridSpan w:val="2"/>
          </w:tcPr>
          <w:p w14:paraId="30B1D50D" w14:textId="77777777" w:rsidR="00393951" w:rsidRPr="007726D7" w:rsidRDefault="00393951" w:rsidP="00C24DA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7726D7">
              <w:rPr>
                <w:rFonts w:cs="Times New Roman"/>
                <w:b/>
                <w:sz w:val="20"/>
                <w:szCs w:val="20"/>
              </w:rPr>
              <w:t>Liczba placówek</w:t>
            </w:r>
          </w:p>
        </w:tc>
        <w:tc>
          <w:tcPr>
            <w:tcW w:w="2948" w:type="dxa"/>
            <w:gridSpan w:val="2"/>
          </w:tcPr>
          <w:p w14:paraId="31473428" w14:textId="77777777" w:rsidR="00393951" w:rsidRPr="007726D7" w:rsidRDefault="00393951" w:rsidP="00C24DA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7726D7">
              <w:rPr>
                <w:rFonts w:cs="Times New Roman"/>
                <w:b/>
                <w:sz w:val="20"/>
                <w:szCs w:val="20"/>
              </w:rPr>
              <w:t>Liczba miejsc dla osób starszych</w:t>
            </w:r>
          </w:p>
        </w:tc>
        <w:tc>
          <w:tcPr>
            <w:tcW w:w="2949" w:type="dxa"/>
          </w:tcPr>
          <w:p w14:paraId="13A8B39B" w14:textId="77777777" w:rsidR="00393951" w:rsidRPr="007726D7" w:rsidRDefault="00393951" w:rsidP="00C24DA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7726D7">
              <w:rPr>
                <w:rFonts w:cs="Times New Roman"/>
                <w:b/>
                <w:sz w:val="20"/>
                <w:szCs w:val="20"/>
              </w:rPr>
              <w:t>Liczba korzystających osób starszych</w:t>
            </w:r>
          </w:p>
        </w:tc>
      </w:tr>
      <w:tr w:rsidR="00854A7E" w:rsidRPr="0092226B" w14:paraId="2271717F" w14:textId="77777777" w:rsidTr="00BD683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3163E2D" w14:textId="77777777" w:rsidR="00854A7E" w:rsidRPr="007726D7" w:rsidRDefault="00854A7E" w:rsidP="00854A7E">
            <w:pPr>
              <w:spacing w:line="240" w:lineRule="auto"/>
              <w:rPr>
                <w:rFonts w:eastAsia="Times New Roman" w:cs="Times New Roman"/>
                <w:b w:val="0"/>
                <w:bCs w:val="0"/>
                <w:color w:val="auto"/>
                <w:sz w:val="20"/>
                <w:szCs w:val="20"/>
                <w:lang w:eastAsia="pl-PL"/>
              </w:rPr>
            </w:pPr>
          </w:p>
        </w:tc>
        <w:tc>
          <w:tcPr>
            <w:tcW w:w="3066" w:type="dxa"/>
          </w:tcPr>
          <w:p w14:paraId="175C2F93" w14:textId="77777777" w:rsidR="00854A7E" w:rsidRPr="007726D7" w:rsidRDefault="00854A7E" w:rsidP="00854A7E">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rFonts w:cs="Times New Roman"/>
                <w:sz w:val="20"/>
                <w:szCs w:val="20"/>
              </w:rPr>
              <w:t>Środowiskowe Domy Samopomocy</w:t>
            </w:r>
          </w:p>
        </w:tc>
        <w:tc>
          <w:tcPr>
            <w:tcW w:w="2948" w:type="dxa"/>
            <w:gridSpan w:val="2"/>
          </w:tcPr>
          <w:p w14:paraId="4699CB1B" w14:textId="63976330"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70</w:t>
            </w:r>
          </w:p>
        </w:tc>
        <w:tc>
          <w:tcPr>
            <w:tcW w:w="2948" w:type="dxa"/>
            <w:gridSpan w:val="2"/>
          </w:tcPr>
          <w:p w14:paraId="1511A733" w14:textId="5BADFA60"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2</w:t>
            </w:r>
            <w:r w:rsidR="007726D7">
              <w:rPr>
                <w:sz w:val="20"/>
                <w:szCs w:val="20"/>
              </w:rPr>
              <w:t xml:space="preserve"> </w:t>
            </w:r>
            <w:r w:rsidRPr="007726D7">
              <w:rPr>
                <w:sz w:val="20"/>
                <w:szCs w:val="20"/>
              </w:rPr>
              <w:t>122</w:t>
            </w:r>
          </w:p>
        </w:tc>
        <w:tc>
          <w:tcPr>
            <w:tcW w:w="2949" w:type="dxa"/>
          </w:tcPr>
          <w:p w14:paraId="61480194" w14:textId="3C6B1755"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2</w:t>
            </w:r>
            <w:r w:rsidR="007726D7">
              <w:rPr>
                <w:sz w:val="20"/>
                <w:szCs w:val="20"/>
              </w:rPr>
              <w:t xml:space="preserve"> </w:t>
            </w:r>
            <w:r w:rsidRPr="007726D7">
              <w:rPr>
                <w:sz w:val="20"/>
                <w:szCs w:val="20"/>
              </w:rPr>
              <w:t>356</w:t>
            </w:r>
          </w:p>
        </w:tc>
      </w:tr>
      <w:tr w:rsidR="00854A7E" w:rsidRPr="0092226B" w14:paraId="28684404" w14:textId="77777777" w:rsidTr="00BD683F">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51BC9BC" w14:textId="77777777" w:rsidR="00854A7E" w:rsidRPr="007726D7" w:rsidRDefault="00854A7E" w:rsidP="00854A7E">
            <w:pPr>
              <w:spacing w:line="240" w:lineRule="auto"/>
              <w:rPr>
                <w:rFonts w:eastAsia="Times New Roman" w:cs="Times New Roman"/>
                <w:b w:val="0"/>
                <w:bCs w:val="0"/>
                <w:color w:val="auto"/>
                <w:sz w:val="20"/>
                <w:szCs w:val="20"/>
                <w:lang w:eastAsia="pl-PL"/>
              </w:rPr>
            </w:pPr>
          </w:p>
        </w:tc>
        <w:tc>
          <w:tcPr>
            <w:tcW w:w="3066" w:type="dxa"/>
          </w:tcPr>
          <w:p w14:paraId="46171EC4" w14:textId="77777777" w:rsidR="00854A7E" w:rsidRPr="007726D7" w:rsidRDefault="00854A7E" w:rsidP="00854A7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rFonts w:cs="Times New Roman"/>
                <w:sz w:val="20"/>
                <w:szCs w:val="20"/>
              </w:rPr>
              <w:t>Dzienne Domy Pomocy</w:t>
            </w:r>
          </w:p>
        </w:tc>
        <w:tc>
          <w:tcPr>
            <w:tcW w:w="2948" w:type="dxa"/>
            <w:gridSpan w:val="2"/>
          </w:tcPr>
          <w:p w14:paraId="00042D95" w14:textId="42701BDD" w:rsidR="00854A7E" w:rsidRPr="007726D7" w:rsidRDefault="00854A7E"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14</w:t>
            </w:r>
          </w:p>
        </w:tc>
        <w:tc>
          <w:tcPr>
            <w:tcW w:w="2948" w:type="dxa"/>
            <w:gridSpan w:val="2"/>
          </w:tcPr>
          <w:p w14:paraId="3B556194" w14:textId="5859C42E" w:rsidR="00854A7E" w:rsidRPr="007726D7" w:rsidRDefault="00854A7E"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612</w:t>
            </w:r>
          </w:p>
        </w:tc>
        <w:tc>
          <w:tcPr>
            <w:tcW w:w="2949" w:type="dxa"/>
          </w:tcPr>
          <w:p w14:paraId="558D4A4D" w14:textId="7A714EFB" w:rsidR="00854A7E" w:rsidRPr="007726D7" w:rsidRDefault="00854A7E"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746</w:t>
            </w:r>
          </w:p>
        </w:tc>
      </w:tr>
      <w:tr w:rsidR="00854A7E" w:rsidRPr="0092226B" w14:paraId="51D8D5DA" w14:textId="77777777" w:rsidTr="00BD683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3061157" w14:textId="77777777" w:rsidR="00854A7E" w:rsidRPr="007726D7" w:rsidRDefault="00854A7E" w:rsidP="00854A7E">
            <w:pPr>
              <w:spacing w:line="240" w:lineRule="auto"/>
              <w:rPr>
                <w:rFonts w:eastAsia="Times New Roman" w:cs="Times New Roman"/>
                <w:b w:val="0"/>
                <w:bCs w:val="0"/>
                <w:color w:val="auto"/>
                <w:sz w:val="20"/>
                <w:szCs w:val="20"/>
                <w:lang w:eastAsia="pl-PL"/>
              </w:rPr>
            </w:pPr>
          </w:p>
        </w:tc>
        <w:tc>
          <w:tcPr>
            <w:tcW w:w="3066" w:type="dxa"/>
          </w:tcPr>
          <w:p w14:paraId="5AD3FFCF" w14:textId="77777777" w:rsidR="00854A7E" w:rsidRPr="007726D7" w:rsidRDefault="00854A7E" w:rsidP="00854A7E">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rFonts w:cs="Times New Roman"/>
                <w:sz w:val="20"/>
                <w:szCs w:val="20"/>
              </w:rPr>
              <w:t>Noclegownie, schroniska i domy dla osób bezdomnych</w:t>
            </w:r>
          </w:p>
        </w:tc>
        <w:tc>
          <w:tcPr>
            <w:tcW w:w="2948" w:type="dxa"/>
            <w:gridSpan w:val="2"/>
          </w:tcPr>
          <w:p w14:paraId="120993CD" w14:textId="6143BFE4"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18</w:t>
            </w:r>
          </w:p>
        </w:tc>
        <w:tc>
          <w:tcPr>
            <w:tcW w:w="2948" w:type="dxa"/>
            <w:gridSpan w:val="2"/>
          </w:tcPr>
          <w:p w14:paraId="1477CCA8" w14:textId="3F29C2F9"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149</w:t>
            </w:r>
          </w:p>
        </w:tc>
        <w:tc>
          <w:tcPr>
            <w:tcW w:w="2949" w:type="dxa"/>
          </w:tcPr>
          <w:p w14:paraId="52F310D0" w14:textId="7A957781"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232</w:t>
            </w:r>
          </w:p>
        </w:tc>
      </w:tr>
      <w:tr w:rsidR="00854A7E" w:rsidRPr="0092226B" w14:paraId="08EFE404" w14:textId="77777777" w:rsidTr="00BD683F">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690E151" w14:textId="77777777" w:rsidR="00854A7E" w:rsidRPr="007726D7" w:rsidRDefault="00854A7E" w:rsidP="00854A7E">
            <w:pPr>
              <w:spacing w:line="240" w:lineRule="auto"/>
              <w:rPr>
                <w:rFonts w:eastAsia="Times New Roman" w:cs="Times New Roman"/>
                <w:b w:val="0"/>
                <w:bCs w:val="0"/>
                <w:color w:val="auto"/>
                <w:sz w:val="20"/>
                <w:szCs w:val="20"/>
                <w:lang w:eastAsia="pl-PL"/>
              </w:rPr>
            </w:pPr>
          </w:p>
        </w:tc>
        <w:tc>
          <w:tcPr>
            <w:tcW w:w="3066" w:type="dxa"/>
          </w:tcPr>
          <w:p w14:paraId="7F20A116" w14:textId="77777777" w:rsidR="00854A7E" w:rsidRPr="007726D7" w:rsidRDefault="00854A7E" w:rsidP="00854A7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rFonts w:cs="Times New Roman"/>
                <w:sz w:val="20"/>
                <w:szCs w:val="20"/>
              </w:rPr>
              <w:t>Ogrzewalnie</w:t>
            </w:r>
          </w:p>
        </w:tc>
        <w:tc>
          <w:tcPr>
            <w:tcW w:w="2948" w:type="dxa"/>
            <w:gridSpan w:val="2"/>
          </w:tcPr>
          <w:p w14:paraId="21D0BFD5" w14:textId="590F7C67" w:rsidR="00854A7E" w:rsidRPr="007726D7" w:rsidRDefault="00854A7E"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3</w:t>
            </w:r>
          </w:p>
        </w:tc>
        <w:tc>
          <w:tcPr>
            <w:tcW w:w="2948" w:type="dxa"/>
            <w:gridSpan w:val="2"/>
          </w:tcPr>
          <w:p w14:paraId="605C0526" w14:textId="18C766D4" w:rsidR="00854A7E" w:rsidRPr="007726D7" w:rsidRDefault="00854A7E"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20</w:t>
            </w:r>
          </w:p>
        </w:tc>
        <w:tc>
          <w:tcPr>
            <w:tcW w:w="2949" w:type="dxa"/>
          </w:tcPr>
          <w:p w14:paraId="453E7A8A" w14:textId="209C70CA" w:rsidR="00854A7E" w:rsidRPr="007726D7" w:rsidRDefault="00854A7E"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21</w:t>
            </w:r>
          </w:p>
        </w:tc>
      </w:tr>
      <w:tr w:rsidR="00854A7E" w:rsidRPr="0092226B" w14:paraId="06E54648" w14:textId="77777777" w:rsidTr="00BD683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60B25CC" w14:textId="77777777" w:rsidR="00854A7E" w:rsidRPr="007726D7" w:rsidRDefault="00854A7E" w:rsidP="00854A7E">
            <w:pPr>
              <w:spacing w:line="240" w:lineRule="auto"/>
              <w:rPr>
                <w:rFonts w:eastAsia="Times New Roman" w:cs="Times New Roman"/>
                <w:b w:val="0"/>
                <w:bCs w:val="0"/>
                <w:color w:val="auto"/>
                <w:sz w:val="20"/>
                <w:szCs w:val="20"/>
                <w:lang w:eastAsia="pl-PL"/>
              </w:rPr>
            </w:pPr>
          </w:p>
        </w:tc>
        <w:tc>
          <w:tcPr>
            <w:tcW w:w="3066" w:type="dxa"/>
          </w:tcPr>
          <w:p w14:paraId="24B5F3BB" w14:textId="77777777" w:rsidR="00854A7E" w:rsidRPr="007726D7" w:rsidRDefault="00854A7E" w:rsidP="00854A7E">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rFonts w:cs="Times New Roman"/>
                <w:sz w:val="20"/>
                <w:szCs w:val="20"/>
              </w:rPr>
              <w:t>Kluby Samopomocy</w:t>
            </w:r>
          </w:p>
        </w:tc>
        <w:tc>
          <w:tcPr>
            <w:tcW w:w="2948" w:type="dxa"/>
            <w:gridSpan w:val="2"/>
          </w:tcPr>
          <w:p w14:paraId="735400B5" w14:textId="0ABEAA6C"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2</w:t>
            </w:r>
          </w:p>
        </w:tc>
        <w:tc>
          <w:tcPr>
            <w:tcW w:w="2948" w:type="dxa"/>
            <w:gridSpan w:val="2"/>
          </w:tcPr>
          <w:p w14:paraId="78AC0D4C" w14:textId="58A6C4F0"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30</w:t>
            </w:r>
          </w:p>
        </w:tc>
        <w:tc>
          <w:tcPr>
            <w:tcW w:w="2949" w:type="dxa"/>
          </w:tcPr>
          <w:p w14:paraId="7B870C06" w14:textId="058AE12C"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32</w:t>
            </w:r>
          </w:p>
        </w:tc>
      </w:tr>
      <w:tr w:rsidR="00854A7E" w:rsidRPr="0092226B" w14:paraId="7BAD6EC0" w14:textId="77777777" w:rsidTr="00BD683F">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4C5F4A0" w14:textId="77777777" w:rsidR="00854A7E" w:rsidRPr="007726D7" w:rsidRDefault="00854A7E" w:rsidP="00854A7E">
            <w:pPr>
              <w:spacing w:line="240" w:lineRule="auto"/>
              <w:rPr>
                <w:rFonts w:eastAsia="Times New Roman" w:cs="Times New Roman"/>
                <w:b w:val="0"/>
                <w:bCs w:val="0"/>
                <w:color w:val="auto"/>
                <w:sz w:val="20"/>
                <w:szCs w:val="20"/>
                <w:lang w:eastAsia="pl-PL"/>
              </w:rPr>
            </w:pPr>
          </w:p>
        </w:tc>
        <w:tc>
          <w:tcPr>
            <w:tcW w:w="3066" w:type="dxa"/>
          </w:tcPr>
          <w:p w14:paraId="59466801" w14:textId="77777777" w:rsidR="00854A7E" w:rsidRPr="007726D7" w:rsidRDefault="00854A7E" w:rsidP="00854A7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rFonts w:cs="Times New Roman"/>
                <w:sz w:val="20"/>
                <w:szCs w:val="20"/>
              </w:rPr>
              <w:t>Placówki zapewniające całodobową opiekę osobom niepełnosprawnym, przewlekle chorym lub osobom w podeszłym wieku</w:t>
            </w:r>
          </w:p>
        </w:tc>
        <w:tc>
          <w:tcPr>
            <w:tcW w:w="2948" w:type="dxa"/>
            <w:gridSpan w:val="2"/>
          </w:tcPr>
          <w:p w14:paraId="7D10CBF2" w14:textId="48D79B3C" w:rsidR="00854A7E" w:rsidRPr="007726D7" w:rsidRDefault="00854A7E"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24</w:t>
            </w:r>
          </w:p>
        </w:tc>
        <w:tc>
          <w:tcPr>
            <w:tcW w:w="2948" w:type="dxa"/>
            <w:gridSpan w:val="2"/>
          </w:tcPr>
          <w:p w14:paraId="086CFE1A" w14:textId="2FCFD696" w:rsidR="00854A7E" w:rsidRPr="007726D7" w:rsidRDefault="00854A7E"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951 statutowa liczba wszystkich miejsc</w:t>
            </w:r>
          </w:p>
        </w:tc>
        <w:tc>
          <w:tcPr>
            <w:tcW w:w="2949" w:type="dxa"/>
          </w:tcPr>
          <w:p w14:paraId="585CD03C" w14:textId="116731A7" w:rsidR="00854A7E" w:rsidRPr="007726D7" w:rsidRDefault="00854A7E"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368</w:t>
            </w:r>
          </w:p>
        </w:tc>
      </w:tr>
      <w:tr w:rsidR="00854A7E" w:rsidRPr="0092226B" w14:paraId="12F9D436" w14:textId="77777777" w:rsidTr="00BD683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77EBD9A" w14:textId="77777777" w:rsidR="00854A7E" w:rsidRPr="007726D7" w:rsidRDefault="00854A7E" w:rsidP="00854A7E">
            <w:pPr>
              <w:spacing w:line="240" w:lineRule="auto"/>
              <w:rPr>
                <w:rFonts w:eastAsia="Times New Roman" w:cs="Times New Roman"/>
                <w:b w:val="0"/>
                <w:bCs w:val="0"/>
                <w:color w:val="auto"/>
                <w:sz w:val="20"/>
                <w:szCs w:val="20"/>
                <w:lang w:eastAsia="pl-PL"/>
              </w:rPr>
            </w:pPr>
          </w:p>
        </w:tc>
        <w:tc>
          <w:tcPr>
            <w:tcW w:w="3066" w:type="dxa"/>
          </w:tcPr>
          <w:p w14:paraId="643C8E8A" w14:textId="77777777" w:rsidR="00854A7E" w:rsidRPr="007726D7" w:rsidRDefault="00854A7E" w:rsidP="00854A7E">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rFonts w:cs="Times New Roman"/>
                <w:sz w:val="20"/>
                <w:szCs w:val="20"/>
              </w:rPr>
              <w:t>Domy Pomocy Społecznej</w:t>
            </w:r>
          </w:p>
        </w:tc>
        <w:tc>
          <w:tcPr>
            <w:tcW w:w="2948" w:type="dxa"/>
            <w:gridSpan w:val="2"/>
          </w:tcPr>
          <w:p w14:paraId="02353CEC" w14:textId="3514BD1C"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52</w:t>
            </w:r>
          </w:p>
        </w:tc>
        <w:tc>
          <w:tcPr>
            <w:tcW w:w="2948" w:type="dxa"/>
            <w:gridSpan w:val="2"/>
          </w:tcPr>
          <w:p w14:paraId="4F6ED5B7" w14:textId="7A23A843"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4</w:t>
            </w:r>
            <w:r w:rsidR="009851A0">
              <w:rPr>
                <w:sz w:val="20"/>
                <w:szCs w:val="20"/>
              </w:rPr>
              <w:t xml:space="preserve"> </w:t>
            </w:r>
            <w:r w:rsidRPr="007726D7">
              <w:rPr>
                <w:sz w:val="20"/>
                <w:szCs w:val="20"/>
              </w:rPr>
              <w:t>189 statutowa liczba wszystkich miejsc</w:t>
            </w:r>
          </w:p>
        </w:tc>
        <w:tc>
          <w:tcPr>
            <w:tcW w:w="2949" w:type="dxa"/>
          </w:tcPr>
          <w:p w14:paraId="6A09BF39" w14:textId="3ACD8993"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2</w:t>
            </w:r>
            <w:r w:rsidR="009851A0">
              <w:rPr>
                <w:sz w:val="20"/>
                <w:szCs w:val="20"/>
              </w:rPr>
              <w:t xml:space="preserve"> </w:t>
            </w:r>
            <w:r w:rsidRPr="007726D7">
              <w:rPr>
                <w:sz w:val="20"/>
                <w:szCs w:val="20"/>
              </w:rPr>
              <w:t>149</w:t>
            </w:r>
          </w:p>
        </w:tc>
      </w:tr>
      <w:tr w:rsidR="00854A7E" w:rsidRPr="0092226B" w14:paraId="74C81F05" w14:textId="77777777" w:rsidTr="00BD683F">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54EE1AE" w14:textId="77777777" w:rsidR="00854A7E" w:rsidRPr="007726D7" w:rsidRDefault="00854A7E" w:rsidP="00854A7E">
            <w:pPr>
              <w:spacing w:line="240" w:lineRule="auto"/>
              <w:rPr>
                <w:rFonts w:eastAsia="Times New Roman" w:cs="Times New Roman"/>
                <w:b w:val="0"/>
                <w:bCs w:val="0"/>
                <w:color w:val="auto"/>
                <w:sz w:val="20"/>
                <w:szCs w:val="20"/>
                <w:lang w:eastAsia="pl-PL"/>
              </w:rPr>
            </w:pPr>
          </w:p>
        </w:tc>
        <w:tc>
          <w:tcPr>
            <w:tcW w:w="3066" w:type="dxa"/>
          </w:tcPr>
          <w:p w14:paraId="0E347D52" w14:textId="77777777" w:rsidR="00854A7E" w:rsidRPr="007726D7" w:rsidRDefault="00854A7E" w:rsidP="00854A7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rFonts w:cs="Times New Roman"/>
                <w:sz w:val="20"/>
                <w:szCs w:val="20"/>
              </w:rPr>
              <w:t>Mieszkania chronione ogółem</w:t>
            </w:r>
          </w:p>
        </w:tc>
        <w:tc>
          <w:tcPr>
            <w:tcW w:w="2948" w:type="dxa"/>
            <w:gridSpan w:val="2"/>
          </w:tcPr>
          <w:p w14:paraId="0EB8739B" w14:textId="772B8D85" w:rsidR="00854A7E" w:rsidRPr="007726D7" w:rsidRDefault="00854A7E"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73</w:t>
            </w:r>
          </w:p>
        </w:tc>
        <w:tc>
          <w:tcPr>
            <w:tcW w:w="2948" w:type="dxa"/>
            <w:gridSpan w:val="2"/>
          </w:tcPr>
          <w:p w14:paraId="5537B95B" w14:textId="1994DAD2" w:rsidR="00854A7E" w:rsidRPr="007726D7" w:rsidRDefault="00854A7E"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226 statutowa liczba wszystkich miejsc</w:t>
            </w:r>
          </w:p>
        </w:tc>
        <w:tc>
          <w:tcPr>
            <w:tcW w:w="2949" w:type="dxa"/>
          </w:tcPr>
          <w:p w14:paraId="55CEACCD" w14:textId="2EEBB4B0" w:rsidR="00854A7E" w:rsidRPr="007726D7" w:rsidRDefault="00854A7E"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61</w:t>
            </w:r>
          </w:p>
        </w:tc>
      </w:tr>
      <w:tr w:rsidR="00854A7E" w:rsidRPr="0092226B" w14:paraId="0C41A7E0" w14:textId="77777777" w:rsidTr="00BD683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C5AE7E5" w14:textId="77777777" w:rsidR="00854A7E" w:rsidRPr="007726D7" w:rsidRDefault="00854A7E" w:rsidP="00854A7E">
            <w:pPr>
              <w:spacing w:line="240" w:lineRule="auto"/>
              <w:rPr>
                <w:rFonts w:eastAsia="Times New Roman" w:cs="Times New Roman"/>
                <w:b w:val="0"/>
                <w:bCs w:val="0"/>
                <w:color w:val="auto"/>
                <w:sz w:val="20"/>
                <w:szCs w:val="20"/>
                <w:lang w:eastAsia="pl-PL"/>
              </w:rPr>
            </w:pPr>
          </w:p>
        </w:tc>
        <w:tc>
          <w:tcPr>
            <w:tcW w:w="3066" w:type="dxa"/>
          </w:tcPr>
          <w:p w14:paraId="067F1762" w14:textId="77777777" w:rsidR="00854A7E" w:rsidRPr="007726D7" w:rsidRDefault="00854A7E" w:rsidP="00854A7E">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rFonts w:cs="Times New Roman"/>
                <w:sz w:val="20"/>
                <w:szCs w:val="20"/>
              </w:rPr>
              <w:t>Ośrodki Interwencji Kryzysowej ogółem</w:t>
            </w:r>
          </w:p>
        </w:tc>
        <w:tc>
          <w:tcPr>
            <w:tcW w:w="2948" w:type="dxa"/>
            <w:gridSpan w:val="2"/>
          </w:tcPr>
          <w:p w14:paraId="54B0C040" w14:textId="417A104F"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7</w:t>
            </w:r>
          </w:p>
        </w:tc>
        <w:tc>
          <w:tcPr>
            <w:tcW w:w="2948" w:type="dxa"/>
            <w:gridSpan w:val="2"/>
          </w:tcPr>
          <w:p w14:paraId="1BCC3331" w14:textId="2BB63F5D"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11</w:t>
            </w:r>
          </w:p>
        </w:tc>
        <w:tc>
          <w:tcPr>
            <w:tcW w:w="2949" w:type="dxa"/>
          </w:tcPr>
          <w:p w14:paraId="03D48D69" w14:textId="70D4D879"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3</w:t>
            </w:r>
          </w:p>
        </w:tc>
      </w:tr>
      <w:tr w:rsidR="00854A7E" w:rsidRPr="0092226B" w14:paraId="37092E3B" w14:textId="77777777" w:rsidTr="00BD683F">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DD1EEBA" w14:textId="77777777" w:rsidR="00854A7E" w:rsidRPr="007726D7" w:rsidRDefault="00854A7E" w:rsidP="00854A7E">
            <w:pPr>
              <w:spacing w:line="240" w:lineRule="auto"/>
              <w:rPr>
                <w:rFonts w:eastAsia="Times New Roman" w:cs="Times New Roman"/>
                <w:b w:val="0"/>
                <w:bCs w:val="0"/>
                <w:color w:val="auto"/>
                <w:sz w:val="20"/>
                <w:szCs w:val="20"/>
                <w:lang w:eastAsia="pl-PL"/>
              </w:rPr>
            </w:pPr>
          </w:p>
        </w:tc>
        <w:tc>
          <w:tcPr>
            <w:tcW w:w="3066" w:type="dxa"/>
          </w:tcPr>
          <w:p w14:paraId="09C031D0" w14:textId="77777777" w:rsidR="00854A7E" w:rsidRPr="007726D7" w:rsidRDefault="00854A7E" w:rsidP="00854A7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rFonts w:cs="Times New Roman"/>
                <w:sz w:val="20"/>
                <w:szCs w:val="20"/>
              </w:rPr>
              <w:t>Jednostki specjalistycznego poradnictwa</w:t>
            </w:r>
          </w:p>
        </w:tc>
        <w:tc>
          <w:tcPr>
            <w:tcW w:w="2948" w:type="dxa"/>
            <w:gridSpan w:val="2"/>
          </w:tcPr>
          <w:p w14:paraId="2D439CAE" w14:textId="147E18B2" w:rsidR="00854A7E" w:rsidRPr="007726D7" w:rsidRDefault="00854A7E"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7</w:t>
            </w:r>
          </w:p>
        </w:tc>
        <w:tc>
          <w:tcPr>
            <w:tcW w:w="2948" w:type="dxa"/>
            <w:gridSpan w:val="2"/>
          </w:tcPr>
          <w:p w14:paraId="15DE87D2" w14:textId="4D2249DE" w:rsidR="00854A7E" w:rsidRPr="007726D7" w:rsidRDefault="00854A7E"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w:t>
            </w:r>
          </w:p>
        </w:tc>
        <w:tc>
          <w:tcPr>
            <w:tcW w:w="2949" w:type="dxa"/>
          </w:tcPr>
          <w:p w14:paraId="150D3724" w14:textId="746BE670" w:rsidR="00854A7E" w:rsidRPr="007726D7" w:rsidRDefault="00854A7E"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84</w:t>
            </w:r>
          </w:p>
        </w:tc>
      </w:tr>
      <w:tr w:rsidR="00854A7E" w:rsidRPr="0092226B" w14:paraId="7AA4E1EB" w14:textId="77777777" w:rsidTr="00BD683F">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B55E263" w14:textId="77777777" w:rsidR="00854A7E" w:rsidRPr="007726D7" w:rsidRDefault="00854A7E" w:rsidP="00854A7E">
            <w:pPr>
              <w:spacing w:line="240" w:lineRule="auto"/>
              <w:rPr>
                <w:rFonts w:eastAsia="Times New Roman" w:cs="Times New Roman"/>
                <w:b w:val="0"/>
                <w:bCs w:val="0"/>
                <w:sz w:val="20"/>
                <w:szCs w:val="20"/>
                <w:lang w:eastAsia="pl-PL"/>
              </w:rPr>
            </w:pPr>
          </w:p>
        </w:tc>
        <w:tc>
          <w:tcPr>
            <w:tcW w:w="3066" w:type="dxa"/>
          </w:tcPr>
          <w:p w14:paraId="38DACF80" w14:textId="78EEC327" w:rsidR="00854A7E" w:rsidRPr="007726D7" w:rsidRDefault="00854A7E" w:rsidP="00854A7E">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rFonts w:cs="Times New Roman"/>
                <w:sz w:val="20"/>
                <w:szCs w:val="20"/>
              </w:rPr>
              <w:t>Placówki wsparcia dziennego</w:t>
            </w:r>
          </w:p>
        </w:tc>
        <w:tc>
          <w:tcPr>
            <w:tcW w:w="2948" w:type="dxa"/>
            <w:gridSpan w:val="2"/>
          </w:tcPr>
          <w:p w14:paraId="3D572BAE" w14:textId="77777777"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2948" w:type="dxa"/>
            <w:gridSpan w:val="2"/>
          </w:tcPr>
          <w:p w14:paraId="5433854E" w14:textId="37789840"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15</w:t>
            </w:r>
          </w:p>
        </w:tc>
        <w:tc>
          <w:tcPr>
            <w:tcW w:w="2949" w:type="dxa"/>
          </w:tcPr>
          <w:p w14:paraId="578DEC08" w14:textId="6A744F52" w:rsidR="00854A7E" w:rsidRPr="007726D7" w:rsidRDefault="00854A7E"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0</w:t>
            </w:r>
          </w:p>
        </w:tc>
      </w:tr>
      <w:tr w:rsidR="0092226B" w:rsidRPr="0092226B" w14:paraId="7609C6EF" w14:textId="77777777" w:rsidTr="00BD683F">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63F5237" w14:textId="77777777" w:rsidR="00393951" w:rsidRPr="007726D7" w:rsidRDefault="00393951" w:rsidP="009B7D2E">
            <w:pPr>
              <w:spacing w:line="240" w:lineRule="auto"/>
              <w:rPr>
                <w:rFonts w:eastAsia="Times New Roman" w:cs="Times New Roman"/>
                <w:b w:val="0"/>
                <w:bCs w:val="0"/>
                <w:color w:val="auto"/>
                <w:sz w:val="20"/>
                <w:szCs w:val="20"/>
                <w:lang w:eastAsia="pl-PL"/>
              </w:rPr>
            </w:pPr>
          </w:p>
        </w:tc>
        <w:tc>
          <w:tcPr>
            <w:tcW w:w="3066" w:type="dxa"/>
          </w:tcPr>
          <w:p w14:paraId="7641FE70" w14:textId="77777777" w:rsidR="00393951" w:rsidRPr="007726D7" w:rsidRDefault="00393951" w:rsidP="009B7D2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rFonts w:cs="Times New Roman"/>
                <w:sz w:val="20"/>
                <w:szCs w:val="20"/>
              </w:rPr>
              <w:t>Placówki Senior+, w tym:</w:t>
            </w:r>
          </w:p>
        </w:tc>
        <w:tc>
          <w:tcPr>
            <w:tcW w:w="8845" w:type="dxa"/>
            <w:gridSpan w:val="5"/>
          </w:tcPr>
          <w:p w14:paraId="5CCB15A2" w14:textId="709C269B" w:rsidR="00393951" w:rsidRPr="007726D7" w:rsidRDefault="00393951" w:rsidP="00C24DA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265423" w:rsidRPr="0092226B" w14:paraId="78149D8B" w14:textId="77777777" w:rsidTr="0026542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021ABEB" w14:textId="77777777" w:rsidR="00265423" w:rsidRPr="007726D7" w:rsidRDefault="00265423" w:rsidP="00854A7E">
            <w:pPr>
              <w:spacing w:line="240" w:lineRule="auto"/>
              <w:rPr>
                <w:rFonts w:eastAsia="Times New Roman" w:cs="Times New Roman"/>
                <w:b w:val="0"/>
                <w:bCs w:val="0"/>
                <w:color w:val="auto"/>
                <w:sz w:val="20"/>
                <w:szCs w:val="20"/>
                <w:lang w:eastAsia="pl-PL"/>
              </w:rPr>
            </w:pPr>
          </w:p>
        </w:tc>
        <w:tc>
          <w:tcPr>
            <w:tcW w:w="3066" w:type="dxa"/>
          </w:tcPr>
          <w:p w14:paraId="56CD4231" w14:textId="77777777" w:rsidR="00265423" w:rsidRPr="007726D7" w:rsidRDefault="00265423" w:rsidP="00854A7E">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rFonts w:cs="Times New Roman"/>
                <w:sz w:val="20"/>
                <w:szCs w:val="20"/>
              </w:rPr>
              <w:t>Domy Dziennego Pobytu</w:t>
            </w:r>
          </w:p>
        </w:tc>
        <w:tc>
          <w:tcPr>
            <w:tcW w:w="2948" w:type="dxa"/>
            <w:gridSpan w:val="2"/>
          </w:tcPr>
          <w:p w14:paraId="1B713A54" w14:textId="3BD5010C" w:rsidR="00265423" w:rsidRPr="007726D7" w:rsidRDefault="00265423"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sz w:val="20"/>
                <w:szCs w:val="20"/>
              </w:rPr>
              <w:t>15</w:t>
            </w:r>
          </w:p>
        </w:tc>
        <w:tc>
          <w:tcPr>
            <w:tcW w:w="2948" w:type="dxa"/>
            <w:gridSpan w:val="2"/>
          </w:tcPr>
          <w:p w14:paraId="61D76AE6" w14:textId="1A22BB79" w:rsidR="00265423" w:rsidRPr="007726D7" w:rsidRDefault="00265423" w:rsidP="00854A7E">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sz w:val="20"/>
                <w:szCs w:val="20"/>
              </w:rPr>
              <w:t>383</w:t>
            </w:r>
          </w:p>
        </w:tc>
        <w:tc>
          <w:tcPr>
            <w:tcW w:w="2949" w:type="dxa"/>
            <w:vMerge w:val="restart"/>
            <w:vAlign w:val="center"/>
          </w:tcPr>
          <w:p w14:paraId="202CF736" w14:textId="24DE92E7" w:rsidR="00265423" w:rsidRPr="00265423" w:rsidRDefault="00265423" w:rsidP="0026542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064E07">
              <w:rPr>
                <w:sz w:val="20"/>
                <w:szCs w:val="20"/>
              </w:rPr>
              <w:t xml:space="preserve"> </w:t>
            </w:r>
            <w:r>
              <w:rPr>
                <w:sz w:val="20"/>
                <w:szCs w:val="20"/>
              </w:rPr>
              <w:t>128</w:t>
            </w:r>
          </w:p>
        </w:tc>
      </w:tr>
      <w:tr w:rsidR="00265423" w:rsidRPr="0092226B" w14:paraId="603F684E" w14:textId="77777777" w:rsidTr="00BD683F">
        <w:trPr>
          <w:trHeight w:val="85"/>
        </w:trPr>
        <w:tc>
          <w:tcPr>
            <w:cnfStyle w:val="001000000000" w:firstRow="0" w:lastRow="0" w:firstColumn="1" w:lastColumn="0" w:oddVBand="0" w:evenVBand="0" w:oddHBand="0" w:evenHBand="0" w:firstRowFirstColumn="0" w:firstRowLastColumn="0" w:lastRowFirstColumn="0" w:lastRowLastColumn="0"/>
            <w:tcW w:w="2830" w:type="dxa"/>
            <w:vMerge/>
          </w:tcPr>
          <w:p w14:paraId="49ECCFE9" w14:textId="77777777" w:rsidR="00265423" w:rsidRPr="007726D7" w:rsidRDefault="00265423" w:rsidP="00854A7E">
            <w:pPr>
              <w:spacing w:line="240" w:lineRule="auto"/>
              <w:rPr>
                <w:rFonts w:eastAsia="Times New Roman" w:cs="Times New Roman"/>
                <w:b w:val="0"/>
                <w:bCs w:val="0"/>
                <w:color w:val="auto"/>
                <w:sz w:val="20"/>
                <w:szCs w:val="20"/>
                <w:lang w:eastAsia="pl-PL"/>
              </w:rPr>
            </w:pPr>
          </w:p>
        </w:tc>
        <w:tc>
          <w:tcPr>
            <w:tcW w:w="3066" w:type="dxa"/>
          </w:tcPr>
          <w:p w14:paraId="1CF10593" w14:textId="77777777" w:rsidR="00265423" w:rsidRPr="007726D7" w:rsidRDefault="00265423" w:rsidP="00854A7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rFonts w:cs="Times New Roman"/>
                <w:sz w:val="20"/>
                <w:szCs w:val="20"/>
              </w:rPr>
              <w:t>Kluby Senior+</w:t>
            </w:r>
          </w:p>
        </w:tc>
        <w:tc>
          <w:tcPr>
            <w:tcW w:w="2948" w:type="dxa"/>
            <w:gridSpan w:val="2"/>
          </w:tcPr>
          <w:p w14:paraId="656F8967" w14:textId="5E4173FF" w:rsidR="00265423" w:rsidRPr="007726D7" w:rsidRDefault="00265423"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sz w:val="20"/>
                <w:szCs w:val="20"/>
              </w:rPr>
              <w:t>45</w:t>
            </w:r>
          </w:p>
        </w:tc>
        <w:tc>
          <w:tcPr>
            <w:tcW w:w="2948" w:type="dxa"/>
            <w:gridSpan w:val="2"/>
          </w:tcPr>
          <w:p w14:paraId="02F72CAF" w14:textId="21EE5B10" w:rsidR="00265423" w:rsidRPr="007726D7" w:rsidRDefault="00265423"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sz w:val="20"/>
                <w:szCs w:val="20"/>
              </w:rPr>
              <w:t>847</w:t>
            </w:r>
          </w:p>
        </w:tc>
        <w:tc>
          <w:tcPr>
            <w:tcW w:w="2949" w:type="dxa"/>
            <w:vMerge/>
          </w:tcPr>
          <w:p w14:paraId="5F79D724" w14:textId="2235651F" w:rsidR="00265423" w:rsidRPr="007726D7" w:rsidRDefault="00265423" w:rsidP="00854A7E">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92226B" w:rsidRPr="0092226B" w14:paraId="76DA2CFC" w14:textId="77777777" w:rsidTr="00BD683F">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4A063356" w14:textId="77777777" w:rsidR="00393951" w:rsidRPr="007726D7" w:rsidRDefault="00393951" w:rsidP="009B7D2E">
            <w:pPr>
              <w:spacing w:line="240" w:lineRule="auto"/>
              <w:rPr>
                <w:rFonts w:eastAsia="Times New Roman" w:cs="Times New Roman"/>
                <w:b w:val="0"/>
                <w:bCs w:val="0"/>
                <w:color w:val="auto"/>
                <w:sz w:val="20"/>
                <w:szCs w:val="20"/>
                <w:lang w:eastAsia="pl-PL"/>
              </w:rPr>
            </w:pPr>
            <w:r w:rsidRPr="007726D7">
              <w:rPr>
                <w:rFonts w:eastAsia="Times New Roman" w:cs="Times New Roman"/>
                <w:color w:val="auto"/>
                <w:sz w:val="20"/>
                <w:szCs w:val="20"/>
                <w:lang w:eastAsia="pl-PL"/>
              </w:rPr>
              <w:t>Usługi świadczone osobom starszym</w:t>
            </w:r>
          </w:p>
        </w:tc>
        <w:tc>
          <w:tcPr>
            <w:tcW w:w="3119" w:type="dxa"/>
            <w:gridSpan w:val="2"/>
          </w:tcPr>
          <w:p w14:paraId="6AEC51CA" w14:textId="77777777" w:rsidR="00393951" w:rsidRPr="007726D7" w:rsidRDefault="00393951" w:rsidP="00C24DA4">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7726D7">
              <w:rPr>
                <w:rFonts w:cs="Times New Roman"/>
                <w:b/>
                <w:sz w:val="20"/>
                <w:szCs w:val="20"/>
              </w:rPr>
              <w:t>Rodzaj usług</w:t>
            </w:r>
          </w:p>
        </w:tc>
        <w:tc>
          <w:tcPr>
            <w:tcW w:w="3685" w:type="dxa"/>
            <w:gridSpan w:val="2"/>
          </w:tcPr>
          <w:p w14:paraId="070AB3A3" w14:textId="77777777" w:rsidR="00393951" w:rsidRPr="007726D7" w:rsidRDefault="00393951" w:rsidP="00C24DA4">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7726D7">
              <w:rPr>
                <w:rFonts w:cs="Times New Roman"/>
                <w:b/>
                <w:sz w:val="20"/>
                <w:szCs w:val="20"/>
              </w:rPr>
              <w:t>Liczba osób starszych objętych pomocą</w:t>
            </w:r>
          </w:p>
        </w:tc>
        <w:tc>
          <w:tcPr>
            <w:tcW w:w="5107" w:type="dxa"/>
            <w:gridSpan w:val="2"/>
          </w:tcPr>
          <w:p w14:paraId="409A346E" w14:textId="77777777" w:rsidR="00393951" w:rsidRPr="007726D7" w:rsidRDefault="00393951" w:rsidP="00C24DA4">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7726D7">
              <w:rPr>
                <w:rFonts w:cs="Times New Roman"/>
                <w:b/>
                <w:sz w:val="20"/>
                <w:szCs w:val="20"/>
              </w:rPr>
              <w:t>Wysokość środków przeznaczonych na usługi</w:t>
            </w:r>
          </w:p>
        </w:tc>
      </w:tr>
      <w:tr w:rsidR="00BD683F" w:rsidRPr="0092226B" w14:paraId="2529A2FE" w14:textId="77777777" w:rsidTr="00BD683F">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2AFCB543" w14:textId="77777777" w:rsidR="00BD683F" w:rsidRPr="007726D7" w:rsidRDefault="00BD683F" w:rsidP="00BD683F">
            <w:pPr>
              <w:spacing w:line="240" w:lineRule="auto"/>
              <w:rPr>
                <w:rFonts w:eastAsia="Times New Roman" w:cs="Times New Roman"/>
                <w:b w:val="0"/>
                <w:bCs w:val="0"/>
                <w:color w:val="auto"/>
                <w:sz w:val="20"/>
                <w:szCs w:val="20"/>
                <w:lang w:eastAsia="pl-PL"/>
              </w:rPr>
            </w:pPr>
          </w:p>
        </w:tc>
        <w:tc>
          <w:tcPr>
            <w:tcW w:w="3119" w:type="dxa"/>
            <w:gridSpan w:val="2"/>
          </w:tcPr>
          <w:p w14:paraId="3BC28C9A" w14:textId="77777777" w:rsidR="00BD683F" w:rsidRPr="007726D7" w:rsidRDefault="00BD683F" w:rsidP="00BD683F">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rFonts w:cs="Times New Roman"/>
                <w:sz w:val="20"/>
                <w:szCs w:val="20"/>
              </w:rPr>
              <w:t>Usługi opiekuńcze ogółem</w:t>
            </w:r>
          </w:p>
        </w:tc>
        <w:tc>
          <w:tcPr>
            <w:tcW w:w="3685" w:type="dxa"/>
            <w:gridSpan w:val="2"/>
          </w:tcPr>
          <w:p w14:paraId="3198D1CE" w14:textId="44FB06B4" w:rsidR="00BD683F" w:rsidRPr="007726D7" w:rsidRDefault="00BD683F" w:rsidP="00BD683F">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5</w:t>
            </w:r>
            <w:r w:rsidR="009851A0">
              <w:rPr>
                <w:sz w:val="20"/>
                <w:szCs w:val="20"/>
              </w:rPr>
              <w:t xml:space="preserve"> </w:t>
            </w:r>
            <w:r w:rsidRPr="007726D7">
              <w:rPr>
                <w:sz w:val="20"/>
                <w:szCs w:val="20"/>
              </w:rPr>
              <w:t>692</w:t>
            </w:r>
          </w:p>
        </w:tc>
        <w:tc>
          <w:tcPr>
            <w:tcW w:w="5107" w:type="dxa"/>
            <w:gridSpan w:val="2"/>
          </w:tcPr>
          <w:p w14:paraId="4EB587DA" w14:textId="5867BFD7" w:rsidR="00BD683F" w:rsidRPr="007726D7" w:rsidRDefault="00BD683F" w:rsidP="00BD683F">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43 101</w:t>
            </w:r>
            <w:r w:rsidR="009851A0">
              <w:rPr>
                <w:sz w:val="20"/>
                <w:szCs w:val="20"/>
              </w:rPr>
              <w:t> </w:t>
            </w:r>
            <w:r w:rsidRPr="007726D7">
              <w:rPr>
                <w:sz w:val="20"/>
                <w:szCs w:val="20"/>
              </w:rPr>
              <w:t>725</w:t>
            </w:r>
            <w:r w:rsidR="009851A0">
              <w:rPr>
                <w:sz w:val="20"/>
                <w:szCs w:val="20"/>
              </w:rPr>
              <w:t xml:space="preserve"> zł</w:t>
            </w:r>
          </w:p>
        </w:tc>
      </w:tr>
      <w:tr w:rsidR="0092226B" w:rsidRPr="0092226B" w14:paraId="6E5A5713" w14:textId="77777777" w:rsidTr="00BD683F">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495EBA39" w14:textId="77777777" w:rsidR="00C24DA4" w:rsidRPr="007726D7" w:rsidRDefault="00C24DA4" w:rsidP="009B7D2E">
            <w:pPr>
              <w:spacing w:line="240" w:lineRule="auto"/>
              <w:rPr>
                <w:rFonts w:eastAsia="Times New Roman" w:cs="Times New Roman"/>
                <w:b w:val="0"/>
                <w:bCs w:val="0"/>
                <w:color w:val="auto"/>
                <w:sz w:val="20"/>
                <w:szCs w:val="20"/>
                <w:lang w:eastAsia="pl-PL"/>
              </w:rPr>
            </w:pPr>
          </w:p>
        </w:tc>
        <w:tc>
          <w:tcPr>
            <w:tcW w:w="11911" w:type="dxa"/>
            <w:gridSpan w:val="6"/>
          </w:tcPr>
          <w:p w14:paraId="521AEF47" w14:textId="77777777" w:rsidR="00C24DA4" w:rsidRPr="007726D7" w:rsidRDefault="00C24DA4" w:rsidP="009B7D2E">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rFonts w:cs="Times New Roman"/>
                <w:sz w:val="20"/>
                <w:szCs w:val="20"/>
              </w:rPr>
              <w:t>w tym:</w:t>
            </w:r>
          </w:p>
        </w:tc>
      </w:tr>
      <w:tr w:rsidR="00BD683F" w:rsidRPr="0092226B" w14:paraId="1CA60CF0" w14:textId="77777777" w:rsidTr="00BD683F">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1ACB5D67" w14:textId="77777777" w:rsidR="00BD683F" w:rsidRPr="007726D7" w:rsidRDefault="00BD683F" w:rsidP="00BD683F">
            <w:pPr>
              <w:spacing w:line="240" w:lineRule="auto"/>
              <w:rPr>
                <w:rFonts w:eastAsia="Times New Roman" w:cs="Times New Roman"/>
                <w:b w:val="0"/>
                <w:bCs w:val="0"/>
                <w:color w:val="auto"/>
                <w:sz w:val="20"/>
                <w:szCs w:val="20"/>
                <w:lang w:eastAsia="pl-PL"/>
              </w:rPr>
            </w:pPr>
          </w:p>
        </w:tc>
        <w:tc>
          <w:tcPr>
            <w:tcW w:w="3119" w:type="dxa"/>
            <w:gridSpan w:val="2"/>
          </w:tcPr>
          <w:p w14:paraId="06CB08AC" w14:textId="77777777" w:rsidR="00BD683F" w:rsidRPr="007726D7" w:rsidRDefault="00BD683F" w:rsidP="00BD683F">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rFonts w:cs="Times New Roman"/>
                <w:sz w:val="20"/>
                <w:szCs w:val="20"/>
              </w:rPr>
              <w:t>specjalistyczne usługi opiekuńcze</w:t>
            </w:r>
          </w:p>
        </w:tc>
        <w:tc>
          <w:tcPr>
            <w:tcW w:w="3685" w:type="dxa"/>
            <w:gridSpan w:val="2"/>
          </w:tcPr>
          <w:p w14:paraId="36185034" w14:textId="0AFD47A8" w:rsidR="00BD683F" w:rsidRPr="007726D7" w:rsidRDefault="00BD683F" w:rsidP="00BD683F">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837</w:t>
            </w:r>
          </w:p>
        </w:tc>
        <w:tc>
          <w:tcPr>
            <w:tcW w:w="5107" w:type="dxa"/>
            <w:gridSpan w:val="2"/>
          </w:tcPr>
          <w:p w14:paraId="5DC9AAB0" w14:textId="4486A360" w:rsidR="00BD683F" w:rsidRPr="007726D7" w:rsidRDefault="00BD683F" w:rsidP="00BD683F">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5 266</w:t>
            </w:r>
            <w:r w:rsidR="009851A0">
              <w:rPr>
                <w:sz w:val="20"/>
                <w:szCs w:val="20"/>
              </w:rPr>
              <w:t> </w:t>
            </w:r>
            <w:r w:rsidRPr="007726D7">
              <w:rPr>
                <w:sz w:val="20"/>
                <w:szCs w:val="20"/>
              </w:rPr>
              <w:t>969</w:t>
            </w:r>
            <w:r w:rsidR="009851A0">
              <w:rPr>
                <w:sz w:val="20"/>
                <w:szCs w:val="20"/>
              </w:rPr>
              <w:t xml:space="preserve"> zł</w:t>
            </w:r>
          </w:p>
        </w:tc>
      </w:tr>
      <w:tr w:rsidR="00BD683F" w:rsidRPr="0092226B" w14:paraId="33A809D0" w14:textId="77777777" w:rsidTr="00BD68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0" w:type="dxa"/>
            <w:vMerge/>
          </w:tcPr>
          <w:p w14:paraId="294B155A" w14:textId="77777777" w:rsidR="00BD683F" w:rsidRPr="007726D7" w:rsidRDefault="00BD683F" w:rsidP="00BD683F">
            <w:pPr>
              <w:spacing w:line="240" w:lineRule="auto"/>
              <w:rPr>
                <w:rFonts w:eastAsia="Times New Roman" w:cs="Times New Roman"/>
                <w:b w:val="0"/>
                <w:bCs w:val="0"/>
                <w:color w:val="auto"/>
                <w:sz w:val="20"/>
                <w:szCs w:val="20"/>
                <w:lang w:eastAsia="pl-PL"/>
              </w:rPr>
            </w:pPr>
          </w:p>
        </w:tc>
        <w:tc>
          <w:tcPr>
            <w:tcW w:w="3119" w:type="dxa"/>
            <w:gridSpan w:val="2"/>
          </w:tcPr>
          <w:p w14:paraId="407EE015" w14:textId="77777777" w:rsidR="00BD683F" w:rsidRPr="007726D7" w:rsidRDefault="00BD683F" w:rsidP="00BD683F">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rFonts w:cs="Times New Roman"/>
                <w:sz w:val="20"/>
                <w:szCs w:val="20"/>
              </w:rPr>
              <w:t>specjalistyczne usługi opiekuńcze w miejscu zamieszkania dla osób z zaburzeniami psychicznymi</w:t>
            </w:r>
          </w:p>
        </w:tc>
        <w:tc>
          <w:tcPr>
            <w:tcW w:w="3685" w:type="dxa"/>
            <w:gridSpan w:val="2"/>
          </w:tcPr>
          <w:p w14:paraId="5E675CEB" w14:textId="73A5A601" w:rsidR="00BD683F" w:rsidRPr="007726D7" w:rsidRDefault="00BD683F" w:rsidP="00BD683F">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286</w:t>
            </w:r>
          </w:p>
        </w:tc>
        <w:tc>
          <w:tcPr>
            <w:tcW w:w="5107" w:type="dxa"/>
            <w:gridSpan w:val="2"/>
          </w:tcPr>
          <w:p w14:paraId="3E6494AA" w14:textId="26A158CA" w:rsidR="00BD683F" w:rsidRPr="007726D7" w:rsidRDefault="00BD683F" w:rsidP="00BD683F">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3 600</w:t>
            </w:r>
            <w:r w:rsidR="009851A0">
              <w:rPr>
                <w:sz w:val="20"/>
                <w:szCs w:val="20"/>
              </w:rPr>
              <w:t> </w:t>
            </w:r>
            <w:r w:rsidRPr="007726D7">
              <w:rPr>
                <w:sz w:val="20"/>
                <w:szCs w:val="20"/>
              </w:rPr>
              <w:t>824</w:t>
            </w:r>
            <w:r w:rsidR="009851A0">
              <w:rPr>
                <w:sz w:val="20"/>
                <w:szCs w:val="20"/>
              </w:rPr>
              <w:t xml:space="preserve"> zł</w:t>
            </w:r>
          </w:p>
        </w:tc>
      </w:tr>
      <w:tr w:rsidR="0092226B" w:rsidRPr="0092226B" w14:paraId="7ACC12F0" w14:textId="77777777" w:rsidTr="00BD683F">
        <w:trPr>
          <w:trHeight w:val="19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508D320D" w14:textId="77777777" w:rsidR="00393951" w:rsidRPr="007726D7" w:rsidRDefault="00393951" w:rsidP="009B7D2E">
            <w:pPr>
              <w:spacing w:line="240" w:lineRule="auto"/>
              <w:rPr>
                <w:rFonts w:eastAsia="Times New Roman" w:cs="Times New Roman"/>
                <w:b w:val="0"/>
                <w:bCs w:val="0"/>
                <w:color w:val="auto"/>
                <w:sz w:val="20"/>
                <w:szCs w:val="20"/>
                <w:lang w:eastAsia="pl-PL"/>
              </w:rPr>
            </w:pPr>
            <w:r w:rsidRPr="007726D7">
              <w:rPr>
                <w:rFonts w:eastAsia="Times New Roman" w:cs="Times New Roman"/>
                <w:color w:val="auto"/>
                <w:sz w:val="20"/>
                <w:szCs w:val="20"/>
                <w:lang w:eastAsia="pl-PL"/>
              </w:rPr>
              <w:t>Świadczenia pieniężne przyznane osobom starszym</w:t>
            </w:r>
          </w:p>
        </w:tc>
        <w:tc>
          <w:tcPr>
            <w:tcW w:w="3119" w:type="dxa"/>
            <w:gridSpan w:val="2"/>
          </w:tcPr>
          <w:p w14:paraId="53C5ED1F" w14:textId="77777777" w:rsidR="00393951" w:rsidRPr="007726D7" w:rsidRDefault="00393951" w:rsidP="00C24DA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7726D7">
              <w:rPr>
                <w:rFonts w:cs="Times New Roman"/>
                <w:b/>
                <w:sz w:val="20"/>
                <w:szCs w:val="20"/>
              </w:rPr>
              <w:t>Nazwa świadczenia</w:t>
            </w:r>
          </w:p>
        </w:tc>
        <w:tc>
          <w:tcPr>
            <w:tcW w:w="3685" w:type="dxa"/>
            <w:gridSpan w:val="2"/>
          </w:tcPr>
          <w:p w14:paraId="6B269447" w14:textId="77777777" w:rsidR="00393951" w:rsidRPr="007726D7" w:rsidRDefault="00393951" w:rsidP="00C24DA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7726D7">
              <w:rPr>
                <w:rFonts w:cs="Times New Roman"/>
                <w:b/>
                <w:sz w:val="20"/>
                <w:szCs w:val="20"/>
              </w:rPr>
              <w:t>Liczba osób starszych</w:t>
            </w:r>
          </w:p>
        </w:tc>
        <w:tc>
          <w:tcPr>
            <w:tcW w:w="5107" w:type="dxa"/>
            <w:gridSpan w:val="2"/>
          </w:tcPr>
          <w:p w14:paraId="421355B7" w14:textId="77777777" w:rsidR="00393951" w:rsidRPr="007726D7" w:rsidRDefault="00393951" w:rsidP="00C24DA4">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7726D7">
              <w:rPr>
                <w:rFonts w:cs="Times New Roman"/>
                <w:b/>
                <w:sz w:val="20"/>
                <w:szCs w:val="20"/>
              </w:rPr>
              <w:t>Kwota świadczenia</w:t>
            </w:r>
          </w:p>
        </w:tc>
      </w:tr>
      <w:tr w:rsidR="00BD683F" w:rsidRPr="0092226B" w14:paraId="225C9612" w14:textId="77777777" w:rsidTr="00BD683F">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01FF69A4" w14:textId="77777777" w:rsidR="00BD683F" w:rsidRPr="007726D7" w:rsidRDefault="00BD683F" w:rsidP="00BD683F">
            <w:pPr>
              <w:spacing w:line="240" w:lineRule="auto"/>
              <w:rPr>
                <w:rFonts w:eastAsia="Times New Roman" w:cs="Times New Roman"/>
                <w:b w:val="0"/>
                <w:bCs w:val="0"/>
                <w:color w:val="auto"/>
                <w:sz w:val="20"/>
                <w:szCs w:val="20"/>
                <w:lang w:eastAsia="pl-PL"/>
              </w:rPr>
            </w:pPr>
          </w:p>
        </w:tc>
        <w:tc>
          <w:tcPr>
            <w:tcW w:w="3119" w:type="dxa"/>
            <w:gridSpan w:val="2"/>
          </w:tcPr>
          <w:p w14:paraId="3E847426" w14:textId="77777777" w:rsidR="00BD683F" w:rsidRPr="007726D7" w:rsidRDefault="00BD683F" w:rsidP="00BD683F">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rFonts w:cs="Times New Roman"/>
                <w:sz w:val="20"/>
                <w:szCs w:val="20"/>
              </w:rPr>
              <w:t>Zasiłek stały</w:t>
            </w:r>
          </w:p>
        </w:tc>
        <w:tc>
          <w:tcPr>
            <w:tcW w:w="3685" w:type="dxa"/>
            <w:gridSpan w:val="2"/>
          </w:tcPr>
          <w:p w14:paraId="7A6898CA" w14:textId="48019CC0" w:rsidR="00BD683F" w:rsidRPr="007726D7" w:rsidRDefault="00BD683F" w:rsidP="00BD683F">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3288</w:t>
            </w:r>
          </w:p>
        </w:tc>
        <w:tc>
          <w:tcPr>
            <w:tcW w:w="5107" w:type="dxa"/>
            <w:gridSpan w:val="2"/>
          </w:tcPr>
          <w:p w14:paraId="19BA7D10" w14:textId="69253171" w:rsidR="00BD683F" w:rsidRPr="007726D7" w:rsidRDefault="00BD683F" w:rsidP="00BD683F">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17</w:t>
            </w:r>
            <w:r w:rsidR="009851A0">
              <w:rPr>
                <w:sz w:val="20"/>
                <w:szCs w:val="20"/>
              </w:rPr>
              <w:t> </w:t>
            </w:r>
            <w:r w:rsidRPr="007726D7">
              <w:rPr>
                <w:sz w:val="20"/>
                <w:szCs w:val="20"/>
              </w:rPr>
              <w:t>940</w:t>
            </w:r>
            <w:r w:rsidR="009851A0">
              <w:rPr>
                <w:sz w:val="20"/>
                <w:szCs w:val="20"/>
              </w:rPr>
              <w:t xml:space="preserve"> </w:t>
            </w:r>
            <w:r w:rsidRPr="007726D7">
              <w:rPr>
                <w:sz w:val="20"/>
                <w:szCs w:val="20"/>
              </w:rPr>
              <w:t>037</w:t>
            </w:r>
            <w:r w:rsidR="009851A0">
              <w:rPr>
                <w:sz w:val="20"/>
                <w:szCs w:val="20"/>
              </w:rPr>
              <w:t xml:space="preserve"> zł</w:t>
            </w:r>
          </w:p>
        </w:tc>
      </w:tr>
      <w:tr w:rsidR="00BD683F" w:rsidRPr="0092226B" w14:paraId="1E6FEAD1" w14:textId="77777777" w:rsidTr="00BD683F">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54F60069" w14:textId="77777777" w:rsidR="00BD683F" w:rsidRPr="007726D7" w:rsidRDefault="00BD683F" w:rsidP="00BD683F">
            <w:pPr>
              <w:spacing w:line="240" w:lineRule="auto"/>
              <w:rPr>
                <w:rFonts w:eastAsia="Times New Roman" w:cs="Times New Roman"/>
                <w:b w:val="0"/>
                <w:bCs w:val="0"/>
                <w:color w:val="auto"/>
                <w:sz w:val="20"/>
                <w:szCs w:val="20"/>
                <w:lang w:eastAsia="pl-PL"/>
              </w:rPr>
            </w:pPr>
          </w:p>
        </w:tc>
        <w:tc>
          <w:tcPr>
            <w:tcW w:w="3119" w:type="dxa"/>
            <w:gridSpan w:val="2"/>
          </w:tcPr>
          <w:p w14:paraId="7C7AAE1B" w14:textId="77777777" w:rsidR="00BD683F" w:rsidRPr="007726D7" w:rsidRDefault="00BD683F" w:rsidP="00BD683F">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rFonts w:cs="Times New Roman"/>
                <w:sz w:val="20"/>
                <w:szCs w:val="20"/>
              </w:rPr>
              <w:t>Zasiłek okresowy</w:t>
            </w:r>
          </w:p>
        </w:tc>
        <w:tc>
          <w:tcPr>
            <w:tcW w:w="3685" w:type="dxa"/>
            <w:gridSpan w:val="2"/>
          </w:tcPr>
          <w:p w14:paraId="09764C94" w14:textId="2951ECD9" w:rsidR="00BD683F" w:rsidRPr="007726D7" w:rsidRDefault="00BD683F" w:rsidP="00BD683F">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2985</w:t>
            </w:r>
          </w:p>
        </w:tc>
        <w:tc>
          <w:tcPr>
            <w:tcW w:w="5107" w:type="dxa"/>
            <w:gridSpan w:val="2"/>
          </w:tcPr>
          <w:p w14:paraId="1A648C88" w14:textId="246EB568" w:rsidR="00BD683F" w:rsidRPr="007726D7" w:rsidRDefault="00BD683F" w:rsidP="00BD683F">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6 055</w:t>
            </w:r>
            <w:r w:rsidR="009851A0">
              <w:rPr>
                <w:sz w:val="20"/>
                <w:szCs w:val="20"/>
              </w:rPr>
              <w:t> </w:t>
            </w:r>
            <w:r w:rsidRPr="007726D7">
              <w:rPr>
                <w:sz w:val="20"/>
                <w:szCs w:val="20"/>
              </w:rPr>
              <w:t>841</w:t>
            </w:r>
            <w:r w:rsidR="009851A0">
              <w:rPr>
                <w:sz w:val="20"/>
                <w:szCs w:val="20"/>
              </w:rPr>
              <w:t xml:space="preserve"> zł</w:t>
            </w:r>
          </w:p>
        </w:tc>
      </w:tr>
      <w:tr w:rsidR="00BD683F" w:rsidRPr="0092226B" w14:paraId="7324C2F5" w14:textId="77777777" w:rsidTr="00BD683F">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46900A40" w14:textId="77777777" w:rsidR="00BD683F" w:rsidRPr="007726D7" w:rsidRDefault="00BD683F" w:rsidP="00BD683F">
            <w:pPr>
              <w:spacing w:line="240" w:lineRule="auto"/>
              <w:rPr>
                <w:rFonts w:eastAsia="Times New Roman" w:cs="Times New Roman"/>
                <w:b w:val="0"/>
                <w:bCs w:val="0"/>
                <w:color w:val="auto"/>
                <w:sz w:val="20"/>
                <w:szCs w:val="20"/>
                <w:lang w:eastAsia="pl-PL"/>
              </w:rPr>
            </w:pPr>
          </w:p>
        </w:tc>
        <w:tc>
          <w:tcPr>
            <w:tcW w:w="3119" w:type="dxa"/>
            <w:gridSpan w:val="2"/>
          </w:tcPr>
          <w:p w14:paraId="1EE6072E" w14:textId="77777777" w:rsidR="00BD683F" w:rsidRPr="007726D7" w:rsidRDefault="00BD683F" w:rsidP="00BD683F">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rFonts w:cs="Times New Roman"/>
                <w:sz w:val="20"/>
                <w:szCs w:val="20"/>
              </w:rPr>
              <w:t>Zasiłek celowy</w:t>
            </w:r>
          </w:p>
        </w:tc>
        <w:tc>
          <w:tcPr>
            <w:tcW w:w="3685" w:type="dxa"/>
            <w:gridSpan w:val="2"/>
          </w:tcPr>
          <w:p w14:paraId="79AE1F96" w14:textId="263129DD" w:rsidR="00BD683F" w:rsidRPr="007726D7" w:rsidRDefault="00BD683F" w:rsidP="00BD683F">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4167</w:t>
            </w:r>
          </w:p>
        </w:tc>
        <w:tc>
          <w:tcPr>
            <w:tcW w:w="5107" w:type="dxa"/>
            <w:gridSpan w:val="2"/>
          </w:tcPr>
          <w:p w14:paraId="27FEC052" w14:textId="2F90DB83" w:rsidR="00BD683F" w:rsidRPr="007726D7" w:rsidRDefault="00BD683F" w:rsidP="00BD683F">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sz w:val="20"/>
                <w:szCs w:val="20"/>
              </w:rPr>
              <w:t>3 515</w:t>
            </w:r>
            <w:r w:rsidR="009851A0">
              <w:rPr>
                <w:sz w:val="20"/>
                <w:szCs w:val="20"/>
              </w:rPr>
              <w:t> </w:t>
            </w:r>
            <w:r w:rsidRPr="007726D7">
              <w:rPr>
                <w:sz w:val="20"/>
                <w:szCs w:val="20"/>
              </w:rPr>
              <w:t>039</w:t>
            </w:r>
            <w:r w:rsidR="009851A0">
              <w:rPr>
                <w:sz w:val="20"/>
                <w:szCs w:val="20"/>
              </w:rPr>
              <w:t xml:space="preserve"> zł</w:t>
            </w:r>
          </w:p>
        </w:tc>
      </w:tr>
      <w:tr w:rsidR="00BD683F" w:rsidRPr="0092226B" w14:paraId="5E899A54" w14:textId="77777777" w:rsidTr="00BD683F">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6458218B" w14:textId="77777777" w:rsidR="00BD683F" w:rsidRPr="007726D7" w:rsidRDefault="00BD683F" w:rsidP="00BD683F">
            <w:pPr>
              <w:spacing w:line="240" w:lineRule="auto"/>
              <w:rPr>
                <w:rFonts w:eastAsia="Times New Roman" w:cs="Times New Roman"/>
                <w:b w:val="0"/>
                <w:bCs w:val="0"/>
                <w:color w:val="auto"/>
                <w:sz w:val="20"/>
                <w:szCs w:val="20"/>
                <w:lang w:eastAsia="pl-PL"/>
              </w:rPr>
            </w:pPr>
          </w:p>
        </w:tc>
        <w:tc>
          <w:tcPr>
            <w:tcW w:w="3119" w:type="dxa"/>
            <w:gridSpan w:val="2"/>
          </w:tcPr>
          <w:p w14:paraId="240BCB1B" w14:textId="77777777" w:rsidR="00BD683F" w:rsidRPr="007726D7" w:rsidRDefault="00BD683F" w:rsidP="00BD683F">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rFonts w:cs="Times New Roman"/>
                <w:sz w:val="20"/>
                <w:szCs w:val="20"/>
              </w:rPr>
              <w:t>Specjalny zasiłek celowy</w:t>
            </w:r>
          </w:p>
        </w:tc>
        <w:tc>
          <w:tcPr>
            <w:tcW w:w="3685" w:type="dxa"/>
            <w:gridSpan w:val="2"/>
          </w:tcPr>
          <w:p w14:paraId="737B9D14" w14:textId="5B60CD35" w:rsidR="00BD683F" w:rsidRPr="007726D7" w:rsidRDefault="00BD683F" w:rsidP="00BD683F">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2100</w:t>
            </w:r>
          </w:p>
        </w:tc>
        <w:tc>
          <w:tcPr>
            <w:tcW w:w="5107" w:type="dxa"/>
            <w:gridSpan w:val="2"/>
          </w:tcPr>
          <w:p w14:paraId="6845F309" w14:textId="7CBF59CB" w:rsidR="00BD683F" w:rsidRPr="007726D7" w:rsidRDefault="00BD683F" w:rsidP="00BD683F">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sz w:val="20"/>
                <w:szCs w:val="20"/>
              </w:rPr>
              <w:t>1 182</w:t>
            </w:r>
            <w:r w:rsidR="009851A0">
              <w:rPr>
                <w:sz w:val="20"/>
                <w:szCs w:val="20"/>
              </w:rPr>
              <w:t> </w:t>
            </w:r>
            <w:r w:rsidRPr="007726D7">
              <w:rPr>
                <w:sz w:val="20"/>
                <w:szCs w:val="20"/>
              </w:rPr>
              <w:t>387</w:t>
            </w:r>
            <w:r w:rsidR="009851A0">
              <w:rPr>
                <w:sz w:val="20"/>
                <w:szCs w:val="20"/>
              </w:rPr>
              <w:t xml:space="preserve"> zł</w:t>
            </w:r>
          </w:p>
        </w:tc>
      </w:tr>
      <w:tr w:rsidR="0092226B" w:rsidRPr="0092226B" w14:paraId="15853557" w14:textId="77777777" w:rsidTr="00BD683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5FF25E3B" w14:textId="77777777" w:rsidR="00393951" w:rsidRPr="007726D7" w:rsidRDefault="00393951" w:rsidP="009B7D2E">
            <w:pPr>
              <w:spacing w:line="240" w:lineRule="auto"/>
              <w:rPr>
                <w:rFonts w:cs="Times New Roman"/>
                <w:bCs w:val="0"/>
                <w:color w:val="auto"/>
                <w:sz w:val="20"/>
                <w:szCs w:val="20"/>
                <w:lang w:eastAsia="pl-PL"/>
              </w:rPr>
            </w:pPr>
            <w:r w:rsidRPr="007726D7">
              <w:rPr>
                <w:rFonts w:cs="Times New Roman"/>
                <w:color w:val="auto"/>
                <w:sz w:val="20"/>
                <w:szCs w:val="20"/>
                <w:lang w:eastAsia="pl-PL"/>
              </w:rPr>
              <w:t>Największe problemy/niedogodności w świadczeniu opieki nad osobami starszymi (np. zasoby kadrowe, rzeczowe, finansowe itp.)</w:t>
            </w:r>
          </w:p>
        </w:tc>
        <w:tc>
          <w:tcPr>
            <w:tcW w:w="11911" w:type="dxa"/>
            <w:gridSpan w:val="6"/>
          </w:tcPr>
          <w:p w14:paraId="7015F5D7" w14:textId="77777777" w:rsidR="00393951" w:rsidRPr="007726D7" w:rsidRDefault="00393951" w:rsidP="009B7D2E">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rFonts w:cs="Times New Roman"/>
                <w:b/>
                <w:sz w:val="20"/>
                <w:szCs w:val="20"/>
              </w:rPr>
              <w:t>1.</w:t>
            </w:r>
            <w:r w:rsidRPr="007726D7">
              <w:rPr>
                <w:rFonts w:cs="Times New Roman"/>
                <w:sz w:val="20"/>
                <w:szCs w:val="20"/>
              </w:rPr>
              <w:t xml:space="preserve"> Niedostateczne środki finansowe na świadczenie usług </w:t>
            </w:r>
          </w:p>
        </w:tc>
      </w:tr>
      <w:tr w:rsidR="0092226B" w:rsidRPr="0092226B" w14:paraId="746A4B2D" w14:textId="77777777" w:rsidTr="00BD683F">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325C0460" w14:textId="77777777" w:rsidR="00393951" w:rsidRPr="007726D7" w:rsidRDefault="00393951" w:rsidP="009B7D2E">
            <w:pPr>
              <w:spacing w:line="240" w:lineRule="auto"/>
              <w:rPr>
                <w:rFonts w:cs="Times New Roman"/>
                <w:b w:val="0"/>
                <w:bCs w:val="0"/>
                <w:color w:val="auto"/>
                <w:sz w:val="20"/>
                <w:szCs w:val="20"/>
                <w:lang w:eastAsia="pl-PL"/>
              </w:rPr>
            </w:pPr>
          </w:p>
        </w:tc>
        <w:tc>
          <w:tcPr>
            <w:tcW w:w="11911" w:type="dxa"/>
            <w:gridSpan w:val="6"/>
          </w:tcPr>
          <w:p w14:paraId="0F20B271" w14:textId="77777777" w:rsidR="00393951" w:rsidRPr="007726D7" w:rsidRDefault="00393951" w:rsidP="009B7D2E">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rFonts w:cs="Times New Roman"/>
                <w:b/>
                <w:sz w:val="20"/>
                <w:szCs w:val="20"/>
              </w:rPr>
              <w:t>2.</w:t>
            </w:r>
            <w:r w:rsidRPr="007726D7">
              <w:rPr>
                <w:rFonts w:cs="Times New Roman"/>
                <w:sz w:val="20"/>
                <w:szCs w:val="20"/>
              </w:rPr>
              <w:t xml:space="preserve"> Brak osób chętnych i wykwalifikowanych do pracy z osobami starszymi</w:t>
            </w:r>
          </w:p>
        </w:tc>
      </w:tr>
      <w:tr w:rsidR="0092226B" w:rsidRPr="0092226B" w14:paraId="53F18E96" w14:textId="77777777" w:rsidTr="00BD683F">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2CD2EB0B" w14:textId="77777777" w:rsidR="00393951" w:rsidRPr="007726D7" w:rsidRDefault="00393951" w:rsidP="009B7D2E">
            <w:pPr>
              <w:spacing w:line="240" w:lineRule="auto"/>
              <w:rPr>
                <w:rFonts w:cs="Times New Roman"/>
                <w:b w:val="0"/>
                <w:bCs w:val="0"/>
                <w:color w:val="auto"/>
                <w:sz w:val="20"/>
                <w:szCs w:val="20"/>
                <w:lang w:eastAsia="pl-PL"/>
              </w:rPr>
            </w:pPr>
          </w:p>
        </w:tc>
        <w:tc>
          <w:tcPr>
            <w:tcW w:w="11911" w:type="dxa"/>
            <w:gridSpan w:val="6"/>
          </w:tcPr>
          <w:p w14:paraId="328FDBD7" w14:textId="77777777" w:rsidR="00393951" w:rsidRPr="007726D7" w:rsidRDefault="00393951" w:rsidP="009B7D2E">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7726D7">
              <w:rPr>
                <w:rFonts w:cs="Times New Roman"/>
                <w:b/>
                <w:sz w:val="20"/>
                <w:szCs w:val="20"/>
              </w:rPr>
              <w:t>3.</w:t>
            </w:r>
            <w:r w:rsidRPr="007726D7">
              <w:rPr>
                <w:rFonts w:cs="Times New Roman"/>
                <w:sz w:val="20"/>
                <w:szCs w:val="20"/>
              </w:rPr>
              <w:t xml:space="preserve"> Problemy komunikacyjne spowodowane ograniczeniem środków transportu publicznego</w:t>
            </w:r>
          </w:p>
        </w:tc>
      </w:tr>
      <w:tr w:rsidR="0092226B" w:rsidRPr="0092226B" w14:paraId="170FAEA7" w14:textId="77777777" w:rsidTr="00BD683F">
        <w:trPr>
          <w:trHeight w:val="442"/>
        </w:trPr>
        <w:tc>
          <w:tcPr>
            <w:cnfStyle w:val="001000000000" w:firstRow="0" w:lastRow="0" w:firstColumn="1" w:lastColumn="0" w:oddVBand="0" w:evenVBand="0" w:oddHBand="0" w:evenHBand="0" w:firstRowFirstColumn="0" w:firstRowLastColumn="0" w:lastRowFirstColumn="0" w:lastRowLastColumn="0"/>
            <w:tcW w:w="2830" w:type="dxa"/>
          </w:tcPr>
          <w:p w14:paraId="74F7F545" w14:textId="77777777" w:rsidR="00393951" w:rsidRPr="007726D7" w:rsidRDefault="00393951" w:rsidP="009B7D2E">
            <w:pPr>
              <w:spacing w:line="240" w:lineRule="auto"/>
              <w:rPr>
                <w:rFonts w:cs="Times New Roman"/>
                <w:b w:val="0"/>
                <w:bCs w:val="0"/>
                <w:color w:val="auto"/>
                <w:sz w:val="20"/>
                <w:szCs w:val="20"/>
                <w:lang w:eastAsia="pl-PL"/>
              </w:rPr>
            </w:pPr>
            <w:r w:rsidRPr="007726D7">
              <w:rPr>
                <w:rFonts w:cs="Times New Roman"/>
                <w:color w:val="auto"/>
                <w:sz w:val="20"/>
                <w:szCs w:val="20"/>
                <w:lang w:eastAsia="pl-PL"/>
              </w:rPr>
              <w:t>Stopień zaspokojenia potrzeb w zakresie usług opiekuńczych</w:t>
            </w:r>
          </w:p>
        </w:tc>
        <w:tc>
          <w:tcPr>
            <w:tcW w:w="11911" w:type="dxa"/>
            <w:gridSpan w:val="6"/>
          </w:tcPr>
          <w:p w14:paraId="12DA03C6" w14:textId="77777777" w:rsidR="00BD683F" w:rsidRPr="007726D7" w:rsidRDefault="00BD683F" w:rsidP="00BD683F">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rFonts w:cs="Times New Roman"/>
                <w:sz w:val="20"/>
                <w:szCs w:val="20"/>
              </w:rPr>
              <w:t>Na dzień dzisiejszy stopień zabezpieczenia usług jest na dobrym poziomie, jednak większość placówek zgłasza problemy</w:t>
            </w:r>
          </w:p>
          <w:p w14:paraId="0A5AB590" w14:textId="77777777" w:rsidR="00393951" w:rsidRDefault="00BD683F" w:rsidP="00BD683F">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7726D7">
              <w:rPr>
                <w:rFonts w:cs="Times New Roman"/>
                <w:sz w:val="20"/>
                <w:szCs w:val="20"/>
              </w:rPr>
              <w:t>kadrowe (brak chętnych do świadczenia tej formy pracy)</w:t>
            </w:r>
          </w:p>
          <w:p w14:paraId="67893DAB" w14:textId="53E4C4B2" w:rsidR="009851A0" w:rsidRPr="007726D7" w:rsidRDefault="009851A0" w:rsidP="00BD683F">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bl>
    <w:p w14:paraId="4FABF4DD" w14:textId="77777777" w:rsidR="005C6286" w:rsidRPr="005C6286" w:rsidRDefault="005C6286" w:rsidP="005C6286">
      <w:pPr>
        <w:tabs>
          <w:tab w:val="left" w:pos="5400"/>
        </w:tabs>
        <w:rPr>
          <w:rFonts w:eastAsia="Times New Roman" w:cs="Times New Roman"/>
          <w:b/>
          <w:szCs w:val="24"/>
          <w:lang w:eastAsia="pl-PL"/>
        </w:rPr>
      </w:pPr>
      <w:r w:rsidRPr="005C6286">
        <w:rPr>
          <w:rFonts w:eastAsia="Times New Roman" w:cs="Times New Roman"/>
          <w:b/>
          <w:szCs w:val="24"/>
          <w:lang w:eastAsia="pl-PL"/>
        </w:rPr>
        <w:t xml:space="preserve">Źródło: Dane Wojewody </w:t>
      </w:r>
      <w:r>
        <w:rPr>
          <w:rFonts w:eastAsia="Times New Roman" w:cs="Times New Roman"/>
          <w:b/>
          <w:szCs w:val="24"/>
          <w:lang w:eastAsia="pl-PL"/>
        </w:rPr>
        <w:t>Warmińsko-mazurskiego</w:t>
      </w:r>
      <w:r w:rsidRPr="005C6286">
        <w:rPr>
          <w:rFonts w:eastAsia="Times New Roman" w:cs="Times New Roman"/>
          <w:b/>
          <w:szCs w:val="24"/>
          <w:lang w:eastAsia="pl-PL"/>
        </w:rPr>
        <w:t xml:space="preserve">. </w:t>
      </w:r>
    </w:p>
    <w:p w14:paraId="12DDA4F8" w14:textId="77777777" w:rsidR="00E70D90" w:rsidRPr="0092226B" w:rsidRDefault="00E70D90" w:rsidP="00FE70E3">
      <w:pPr>
        <w:pStyle w:val="Nagwek2"/>
        <w:numPr>
          <w:ilvl w:val="1"/>
          <w:numId w:val="12"/>
        </w:numPr>
        <w:rPr>
          <w:rFonts w:eastAsia="Times New Roman"/>
          <w:color w:val="FF0000"/>
          <w:lang w:eastAsia="ar-SA"/>
        </w:rPr>
        <w:sectPr w:rsidR="00E70D90" w:rsidRPr="0092226B" w:rsidSect="00E70D90">
          <w:pgSz w:w="16840" w:h="11906" w:orient="landscape"/>
          <w:pgMar w:top="1418" w:right="1418" w:bottom="1418" w:left="1417" w:header="708" w:footer="708" w:gutter="0"/>
          <w:cols w:space="708"/>
          <w:docGrid w:linePitch="360"/>
        </w:sectPr>
      </w:pPr>
    </w:p>
    <w:p w14:paraId="5C0E7A09" w14:textId="77777777" w:rsidR="00AB1786" w:rsidRPr="0092226B" w:rsidRDefault="0012413B" w:rsidP="00FE70E3">
      <w:pPr>
        <w:pStyle w:val="Nagwek2"/>
        <w:numPr>
          <w:ilvl w:val="1"/>
          <w:numId w:val="12"/>
        </w:numPr>
        <w:spacing w:before="240" w:after="240"/>
        <w:rPr>
          <w:rFonts w:eastAsia="Times New Roman" w:cs="Times New Roman"/>
          <w:color w:val="FF0000"/>
          <w:sz w:val="40"/>
          <w:lang w:eastAsia="ar-SA"/>
        </w:rPr>
      </w:pPr>
      <w:r>
        <w:rPr>
          <w:rFonts w:eastAsia="Times New Roman" w:cs="Times New Roman"/>
          <w:color w:val="FF0000"/>
          <w:sz w:val="40"/>
          <w:lang w:eastAsia="ar-SA"/>
        </w:rPr>
        <w:lastRenderedPageBreak/>
        <w:t xml:space="preserve"> </w:t>
      </w:r>
      <w:bookmarkStart w:id="315" w:name="_Toc80523197"/>
      <w:r w:rsidR="00B25D75" w:rsidRPr="0012413B">
        <w:rPr>
          <w:rFonts w:eastAsia="Times New Roman" w:cs="Times New Roman"/>
          <w:sz w:val="40"/>
          <w:lang w:eastAsia="ar-SA"/>
        </w:rPr>
        <w:t>Województwo</w:t>
      </w:r>
      <w:r w:rsidR="005F0A32" w:rsidRPr="0012413B">
        <w:rPr>
          <w:rFonts w:eastAsia="Times New Roman" w:cs="Times New Roman"/>
          <w:sz w:val="40"/>
          <w:lang w:eastAsia="ar-SA"/>
        </w:rPr>
        <w:t xml:space="preserve"> w</w:t>
      </w:r>
      <w:r w:rsidR="00475EFA" w:rsidRPr="0012413B">
        <w:rPr>
          <w:rFonts w:eastAsia="Times New Roman" w:cs="Times New Roman"/>
          <w:sz w:val="40"/>
          <w:lang w:eastAsia="ar-SA"/>
        </w:rPr>
        <w:t>ielkopolskie</w:t>
      </w:r>
      <w:bookmarkEnd w:id="315"/>
    </w:p>
    <w:p w14:paraId="3F2F0977" w14:textId="77777777" w:rsidR="00A871AD" w:rsidRPr="00A871AD" w:rsidRDefault="00A871AD" w:rsidP="00A871AD">
      <w:pPr>
        <w:pStyle w:val="Akapitzlist"/>
        <w:keepNext/>
        <w:keepLines/>
        <w:numPr>
          <w:ilvl w:val="1"/>
          <w:numId w:val="1"/>
        </w:numPr>
        <w:spacing w:before="120" w:after="120"/>
        <w:contextualSpacing w:val="0"/>
        <w:outlineLvl w:val="1"/>
        <w:rPr>
          <w:rFonts w:eastAsiaTheme="majorEastAsia" w:cstheme="majorBidi"/>
          <w:b/>
          <w:vanish/>
          <w:color w:val="ED7D31" w:themeColor="accent2"/>
          <w:sz w:val="34"/>
          <w:szCs w:val="26"/>
          <w:lang w:eastAsia="ar-SA"/>
        </w:rPr>
      </w:pPr>
      <w:bookmarkStart w:id="316" w:name="_Toc80523198"/>
      <w:bookmarkStart w:id="317" w:name="_Toc77514037"/>
      <w:bookmarkEnd w:id="316"/>
    </w:p>
    <w:p w14:paraId="326C9119" w14:textId="08FA4D20" w:rsidR="00AC408A" w:rsidRDefault="00AC408A" w:rsidP="00A871AD">
      <w:pPr>
        <w:pStyle w:val="Nagwek3"/>
        <w:rPr>
          <w:lang w:eastAsia="ar-SA"/>
        </w:rPr>
      </w:pPr>
      <w:bookmarkStart w:id="318" w:name="_Toc80523199"/>
      <w:r w:rsidRPr="00AC408A">
        <w:rPr>
          <w:lang w:eastAsia="ar-SA"/>
        </w:rPr>
        <w:t>Aktywność ekonomiczna i warunki bytowe</w:t>
      </w:r>
      <w:bookmarkEnd w:id="317"/>
      <w:bookmarkEnd w:id="318"/>
    </w:p>
    <w:p w14:paraId="056D81EC" w14:textId="77777777" w:rsidR="000B1B06" w:rsidRPr="000B1B06" w:rsidRDefault="000B1B06" w:rsidP="000B1B06">
      <w:pPr>
        <w:rPr>
          <w:lang w:eastAsia="ar-SA"/>
        </w:rPr>
      </w:pPr>
    </w:p>
    <w:p w14:paraId="0A074028" w14:textId="62DA8290" w:rsidR="00AC408A" w:rsidRPr="00AC408A" w:rsidRDefault="00AC408A" w:rsidP="00AC408A">
      <w:pPr>
        <w:rPr>
          <w:rFonts w:cs="Times New Roman"/>
          <w:szCs w:val="24"/>
        </w:rPr>
      </w:pPr>
      <w:r w:rsidRPr="00AC408A">
        <w:rPr>
          <w:rFonts w:cs="Times New Roman"/>
          <w:szCs w:val="24"/>
        </w:rPr>
        <w:t>W 2020 r. w województwie wielkopolskim przeciętny miesięczny dochód rozporządzalny przypadający na 1 osobę w gospodarstwach domowych wyniósł  1789 zł. Na dochód rozporządzalny gospodarstwa domowego składają się przede wszystkim dochody z pracy najemnej oraz dochody ze świadczeń społecznych. W 2020 r. ich udział w dochodzie rozporządzalnym wyniósł odpowiednio 49,5% i 32,3%. W 2020 r. przeciętne miesięczne wydatki na 1 osobę w gospodarstwach domowych wyniosły 1123 zł.  Na żywność i napoje bezalkoholowe gospodarstwa domowe przeznaczały przeciętnie 28,5% ogólnej kwoty wydatków, na opłaty z tytułu użytkowania mieszkania lub domu i za korzystanie z nośników energii  - 20,9%, a na zdrowie – 5,3%.</w:t>
      </w:r>
    </w:p>
    <w:p w14:paraId="5334EA5D" w14:textId="77777777" w:rsidR="00AC408A" w:rsidRPr="00AC408A" w:rsidRDefault="00AC408A" w:rsidP="00AC408A">
      <w:pPr>
        <w:rPr>
          <w:rFonts w:cs="Times New Roman"/>
          <w:szCs w:val="24"/>
        </w:rPr>
      </w:pPr>
    </w:p>
    <w:p w14:paraId="300FD597" w14:textId="77777777" w:rsidR="00AC408A" w:rsidRPr="00AC408A" w:rsidRDefault="00AC408A" w:rsidP="00AC408A">
      <w:pPr>
        <w:rPr>
          <w:rFonts w:cs="Times New Roman"/>
          <w:szCs w:val="24"/>
        </w:rPr>
      </w:pPr>
      <w:r w:rsidRPr="00AC408A">
        <w:rPr>
          <w:rFonts w:cs="Times New Roman"/>
          <w:szCs w:val="24"/>
        </w:rPr>
        <w:t>W 2020 r. swoją sytuację materialną jako bardzo dobrą i raczej dobrą oceniło 49,0% gospodarstw domowych. Udział gospodarstw określających swoją sytuację materialną jako przeciętną wyniósł 45,1%, a raczej złą i złą ukształtował się na poziomie 5,9%.</w:t>
      </w:r>
    </w:p>
    <w:p w14:paraId="6A81D998" w14:textId="77777777" w:rsidR="00AC408A" w:rsidRPr="00AC408A" w:rsidRDefault="00AC408A" w:rsidP="00AC408A">
      <w:pPr>
        <w:rPr>
          <w:rFonts w:cs="Times New Roman"/>
          <w:szCs w:val="24"/>
        </w:rPr>
      </w:pPr>
    </w:p>
    <w:p w14:paraId="128590F6" w14:textId="79402B01" w:rsidR="00AC408A" w:rsidRPr="00AC408A" w:rsidRDefault="00AC408A" w:rsidP="00AC408A">
      <w:pPr>
        <w:rPr>
          <w:rFonts w:cs="Times New Roman"/>
          <w:szCs w:val="24"/>
        </w:rPr>
      </w:pPr>
      <w:r w:rsidRPr="00AC408A">
        <w:rPr>
          <w:rFonts w:cs="Times New Roman"/>
          <w:szCs w:val="24"/>
        </w:rPr>
        <w:t>W analizowanym roku przeciętna liczba osób w gospodarstwie domowym ukształtowała się na</w:t>
      </w:r>
      <w:r w:rsidR="005501EE">
        <w:rPr>
          <w:rFonts w:cs="Times New Roman"/>
          <w:szCs w:val="24"/>
        </w:rPr>
        <w:t> </w:t>
      </w:r>
      <w:r w:rsidRPr="00AC408A">
        <w:rPr>
          <w:rFonts w:cs="Times New Roman"/>
          <w:szCs w:val="24"/>
        </w:rPr>
        <w:t>poziomie 2,69. Przeciętna powierzchnia użytkowa mieszkania zajmowana przez gospodarstwo domowe wyniosła 86,22 m</w:t>
      </w:r>
      <w:r w:rsidRPr="00AC408A">
        <w:rPr>
          <w:rFonts w:cs="Times New Roman"/>
          <w:szCs w:val="24"/>
          <w:vertAlign w:val="superscript"/>
        </w:rPr>
        <w:t>2</w:t>
      </w:r>
      <w:r w:rsidRPr="00AC408A">
        <w:rPr>
          <w:rFonts w:cs="Times New Roman"/>
          <w:szCs w:val="24"/>
        </w:rPr>
        <w:t>.</w:t>
      </w:r>
    </w:p>
    <w:p w14:paraId="2916E0B2" w14:textId="77777777" w:rsidR="00AC408A" w:rsidRPr="00AC408A" w:rsidRDefault="00AC408A" w:rsidP="00AC408A">
      <w:pPr>
        <w:rPr>
          <w:rFonts w:cs="Times New Roman"/>
          <w:b/>
          <w:color w:val="FF0000"/>
          <w:szCs w:val="24"/>
          <w:lang w:eastAsia="ar-SA"/>
        </w:rPr>
      </w:pPr>
    </w:p>
    <w:p w14:paraId="6DB6D066" w14:textId="37A79296" w:rsidR="00AC408A" w:rsidRDefault="00AC408A" w:rsidP="00AC408A">
      <w:pPr>
        <w:pStyle w:val="Legenda"/>
        <w:keepNext/>
        <w:rPr>
          <w:rFonts w:cs="Times New Roman"/>
          <w:b/>
          <w:i w:val="0"/>
          <w:color w:val="auto"/>
          <w:sz w:val="24"/>
        </w:rPr>
      </w:pPr>
      <w:r w:rsidRPr="00432294">
        <w:rPr>
          <w:rFonts w:cs="Times New Roman"/>
          <w:b/>
          <w:i w:val="0"/>
          <w:color w:val="auto"/>
          <w:sz w:val="24"/>
        </w:rPr>
        <w:t xml:space="preserve">Tabela </w:t>
      </w:r>
      <w:r w:rsidR="00A871AD">
        <w:rPr>
          <w:rFonts w:cs="Times New Roman"/>
          <w:b/>
          <w:i w:val="0"/>
          <w:color w:val="auto"/>
          <w:sz w:val="24"/>
        </w:rPr>
        <w:t>77</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 xml:space="preserve">Aktywność ekonomiczna osób starszych w województwie wielkopolskim </w:t>
      </w:r>
    </w:p>
    <w:tbl>
      <w:tblPr>
        <w:tblStyle w:val="Tabelasiatki6kolorowaakcent2"/>
        <w:tblpPr w:leftFromText="141" w:rightFromText="141" w:vertAnchor="text" w:tblpXSpec="center" w:tblpY="1"/>
        <w:tblW w:w="9067" w:type="dxa"/>
        <w:tblLayout w:type="fixed"/>
        <w:tblLook w:val="04A0" w:firstRow="1" w:lastRow="0" w:firstColumn="1" w:lastColumn="0" w:noHBand="0" w:noVBand="1"/>
      </w:tblPr>
      <w:tblGrid>
        <w:gridCol w:w="2273"/>
        <w:gridCol w:w="3969"/>
        <w:gridCol w:w="2825"/>
      </w:tblGrid>
      <w:tr w:rsidR="00AC408A" w:rsidRPr="0026268D" w14:paraId="6EB7BF7C" w14:textId="77777777" w:rsidTr="00430970">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067" w:type="dxa"/>
            <w:gridSpan w:val="3"/>
          </w:tcPr>
          <w:p w14:paraId="1965BAB0" w14:textId="77777777" w:rsidR="00AC408A" w:rsidRPr="0026268D" w:rsidRDefault="00AC408A" w:rsidP="00430970">
            <w:pPr>
              <w:jc w:val="center"/>
              <w:rPr>
                <w:rFonts w:cs="Times New Roman"/>
                <w:color w:val="auto"/>
                <w:sz w:val="20"/>
                <w:szCs w:val="20"/>
              </w:rPr>
            </w:pPr>
            <w:r w:rsidRPr="0026268D">
              <w:rPr>
                <w:rFonts w:cs="Times New Roman"/>
                <w:color w:val="auto"/>
                <w:sz w:val="20"/>
                <w:szCs w:val="20"/>
                <w:lang w:eastAsia="pl-PL"/>
              </w:rPr>
              <w:t>AKTYWNOŚĆ EKONOMICZNA OSÓB STARSZYCH – DANE ZA 2020 R.</w:t>
            </w:r>
          </w:p>
        </w:tc>
      </w:tr>
      <w:tr w:rsidR="00AC408A" w:rsidRPr="0026268D" w14:paraId="431F0CFA" w14:textId="77777777" w:rsidTr="0043097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242" w:type="dxa"/>
            <w:gridSpan w:val="2"/>
          </w:tcPr>
          <w:p w14:paraId="1A39F82D" w14:textId="77777777" w:rsidR="00AC408A" w:rsidRPr="0026268D" w:rsidRDefault="00AC408A" w:rsidP="00430970">
            <w:pPr>
              <w:rPr>
                <w:rFonts w:cs="Times New Roman"/>
                <w:color w:val="auto"/>
                <w:sz w:val="20"/>
                <w:szCs w:val="20"/>
              </w:rPr>
            </w:pPr>
            <w:r w:rsidRPr="0026268D">
              <w:rPr>
                <w:rFonts w:cs="Times New Roman"/>
                <w:color w:val="auto"/>
                <w:sz w:val="20"/>
                <w:szCs w:val="20"/>
              </w:rPr>
              <w:t>Podział</w:t>
            </w:r>
          </w:p>
        </w:tc>
        <w:tc>
          <w:tcPr>
            <w:tcW w:w="2825" w:type="dxa"/>
          </w:tcPr>
          <w:p w14:paraId="3CF2A134" w14:textId="77777777" w:rsidR="00AC408A" w:rsidRPr="0026268D" w:rsidRDefault="00AC408A" w:rsidP="00430970">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26268D">
              <w:rPr>
                <w:rFonts w:cs="Times New Roman"/>
                <w:b/>
                <w:color w:val="auto"/>
                <w:sz w:val="20"/>
                <w:szCs w:val="20"/>
              </w:rPr>
              <w:t>Liczba</w:t>
            </w:r>
          </w:p>
        </w:tc>
      </w:tr>
      <w:tr w:rsidR="00AC408A" w:rsidRPr="0026268D" w14:paraId="64280C27" w14:textId="77777777" w:rsidTr="00430970">
        <w:trPr>
          <w:trHeight w:val="224"/>
        </w:trPr>
        <w:tc>
          <w:tcPr>
            <w:cnfStyle w:val="001000000000" w:firstRow="0" w:lastRow="0" w:firstColumn="1" w:lastColumn="0" w:oddVBand="0" w:evenVBand="0" w:oddHBand="0" w:evenHBand="0" w:firstRowFirstColumn="0" w:firstRowLastColumn="0" w:lastRowFirstColumn="0" w:lastRowLastColumn="0"/>
            <w:tcW w:w="2273" w:type="dxa"/>
            <w:vMerge w:val="restart"/>
          </w:tcPr>
          <w:p w14:paraId="1941986E" w14:textId="77777777" w:rsidR="00AC408A" w:rsidRPr="0026268D" w:rsidRDefault="00AC408A" w:rsidP="00430970">
            <w:pPr>
              <w:rPr>
                <w:rFonts w:cs="Times New Roman"/>
                <w:b w:val="0"/>
                <w:color w:val="auto"/>
                <w:sz w:val="20"/>
                <w:szCs w:val="20"/>
                <w:lang w:eastAsia="pl-PL"/>
              </w:rPr>
            </w:pPr>
            <w:r w:rsidRPr="0026268D">
              <w:rPr>
                <w:rFonts w:cs="Times New Roman"/>
                <w:color w:val="auto"/>
                <w:sz w:val="20"/>
                <w:szCs w:val="20"/>
                <w:lang w:eastAsia="pl-PL"/>
              </w:rPr>
              <w:t>Osoby aktywne zawodowo razem (w tys.)</w:t>
            </w:r>
          </w:p>
        </w:tc>
        <w:tc>
          <w:tcPr>
            <w:tcW w:w="3969" w:type="dxa"/>
          </w:tcPr>
          <w:p w14:paraId="048183FD"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ogółem</w:t>
            </w:r>
          </w:p>
        </w:tc>
        <w:tc>
          <w:tcPr>
            <w:tcW w:w="2825" w:type="dxa"/>
          </w:tcPr>
          <w:p w14:paraId="77B13415"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1612</w:t>
            </w:r>
          </w:p>
        </w:tc>
      </w:tr>
      <w:tr w:rsidR="00AC408A" w:rsidRPr="0026268D" w14:paraId="72317D2D" w14:textId="77777777" w:rsidTr="005501EE">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73" w:type="dxa"/>
            <w:vMerge/>
          </w:tcPr>
          <w:p w14:paraId="6F671E30" w14:textId="77777777" w:rsidR="00AC408A" w:rsidRPr="0026268D" w:rsidRDefault="00AC408A" w:rsidP="00430970">
            <w:pPr>
              <w:rPr>
                <w:rFonts w:cs="Times New Roman"/>
                <w:b w:val="0"/>
                <w:color w:val="auto"/>
                <w:sz w:val="20"/>
                <w:szCs w:val="20"/>
                <w:lang w:eastAsia="pl-PL"/>
              </w:rPr>
            </w:pPr>
          </w:p>
        </w:tc>
        <w:tc>
          <w:tcPr>
            <w:tcW w:w="3969" w:type="dxa"/>
          </w:tcPr>
          <w:p w14:paraId="61FE1876"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w tym w wieku 60+</w:t>
            </w:r>
          </w:p>
        </w:tc>
        <w:tc>
          <w:tcPr>
            <w:tcW w:w="2825" w:type="dxa"/>
          </w:tcPr>
          <w:p w14:paraId="6BFD5EFA"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111</w:t>
            </w:r>
          </w:p>
        </w:tc>
      </w:tr>
      <w:tr w:rsidR="00AC408A" w:rsidRPr="0026268D" w14:paraId="789F48F0" w14:textId="77777777" w:rsidTr="00430970">
        <w:trPr>
          <w:trHeight w:val="285"/>
        </w:trPr>
        <w:tc>
          <w:tcPr>
            <w:cnfStyle w:val="001000000000" w:firstRow="0" w:lastRow="0" w:firstColumn="1" w:lastColumn="0" w:oddVBand="0" w:evenVBand="0" w:oddHBand="0" w:evenHBand="0" w:firstRowFirstColumn="0" w:firstRowLastColumn="0" w:lastRowFirstColumn="0" w:lastRowLastColumn="0"/>
            <w:tcW w:w="2273" w:type="dxa"/>
            <w:vMerge w:val="restart"/>
          </w:tcPr>
          <w:p w14:paraId="6F9C17F6" w14:textId="77777777" w:rsidR="00AC408A" w:rsidRPr="0026268D" w:rsidRDefault="00AC408A" w:rsidP="00430970">
            <w:pPr>
              <w:rPr>
                <w:rFonts w:cs="Times New Roman"/>
                <w:b w:val="0"/>
                <w:color w:val="auto"/>
                <w:sz w:val="20"/>
                <w:szCs w:val="20"/>
                <w:lang w:eastAsia="pl-PL"/>
              </w:rPr>
            </w:pPr>
            <w:r w:rsidRPr="0026268D">
              <w:rPr>
                <w:rFonts w:cs="Times New Roman"/>
                <w:color w:val="auto"/>
                <w:sz w:val="20"/>
                <w:szCs w:val="20"/>
                <w:lang w:eastAsia="pl-PL"/>
              </w:rPr>
              <w:t xml:space="preserve">Osoby aktywne zawodowo </w:t>
            </w:r>
            <w:r w:rsidRPr="0026268D">
              <w:rPr>
                <w:rFonts w:cs="Times New Roman"/>
                <w:color w:val="auto"/>
                <w:sz w:val="20"/>
                <w:szCs w:val="20"/>
                <w:lang w:eastAsia="pl-PL"/>
              </w:rPr>
              <w:br/>
              <w:t>– pracujący (w tys.)</w:t>
            </w:r>
          </w:p>
        </w:tc>
        <w:tc>
          <w:tcPr>
            <w:tcW w:w="3969" w:type="dxa"/>
          </w:tcPr>
          <w:p w14:paraId="525038DE"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Ogółem</w:t>
            </w:r>
          </w:p>
        </w:tc>
        <w:tc>
          <w:tcPr>
            <w:tcW w:w="2825" w:type="dxa"/>
          </w:tcPr>
          <w:p w14:paraId="6AA28A44"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1582</w:t>
            </w:r>
          </w:p>
        </w:tc>
      </w:tr>
      <w:tr w:rsidR="00AC408A" w:rsidRPr="0026268D" w14:paraId="4278DBEB" w14:textId="77777777" w:rsidTr="005501EE">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273" w:type="dxa"/>
            <w:vMerge/>
          </w:tcPr>
          <w:p w14:paraId="11BE1128" w14:textId="77777777" w:rsidR="00AC408A" w:rsidRPr="0026268D" w:rsidRDefault="00AC408A" w:rsidP="00430970">
            <w:pPr>
              <w:rPr>
                <w:rFonts w:cs="Times New Roman"/>
                <w:b w:val="0"/>
                <w:color w:val="auto"/>
                <w:sz w:val="20"/>
                <w:szCs w:val="20"/>
                <w:lang w:eastAsia="pl-PL"/>
              </w:rPr>
            </w:pPr>
          </w:p>
        </w:tc>
        <w:tc>
          <w:tcPr>
            <w:tcW w:w="3969" w:type="dxa"/>
          </w:tcPr>
          <w:p w14:paraId="43A4E9A6"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w tym w wieku 60+</w:t>
            </w:r>
          </w:p>
        </w:tc>
        <w:tc>
          <w:tcPr>
            <w:tcW w:w="2825" w:type="dxa"/>
          </w:tcPr>
          <w:p w14:paraId="28A44F09"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110</w:t>
            </w:r>
          </w:p>
        </w:tc>
      </w:tr>
      <w:tr w:rsidR="00AC408A" w:rsidRPr="0026268D" w14:paraId="75AB055F" w14:textId="77777777" w:rsidTr="00430970">
        <w:trPr>
          <w:trHeight w:val="224"/>
        </w:trPr>
        <w:tc>
          <w:tcPr>
            <w:cnfStyle w:val="001000000000" w:firstRow="0" w:lastRow="0" w:firstColumn="1" w:lastColumn="0" w:oddVBand="0" w:evenVBand="0" w:oddHBand="0" w:evenHBand="0" w:firstRowFirstColumn="0" w:firstRowLastColumn="0" w:lastRowFirstColumn="0" w:lastRowLastColumn="0"/>
            <w:tcW w:w="2273" w:type="dxa"/>
            <w:vMerge w:val="restart"/>
          </w:tcPr>
          <w:p w14:paraId="3199A36F" w14:textId="77777777" w:rsidR="00AC408A" w:rsidRPr="0026268D" w:rsidRDefault="00AC408A" w:rsidP="00430970">
            <w:pPr>
              <w:rPr>
                <w:rFonts w:cs="Times New Roman"/>
                <w:b w:val="0"/>
                <w:color w:val="auto"/>
                <w:sz w:val="20"/>
                <w:szCs w:val="20"/>
                <w:lang w:eastAsia="pl-PL"/>
              </w:rPr>
            </w:pPr>
            <w:r w:rsidRPr="0026268D">
              <w:rPr>
                <w:rFonts w:cs="Times New Roman"/>
                <w:color w:val="auto"/>
                <w:sz w:val="20"/>
                <w:szCs w:val="20"/>
                <w:lang w:eastAsia="pl-PL"/>
              </w:rPr>
              <w:t>Osoby bierne zawodowo (w tys.)</w:t>
            </w:r>
          </w:p>
        </w:tc>
        <w:tc>
          <w:tcPr>
            <w:tcW w:w="3969" w:type="dxa"/>
          </w:tcPr>
          <w:p w14:paraId="6E1FA3BA"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ogółem</w:t>
            </w:r>
          </w:p>
        </w:tc>
        <w:tc>
          <w:tcPr>
            <w:tcW w:w="2825" w:type="dxa"/>
          </w:tcPr>
          <w:p w14:paraId="4ED8FE92"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1187</w:t>
            </w:r>
          </w:p>
        </w:tc>
      </w:tr>
      <w:tr w:rsidR="00AC408A" w:rsidRPr="0026268D" w14:paraId="0D29DB50" w14:textId="77777777" w:rsidTr="005501EE">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273" w:type="dxa"/>
            <w:vMerge/>
          </w:tcPr>
          <w:p w14:paraId="3CFA01A7" w14:textId="77777777" w:rsidR="00AC408A" w:rsidRPr="0026268D" w:rsidRDefault="00AC408A" w:rsidP="00430970">
            <w:pPr>
              <w:rPr>
                <w:rFonts w:cs="Times New Roman"/>
                <w:b w:val="0"/>
                <w:color w:val="auto"/>
                <w:sz w:val="20"/>
                <w:szCs w:val="20"/>
                <w:lang w:eastAsia="pl-PL"/>
              </w:rPr>
            </w:pPr>
          </w:p>
        </w:tc>
        <w:tc>
          <w:tcPr>
            <w:tcW w:w="3969" w:type="dxa"/>
          </w:tcPr>
          <w:p w14:paraId="5E1E2C1F"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w tym w wieku 60+</w:t>
            </w:r>
          </w:p>
        </w:tc>
        <w:tc>
          <w:tcPr>
            <w:tcW w:w="2825" w:type="dxa"/>
          </w:tcPr>
          <w:p w14:paraId="468F93E7"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712</w:t>
            </w:r>
          </w:p>
        </w:tc>
      </w:tr>
      <w:tr w:rsidR="00AC408A" w:rsidRPr="0026268D" w14:paraId="707C861B" w14:textId="77777777" w:rsidTr="00430970">
        <w:trPr>
          <w:trHeight w:val="285"/>
        </w:trPr>
        <w:tc>
          <w:tcPr>
            <w:cnfStyle w:val="001000000000" w:firstRow="0" w:lastRow="0" w:firstColumn="1" w:lastColumn="0" w:oddVBand="0" w:evenVBand="0" w:oddHBand="0" w:evenHBand="0" w:firstRowFirstColumn="0" w:firstRowLastColumn="0" w:lastRowFirstColumn="0" w:lastRowLastColumn="0"/>
            <w:tcW w:w="2273" w:type="dxa"/>
            <w:vMerge w:val="restart"/>
          </w:tcPr>
          <w:p w14:paraId="19CF501A" w14:textId="77777777" w:rsidR="00AC408A" w:rsidRPr="0026268D" w:rsidRDefault="00AC408A" w:rsidP="00430970">
            <w:pPr>
              <w:rPr>
                <w:rFonts w:cs="Times New Roman"/>
                <w:b w:val="0"/>
                <w:color w:val="auto"/>
                <w:sz w:val="20"/>
                <w:szCs w:val="20"/>
                <w:lang w:eastAsia="pl-PL"/>
              </w:rPr>
            </w:pPr>
            <w:r w:rsidRPr="0026268D">
              <w:rPr>
                <w:rFonts w:cs="Times New Roman"/>
                <w:color w:val="auto"/>
                <w:sz w:val="20"/>
                <w:szCs w:val="20"/>
                <w:lang w:eastAsia="pl-PL"/>
              </w:rPr>
              <w:t>Współczynnik aktywności zawodowej %</w:t>
            </w:r>
          </w:p>
        </w:tc>
        <w:tc>
          <w:tcPr>
            <w:tcW w:w="3969" w:type="dxa"/>
          </w:tcPr>
          <w:p w14:paraId="4140A639"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Ogółem</w:t>
            </w:r>
          </w:p>
        </w:tc>
        <w:tc>
          <w:tcPr>
            <w:tcW w:w="2825" w:type="dxa"/>
          </w:tcPr>
          <w:p w14:paraId="6835BC0F"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57,6</w:t>
            </w:r>
          </w:p>
        </w:tc>
      </w:tr>
      <w:tr w:rsidR="00AC408A" w:rsidRPr="0026268D" w14:paraId="1817219B" w14:textId="77777777" w:rsidTr="005501EE">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273" w:type="dxa"/>
            <w:vMerge/>
          </w:tcPr>
          <w:p w14:paraId="7431A0E8" w14:textId="77777777" w:rsidR="00AC408A" w:rsidRPr="0026268D" w:rsidRDefault="00AC408A" w:rsidP="00430970">
            <w:pPr>
              <w:rPr>
                <w:rFonts w:cs="Times New Roman"/>
                <w:b w:val="0"/>
                <w:color w:val="auto"/>
                <w:sz w:val="20"/>
                <w:szCs w:val="20"/>
                <w:lang w:eastAsia="pl-PL"/>
              </w:rPr>
            </w:pPr>
          </w:p>
        </w:tc>
        <w:tc>
          <w:tcPr>
            <w:tcW w:w="3969" w:type="dxa"/>
          </w:tcPr>
          <w:p w14:paraId="2EF6E216"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w tym w wieku 60+</w:t>
            </w:r>
          </w:p>
        </w:tc>
        <w:tc>
          <w:tcPr>
            <w:tcW w:w="2825" w:type="dxa"/>
          </w:tcPr>
          <w:p w14:paraId="504C3EEE"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13,5</w:t>
            </w:r>
          </w:p>
        </w:tc>
      </w:tr>
      <w:tr w:rsidR="00AC408A" w:rsidRPr="0026268D" w14:paraId="45CE5652" w14:textId="77777777" w:rsidTr="00430970">
        <w:trPr>
          <w:trHeight w:val="143"/>
        </w:trPr>
        <w:tc>
          <w:tcPr>
            <w:cnfStyle w:val="001000000000" w:firstRow="0" w:lastRow="0" w:firstColumn="1" w:lastColumn="0" w:oddVBand="0" w:evenVBand="0" w:oddHBand="0" w:evenHBand="0" w:firstRowFirstColumn="0" w:firstRowLastColumn="0" w:lastRowFirstColumn="0" w:lastRowLastColumn="0"/>
            <w:tcW w:w="2273" w:type="dxa"/>
            <w:vMerge w:val="restart"/>
          </w:tcPr>
          <w:p w14:paraId="4A70F56D" w14:textId="77777777" w:rsidR="00AC408A" w:rsidRPr="0026268D" w:rsidRDefault="00AC408A" w:rsidP="00430970">
            <w:pPr>
              <w:rPr>
                <w:rFonts w:cs="Times New Roman"/>
                <w:b w:val="0"/>
                <w:color w:val="auto"/>
                <w:sz w:val="20"/>
                <w:szCs w:val="20"/>
                <w:lang w:eastAsia="pl-PL"/>
              </w:rPr>
            </w:pPr>
            <w:r w:rsidRPr="0026268D">
              <w:rPr>
                <w:rFonts w:cs="Times New Roman"/>
                <w:color w:val="auto"/>
                <w:sz w:val="20"/>
                <w:szCs w:val="20"/>
                <w:lang w:eastAsia="pl-PL"/>
              </w:rPr>
              <w:t>Wskaźnik zatrudnienia %</w:t>
            </w:r>
          </w:p>
        </w:tc>
        <w:tc>
          <w:tcPr>
            <w:tcW w:w="3969" w:type="dxa"/>
          </w:tcPr>
          <w:p w14:paraId="6A842053"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ogółem</w:t>
            </w:r>
          </w:p>
        </w:tc>
        <w:tc>
          <w:tcPr>
            <w:tcW w:w="2825" w:type="dxa"/>
          </w:tcPr>
          <w:p w14:paraId="69D9062A"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56,5</w:t>
            </w:r>
          </w:p>
        </w:tc>
      </w:tr>
      <w:tr w:rsidR="00AC408A" w:rsidRPr="0026268D" w14:paraId="05D9620E" w14:textId="77777777" w:rsidTr="005501EE">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273" w:type="dxa"/>
            <w:vMerge/>
          </w:tcPr>
          <w:p w14:paraId="17D25232" w14:textId="77777777" w:rsidR="00AC408A" w:rsidRPr="0026268D" w:rsidRDefault="00AC408A" w:rsidP="00430970">
            <w:pPr>
              <w:rPr>
                <w:rFonts w:cs="Times New Roman"/>
                <w:b w:val="0"/>
                <w:color w:val="auto"/>
                <w:sz w:val="20"/>
                <w:szCs w:val="20"/>
                <w:lang w:eastAsia="pl-PL"/>
              </w:rPr>
            </w:pPr>
          </w:p>
        </w:tc>
        <w:tc>
          <w:tcPr>
            <w:tcW w:w="3969" w:type="dxa"/>
          </w:tcPr>
          <w:p w14:paraId="7AA809CC"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w tym w wieku 60+</w:t>
            </w:r>
          </w:p>
        </w:tc>
        <w:tc>
          <w:tcPr>
            <w:tcW w:w="2825" w:type="dxa"/>
          </w:tcPr>
          <w:p w14:paraId="1B8CDBCF"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13,3</w:t>
            </w:r>
          </w:p>
        </w:tc>
      </w:tr>
      <w:tr w:rsidR="00AC408A" w:rsidRPr="0026268D" w14:paraId="73D96FB1" w14:textId="77777777" w:rsidTr="00430970">
        <w:trPr>
          <w:trHeight w:val="282"/>
        </w:trPr>
        <w:tc>
          <w:tcPr>
            <w:cnfStyle w:val="001000000000" w:firstRow="0" w:lastRow="0" w:firstColumn="1" w:lastColumn="0" w:oddVBand="0" w:evenVBand="0" w:oddHBand="0" w:evenHBand="0" w:firstRowFirstColumn="0" w:firstRowLastColumn="0" w:lastRowFirstColumn="0" w:lastRowLastColumn="0"/>
            <w:tcW w:w="2273" w:type="dxa"/>
            <w:vMerge w:val="restart"/>
          </w:tcPr>
          <w:p w14:paraId="7F935BFE" w14:textId="77777777" w:rsidR="00AC408A" w:rsidRPr="0026268D" w:rsidRDefault="00AC408A" w:rsidP="00430970">
            <w:pPr>
              <w:rPr>
                <w:rFonts w:cs="Times New Roman"/>
                <w:b w:val="0"/>
                <w:color w:val="auto"/>
                <w:sz w:val="20"/>
                <w:szCs w:val="20"/>
                <w:lang w:eastAsia="pl-PL"/>
              </w:rPr>
            </w:pPr>
            <w:r w:rsidRPr="0026268D">
              <w:rPr>
                <w:rFonts w:eastAsia="Times New Roman" w:cs="Times New Roman"/>
                <w:color w:val="auto"/>
                <w:sz w:val="20"/>
                <w:szCs w:val="20"/>
                <w:lang w:eastAsia="pl-PL"/>
              </w:rPr>
              <w:t xml:space="preserve">Osoby bierne zawodowo  w wieku 60 lat i więcej według wybranych przyczyn bierności </w:t>
            </w:r>
            <w:r w:rsidRPr="0026268D">
              <w:rPr>
                <w:rFonts w:eastAsia="Times New Roman" w:cs="Times New Roman"/>
                <w:color w:val="auto"/>
                <w:sz w:val="20"/>
                <w:szCs w:val="20"/>
                <w:lang w:eastAsia="pl-PL"/>
              </w:rPr>
              <w:br/>
              <w:t>(w tys.)</w:t>
            </w:r>
          </w:p>
        </w:tc>
        <w:tc>
          <w:tcPr>
            <w:tcW w:w="3969" w:type="dxa"/>
          </w:tcPr>
          <w:p w14:paraId="533D2638"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ogółem</w:t>
            </w:r>
          </w:p>
        </w:tc>
        <w:tc>
          <w:tcPr>
            <w:tcW w:w="2825" w:type="dxa"/>
          </w:tcPr>
          <w:p w14:paraId="6BF0116D"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712</w:t>
            </w:r>
          </w:p>
        </w:tc>
      </w:tr>
      <w:tr w:rsidR="00AC408A" w:rsidRPr="0026268D" w14:paraId="2992EDD9" w14:textId="77777777" w:rsidTr="0043097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73" w:type="dxa"/>
            <w:vMerge/>
          </w:tcPr>
          <w:p w14:paraId="779EC51F" w14:textId="77777777" w:rsidR="00AC408A" w:rsidRPr="0026268D" w:rsidRDefault="00AC408A" w:rsidP="00430970">
            <w:pPr>
              <w:rPr>
                <w:rFonts w:eastAsia="Times New Roman" w:cs="Times New Roman"/>
                <w:b w:val="0"/>
                <w:bCs w:val="0"/>
                <w:color w:val="auto"/>
                <w:sz w:val="20"/>
                <w:szCs w:val="20"/>
                <w:lang w:eastAsia="pl-PL"/>
              </w:rPr>
            </w:pPr>
          </w:p>
        </w:tc>
        <w:tc>
          <w:tcPr>
            <w:tcW w:w="6794" w:type="dxa"/>
            <w:gridSpan w:val="2"/>
          </w:tcPr>
          <w:p w14:paraId="20FD1ECA"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w tym:</w:t>
            </w:r>
          </w:p>
        </w:tc>
      </w:tr>
      <w:tr w:rsidR="00AC408A" w:rsidRPr="0026268D" w14:paraId="400F061B" w14:textId="77777777" w:rsidTr="00430970">
        <w:trPr>
          <w:trHeight w:val="280"/>
        </w:trPr>
        <w:tc>
          <w:tcPr>
            <w:cnfStyle w:val="001000000000" w:firstRow="0" w:lastRow="0" w:firstColumn="1" w:lastColumn="0" w:oddVBand="0" w:evenVBand="0" w:oddHBand="0" w:evenHBand="0" w:firstRowFirstColumn="0" w:firstRowLastColumn="0" w:lastRowFirstColumn="0" w:lastRowLastColumn="0"/>
            <w:tcW w:w="2273" w:type="dxa"/>
            <w:vMerge/>
          </w:tcPr>
          <w:p w14:paraId="04BB55BC" w14:textId="77777777" w:rsidR="00AC408A" w:rsidRPr="0026268D" w:rsidRDefault="00AC408A" w:rsidP="00430970">
            <w:pPr>
              <w:rPr>
                <w:rFonts w:eastAsia="Times New Roman" w:cs="Times New Roman"/>
                <w:b w:val="0"/>
                <w:bCs w:val="0"/>
                <w:color w:val="auto"/>
                <w:sz w:val="20"/>
                <w:szCs w:val="20"/>
                <w:lang w:eastAsia="pl-PL"/>
              </w:rPr>
            </w:pPr>
          </w:p>
        </w:tc>
        <w:tc>
          <w:tcPr>
            <w:tcW w:w="3969" w:type="dxa"/>
          </w:tcPr>
          <w:p w14:paraId="21D4ADBE"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26268D">
              <w:rPr>
                <w:rFonts w:eastAsia="Times New Roman" w:cs="Times New Roman"/>
                <w:color w:val="auto"/>
                <w:sz w:val="20"/>
                <w:szCs w:val="20"/>
                <w:lang w:eastAsia="pl-PL"/>
              </w:rPr>
              <w:t>osoby nieposzukujące pracy - razem</w:t>
            </w:r>
          </w:p>
        </w:tc>
        <w:tc>
          <w:tcPr>
            <w:tcW w:w="2825" w:type="dxa"/>
          </w:tcPr>
          <w:p w14:paraId="771A1E72"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712</w:t>
            </w:r>
          </w:p>
        </w:tc>
      </w:tr>
      <w:tr w:rsidR="00AC408A" w:rsidRPr="0026268D" w14:paraId="29CE648E" w14:textId="77777777" w:rsidTr="0043097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73" w:type="dxa"/>
            <w:vMerge/>
          </w:tcPr>
          <w:p w14:paraId="1B6A1C0B" w14:textId="77777777" w:rsidR="00AC408A" w:rsidRPr="0026268D" w:rsidRDefault="00AC408A" w:rsidP="00430970">
            <w:pPr>
              <w:rPr>
                <w:rFonts w:eastAsia="Times New Roman" w:cs="Times New Roman"/>
                <w:b w:val="0"/>
                <w:bCs w:val="0"/>
                <w:color w:val="auto"/>
                <w:sz w:val="20"/>
                <w:szCs w:val="20"/>
                <w:lang w:eastAsia="pl-PL"/>
              </w:rPr>
            </w:pPr>
          </w:p>
        </w:tc>
        <w:tc>
          <w:tcPr>
            <w:tcW w:w="3969" w:type="dxa"/>
          </w:tcPr>
          <w:p w14:paraId="50C28A7E"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eastAsia="Times New Roman" w:cs="Times New Roman"/>
                <w:color w:val="auto"/>
                <w:sz w:val="20"/>
                <w:szCs w:val="20"/>
                <w:lang w:eastAsia="pl-PL"/>
              </w:rPr>
              <w:t>osoby nieposzukujące pracy - emerytura</w:t>
            </w:r>
          </w:p>
        </w:tc>
        <w:tc>
          <w:tcPr>
            <w:tcW w:w="2825" w:type="dxa"/>
          </w:tcPr>
          <w:p w14:paraId="5247DBF7"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622</w:t>
            </w:r>
          </w:p>
        </w:tc>
      </w:tr>
      <w:tr w:rsidR="00AC408A" w:rsidRPr="0026268D" w14:paraId="15956B28" w14:textId="77777777" w:rsidTr="00430970">
        <w:trPr>
          <w:trHeight w:val="280"/>
        </w:trPr>
        <w:tc>
          <w:tcPr>
            <w:cnfStyle w:val="001000000000" w:firstRow="0" w:lastRow="0" w:firstColumn="1" w:lastColumn="0" w:oddVBand="0" w:evenVBand="0" w:oddHBand="0" w:evenHBand="0" w:firstRowFirstColumn="0" w:firstRowLastColumn="0" w:lastRowFirstColumn="0" w:lastRowLastColumn="0"/>
            <w:tcW w:w="2273" w:type="dxa"/>
            <w:vMerge/>
          </w:tcPr>
          <w:p w14:paraId="6DF45C8C" w14:textId="77777777" w:rsidR="00AC408A" w:rsidRPr="0026268D" w:rsidRDefault="00AC408A" w:rsidP="00430970">
            <w:pPr>
              <w:rPr>
                <w:rFonts w:eastAsia="Times New Roman" w:cs="Times New Roman"/>
                <w:b w:val="0"/>
                <w:bCs w:val="0"/>
                <w:color w:val="auto"/>
                <w:sz w:val="20"/>
                <w:szCs w:val="20"/>
                <w:lang w:eastAsia="pl-PL"/>
              </w:rPr>
            </w:pPr>
          </w:p>
        </w:tc>
        <w:tc>
          <w:tcPr>
            <w:tcW w:w="3969" w:type="dxa"/>
          </w:tcPr>
          <w:p w14:paraId="528F5334"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eastAsia="Times New Roman" w:cs="Times New Roman"/>
                <w:color w:val="auto"/>
                <w:sz w:val="20"/>
                <w:szCs w:val="20"/>
                <w:lang w:eastAsia="pl-PL"/>
              </w:rPr>
              <w:t>osoby nieposzukujące pracy - choroba, niepełnosprawność</w:t>
            </w:r>
          </w:p>
        </w:tc>
        <w:tc>
          <w:tcPr>
            <w:tcW w:w="2825" w:type="dxa"/>
          </w:tcPr>
          <w:p w14:paraId="5F77E4E7"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64</w:t>
            </w:r>
          </w:p>
        </w:tc>
      </w:tr>
      <w:tr w:rsidR="00AC408A" w:rsidRPr="0026268D" w14:paraId="3332B5B1" w14:textId="77777777" w:rsidTr="0043097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73" w:type="dxa"/>
            <w:vMerge w:val="restart"/>
          </w:tcPr>
          <w:p w14:paraId="203C8CF7" w14:textId="77777777" w:rsidR="00AC408A" w:rsidRPr="0026268D" w:rsidRDefault="00AC408A" w:rsidP="00430970">
            <w:pPr>
              <w:rPr>
                <w:rFonts w:eastAsia="Times New Roman" w:cs="Times New Roman"/>
                <w:b w:val="0"/>
                <w:bCs w:val="0"/>
                <w:color w:val="auto"/>
                <w:sz w:val="20"/>
                <w:szCs w:val="20"/>
                <w:lang w:eastAsia="pl-PL"/>
              </w:rPr>
            </w:pPr>
            <w:r w:rsidRPr="0026268D">
              <w:rPr>
                <w:rFonts w:eastAsia="Times New Roman" w:cs="Times New Roman"/>
                <w:color w:val="auto"/>
                <w:sz w:val="20"/>
                <w:szCs w:val="20"/>
                <w:lang w:eastAsia="pl-PL"/>
              </w:rPr>
              <w:lastRenderedPageBreak/>
              <w:t>Osoby bezrobotne zarejestrowane w urzędach pracy (w tys.)</w:t>
            </w:r>
          </w:p>
        </w:tc>
        <w:tc>
          <w:tcPr>
            <w:tcW w:w="3969" w:type="dxa"/>
          </w:tcPr>
          <w:p w14:paraId="4DF89262"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ogółem</w:t>
            </w:r>
          </w:p>
        </w:tc>
        <w:tc>
          <w:tcPr>
            <w:tcW w:w="2825" w:type="dxa"/>
          </w:tcPr>
          <w:p w14:paraId="54148B59"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61,0</w:t>
            </w:r>
          </w:p>
        </w:tc>
      </w:tr>
      <w:tr w:rsidR="00AC408A" w:rsidRPr="0026268D" w14:paraId="2D5936CC" w14:textId="77777777" w:rsidTr="00430970">
        <w:trPr>
          <w:trHeight w:val="284"/>
        </w:trPr>
        <w:tc>
          <w:tcPr>
            <w:cnfStyle w:val="001000000000" w:firstRow="0" w:lastRow="0" w:firstColumn="1" w:lastColumn="0" w:oddVBand="0" w:evenVBand="0" w:oddHBand="0" w:evenHBand="0" w:firstRowFirstColumn="0" w:firstRowLastColumn="0" w:lastRowFirstColumn="0" w:lastRowLastColumn="0"/>
            <w:tcW w:w="2273" w:type="dxa"/>
            <w:vMerge/>
          </w:tcPr>
          <w:p w14:paraId="3B711168" w14:textId="77777777" w:rsidR="00AC408A" w:rsidRPr="0026268D" w:rsidRDefault="00AC408A" w:rsidP="00430970">
            <w:pPr>
              <w:rPr>
                <w:rFonts w:eastAsia="Times New Roman" w:cs="Times New Roman"/>
                <w:b w:val="0"/>
                <w:bCs w:val="0"/>
                <w:color w:val="auto"/>
                <w:sz w:val="20"/>
                <w:szCs w:val="20"/>
                <w:lang w:eastAsia="pl-PL"/>
              </w:rPr>
            </w:pPr>
          </w:p>
        </w:tc>
        <w:tc>
          <w:tcPr>
            <w:tcW w:w="3969" w:type="dxa"/>
          </w:tcPr>
          <w:p w14:paraId="7BB58EE8"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w tym w wieku 60+</w:t>
            </w:r>
          </w:p>
        </w:tc>
        <w:tc>
          <w:tcPr>
            <w:tcW w:w="2825" w:type="dxa"/>
          </w:tcPr>
          <w:p w14:paraId="7F384919"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3,5</w:t>
            </w:r>
          </w:p>
        </w:tc>
      </w:tr>
      <w:tr w:rsidR="00AC408A" w:rsidRPr="0026268D" w14:paraId="470D9E6B" w14:textId="77777777" w:rsidTr="00430970">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273" w:type="dxa"/>
            <w:vMerge w:val="restart"/>
          </w:tcPr>
          <w:p w14:paraId="52980D8B" w14:textId="77777777" w:rsidR="00AC408A" w:rsidRPr="0026268D" w:rsidRDefault="00AC408A" w:rsidP="00430970">
            <w:pPr>
              <w:rPr>
                <w:rFonts w:eastAsia="Times New Roman" w:cs="Times New Roman"/>
                <w:b w:val="0"/>
                <w:bCs w:val="0"/>
                <w:color w:val="auto"/>
                <w:sz w:val="20"/>
                <w:szCs w:val="20"/>
                <w:lang w:eastAsia="pl-PL"/>
              </w:rPr>
            </w:pPr>
            <w:r w:rsidRPr="0026268D">
              <w:rPr>
                <w:rFonts w:eastAsia="Times New Roman" w:cs="Times New Roman"/>
                <w:color w:val="auto"/>
                <w:sz w:val="20"/>
                <w:szCs w:val="20"/>
                <w:lang w:eastAsia="pl-PL"/>
              </w:rPr>
              <w:t xml:space="preserve">Osoby pobierające renty </w:t>
            </w:r>
            <w:r w:rsidRPr="0026268D">
              <w:rPr>
                <w:rFonts w:eastAsia="Times New Roman" w:cs="Times New Roman"/>
                <w:color w:val="auto"/>
                <w:sz w:val="20"/>
                <w:szCs w:val="20"/>
                <w:lang w:eastAsia="pl-PL"/>
              </w:rPr>
              <w:br/>
              <w:t xml:space="preserve">i emerytury </w:t>
            </w:r>
          </w:p>
        </w:tc>
        <w:tc>
          <w:tcPr>
            <w:tcW w:w="6794" w:type="dxa"/>
            <w:gridSpan w:val="2"/>
          </w:tcPr>
          <w:p w14:paraId="2E4C7ABE" w14:textId="77777777" w:rsidR="00AC408A" w:rsidRPr="0026268D" w:rsidRDefault="00AC408A" w:rsidP="00430970">
            <w:pPr>
              <w:tabs>
                <w:tab w:val="left" w:pos="1725"/>
                <w:tab w:val="center" w:pos="2363"/>
              </w:tabs>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26268D">
              <w:rPr>
                <w:rFonts w:cs="Times New Roman"/>
                <w:b/>
                <w:color w:val="auto"/>
                <w:sz w:val="20"/>
                <w:szCs w:val="20"/>
              </w:rPr>
              <w:t>ZUS</w:t>
            </w:r>
          </w:p>
        </w:tc>
      </w:tr>
      <w:tr w:rsidR="00AC408A" w:rsidRPr="0026268D" w14:paraId="27E75856" w14:textId="77777777" w:rsidTr="00430970">
        <w:trPr>
          <w:trHeight w:val="189"/>
        </w:trPr>
        <w:tc>
          <w:tcPr>
            <w:cnfStyle w:val="001000000000" w:firstRow="0" w:lastRow="0" w:firstColumn="1" w:lastColumn="0" w:oddVBand="0" w:evenVBand="0" w:oddHBand="0" w:evenHBand="0" w:firstRowFirstColumn="0" w:firstRowLastColumn="0" w:lastRowFirstColumn="0" w:lastRowLastColumn="0"/>
            <w:tcW w:w="2273" w:type="dxa"/>
            <w:vMerge/>
          </w:tcPr>
          <w:p w14:paraId="70834F14" w14:textId="77777777" w:rsidR="00AC408A" w:rsidRPr="0026268D" w:rsidRDefault="00AC408A" w:rsidP="00430970">
            <w:pPr>
              <w:rPr>
                <w:rFonts w:eastAsia="Times New Roman" w:cs="Times New Roman"/>
                <w:b w:val="0"/>
                <w:bCs w:val="0"/>
                <w:color w:val="auto"/>
                <w:sz w:val="20"/>
                <w:szCs w:val="20"/>
                <w:lang w:eastAsia="pl-PL"/>
              </w:rPr>
            </w:pPr>
          </w:p>
        </w:tc>
        <w:tc>
          <w:tcPr>
            <w:tcW w:w="3969" w:type="dxa"/>
          </w:tcPr>
          <w:p w14:paraId="787D94CB" w14:textId="77777777" w:rsidR="00AC408A" w:rsidRPr="0026268D" w:rsidRDefault="00AC408A" w:rsidP="00430970">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26268D">
              <w:rPr>
                <w:rFonts w:cs="Times New Roman"/>
                <w:b/>
                <w:color w:val="auto"/>
                <w:sz w:val="20"/>
                <w:szCs w:val="20"/>
              </w:rPr>
              <w:t>Rodzaj świadczenia</w:t>
            </w:r>
          </w:p>
        </w:tc>
        <w:tc>
          <w:tcPr>
            <w:tcW w:w="2825" w:type="dxa"/>
          </w:tcPr>
          <w:p w14:paraId="04C22A8F" w14:textId="77777777" w:rsidR="00AC408A" w:rsidRPr="0026268D" w:rsidRDefault="00AC408A" w:rsidP="00430970">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26268D">
              <w:rPr>
                <w:rFonts w:cs="Times New Roman"/>
                <w:b/>
                <w:color w:val="auto"/>
                <w:sz w:val="20"/>
                <w:szCs w:val="20"/>
              </w:rPr>
              <w:t>Przeciętna miesięczna liczba emerytów i rencistów (w tys.)</w:t>
            </w:r>
          </w:p>
        </w:tc>
      </w:tr>
      <w:tr w:rsidR="00AC408A" w:rsidRPr="0026268D" w14:paraId="5463B2F2" w14:textId="77777777" w:rsidTr="00430970">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273" w:type="dxa"/>
            <w:vMerge/>
          </w:tcPr>
          <w:p w14:paraId="7134B168" w14:textId="77777777" w:rsidR="00AC408A" w:rsidRPr="0026268D" w:rsidRDefault="00AC408A" w:rsidP="00430970">
            <w:pPr>
              <w:rPr>
                <w:rFonts w:eastAsia="Times New Roman" w:cs="Times New Roman"/>
                <w:b w:val="0"/>
                <w:bCs w:val="0"/>
                <w:color w:val="auto"/>
                <w:sz w:val="20"/>
                <w:szCs w:val="20"/>
                <w:lang w:eastAsia="pl-PL"/>
              </w:rPr>
            </w:pPr>
          </w:p>
        </w:tc>
        <w:tc>
          <w:tcPr>
            <w:tcW w:w="3969" w:type="dxa"/>
          </w:tcPr>
          <w:p w14:paraId="0D86DEA4"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Emerytury</w:t>
            </w:r>
          </w:p>
        </w:tc>
        <w:tc>
          <w:tcPr>
            <w:tcW w:w="2825" w:type="dxa"/>
          </w:tcPr>
          <w:p w14:paraId="0A17F6CC"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495,1</w:t>
            </w:r>
          </w:p>
        </w:tc>
      </w:tr>
      <w:tr w:rsidR="00AC408A" w:rsidRPr="0026268D" w14:paraId="390AACE1" w14:textId="77777777" w:rsidTr="00430970">
        <w:trPr>
          <w:trHeight w:val="142"/>
        </w:trPr>
        <w:tc>
          <w:tcPr>
            <w:cnfStyle w:val="001000000000" w:firstRow="0" w:lastRow="0" w:firstColumn="1" w:lastColumn="0" w:oddVBand="0" w:evenVBand="0" w:oddHBand="0" w:evenHBand="0" w:firstRowFirstColumn="0" w:firstRowLastColumn="0" w:lastRowFirstColumn="0" w:lastRowLastColumn="0"/>
            <w:tcW w:w="2273" w:type="dxa"/>
            <w:vMerge/>
          </w:tcPr>
          <w:p w14:paraId="0FD4C8A8" w14:textId="77777777" w:rsidR="00AC408A" w:rsidRPr="0026268D" w:rsidRDefault="00AC408A" w:rsidP="00430970">
            <w:pPr>
              <w:rPr>
                <w:rFonts w:eastAsia="Times New Roman" w:cs="Times New Roman"/>
                <w:b w:val="0"/>
                <w:bCs w:val="0"/>
                <w:color w:val="auto"/>
                <w:sz w:val="20"/>
                <w:szCs w:val="20"/>
                <w:lang w:eastAsia="pl-PL"/>
              </w:rPr>
            </w:pPr>
          </w:p>
        </w:tc>
        <w:tc>
          <w:tcPr>
            <w:tcW w:w="3969" w:type="dxa"/>
          </w:tcPr>
          <w:p w14:paraId="7122873B"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Renty z tytułu niezdolności do pracy</w:t>
            </w:r>
          </w:p>
        </w:tc>
        <w:tc>
          <w:tcPr>
            <w:tcW w:w="2825" w:type="dxa"/>
          </w:tcPr>
          <w:p w14:paraId="54AAD719"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74,6</w:t>
            </w:r>
          </w:p>
        </w:tc>
      </w:tr>
      <w:tr w:rsidR="00AC408A" w:rsidRPr="0026268D" w14:paraId="24E611B0" w14:textId="77777777" w:rsidTr="00430970">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273" w:type="dxa"/>
            <w:vMerge/>
          </w:tcPr>
          <w:p w14:paraId="69970290" w14:textId="77777777" w:rsidR="00AC408A" w:rsidRPr="0026268D" w:rsidRDefault="00AC408A" w:rsidP="00430970">
            <w:pPr>
              <w:rPr>
                <w:rFonts w:eastAsia="Times New Roman" w:cs="Times New Roman"/>
                <w:b w:val="0"/>
                <w:bCs w:val="0"/>
                <w:color w:val="auto"/>
                <w:sz w:val="20"/>
                <w:szCs w:val="20"/>
                <w:lang w:eastAsia="pl-PL"/>
              </w:rPr>
            </w:pPr>
          </w:p>
        </w:tc>
        <w:tc>
          <w:tcPr>
            <w:tcW w:w="3969" w:type="dxa"/>
          </w:tcPr>
          <w:p w14:paraId="614A2B72"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Renty rodzinne</w:t>
            </w:r>
          </w:p>
        </w:tc>
        <w:tc>
          <w:tcPr>
            <w:tcW w:w="2825" w:type="dxa"/>
          </w:tcPr>
          <w:p w14:paraId="7571AC26"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112,9</w:t>
            </w:r>
          </w:p>
        </w:tc>
      </w:tr>
      <w:tr w:rsidR="00AC408A" w:rsidRPr="0026268D" w14:paraId="75DBAEE2" w14:textId="77777777" w:rsidTr="00430970">
        <w:trPr>
          <w:trHeight w:val="284"/>
        </w:trPr>
        <w:tc>
          <w:tcPr>
            <w:cnfStyle w:val="001000000000" w:firstRow="0" w:lastRow="0" w:firstColumn="1" w:lastColumn="0" w:oddVBand="0" w:evenVBand="0" w:oddHBand="0" w:evenHBand="0" w:firstRowFirstColumn="0" w:firstRowLastColumn="0" w:lastRowFirstColumn="0" w:lastRowLastColumn="0"/>
            <w:tcW w:w="2273" w:type="dxa"/>
            <w:vMerge/>
          </w:tcPr>
          <w:p w14:paraId="2941455C" w14:textId="77777777" w:rsidR="00AC408A" w:rsidRPr="0026268D" w:rsidRDefault="00AC408A" w:rsidP="00430970">
            <w:pPr>
              <w:rPr>
                <w:rFonts w:eastAsia="Times New Roman" w:cs="Times New Roman"/>
                <w:b w:val="0"/>
                <w:bCs w:val="0"/>
                <w:color w:val="auto"/>
                <w:sz w:val="20"/>
                <w:szCs w:val="20"/>
                <w:lang w:eastAsia="pl-PL"/>
              </w:rPr>
            </w:pPr>
          </w:p>
        </w:tc>
        <w:tc>
          <w:tcPr>
            <w:tcW w:w="6794" w:type="dxa"/>
            <w:gridSpan w:val="2"/>
          </w:tcPr>
          <w:p w14:paraId="480EABA5" w14:textId="77777777" w:rsidR="00AC408A" w:rsidRPr="0026268D" w:rsidRDefault="00AC408A" w:rsidP="00430970">
            <w:pPr>
              <w:tabs>
                <w:tab w:val="left" w:pos="1507"/>
                <w:tab w:val="center" w:pos="2363"/>
              </w:tabs>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26268D">
              <w:rPr>
                <w:rFonts w:cs="Times New Roman"/>
                <w:b/>
                <w:color w:val="auto"/>
                <w:sz w:val="20"/>
                <w:szCs w:val="20"/>
              </w:rPr>
              <w:t>KRUS</w:t>
            </w:r>
          </w:p>
        </w:tc>
      </w:tr>
      <w:tr w:rsidR="00AC408A" w:rsidRPr="0026268D" w14:paraId="3E80D0B9" w14:textId="77777777" w:rsidTr="0043097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273" w:type="dxa"/>
            <w:vMerge/>
          </w:tcPr>
          <w:p w14:paraId="07D0FB0F" w14:textId="77777777" w:rsidR="00AC408A" w:rsidRPr="0026268D" w:rsidRDefault="00AC408A" w:rsidP="00430970">
            <w:pPr>
              <w:rPr>
                <w:rFonts w:eastAsia="Times New Roman" w:cs="Times New Roman"/>
                <w:b w:val="0"/>
                <w:bCs w:val="0"/>
                <w:color w:val="auto"/>
                <w:sz w:val="20"/>
                <w:szCs w:val="20"/>
                <w:lang w:eastAsia="pl-PL"/>
              </w:rPr>
            </w:pPr>
          </w:p>
        </w:tc>
        <w:tc>
          <w:tcPr>
            <w:tcW w:w="3969" w:type="dxa"/>
          </w:tcPr>
          <w:p w14:paraId="773C11BD" w14:textId="77777777" w:rsidR="00AC408A" w:rsidRPr="0026268D" w:rsidRDefault="00AC408A" w:rsidP="00430970">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26268D">
              <w:rPr>
                <w:rFonts w:cs="Times New Roman"/>
                <w:b/>
                <w:color w:val="auto"/>
                <w:sz w:val="20"/>
                <w:szCs w:val="20"/>
              </w:rPr>
              <w:t>Rodzaj świadczenia</w:t>
            </w:r>
          </w:p>
        </w:tc>
        <w:tc>
          <w:tcPr>
            <w:tcW w:w="2825" w:type="dxa"/>
          </w:tcPr>
          <w:p w14:paraId="56816EB4" w14:textId="77777777" w:rsidR="00AC408A" w:rsidRPr="0026268D" w:rsidRDefault="00AC408A" w:rsidP="00430970">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26268D">
              <w:rPr>
                <w:rFonts w:cs="Times New Roman"/>
                <w:b/>
                <w:color w:val="auto"/>
                <w:sz w:val="20"/>
                <w:szCs w:val="20"/>
              </w:rPr>
              <w:t>Przeciętna miesięczna liczba emerytów i rencistów (w tys.)</w:t>
            </w:r>
          </w:p>
        </w:tc>
      </w:tr>
      <w:tr w:rsidR="00AC408A" w:rsidRPr="0026268D" w14:paraId="5C2655A2" w14:textId="77777777" w:rsidTr="00430970">
        <w:trPr>
          <w:trHeight w:val="79"/>
        </w:trPr>
        <w:tc>
          <w:tcPr>
            <w:cnfStyle w:val="001000000000" w:firstRow="0" w:lastRow="0" w:firstColumn="1" w:lastColumn="0" w:oddVBand="0" w:evenVBand="0" w:oddHBand="0" w:evenHBand="0" w:firstRowFirstColumn="0" w:firstRowLastColumn="0" w:lastRowFirstColumn="0" w:lastRowLastColumn="0"/>
            <w:tcW w:w="2273" w:type="dxa"/>
            <w:vMerge/>
          </w:tcPr>
          <w:p w14:paraId="6ED4212C" w14:textId="77777777" w:rsidR="00AC408A" w:rsidRPr="0026268D" w:rsidRDefault="00AC408A" w:rsidP="00430970">
            <w:pPr>
              <w:rPr>
                <w:rFonts w:eastAsia="Times New Roman" w:cs="Times New Roman"/>
                <w:b w:val="0"/>
                <w:bCs w:val="0"/>
                <w:color w:val="auto"/>
                <w:sz w:val="20"/>
                <w:szCs w:val="20"/>
                <w:lang w:eastAsia="pl-PL"/>
              </w:rPr>
            </w:pPr>
          </w:p>
        </w:tc>
        <w:tc>
          <w:tcPr>
            <w:tcW w:w="3969" w:type="dxa"/>
          </w:tcPr>
          <w:p w14:paraId="5B097843"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Emerytury</w:t>
            </w:r>
          </w:p>
        </w:tc>
        <w:tc>
          <w:tcPr>
            <w:tcW w:w="2825" w:type="dxa"/>
          </w:tcPr>
          <w:p w14:paraId="1557961B"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86,3</w:t>
            </w:r>
          </w:p>
        </w:tc>
      </w:tr>
      <w:tr w:rsidR="00AC408A" w:rsidRPr="0026268D" w14:paraId="4E062138" w14:textId="77777777" w:rsidTr="00430970">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273" w:type="dxa"/>
            <w:vMerge/>
          </w:tcPr>
          <w:p w14:paraId="45B02129" w14:textId="77777777" w:rsidR="00AC408A" w:rsidRPr="0026268D" w:rsidRDefault="00AC408A" w:rsidP="00430970">
            <w:pPr>
              <w:rPr>
                <w:rFonts w:eastAsia="Times New Roman" w:cs="Times New Roman"/>
                <w:b w:val="0"/>
                <w:bCs w:val="0"/>
                <w:color w:val="auto"/>
                <w:sz w:val="20"/>
                <w:szCs w:val="20"/>
                <w:lang w:eastAsia="pl-PL"/>
              </w:rPr>
            </w:pPr>
          </w:p>
        </w:tc>
        <w:tc>
          <w:tcPr>
            <w:tcW w:w="3969" w:type="dxa"/>
          </w:tcPr>
          <w:p w14:paraId="10F4FEA9"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Renty z tytułu niezdolności do pracy</w:t>
            </w:r>
          </w:p>
        </w:tc>
        <w:tc>
          <w:tcPr>
            <w:tcW w:w="2825" w:type="dxa"/>
          </w:tcPr>
          <w:p w14:paraId="21DA47ED" w14:textId="77777777" w:rsidR="00AC408A" w:rsidRPr="0026268D" w:rsidRDefault="00AC408A" w:rsidP="00430970">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26268D">
              <w:rPr>
                <w:rFonts w:cs="Times New Roman"/>
                <w:color w:val="auto"/>
                <w:sz w:val="20"/>
                <w:szCs w:val="20"/>
              </w:rPr>
              <w:t>21,3</w:t>
            </w:r>
          </w:p>
        </w:tc>
      </w:tr>
      <w:tr w:rsidR="00AC408A" w:rsidRPr="0026268D" w14:paraId="391DA3A1" w14:textId="77777777" w:rsidTr="00430970">
        <w:trPr>
          <w:trHeight w:val="79"/>
        </w:trPr>
        <w:tc>
          <w:tcPr>
            <w:cnfStyle w:val="001000000000" w:firstRow="0" w:lastRow="0" w:firstColumn="1" w:lastColumn="0" w:oddVBand="0" w:evenVBand="0" w:oddHBand="0" w:evenHBand="0" w:firstRowFirstColumn="0" w:firstRowLastColumn="0" w:lastRowFirstColumn="0" w:lastRowLastColumn="0"/>
            <w:tcW w:w="2273" w:type="dxa"/>
            <w:vMerge/>
          </w:tcPr>
          <w:p w14:paraId="5C353E2E" w14:textId="77777777" w:rsidR="00AC408A" w:rsidRPr="0026268D" w:rsidRDefault="00AC408A" w:rsidP="00430970">
            <w:pPr>
              <w:rPr>
                <w:rFonts w:eastAsia="Times New Roman" w:cs="Times New Roman"/>
                <w:b w:val="0"/>
                <w:bCs w:val="0"/>
                <w:color w:val="auto"/>
                <w:sz w:val="20"/>
                <w:szCs w:val="20"/>
                <w:lang w:eastAsia="pl-PL"/>
              </w:rPr>
            </w:pPr>
          </w:p>
        </w:tc>
        <w:tc>
          <w:tcPr>
            <w:tcW w:w="3969" w:type="dxa"/>
          </w:tcPr>
          <w:p w14:paraId="019F4694"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Renty rodzinne</w:t>
            </w:r>
          </w:p>
        </w:tc>
        <w:tc>
          <w:tcPr>
            <w:tcW w:w="2825" w:type="dxa"/>
          </w:tcPr>
          <w:p w14:paraId="56634367" w14:textId="77777777" w:rsidR="00AC408A" w:rsidRPr="0026268D" w:rsidRDefault="00AC408A" w:rsidP="0043097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26268D">
              <w:rPr>
                <w:rFonts w:cs="Times New Roman"/>
                <w:color w:val="auto"/>
                <w:sz w:val="20"/>
                <w:szCs w:val="20"/>
              </w:rPr>
              <w:t>4,6</w:t>
            </w:r>
          </w:p>
        </w:tc>
      </w:tr>
    </w:tbl>
    <w:p w14:paraId="411B3B4B" w14:textId="77777777" w:rsidR="00AC408A" w:rsidRPr="00AC408A" w:rsidRDefault="00AC408A" w:rsidP="00AC408A">
      <w:pPr>
        <w:tabs>
          <w:tab w:val="left" w:pos="5400"/>
        </w:tabs>
        <w:rPr>
          <w:rFonts w:eastAsia="Times New Roman" w:cs="Times New Roman"/>
          <w:b/>
          <w:szCs w:val="24"/>
          <w:lang w:eastAsia="pl-PL"/>
        </w:rPr>
      </w:pPr>
      <w:r w:rsidRPr="00AC408A">
        <w:rPr>
          <w:rFonts w:eastAsia="Times New Roman" w:cs="Times New Roman"/>
          <w:b/>
          <w:szCs w:val="24"/>
          <w:lang w:eastAsia="pl-PL"/>
        </w:rPr>
        <w:t xml:space="preserve">Źródło: GUS. </w:t>
      </w:r>
    </w:p>
    <w:p w14:paraId="0613CEF7" w14:textId="77777777" w:rsidR="009778CD" w:rsidRDefault="009778CD" w:rsidP="009778CD">
      <w:pPr>
        <w:rPr>
          <w:rFonts w:cs="Times New Roman"/>
          <w:color w:val="FF0000"/>
          <w:szCs w:val="24"/>
        </w:rPr>
      </w:pPr>
    </w:p>
    <w:p w14:paraId="40F79C0B" w14:textId="5C80FC41" w:rsidR="009778CD" w:rsidRDefault="00A53BDB" w:rsidP="009778CD">
      <w:pPr>
        <w:pStyle w:val="Nagwek3"/>
      </w:pPr>
      <w:bookmarkStart w:id="319" w:name="_Toc80523200"/>
      <w:r w:rsidRPr="00A53BDB">
        <w:t>Sytuacja osób niepełnosprawnych i ich opiekunów</w:t>
      </w:r>
      <w:bookmarkEnd w:id="319"/>
    </w:p>
    <w:p w14:paraId="6188B577" w14:textId="77777777" w:rsidR="00837D67" w:rsidRDefault="00837D67" w:rsidP="00A53BDB">
      <w:pPr>
        <w:rPr>
          <w:rFonts w:cs="Times New Roman"/>
          <w:szCs w:val="24"/>
        </w:rPr>
      </w:pPr>
    </w:p>
    <w:p w14:paraId="75A9BD2E" w14:textId="607F61E4" w:rsidR="00A53BDB" w:rsidRDefault="00A53BDB" w:rsidP="00A53BDB">
      <w:pPr>
        <w:rPr>
          <w:rFonts w:cs="Times New Roman"/>
          <w:szCs w:val="24"/>
        </w:rPr>
      </w:pPr>
      <w:r w:rsidRPr="00A53BDB">
        <w:rPr>
          <w:rFonts w:cs="Times New Roman"/>
          <w:szCs w:val="24"/>
        </w:rPr>
        <w:t>W końcu grudnia 2020 r</w:t>
      </w:r>
      <w:r w:rsidR="0047037D">
        <w:rPr>
          <w:rFonts w:cs="Times New Roman"/>
          <w:szCs w:val="24"/>
        </w:rPr>
        <w:t>.</w:t>
      </w:r>
      <w:r w:rsidRPr="00A53BDB">
        <w:rPr>
          <w:rFonts w:cs="Times New Roman"/>
          <w:szCs w:val="24"/>
        </w:rPr>
        <w:t xml:space="preserve"> zarejestrowanych było 3 908 bezrobotnych</w:t>
      </w:r>
      <w:r>
        <w:rPr>
          <w:rFonts w:cs="Times New Roman"/>
          <w:szCs w:val="24"/>
        </w:rPr>
        <w:t xml:space="preserve"> </w:t>
      </w:r>
      <w:r w:rsidRPr="00A53BDB">
        <w:rPr>
          <w:rFonts w:cs="Times New Roman"/>
          <w:szCs w:val="24"/>
        </w:rPr>
        <w:t>z niepełnosprawnością, w tym 1 970 kobiet.</w:t>
      </w:r>
      <w:r>
        <w:rPr>
          <w:rFonts w:cs="Times New Roman"/>
          <w:szCs w:val="24"/>
        </w:rPr>
        <w:t xml:space="preserve"> </w:t>
      </w:r>
      <w:r w:rsidRPr="00A53BDB">
        <w:rPr>
          <w:rFonts w:cs="Times New Roman"/>
          <w:szCs w:val="24"/>
        </w:rPr>
        <w:t>W 2020 r</w:t>
      </w:r>
      <w:r w:rsidR="0047037D">
        <w:rPr>
          <w:rFonts w:cs="Times New Roman"/>
          <w:szCs w:val="24"/>
        </w:rPr>
        <w:t>.</w:t>
      </w:r>
      <w:r w:rsidRPr="00A53BDB">
        <w:rPr>
          <w:rFonts w:cs="Times New Roman"/>
          <w:szCs w:val="24"/>
        </w:rPr>
        <w:t xml:space="preserve"> najliczniejszą grupę bezrobotnych stanowiły osoby z lekkim</w:t>
      </w:r>
      <w:r>
        <w:rPr>
          <w:rFonts w:cs="Times New Roman"/>
          <w:szCs w:val="24"/>
        </w:rPr>
        <w:t xml:space="preserve"> </w:t>
      </w:r>
      <w:r w:rsidRPr="00A53BDB">
        <w:rPr>
          <w:rFonts w:cs="Times New Roman"/>
          <w:szCs w:val="24"/>
        </w:rPr>
        <w:t>stopniem</w:t>
      </w:r>
      <w:r>
        <w:rPr>
          <w:rFonts w:cs="Times New Roman"/>
          <w:szCs w:val="24"/>
        </w:rPr>
        <w:t xml:space="preserve"> </w:t>
      </w:r>
      <w:r w:rsidRPr="00A53BDB">
        <w:rPr>
          <w:rFonts w:cs="Times New Roman"/>
          <w:szCs w:val="24"/>
        </w:rPr>
        <w:t>niepełnosprawności, czyli 8 301 osób. W odniesieniu do analogicznego okresu ubiegłego</w:t>
      </w:r>
      <w:r>
        <w:rPr>
          <w:rFonts w:cs="Times New Roman"/>
          <w:szCs w:val="24"/>
        </w:rPr>
        <w:t xml:space="preserve"> </w:t>
      </w:r>
      <w:r w:rsidRPr="00A53BDB">
        <w:rPr>
          <w:rFonts w:cs="Times New Roman"/>
          <w:szCs w:val="24"/>
        </w:rPr>
        <w:t>roku nastąpił wzrost o 48 osób. Z kolei najmniej liczną grupą była grupa ze znacznym</w:t>
      </w:r>
      <w:r w:rsidR="0047037D">
        <w:rPr>
          <w:rFonts w:cs="Times New Roman"/>
          <w:szCs w:val="24"/>
        </w:rPr>
        <w:t xml:space="preserve"> </w:t>
      </w:r>
      <w:r w:rsidRPr="00A53BDB">
        <w:rPr>
          <w:rFonts w:cs="Times New Roman"/>
          <w:szCs w:val="24"/>
        </w:rPr>
        <w:t>stopniem niepełnosprawności, tj.: 99 osób. W grupie osób bezrobotnych z umiarkowanym</w:t>
      </w:r>
      <w:r>
        <w:rPr>
          <w:rFonts w:cs="Times New Roman"/>
          <w:szCs w:val="24"/>
        </w:rPr>
        <w:t xml:space="preserve"> </w:t>
      </w:r>
      <w:r w:rsidRPr="00A53BDB">
        <w:rPr>
          <w:rFonts w:cs="Times New Roman"/>
          <w:szCs w:val="24"/>
        </w:rPr>
        <w:t>i</w:t>
      </w:r>
      <w:r w:rsidR="005501EE">
        <w:rPr>
          <w:rFonts w:cs="Times New Roman"/>
          <w:szCs w:val="24"/>
        </w:rPr>
        <w:t> </w:t>
      </w:r>
      <w:r w:rsidRPr="00A53BDB">
        <w:rPr>
          <w:rFonts w:cs="Times New Roman"/>
          <w:szCs w:val="24"/>
        </w:rPr>
        <w:t>znacznym stopniem niepełnosprawności odnotowano nieznaczny spadek, odpowiednio</w:t>
      </w:r>
      <w:r w:rsidR="005501EE">
        <w:rPr>
          <w:rFonts w:cs="Times New Roman"/>
          <w:szCs w:val="24"/>
        </w:rPr>
        <w:t> </w:t>
      </w:r>
      <w:r w:rsidRPr="00A53BDB">
        <w:rPr>
          <w:rFonts w:cs="Times New Roman"/>
          <w:szCs w:val="24"/>
        </w:rPr>
        <w:t>o 54 i</w:t>
      </w:r>
      <w:r w:rsidR="005501EE">
        <w:rPr>
          <w:rFonts w:cs="Times New Roman"/>
          <w:szCs w:val="24"/>
        </w:rPr>
        <w:t> </w:t>
      </w:r>
      <w:r w:rsidRPr="00A53BDB">
        <w:rPr>
          <w:rFonts w:cs="Times New Roman"/>
          <w:szCs w:val="24"/>
        </w:rPr>
        <w:t>16 osób w odniesieniu do 2019 r</w:t>
      </w:r>
      <w:r w:rsidR="001806E4">
        <w:rPr>
          <w:rFonts w:cs="Times New Roman"/>
          <w:szCs w:val="24"/>
        </w:rPr>
        <w:t>.</w:t>
      </w:r>
      <w:r w:rsidRPr="00A53BDB">
        <w:rPr>
          <w:rFonts w:cs="Times New Roman"/>
          <w:szCs w:val="24"/>
        </w:rPr>
        <w:t>.</w:t>
      </w:r>
    </w:p>
    <w:p w14:paraId="1A77C2B0" w14:textId="77777777" w:rsidR="00A53BDB" w:rsidRDefault="00A53BDB" w:rsidP="009778CD">
      <w:pPr>
        <w:rPr>
          <w:rFonts w:cs="Times New Roman"/>
          <w:szCs w:val="24"/>
        </w:rPr>
      </w:pPr>
    </w:p>
    <w:p w14:paraId="762A2251" w14:textId="0BCB89F2" w:rsidR="009778CD" w:rsidRDefault="00A53BDB" w:rsidP="009778CD">
      <w:pPr>
        <w:rPr>
          <w:rFonts w:cs="Times New Roman"/>
          <w:szCs w:val="24"/>
        </w:rPr>
      </w:pPr>
      <w:r w:rsidRPr="00A53BDB">
        <w:rPr>
          <w:rFonts w:cs="Times New Roman"/>
          <w:szCs w:val="24"/>
        </w:rPr>
        <w:t>Sytuacja osób niepełnosprawnych i ich opiekunów mogła ulec nieznacznej poprawie względem lat poprzednich za sprawą realizowanych w ograniczonym zakresie ze względu na stan epidemii programów Solidarnościowego Funduszu Wsparcia Osób Niepełnosprawnych,</w:t>
      </w:r>
    </w:p>
    <w:p w14:paraId="74A290F2" w14:textId="77777777" w:rsidR="009778CD" w:rsidRDefault="009778CD" w:rsidP="009778CD">
      <w:pPr>
        <w:rPr>
          <w:rFonts w:cs="Times New Roman"/>
          <w:color w:val="FF0000"/>
          <w:szCs w:val="24"/>
        </w:rPr>
      </w:pPr>
    </w:p>
    <w:p w14:paraId="1B9F87AE" w14:textId="7E940756" w:rsidR="009778CD" w:rsidRDefault="00D57AE8" w:rsidP="009778CD">
      <w:pPr>
        <w:pStyle w:val="Nagwek3"/>
      </w:pPr>
      <w:bookmarkStart w:id="320" w:name="_Toc80523201"/>
      <w:r w:rsidRPr="00D57AE8">
        <w:t xml:space="preserve">Działania i inicjatywy realizowane na rzecz osób starszych w województwie </w:t>
      </w:r>
      <w:r>
        <w:t>wielkopolskim</w:t>
      </w:r>
      <w:bookmarkEnd w:id="320"/>
    </w:p>
    <w:p w14:paraId="0FEA59B1" w14:textId="77777777" w:rsidR="000B1B06" w:rsidRPr="000B1B06" w:rsidRDefault="000B1B06" w:rsidP="000B1B06"/>
    <w:p w14:paraId="3380419E" w14:textId="27895FB8" w:rsidR="00D57AE8" w:rsidRPr="00D57AE8" w:rsidRDefault="00D57AE8" w:rsidP="00D57AE8">
      <w:pPr>
        <w:rPr>
          <w:rFonts w:cs="Times New Roman"/>
          <w:szCs w:val="24"/>
        </w:rPr>
      </w:pPr>
      <w:r w:rsidRPr="00D57AE8">
        <w:rPr>
          <w:rFonts w:cs="Times New Roman"/>
          <w:szCs w:val="24"/>
        </w:rPr>
        <w:t>Wielkopolski Program na Rzecz Osób Starszych do 2020 r</w:t>
      </w:r>
      <w:r w:rsidR="0047037D">
        <w:rPr>
          <w:rFonts w:cs="Times New Roman"/>
          <w:szCs w:val="24"/>
        </w:rPr>
        <w:t>.</w:t>
      </w:r>
    </w:p>
    <w:p w14:paraId="5546BE3B" w14:textId="6B52F29E" w:rsidR="00573142" w:rsidRDefault="00D57AE8" w:rsidP="00D57AE8">
      <w:pPr>
        <w:rPr>
          <w:rFonts w:cs="Times New Roman"/>
          <w:szCs w:val="24"/>
        </w:rPr>
      </w:pPr>
      <w:r w:rsidRPr="00D57AE8">
        <w:rPr>
          <w:rFonts w:cs="Times New Roman"/>
          <w:szCs w:val="24"/>
        </w:rPr>
        <w:t>Uchwałą nr XXXIX/772/13 Sejmiku Województwa Wielkopolskiego z 25 listopada 2013 r</w:t>
      </w:r>
      <w:r w:rsidR="0047037D">
        <w:rPr>
          <w:rFonts w:cs="Times New Roman"/>
          <w:szCs w:val="24"/>
        </w:rPr>
        <w:t>.</w:t>
      </w:r>
      <w:r w:rsidRPr="00D57AE8">
        <w:rPr>
          <w:rFonts w:cs="Times New Roman"/>
          <w:szCs w:val="24"/>
        </w:rPr>
        <w:t xml:space="preserve"> został przyjęty Wielkopolski Program na Rzecz Osób Starszych do 2020 roku. Program precyzował najważniejsze kierunki polityki społecznej województwa w obszarze wsparcia osób starszych do 2020 r. Program powstał przy współpracy szerokiego grona ekspertów na co dzień zajmujących się podnoszeniem jakości życia osób starszych. </w:t>
      </w:r>
      <w:r w:rsidR="00573142">
        <w:rPr>
          <w:rFonts w:cs="Times New Roman"/>
          <w:szCs w:val="24"/>
        </w:rPr>
        <w:t xml:space="preserve"> </w:t>
      </w:r>
      <w:r w:rsidRPr="00D57AE8">
        <w:rPr>
          <w:rFonts w:cs="Times New Roman"/>
          <w:szCs w:val="24"/>
        </w:rPr>
        <w:t xml:space="preserve">Wielkopolski Program na rzecz Osób Starszych do 2020 </w:t>
      </w:r>
      <w:r w:rsidR="001806E4">
        <w:rPr>
          <w:rFonts w:cs="Times New Roman"/>
          <w:szCs w:val="24"/>
        </w:rPr>
        <w:t>roku</w:t>
      </w:r>
      <w:r w:rsidRPr="00D57AE8">
        <w:rPr>
          <w:rFonts w:cs="Times New Roman"/>
          <w:szCs w:val="24"/>
        </w:rPr>
        <w:t xml:space="preserve"> wpisywał się w cele Rządowego Programu na rzecz Aktywności Społecznej Osób Starszych, którego priorytetowym obszarem oddziaływania było promowanie działań podtrzymujących aktywność seniorów. W oparciu o diagnozę dotyczącą sytuacji osób starszych </w:t>
      </w:r>
      <w:r w:rsidR="00573142">
        <w:rPr>
          <w:rFonts w:cs="Times New Roman"/>
          <w:szCs w:val="24"/>
        </w:rPr>
        <w:t xml:space="preserve"> </w:t>
      </w:r>
      <w:r w:rsidRPr="00D57AE8">
        <w:rPr>
          <w:rFonts w:cs="Times New Roman"/>
          <w:szCs w:val="24"/>
        </w:rPr>
        <w:t xml:space="preserve">w województwie na tle kraju, stworzono rekomendacje, których uwzględnienie w ramach Programu pozwoliło z kolei na stworzenie realnych podstaw działań podejmowanych </w:t>
      </w:r>
      <w:r w:rsidRPr="00D57AE8">
        <w:rPr>
          <w:rFonts w:cs="Times New Roman"/>
          <w:szCs w:val="24"/>
        </w:rPr>
        <w:lastRenderedPageBreak/>
        <w:t>na rzecz osób starszych. Poniższe rekomendacje uwzględniono w priorytetach, w obrębie których skoncentrowano cele operacyjne programu</w:t>
      </w:r>
      <w:r w:rsidR="00573142">
        <w:rPr>
          <w:rFonts w:cs="Times New Roman"/>
          <w:szCs w:val="24"/>
        </w:rPr>
        <w:t>:</w:t>
      </w:r>
    </w:p>
    <w:p w14:paraId="66B03278" w14:textId="77777777" w:rsidR="00573142" w:rsidRDefault="00D57AE8" w:rsidP="00FE70E3">
      <w:pPr>
        <w:pStyle w:val="Akapitzlist"/>
        <w:numPr>
          <w:ilvl w:val="0"/>
          <w:numId w:val="212"/>
        </w:numPr>
        <w:rPr>
          <w:rFonts w:cs="Times New Roman"/>
          <w:szCs w:val="24"/>
        </w:rPr>
      </w:pPr>
      <w:r w:rsidRPr="00573142">
        <w:rPr>
          <w:rFonts w:cs="Times New Roman"/>
          <w:szCs w:val="24"/>
        </w:rPr>
        <w:t>Promowanie wizerunku osoby starszej jako potencjalnego usługodawcy, a nie usługobiorcy, pozwalające zrozumieć, że zwiększająca się liczba osób starszych nie musi oznaczać wzrostu kosztów funkcjonowania systemów opieki.</w:t>
      </w:r>
    </w:p>
    <w:p w14:paraId="55EA8513" w14:textId="77777777" w:rsidR="00573142" w:rsidRDefault="00D57AE8" w:rsidP="00FE70E3">
      <w:pPr>
        <w:pStyle w:val="Akapitzlist"/>
        <w:numPr>
          <w:ilvl w:val="0"/>
          <w:numId w:val="212"/>
        </w:numPr>
        <w:rPr>
          <w:rFonts w:cs="Times New Roman"/>
          <w:szCs w:val="24"/>
        </w:rPr>
      </w:pPr>
      <w:r w:rsidRPr="00573142">
        <w:rPr>
          <w:rFonts w:cs="Times New Roman"/>
          <w:szCs w:val="24"/>
        </w:rPr>
        <w:t xml:space="preserve">Wypracowanie rozwiązań włączających seniorów do działań podejmowanych na rzecz ich samych - zgodnie z obserwacją, że sam senior jest dla innych seniorów najlepszym ambasadorem nowych rozwiązań (zgodnie z zasadą </w:t>
      </w:r>
      <w:proofErr w:type="spellStart"/>
      <w:r w:rsidRPr="00573142">
        <w:rPr>
          <w:rFonts w:cs="Times New Roman"/>
          <w:szCs w:val="24"/>
        </w:rPr>
        <w:t>empowermentu</w:t>
      </w:r>
      <w:proofErr w:type="spellEnd"/>
      <w:r w:rsidRPr="00573142">
        <w:rPr>
          <w:rFonts w:cs="Times New Roman"/>
          <w:szCs w:val="24"/>
        </w:rPr>
        <w:t>).</w:t>
      </w:r>
    </w:p>
    <w:p w14:paraId="2179BEC0" w14:textId="77777777" w:rsidR="00573142" w:rsidRDefault="00D57AE8" w:rsidP="00FE70E3">
      <w:pPr>
        <w:pStyle w:val="Akapitzlist"/>
        <w:numPr>
          <w:ilvl w:val="0"/>
          <w:numId w:val="212"/>
        </w:numPr>
        <w:rPr>
          <w:rFonts w:cs="Times New Roman"/>
          <w:szCs w:val="24"/>
        </w:rPr>
      </w:pPr>
      <w:r w:rsidRPr="00573142">
        <w:rPr>
          <w:rFonts w:cs="Times New Roman"/>
          <w:szCs w:val="24"/>
        </w:rPr>
        <w:t>Stworzenie baz wymiany informacji pomiędzy osobami i instytucjami podejmującymi działania na rzecz osób starszych.</w:t>
      </w:r>
    </w:p>
    <w:p w14:paraId="0E90E167" w14:textId="77777777" w:rsidR="00573142" w:rsidRDefault="00D57AE8" w:rsidP="00FE70E3">
      <w:pPr>
        <w:pStyle w:val="Akapitzlist"/>
        <w:numPr>
          <w:ilvl w:val="0"/>
          <w:numId w:val="212"/>
        </w:numPr>
        <w:rPr>
          <w:rFonts w:cs="Times New Roman"/>
          <w:szCs w:val="24"/>
        </w:rPr>
      </w:pPr>
      <w:r w:rsidRPr="00573142">
        <w:rPr>
          <w:rFonts w:cs="Times New Roman"/>
          <w:szCs w:val="24"/>
        </w:rPr>
        <w:t xml:space="preserve">Przeprowadzenie badań </w:t>
      </w:r>
      <w:proofErr w:type="spellStart"/>
      <w:r w:rsidRPr="00573142">
        <w:rPr>
          <w:rFonts w:cs="Times New Roman"/>
          <w:szCs w:val="24"/>
        </w:rPr>
        <w:t>skryningowych</w:t>
      </w:r>
      <w:proofErr w:type="spellEnd"/>
      <w:r w:rsidRPr="00573142">
        <w:rPr>
          <w:rFonts w:cs="Times New Roman"/>
          <w:szCs w:val="24"/>
        </w:rPr>
        <w:t xml:space="preserve"> i optymalizacja działań w obszarze proaktywnej profilaktyki niesprawności.</w:t>
      </w:r>
    </w:p>
    <w:p w14:paraId="7D3512F7" w14:textId="77777777" w:rsidR="00573142" w:rsidRDefault="00D57AE8" w:rsidP="00FE70E3">
      <w:pPr>
        <w:pStyle w:val="Akapitzlist"/>
        <w:numPr>
          <w:ilvl w:val="0"/>
          <w:numId w:val="212"/>
        </w:numPr>
        <w:rPr>
          <w:rFonts w:cs="Times New Roman"/>
          <w:szCs w:val="24"/>
        </w:rPr>
      </w:pPr>
      <w:r w:rsidRPr="00573142">
        <w:rPr>
          <w:rFonts w:cs="Times New Roman"/>
          <w:szCs w:val="24"/>
        </w:rPr>
        <w:t>Wzmocnienie istniejącego systemu wsparcia osób starszych wymagających pomocy poprzez zwiększenie dostępności usług i podnoszenie ich jakości.</w:t>
      </w:r>
    </w:p>
    <w:p w14:paraId="67FAEACF" w14:textId="77777777" w:rsidR="00573142" w:rsidRDefault="00D57AE8" w:rsidP="00FE70E3">
      <w:pPr>
        <w:pStyle w:val="Akapitzlist"/>
        <w:numPr>
          <w:ilvl w:val="0"/>
          <w:numId w:val="212"/>
        </w:numPr>
        <w:rPr>
          <w:rFonts w:cs="Times New Roman"/>
          <w:szCs w:val="24"/>
        </w:rPr>
      </w:pPr>
      <w:r w:rsidRPr="00573142">
        <w:rPr>
          <w:rFonts w:cs="Times New Roman"/>
          <w:szCs w:val="24"/>
        </w:rPr>
        <w:t>Budowanie i wzmacnianie więzi międzypokoleniowej w ramach działań na rzecz rozumienia procesu starzenia.</w:t>
      </w:r>
    </w:p>
    <w:p w14:paraId="1CCB79F9" w14:textId="77777777" w:rsidR="00573142" w:rsidRDefault="00D57AE8" w:rsidP="00FE70E3">
      <w:pPr>
        <w:pStyle w:val="Akapitzlist"/>
        <w:numPr>
          <w:ilvl w:val="0"/>
          <w:numId w:val="212"/>
        </w:numPr>
        <w:rPr>
          <w:rFonts w:cs="Times New Roman"/>
          <w:szCs w:val="24"/>
        </w:rPr>
      </w:pPr>
      <w:r w:rsidRPr="00573142">
        <w:rPr>
          <w:rFonts w:cs="Times New Roman"/>
          <w:szCs w:val="24"/>
        </w:rPr>
        <w:t>Wdrażanie rozwiązań, których celem jest zmiana wizerunku starości.</w:t>
      </w:r>
    </w:p>
    <w:p w14:paraId="194A5E8A" w14:textId="77777777" w:rsidR="00573142" w:rsidRDefault="00D57AE8" w:rsidP="00FE70E3">
      <w:pPr>
        <w:pStyle w:val="Akapitzlist"/>
        <w:numPr>
          <w:ilvl w:val="0"/>
          <w:numId w:val="212"/>
        </w:numPr>
        <w:rPr>
          <w:rFonts w:cs="Times New Roman"/>
          <w:szCs w:val="24"/>
        </w:rPr>
      </w:pPr>
      <w:r w:rsidRPr="00573142">
        <w:rPr>
          <w:rFonts w:cs="Times New Roman"/>
          <w:szCs w:val="24"/>
        </w:rPr>
        <w:t>Stworzenie bazy „dobrych praktyk” podejmowanych na rzecz seniorów.</w:t>
      </w:r>
    </w:p>
    <w:p w14:paraId="219760AA" w14:textId="031372AB" w:rsidR="00D57AE8" w:rsidRPr="00573142" w:rsidRDefault="00D57AE8" w:rsidP="00FE70E3">
      <w:pPr>
        <w:pStyle w:val="Akapitzlist"/>
        <w:numPr>
          <w:ilvl w:val="0"/>
          <w:numId w:val="212"/>
        </w:numPr>
        <w:rPr>
          <w:rFonts w:cs="Times New Roman"/>
          <w:szCs w:val="24"/>
        </w:rPr>
      </w:pPr>
      <w:r w:rsidRPr="00573142">
        <w:rPr>
          <w:rFonts w:cs="Times New Roman"/>
          <w:szCs w:val="24"/>
        </w:rPr>
        <w:t>Podjęcie działań zmierzających do wyrównania różnic między subregionami Wielkopolski, w tym - między miastem i wsią.</w:t>
      </w:r>
    </w:p>
    <w:p w14:paraId="476412C7" w14:textId="68327641" w:rsidR="00D57AE8" w:rsidRPr="00D57AE8" w:rsidRDefault="00D57AE8" w:rsidP="00D57AE8">
      <w:pPr>
        <w:rPr>
          <w:rFonts w:cs="Times New Roman"/>
          <w:szCs w:val="24"/>
        </w:rPr>
      </w:pPr>
      <w:r w:rsidRPr="00D57AE8">
        <w:rPr>
          <w:rFonts w:cs="Times New Roman"/>
          <w:szCs w:val="24"/>
        </w:rPr>
        <w:t xml:space="preserve">Wielkopolski Program na Rzecz Osób Starszych do 2020 </w:t>
      </w:r>
      <w:r w:rsidR="001806E4">
        <w:rPr>
          <w:rFonts w:cs="Times New Roman"/>
          <w:szCs w:val="24"/>
        </w:rPr>
        <w:t xml:space="preserve">roku </w:t>
      </w:r>
      <w:r w:rsidRPr="00D57AE8">
        <w:rPr>
          <w:rFonts w:cs="Times New Roman"/>
          <w:szCs w:val="24"/>
        </w:rPr>
        <w:t xml:space="preserve">był narzędziem wyznaczającym kierunki działania podejmowane przez Samorząd Województwa Wielkopolskiego na rzecz osób starszych. Jego beneficjentami były same osoby starsze, </w:t>
      </w:r>
    </w:p>
    <w:p w14:paraId="65313EE6" w14:textId="77777777" w:rsidR="00D57AE8" w:rsidRPr="00D57AE8" w:rsidRDefault="00D57AE8" w:rsidP="00D57AE8">
      <w:pPr>
        <w:rPr>
          <w:rFonts w:cs="Times New Roman"/>
          <w:szCs w:val="24"/>
        </w:rPr>
      </w:pPr>
      <w:r w:rsidRPr="00D57AE8">
        <w:rPr>
          <w:rFonts w:cs="Times New Roman"/>
          <w:szCs w:val="24"/>
        </w:rPr>
        <w:t xml:space="preserve">a także wszyscy ci, którzy działali na ich rzecz, w tym służby społeczne i organizacje pozarządowe. Co więcej, w związku ze zwróceniem uwagi na konieczność zmiany wizerunku osoby starszej oraz postulowanym przygotowaniem wszystkich grup wiekowych do starości, beneficjentami, przynajmniej w sposób pośredni, mogli być wszyscy mieszkańcy Wielkopolski. </w:t>
      </w:r>
    </w:p>
    <w:p w14:paraId="2D46D8E5" w14:textId="77777777" w:rsidR="00D57AE8" w:rsidRPr="00D57AE8" w:rsidRDefault="00D57AE8" w:rsidP="00D57AE8">
      <w:pPr>
        <w:rPr>
          <w:rFonts w:cs="Times New Roman"/>
          <w:szCs w:val="24"/>
        </w:rPr>
      </w:pPr>
    </w:p>
    <w:p w14:paraId="11FB8CC8" w14:textId="796F03AC" w:rsidR="00D57AE8" w:rsidRPr="00573142" w:rsidRDefault="00573142" w:rsidP="00D57AE8">
      <w:pPr>
        <w:rPr>
          <w:rFonts w:cs="Times New Roman"/>
          <w:b/>
          <w:bCs/>
          <w:szCs w:val="24"/>
        </w:rPr>
      </w:pPr>
      <w:r w:rsidRPr="00573142">
        <w:rPr>
          <w:rFonts w:cs="Times New Roman"/>
          <w:b/>
          <w:bCs/>
          <w:szCs w:val="24"/>
        </w:rPr>
        <w:t>Przykłady dobrych praktyk na poziomie powiatu, gminy.</w:t>
      </w:r>
    </w:p>
    <w:p w14:paraId="7A5481FC" w14:textId="77777777" w:rsidR="00D57AE8" w:rsidRPr="00D57AE8" w:rsidRDefault="00D57AE8" w:rsidP="00D57AE8">
      <w:pPr>
        <w:rPr>
          <w:rFonts w:cs="Times New Roman"/>
          <w:szCs w:val="24"/>
        </w:rPr>
      </w:pPr>
    </w:p>
    <w:p w14:paraId="25BE00CB" w14:textId="77777777" w:rsidR="00D57AE8" w:rsidRPr="00D57AE8" w:rsidRDefault="00D57AE8" w:rsidP="00D57AE8">
      <w:pPr>
        <w:rPr>
          <w:rFonts w:cs="Times New Roman"/>
          <w:szCs w:val="24"/>
        </w:rPr>
      </w:pPr>
      <w:r w:rsidRPr="00D57AE8">
        <w:rPr>
          <w:rFonts w:cs="Times New Roman"/>
          <w:szCs w:val="24"/>
        </w:rPr>
        <w:t>Przykłady dobrych praktyk gminnych rad seniorów.</w:t>
      </w:r>
    </w:p>
    <w:p w14:paraId="4A29EFDA" w14:textId="77777777" w:rsidR="00735872" w:rsidRDefault="00D57AE8" w:rsidP="00FE70E3">
      <w:pPr>
        <w:pStyle w:val="Akapitzlist"/>
        <w:numPr>
          <w:ilvl w:val="0"/>
          <w:numId w:val="213"/>
        </w:numPr>
        <w:rPr>
          <w:rFonts w:cs="Times New Roman"/>
          <w:szCs w:val="24"/>
        </w:rPr>
      </w:pPr>
      <w:r w:rsidRPr="00735872">
        <w:rPr>
          <w:rFonts w:cs="Times New Roman"/>
          <w:szCs w:val="24"/>
        </w:rPr>
        <w:t xml:space="preserve">Rada Seniorów w Złotowie - wnioskowanie do Budżetu Miasta Złotowa w sprawie poprawy bezpieczeństwa osób na ścieżkach rowerowych, o przyznanie seniorom 65+ prawa do zakupu biletu/karnetu ulgowego do wejścia na basen, o uruchomienie specjalnej komunikacji miejskiej przed dniem 1 listopada, o wprowadzenie zmian do zasad tworzenia </w:t>
      </w:r>
      <w:r w:rsidR="00735872">
        <w:rPr>
          <w:rFonts w:cs="Times New Roman"/>
          <w:szCs w:val="24"/>
        </w:rPr>
        <w:t xml:space="preserve"> </w:t>
      </w:r>
      <w:r w:rsidRPr="00735872">
        <w:rPr>
          <w:rFonts w:cs="Times New Roman"/>
          <w:szCs w:val="24"/>
        </w:rPr>
        <w:t xml:space="preserve">i przeprowadzania głosowania w ramach Złotowskiego Budżetu Obywatelskiego, </w:t>
      </w:r>
      <w:r w:rsidR="00735872">
        <w:rPr>
          <w:rFonts w:cs="Times New Roman"/>
          <w:szCs w:val="24"/>
        </w:rPr>
        <w:t xml:space="preserve"> </w:t>
      </w:r>
      <w:r w:rsidRPr="00735872">
        <w:rPr>
          <w:rFonts w:cs="Times New Roman"/>
          <w:szCs w:val="24"/>
        </w:rPr>
        <w:t xml:space="preserve">o kontynuację programu „Taksówka dla seniora w Złotowie”, wnioskowanie </w:t>
      </w:r>
      <w:r w:rsidR="00735872">
        <w:rPr>
          <w:rFonts w:cs="Times New Roman"/>
          <w:szCs w:val="24"/>
        </w:rPr>
        <w:t xml:space="preserve"> </w:t>
      </w:r>
      <w:r w:rsidRPr="00735872">
        <w:rPr>
          <w:rFonts w:cs="Times New Roman"/>
          <w:szCs w:val="24"/>
        </w:rPr>
        <w:t>w sprawie przystąpienia Gminy Miasta Złotów do Programu Gmina Przyjazna Seniorom. Udział w opracowaniu budżetu obywatelskiego, sporządzenie raportu „Złotów dla Seniora”, współudział w obchodach Dnia Seniora, udział w konferencjach dotyczących geriatrii.</w:t>
      </w:r>
      <w:r w:rsidR="00735872">
        <w:rPr>
          <w:rFonts w:cs="Times New Roman"/>
          <w:szCs w:val="24"/>
        </w:rPr>
        <w:t xml:space="preserve"> </w:t>
      </w:r>
      <w:r w:rsidRPr="00735872">
        <w:rPr>
          <w:rFonts w:cs="Times New Roman"/>
          <w:szCs w:val="24"/>
        </w:rPr>
        <w:t xml:space="preserve">Opracowanie informatora </w:t>
      </w:r>
      <w:r w:rsidR="00735872">
        <w:rPr>
          <w:rFonts w:cs="Times New Roman"/>
          <w:szCs w:val="24"/>
        </w:rPr>
        <w:t xml:space="preserve"> </w:t>
      </w:r>
      <w:r w:rsidRPr="00735872">
        <w:rPr>
          <w:rFonts w:cs="Times New Roman"/>
          <w:szCs w:val="24"/>
        </w:rPr>
        <w:t xml:space="preserve">dla seniora, udział Złotowskiej Rady Seniorów w targach </w:t>
      </w:r>
      <w:proofErr w:type="spellStart"/>
      <w:r w:rsidRPr="00735872">
        <w:rPr>
          <w:rFonts w:cs="Times New Roman"/>
          <w:szCs w:val="24"/>
        </w:rPr>
        <w:t>Viva</w:t>
      </w:r>
      <w:proofErr w:type="spellEnd"/>
      <w:r w:rsidRPr="00735872">
        <w:rPr>
          <w:rFonts w:cs="Times New Roman"/>
          <w:szCs w:val="24"/>
        </w:rPr>
        <w:t xml:space="preserve"> Seniorzy w Poznaniu, współpraca z Klubem Seniora oraz Dziennym Domem Senior Wigor</w:t>
      </w:r>
      <w:r w:rsidR="00735872">
        <w:rPr>
          <w:rFonts w:cs="Times New Roman"/>
          <w:szCs w:val="24"/>
        </w:rPr>
        <w:t xml:space="preserve"> </w:t>
      </w:r>
      <w:r w:rsidRPr="00735872">
        <w:rPr>
          <w:rFonts w:cs="Times New Roman"/>
          <w:szCs w:val="24"/>
        </w:rPr>
        <w:lastRenderedPageBreak/>
        <w:t>w Złotowie, współpraca ze Złotowskim Uniwersytetem III Wieku, współpraca z Miejskim Ośrodkiem Pomocy Społecznej. Zainicjowanie realizacji pilotażowego projektu „Złota rączka”.</w:t>
      </w:r>
    </w:p>
    <w:p w14:paraId="4F4A6D44" w14:textId="77777777" w:rsidR="00735872" w:rsidRDefault="00D57AE8" w:rsidP="00FE70E3">
      <w:pPr>
        <w:pStyle w:val="Akapitzlist"/>
        <w:numPr>
          <w:ilvl w:val="0"/>
          <w:numId w:val="213"/>
        </w:numPr>
        <w:rPr>
          <w:rFonts w:cs="Times New Roman"/>
          <w:szCs w:val="24"/>
        </w:rPr>
      </w:pPr>
      <w:r w:rsidRPr="00735872">
        <w:rPr>
          <w:rFonts w:cs="Times New Roman"/>
          <w:szCs w:val="24"/>
        </w:rPr>
        <w:t xml:space="preserve">Obornicka Rada Seniorów - „Obornicka Karta Seniora” (program kierowany jest do osób 60+ dzięki, którym ich posiadacze mogą korzystać z wielu zniżek oferowanych przez </w:t>
      </w:r>
      <w:r w:rsidR="00735872">
        <w:rPr>
          <w:rFonts w:cs="Times New Roman"/>
          <w:szCs w:val="24"/>
        </w:rPr>
        <w:t xml:space="preserve"> </w:t>
      </w:r>
      <w:r w:rsidRPr="00735872">
        <w:rPr>
          <w:rFonts w:cs="Times New Roman"/>
          <w:szCs w:val="24"/>
        </w:rPr>
        <w:t>78 partnerów programu. Ponadto posiadaczom karty Burmistrz Obornik przyznaje 50% bonifikaty od stawki czynszu dzierżawnego, a w okresie jesiennym zainteresowane osoby mogą skorzystać z darmowych szczepionek przeciwko grypie. Od 1 stycznia 2017 r.</w:t>
      </w:r>
      <w:r w:rsidR="00735872">
        <w:rPr>
          <w:rFonts w:cs="Times New Roman"/>
          <w:szCs w:val="24"/>
        </w:rPr>
        <w:t xml:space="preserve"> </w:t>
      </w:r>
      <w:r w:rsidRPr="00735872">
        <w:rPr>
          <w:rFonts w:cs="Times New Roman"/>
          <w:szCs w:val="24"/>
        </w:rPr>
        <w:t>posiadacze karty mogą korzystać z darmowych przejazdów komunikacją gminną,</w:t>
      </w:r>
    </w:p>
    <w:p w14:paraId="14AA25A7" w14:textId="77777777" w:rsidR="00735872" w:rsidRDefault="00D57AE8" w:rsidP="00FE70E3">
      <w:pPr>
        <w:pStyle w:val="Akapitzlist"/>
        <w:numPr>
          <w:ilvl w:val="1"/>
          <w:numId w:val="213"/>
        </w:numPr>
        <w:rPr>
          <w:rFonts w:cs="Times New Roman"/>
          <w:szCs w:val="24"/>
        </w:rPr>
      </w:pPr>
      <w:r w:rsidRPr="00735872">
        <w:rPr>
          <w:rFonts w:cs="Times New Roman"/>
          <w:szCs w:val="24"/>
        </w:rPr>
        <w:t xml:space="preserve">na wniosek ORS w ramach pomocy dla obornickich seniorów Burmistrz Obornik wyznaczył pracownika w Urzędzie Miejskim, który pomaga osobom starszym w rozwiązywaniu </w:t>
      </w:r>
      <w:r w:rsidR="00735872">
        <w:rPr>
          <w:rFonts w:cs="Times New Roman"/>
          <w:szCs w:val="24"/>
        </w:rPr>
        <w:t xml:space="preserve"> </w:t>
      </w:r>
      <w:r w:rsidRPr="00735872">
        <w:rPr>
          <w:rFonts w:cs="Times New Roman"/>
          <w:szCs w:val="24"/>
        </w:rPr>
        <w:t>ich drobnych problemów utrudniających życie. Seniorzy korzystać mogą również z pomocy prawnej w Urzędzie Miejskim,</w:t>
      </w:r>
    </w:p>
    <w:p w14:paraId="67A3F13F" w14:textId="77777777" w:rsidR="00735872" w:rsidRDefault="00D57AE8" w:rsidP="00FE70E3">
      <w:pPr>
        <w:pStyle w:val="Akapitzlist"/>
        <w:numPr>
          <w:ilvl w:val="1"/>
          <w:numId w:val="213"/>
        </w:numPr>
        <w:rPr>
          <w:rFonts w:cs="Times New Roman"/>
          <w:szCs w:val="24"/>
        </w:rPr>
      </w:pPr>
      <w:r w:rsidRPr="00735872">
        <w:rPr>
          <w:rFonts w:cs="Times New Roman"/>
          <w:szCs w:val="24"/>
        </w:rPr>
        <w:t>na wniosek Obornickiej Rady Seniorów Burmistrz Obornik pomógł w przeprowadzeniu dla seniorów bezpłatnych kursów językowych i komputerowych,</w:t>
      </w:r>
    </w:p>
    <w:p w14:paraId="660F9474" w14:textId="77777777" w:rsidR="00735872" w:rsidRDefault="00D57AE8" w:rsidP="00FE70E3">
      <w:pPr>
        <w:pStyle w:val="Akapitzlist"/>
        <w:numPr>
          <w:ilvl w:val="1"/>
          <w:numId w:val="213"/>
        </w:numPr>
        <w:rPr>
          <w:rFonts w:cs="Times New Roman"/>
          <w:szCs w:val="24"/>
        </w:rPr>
      </w:pPr>
      <w:r w:rsidRPr="00735872">
        <w:rPr>
          <w:rFonts w:cs="Times New Roman"/>
          <w:szCs w:val="24"/>
        </w:rPr>
        <w:t>członkowie Obornickiej Rady Seniorów przygotowali i przeprowadzili ankietę dotyczącą opieki i spraw społecznych,</w:t>
      </w:r>
    </w:p>
    <w:p w14:paraId="786C1ADC" w14:textId="77777777" w:rsidR="00735872" w:rsidRDefault="00D57AE8" w:rsidP="00FE70E3">
      <w:pPr>
        <w:pStyle w:val="Akapitzlist"/>
        <w:numPr>
          <w:ilvl w:val="1"/>
          <w:numId w:val="213"/>
        </w:numPr>
        <w:rPr>
          <w:rFonts w:cs="Times New Roman"/>
          <w:szCs w:val="24"/>
        </w:rPr>
      </w:pPr>
      <w:r w:rsidRPr="00735872">
        <w:rPr>
          <w:rFonts w:cs="Times New Roman"/>
          <w:szCs w:val="24"/>
        </w:rPr>
        <w:t>z inicjatywy Obornickiej Rady Seniorów w przedszkolach i szkołach podstawowych zorganizowany został konkurs plastyczny. Nagrodzone prace opublikowane zostały w kalendarzu dla seniorów,</w:t>
      </w:r>
    </w:p>
    <w:p w14:paraId="7559FCB0" w14:textId="77777777" w:rsidR="00735872" w:rsidRDefault="00D57AE8" w:rsidP="00FE70E3">
      <w:pPr>
        <w:pStyle w:val="Akapitzlist"/>
        <w:numPr>
          <w:ilvl w:val="1"/>
          <w:numId w:val="213"/>
        </w:numPr>
        <w:rPr>
          <w:rFonts w:cs="Times New Roman"/>
          <w:szCs w:val="24"/>
        </w:rPr>
      </w:pPr>
      <w:r w:rsidRPr="00735872">
        <w:rPr>
          <w:rFonts w:cs="Times New Roman"/>
          <w:szCs w:val="24"/>
        </w:rPr>
        <w:t xml:space="preserve">z inicjatywy Obornickiej Rady Seniorów zostały opracowane ulotki informacyjne dla obornickich seniorów, </w:t>
      </w:r>
    </w:p>
    <w:p w14:paraId="56AB7431" w14:textId="77777777" w:rsidR="00735872" w:rsidRDefault="00D57AE8" w:rsidP="00FE70E3">
      <w:pPr>
        <w:pStyle w:val="Akapitzlist"/>
        <w:numPr>
          <w:ilvl w:val="1"/>
          <w:numId w:val="213"/>
        </w:numPr>
        <w:rPr>
          <w:rFonts w:cs="Times New Roman"/>
          <w:szCs w:val="24"/>
        </w:rPr>
      </w:pPr>
      <w:r w:rsidRPr="00735872">
        <w:rPr>
          <w:rFonts w:cs="Times New Roman"/>
          <w:szCs w:val="24"/>
        </w:rPr>
        <w:t>od 3 marca 2017 r. Rada Miejska w Obornikach wyraziła zgodę na przystąpienie Gminy Oborniki do Wielkopolskiego Klastra Seniora w celu podejmowania działań służących rozwojowi polityki senioralnej, w tym programu „Senior 2030”,</w:t>
      </w:r>
    </w:p>
    <w:p w14:paraId="621589CD" w14:textId="77777777" w:rsidR="00735872" w:rsidRDefault="00D57AE8" w:rsidP="00FE70E3">
      <w:pPr>
        <w:pStyle w:val="Akapitzlist"/>
        <w:numPr>
          <w:ilvl w:val="1"/>
          <w:numId w:val="213"/>
        </w:numPr>
        <w:rPr>
          <w:rFonts w:cs="Times New Roman"/>
          <w:szCs w:val="24"/>
        </w:rPr>
      </w:pPr>
      <w:r w:rsidRPr="00735872">
        <w:rPr>
          <w:rFonts w:cs="Times New Roman"/>
          <w:szCs w:val="24"/>
        </w:rPr>
        <w:t>z inicjatywy Obornickiej Rady Seniorów złożony został wniosek o przyjęcie Gminy Oborniki do Sieci Miast Przyjaznych Starzeniu WHO. Wniosek został rozpatrzony pozytywnie. Przynależność Gminy Oborniki do prestiżowej Sieci Miast Przyjaznych Starzeniu WHO umożliwia wymianę cennych doświadczeń z zakresu polityki senioralnej. Ułatwia również wypracowanie lokalnej strategii działania na rzecz zaspokajania potrzeb osób starszych w obszarach wskazanych w założeniach programowych,</w:t>
      </w:r>
    </w:p>
    <w:p w14:paraId="2283124B" w14:textId="77777777" w:rsidR="00735872" w:rsidRDefault="00D57AE8" w:rsidP="00FE70E3">
      <w:pPr>
        <w:pStyle w:val="Akapitzlist"/>
        <w:numPr>
          <w:ilvl w:val="1"/>
          <w:numId w:val="213"/>
        </w:numPr>
        <w:rPr>
          <w:rFonts w:cs="Times New Roman"/>
          <w:szCs w:val="24"/>
        </w:rPr>
      </w:pPr>
      <w:r w:rsidRPr="00735872">
        <w:rPr>
          <w:rFonts w:cs="Times New Roman"/>
          <w:szCs w:val="24"/>
        </w:rPr>
        <w:t>dzięki staraniom Obornickiej Rady Seniorów w Obornikach działają Klub „Senior+” oraz Dzienny Dom „Senior+”,</w:t>
      </w:r>
      <w:r w:rsidRPr="00735872">
        <w:rPr>
          <w:rFonts w:cs="Times New Roman"/>
          <w:szCs w:val="24"/>
        </w:rPr>
        <w:tab/>
        <w:t xml:space="preserve"> </w:t>
      </w:r>
    </w:p>
    <w:p w14:paraId="06932A87" w14:textId="19D42801" w:rsidR="00735872" w:rsidRDefault="00D57AE8" w:rsidP="00FE70E3">
      <w:pPr>
        <w:pStyle w:val="Akapitzlist"/>
        <w:numPr>
          <w:ilvl w:val="1"/>
          <w:numId w:val="213"/>
        </w:numPr>
        <w:rPr>
          <w:rFonts w:cs="Times New Roman"/>
          <w:szCs w:val="24"/>
        </w:rPr>
      </w:pPr>
      <w:r w:rsidRPr="00735872">
        <w:rPr>
          <w:rFonts w:cs="Times New Roman"/>
          <w:szCs w:val="24"/>
        </w:rPr>
        <w:t xml:space="preserve">od września 2017 </w:t>
      </w:r>
      <w:r w:rsidR="0047037D">
        <w:rPr>
          <w:rFonts w:cs="Times New Roman"/>
          <w:szCs w:val="24"/>
        </w:rPr>
        <w:t xml:space="preserve">r. </w:t>
      </w:r>
      <w:r w:rsidRPr="00735872">
        <w:rPr>
          <w:rFonts w:cs="Times New Roman"/>
          <w:szCs w:val="24"/>
        </w:rPr>
        <w:t>cyklicznie każdego roku w miesiącu wrześniu z inicjatywy Obornickiej Rady Seniorów organizowany jest  Jesienny Weekend Seniorów, który ma na celu aktywizację osób starszych. W ramach imprezy zaplanowano m.in.: biesiadę wspomnień, marsz kapeluszy, występy muzyczne, doradztwo zdrowotne i inne,</w:t>
      </w:r>
    </w:p>
    <w:p w14:paraId="40762841" w14:textId="77777777" w:rsidR="00735872" w:rsidRDefault="00D57AE8" w:rsidP="00FE70E3">
      <w:pPr>
        <w:pStyle w:val="Akapitzlist"/>
        <w:numPr>
          <w:ilvl w:val="1"/>
          <w:numId w:val="213"/>
        </w:numPr>
        <w:rPr>
          <w:rFonts w:cs="Times New Roman"/>
          <w:szCs w:val="24"/>
        </w:rPr>
      </w:pPr>
      <w:r w:rsidRPr="00735872">
        <w:rPr>
          <w:rFonts w:cs="Times New Roman"/>
          <w:szCs w:val="24"/>
        </w:rPr>
        <w:t xml:space="preserve">z inicjatywy Obornickiej Rady Seniorów Burmistrz Obornik ogłosił cykliczny konkurs „Miejsce Przyjazne Seniorom w Gminie Oborniki”, który odbywa się każdego roku, a którego głównym celem jest promowanie miejsc przyjaznych seniorom, działających na terenie Gminy Oborniki: kawiarni, sklepów, aptek, </w:t>
      </w:r>
      <w:r w:rsidRPr="00735872">
        <w:rPr>
          <w:rFonts w:cs="Times New Roman"/>
          <w:szCs w:val="24"/>
        </w:rPr>
        <w:lastRenderedPageBreak/>
        <w:t>punktów usługowych, instytucji kulturalnych, edukacyjnych, rekreacyjnych, użyteczności publicznej i innych. Konkurs kończy się  przyznaniem certyfikatów.</w:t>
      </w:r>
    </w:p>
    <w:p w14:paraId="4148A2D5" w14:textId="30427B9A" w:rsidR="00D57AE8" w:rsidRPr="00735872" w:rsidRDefault="00D57AE8" w:rsidP="00FE70E3">
      <w:pPr>
        <w:pStyle w:val="Akapitzlist"/>
        <w:numPr>
          <w:ilvl w:val="0"/>
          <w:numId w:val="213"/>
        </w:numPr>
        <w:rPr>
          <w:rFonts w:cs="Times New Roman"/>
          <w:szCs w:val="24"/>
        </w:rPr>
      </w:pPr>
      <w:r w:rsidRPr="00735872">
        <w:rPr>
          <w:rFonts w:cs="Times New Roman"/>
          <w:szCs w:val="24"/>
        </w:rPr>
        <w:t>Rada Seniorów Powiatu Poznańskiego powołana została Zarządzeniem Nr 92/2018 Starosty Poznańskiego z dnia 9</w:t>
      </w:r>
      <w:r w:rsidR="00D6492C">
        <w:rPr>
          <w:rFonts w:cs="Times New Roman"/>
          <w:szCs w:val="24"/>
        </w:rPr>
        <w:t xml:space="preserve"> października </w:t>
      </w:r>
      <w:r w:rsidRPr="00735872">
        <w:rPr>
          <w:rFonts w:cs="Times New Roman"/>
          <w:szCs w:val="24"/>
        </w:rPr>
        <w:t>2018</w:t>
      </w:r>
      <w:r w:rsidR="001806E4">
        <w:rPr>
          <w:rFonts w:cs="Times New Roman"/>
          <w:szCs w:val="24"/>
        </w:rPr>
        <w:t xml:space="preserve"> </w:t>
      </w:r>
      <w:r w:rsidRPr="00735872">
        <w:rPr>
          <w:rFonts w:cs="Times New Roman"/>
          <w:szCs w:val="24"/>
        </w:rPr>
        <w:t>r., na podstawie art. 34 ust.</w:t>
      </w:r>
      <w:r w:rsidR="001806E4">
        <w:rPr>
          <w:rFonts w:cs="Times New Roman"/>
          <w:szCs w:val="24"/>
        </w:rPr>
        <w:t xml:space="preserve"> </w:t>
      </w:r>
      <w:r w:rsidRPr="00735872">
        <w:rPr>
          <w:rFonts w:cs="Times New Roman"/>
          <w:szCs w:val="24"/>
        </w:rPr>
        <w:t>1 ustawy o samorządzie powiatowym w związku z §9 Regulaminu Rady Seniorów Powiatu Poznańskiego, stanowiącego załącznik do uchwały Nr 2672/2018 Zarządu Powiatu w Poznaniu z dnia 25</w:t>
      </w:r>
      <w:r w:rsidR="00DF4391">
        <w:rPr>
          <w:rFonts w:cs="Times New Roman"/>
          <w:szCs w:val="24"/>
        </w:rPr>
        <w:t xml:space="preserve"> czerwca </w:t>
      </w:r>
      <w:r w:rsidRPr="00735872">
        <w:rPr>
          <w:rFonts w:cs="Times New Roman"/>
          <w:szCs w:val="24"/>
        </w:rPr>
        <w:t>2018 r.</w:t>
      </w:r>
      <w:r w:rsidR="00735872">
        <w:rPr>
          <w:rFonts w:cs="Times New Roman"/>
          <w:szCs w:val="24"/>
        </w:rPr>
        <w:t xml:space="preserve"> </w:t>
      </w:r>
      <w:r w:rsidRPr="00735872">
        <w:rPr>
          <w:rFonts w:cs="Times New Roman"/>
          <w:szCs w:val="24"/>
        </w:rPr>
        <w:t xml:space="preserve">Rada Seniorów opiniowała projekty dotyczące seniorów powiatu poznańskiego, była inicjatorem imprez integracyjnych oraz wymiany doświadczeń gminnych rad seniorów. Aktywność Rady powstrzymała w chwili obecnej pandemia </w:t>
      </w:r>
      <w:proofErr w:type="spellStart"/>
      <w:r w:rsidRPr="00735872">
        <w:rPr>
          <w:rFonts w:cs="Times New Roman"/>
          <w:szCs w:val="24"/>
        </w:rPr>
        <w:t>koronawirusa</w:t>
      </w:r>
      <w:proofErr w:type="spellEnd"/>
      <w:r w:rsidRPr="00735872">
        <w:rPr>
          <w:rFonts w:cs="Times New Roman"/>
          <w:szCs w:val="24"/>
        </w:rPr>
        <w:t xml:space="preserve">. Udało się mimo tego zorganizować m.in. </w:t>
      </w:r>
      <w:r w:rsidR="00FB1BBE">
        <w:rPr>
          <w:rFonts w:cs="Times New Roman"/>
          <w:szCs w:val="24"/>
        </w:rPr>
        <w:t>„</w:t>
      </w:r>
      <w:r w:rsidRPr="00735872">
        <w:rPr>
          <w:rFonts w:cs="Times New Roman"/>
          <w:szCs w:val="24"/>
        </w:rPr>
        <w:t>Olimpiadę Seniorów</w:t>
      </w:r>
      <w:r w:rsidR="00FB1BBE">
        <w:rPr>
          <w:rFonts w:cs="Times New Roman"/>
          <w:szCs w:val="24"/>
        </w:rPr>
        <w:t>”</w:t>
      </w:r>
      <w:r w:rsidRPr="00735872">
        <w:rPr>
          <w:rFonts w:cs="Times New Roman"/>
          <w:szCs w:val="24"/>
        </w:rPr>
        <w:t xml:space="preserve"> czy "Andrzejki dla Seniorów".</w:t>
      </w:r>
    </w:p>
    <w:p w14:paraId="6D77B41B" w14:textId="77777777" w:rsidR="00735872" w:rsidRDefault="00735872" w:rsidP="00D57AE8">
      <w:pPr>
        <w:rPr>
          <w:rFonts w:cs="Times New Roman"/>
          <w:szCs w:val="24"/>
        </w:rPr>
      </w:pPr>
    </w:p>
    <w:p w14:paraId="1C504624" w14:textId="61051883" w:rsidR="00D57AE8" w:rsidRPr="00D57AE8" w:rsidRDefault="00735872" w:rsidP="00D57AE8">
      <w:pPr>
        <w:rPr>
          <w:rFonts w:cs="Times New Roman"/>
          <w:szCs w:val="24"/>
        </w:rPr>
      </w:pPr>
      <w:r>
        <w:rPr>
          <w:rFonts w:cs="Times New Roman"/>
          <w:szCs w:val="24"/>
        </w:rPr>
        <w:t>N</w:t>
      </w:r>
      <w:r w:rsidR="00D57AE8" w:rsidRPr="00D57AE8">
        <w:rPr>
          <w:rFonts w:cs="Times New Roman"/>
          <w:szCs w:val="24"/>
        </w:rPr>
        <w:t xml:space="preserve">owe technologie w opiece nad osobami starszymi – </w:t>
      </w:r>
      <w:proofErr w:type="spellStart"/>
      <w:r w:rsidR="00D57AE8" w:rsidRPr="00D57AE8">
        <w:rPr>
          <w:rFonts w:cs="Times New Roman"/>
          <w:szCs w:val="24"/>
        </w:rPr>
        <w:t>teleopieka</w:t>
      </w:r>
      <w:proofErr w:type="spellEnd"/>
      <w:r w:rsidR="00D57AE8" w:rsidRPr="00D57AE8">
        <w:rPr>
          <w:rFonts w:cs="Times New Roman"/>
          <w:szCs w:val="24"/>
        </w:rPr>
        <w:t xml:space="preserve"> w Ostrowie Wielkopolskim</w:t>
      </w:r>
      <w:r w:rsidR="00FB1BBE">
        <w:rPr>
          <w:rFonts w:cs="Times New Roman"/>
          <w:szCs w:val="24"/>
        </w:rPr>
        <w:t xml:space="preserve">. </w:t>
      </w:r>
      <w:r w:rsidR="00D57AE8" w:rsidRPr="00D57AE8">
        <w:rPr>
          <w:rFonts w:cs="Times New Roman"/>
          <w:szCs w:val="24"/>
        </w:rPr>
        <w:t>Od kwietnia 2016 r</w:t>
      </w:r>
      <w:r w:rsidR="005D1403">
        <w:rPr>
          <w:rFonts w:cs="Times New Roman"/>
          <w:szCs w:val="24"/>
        </w:rPr>
        <w:t>.</w:t>
      </w:r>
      <w:r w:rsidR="00D57AE8" w:rsidRPr="00D57AE8">
        <w:rPr>
          <w:rFonts w:cs="Times New Roman"/>
          <w:szCs w:val="24"/>
        </w:rPr>
        <w:t xml:space="preserve"> w Ostrowie Wielkopolskim, w trosce o dobro ostrowskich seniorów, uruchomiony został program </w:t>
      </w:r>
      <w:proofErr w:type="spellStart"/>
      <w:r w:rsidR="00D57AE8" w:rsidRPr="00D57AE8">
        <w:rPr>
          <w:rFonts w:cs="Times New Roman"/>
          <w:szCs w:val="24"/>
        </w:rPr>
        <w:t>teleopieki</w:t>
      </w:r>
      <w:proofErr w:type="spellEnd"/>
      <w:r w:rsidR="00D57AE8" w:rsidRPr="00D57AE8">
        <w:rPr>
          <w:rFonts w:cs="Times New Roman"/>
          <w:szCs w:val="24"/>
        </w:rPr>
        <w:t>. System ten pozwala na wezwanie pomocy w każdych okolicznościach, niezależnie od tego czy jest to pomoc medyczna, zagrożone jest bezpieczeństwo, czy po prostu potrzebne jest wsparcie.</w:t>
      </w:r>
      <w:r w:rsidR="000E04AE">
        <w:rPr>
          <w:rFonts w:cs="Times New Roman"/>
          <w:szCs w:val="24"/>
        </w:rPr>
        <w:t xml:space="preserve"> </w:t>
      </w:r>
      <w:r w:rsidR="00D57AE8" w:rsidRPr="00D57AE8">
        <w:rPr>
          <w:rFonts w:cs="Times New Roman"/>
          <w:szCs w:val="24"/>
        </w:rPr>
        <w:t xml:space="preserve">Usługa adresowana jest do osób samotnych i starszych po 60 roku życia. Każdy Senior, objęty programem, otrzymał bransoletkę z tzw. przyciskiem życia. Zadaniem </w:t>
      </w:r>
      <w:proofErr w:type="spellStart"/>
      <w:r w:rsidR="00D57AE8" w:rsidRPr="00D57AE8">
        <w:rPr>
          <w:rFonts w:cs="Times New Roman"/>
          <w:szCs w:val="24"/>
        </w:rPr>
        <w:t>teleopieki</w:t>
      </w:r>
      <w:proofErr w:type="spellEnd"/>
      <w:r w:rsidR="00D57AE8" w:rsidRPr="00D57AE8">
        <w:rPr>
          <w:rFonts w:cs="Times New Roman"/>
          <w:szCs w:val="24"/>
        </w:rPr>
        <w:t xml:space="preserve"> jest podniesienie poczucia bezpieczeństwa osób starszych, chorych  i niepełnosprawnych, przebywających stale lub czasowo w domu.</w:t>
      </w:r>
      <w:r>
        <w:rPr>
          <w:rFonts w:cs="Times New Roman"/>
          <w:szCs w:val="24"/>
        </w:rPr>
        <w:t xml:space="preserve"> </w:t>
      </w:r>
      <w:r w:rsidR="00D57AE8" w:rsidRPr="00D57AE8">
        <w:rPr>
          <w:rFonts w:cs="Times New Roman"/>
          <w:szCs w:val="24"/>
        </w:rPr>
        <w:t xml:space="preserve">W  2016 </w:t>
      </w:r>
      <w:r w:rsidR="00FB1BBE">
        <w:rPr>
          <w:rFonts w:cs="Times New Roman"/>
          <w:szCs w:val="24"/>
        </w:rPr>
        <w:t>r.</w:t>
      </w:r>
      <w:r w:rsidR="00D57AE8" w:rsidRPr="00D57AE8">
        <w:rPr>
          <w:rFonts w:cs="Times New Roman"/>
          <w:szCs w:val="24"/>
        </w:rPr>
        <w:t xml:space="preserve"> z </w:t>
      </w:r>
      <w:proofErr w:type="spellStart"/>
      <w:r w:rsidR="00D57AE8" w:rsidRPr="00D57AE8">
        <w:rPr>
          <w:rFonts w:cs="Times New Roman"/>
          <w:szCs w:val="24"/>
        </w:rPr>
        <w:t>teleopieki</w:t>
      </w:r>
      <w:proofErr w:type="spellEnd"/>
      <w:r w:rsidR="00D57AE8" w:rsidRPr="00D57AE8">
        <w:rPr>
          <w:rFonts w:cs="Times New Roman"/>
          <w:szCs w:val="24"/>
        </w:rPr>
        <w:t xml:space="preserve"> korzystało 30 osób, ze względu na duże zainteresowanie</w:t>
      </w:r>
      <w:r>
        <w:rPr>
          <w:rFonts w:cs="Times New Roman"/>
          <w:szCs w:val="24"/>
        </w:rPr>
        <w:t xml:space="preserve"> </w:t>
      </w:r>
      <w:r w:rsidR="00D57AE8" w:rsidRPr="00D57AE8">
        <w:rPr>
          <w:rFonts w:cs="Times New Roman"/>
          <w:szCs w:val="24"/>
        </w:rPr>
        <w:t>ze strony ostrowskich seniorów program w 2017 r</w:t>
      </w:r>
      <w:r w:rsidR="00DF4391">
        <w:rPr>
          <w:rFonts w:cs="Times New Roman"/>
          <w:szCs w:val="24"/>
        </w:rPr>
        <w:t>.</w:t>
      </w:r>
      <w:r w:rsidR="00D57AE8" w:rsidRPr="00D57AE8">
        <w:rPr>
          <w:rFonts w:cs="Times New Roman"/>
          <w:szCs w:val="24"/>
        </w:rPr>
        <w:t xml:space="preserve"> rozszerzono do 60 osób.</w:t>
      </w:r>
      <w:r>
        <w:rPr>
          <w:rFonts w:cs="Times New Roman"/>
          <w:szCs w:val="24"/>
        </w:rPr>
        <w:t xml:space="preserve"> </w:t>
      </w:r>
      <w:r w:rsidR="00D57AE8" w:rsidRPr="00D57AE8">
        <w:rPr>
          <w:rFonts w:cs="Times New Roman"/>
          <w:szCs w:val="24"/>
        </w:rPr>
        <w:t>W 2020 r</w:t>
      </w:r>
      <w:r w:rsidR="00DF4391">
        <w:rPr>
          <w:rFonts w:cs="Times New Roman"/>
          <w:szCs w:val="24"/>
        </w:rPr>
        <w:t>.</w:t>
      </w:r>
      <w:r w:rsidR="00D57AE8" w:rsidRPr="00D57AE8">
        <w:rPr>
          <w:rFonts w:cs="Times New Roman"/>
          <w:szCs w:val="24"/>
        </w:rPr>
        <w:t xml:space="preserve">, w ramach systemu ostrowskiej </w:t>
      </w:r>
      <w:proofErr w:type="spellStart"/>
      <w:r w:rsidR="00D57AE8" w:rsidRPr="00D57AE8">
        <w:rPr>
          <w:rFonts w:cs="Times New Roman"/>
          <w:szCs w:val="24"/>
        </w:rPr>
        <w:t>teleopieki</w:t>
      </w:r>
      <w:proofErr w:type="spellEnd"/>
      <w:r w:rsidR="00D57AE8" w:rsidRPr="00D57AE8">
        <w:rPr>
          <w:rFonts w:cs="Times New Roman"/>
          <w:szCs w:val="24"/>
        </w:rPr>
        <w:t>, wykonane zostały 132 połączenia alarmowe. W niektórych</w:t>
      </w:r>
      <w:r>
        <w:rPr>
          <w:rFonts w:cs="Times New Roman"/>
          <w:szCs w:val="24"/>
        </w:rPr>
        <w:t xml:space="preserve"> </w:t>
      </w:r>
      <w:r w:rsidR="00D57AE8" w:rsidRPr="00D57AE8">
        <w:rPr>
          <w:rFonts w:cs="Times New Roman"/>
          <w:szCs w:val="24"/>
        </w:rPr>
        <w:t xml:space="preserve">przypadkach konieczne było wezwanie karetki pogotowia. </w:t>
      </w:r>
      <w:r>
        <w:rPr>
          <w:rFonts w:cs="Times New Roman"/>
          <w:szCs w:val="24"/>
        </w:rPr>
        <w:t xml:space="preserve"> </w:t>
      </w:r>
      <w:r w:rsidR="00D57AE8" w:rsidRPr="00D57AE8">
        <w:rPr>
          <w:rFonts w:cs="Times New Roman"/>
          <w:szCs w:val="24"/>
        </w:rPr>
        <w:t>By wezwać pomoc należy nacisnąć przycisk SOS, za pomocą którego nawiązuje połączenie z całodobowym telecentrum opieki,</w:t>
      </w:r>
      <w:r>
        <w:rPr>
          <w:rFonts w:cs="Times New Roman"/>
          <w:szCs w:val="24"/>
        </w:rPr>
        <w:t xml:space="preserve"> </w:t>
      </w:r>
      <w:r w:rsidR="00D57AE8" w:rsidRPr="00D57AE8">
        <w:rPr>
          <w:rFonts w:cs="Times New Roman"/>
          <w:szCs w:val="24"/>
        </w:rPr>
        <w:t xml:space="preserve">które stanowi drugi element systemu. Dzięki zgromadzonym wcześniej informacjom centrum od razu identyfikuje osobę zgłaszającą. Informacje - imię, nazwisko, adres - są w razie potrzeby </w:t>
      </w:r>
      <w:r>
        <w:rPr>
          <w:rFonts w:cs="Times New Roman"/>
          <w:szCs w:val="24"/>
        </w:rPr>
        <w:t xml:space="preserve"> p</w:t>
      </w:r>
      <w:r w:rsidR="00D57AE8" w:rsidRPr="00D57AE8">
        <w:rPr>
          <w:rFonts w:cs="Times New Roman"/>
          <w:szCs w:val="24"/>
        </w:rPr>
        <w:t xml:space="preserve">rzekazywane służbom ratunkowym skracając ich czas dotarcia na miejsce. </w:t>
      </w:r>
      <w:r>
        <w:rPr>
          <w:rFonts w:cs="Times New Roman"/>
          <w:szCs w:val="24"/>
        </w:rPr>
        <w:t xml:space="preserve"> </w:t>
      </w:r>
      <w:r w:rsidR="00D57AE8" w:rsidRPr="00D57AE8">
        <w:rPr>
          <w:rFonts w:cs="Times New Roman"/>
          <w:szCs w:val="24"/>
        </w:rPr>
        <w:t xml:space="preserve">Operatorem usługi </w:t>
      </w:r>
      <w:proofErr w:type="spellStart"/>
      <w:r w:rsidR="00D57AE8" w:rsidRPr="00D57AE8">
        <w:rPr>
          <w:rFonts w:cs="Times New Roman"/>
          <w:szCs w:val="24"/>
        </w:rPr>
        <w:t>teleopieki</w:t>
      </w:r>
      <w:proofErr w:type="spellEnd"/>
      <w:r w:rsidR="00D57AE8" w:rsidRPr="00D57AE8">
        <w:rPr>
          <w:rFonts w:cs="Times New Roman"/>
          <w:szCs w:val="24"/>
        </w:rPr>
        <w:t xml:space="preserve"> jest Dzienny Dom „Senior+” w Ostrowie Wielkopolskim. </w:t>
      </w:r>
      <w:r>
        <w:rPr>
          <w:rFonts w:cs="Times New Roman"/>
          <w:szCs w:val="24"/>
        </w:rPr>
        <w:t xml:space="preserve"> </w:t>
      </w:r>
      <w:r w:rsidR="00D57AE8" w:rsidRPr="00D57AE8">
        <w:rPr>
          <w:rFonts w:cs="Times New Roman"/>
          <w:szCs w:val="24"/>
        </w:rPr>
        <w:t>Statystyki - 2020 r.</w:t>
      </w:r>
      <w:r>
        <w:rPr>
          <w:rFonts w:cs="Times New Roman"/>
          <w:szCs w:val="24"/>
        </w:rPr>
        <w:t>:</w:t>
      </w:r>
    </w:p>
    <w:p w14:paraId="75907F27" w14:textId="77777777" w:rsidR="00735872" w:rsidRDefault="00D57AE8" w:rsidP="00FE70E3">
      <w:pPr>
        <w:pStyle w:val="Akapitzlist"/>
        <w:numPr>
          <w:ilvl w:val="0"/>
          <w:numId w:val="214"/>
        </w:numPr>
        <w:rPr>
          <w:rFonts w:cs="Times New Roman"/>
          <w:szCs w:val="24"/>
        </w:rPr>
      </w:pPr>
      <w:r w:rsidRPr="00735872">
        <w:rPr>
          <w:rFonts w:cs="Times New Roman"/>
          <w:szCs w:val="24"/>
        </w:rPr>
        <w:t xml:space="preserve">90 połączeń zostało wykonanych przez seniorów i zweryfikowanych przez telecentrum --to kontrola działania systemu </w:t>
      </w:r>
      <w:proofErr w:type="spellStart"/>
      <w:r w:rsidRPr="00735872">
        <w:rPr>
          <w:rFonts w:cs="Times New Roman"/>
          <w:szCs w:val="24"/>
        </w:rPr>
        <w:t>teleopieki</w:t>
      </w:r>
      <w:proofErr w:type="spellEnd"/>
      <w:r w:rsidRPr="00735872">
        <w:rPr>
          <w:rFonts w:cs="Times New Roman"/>
          <w:szCs w:val="24"/>
        </w:rPr>
        <w:t>, ale także połączenia przypadkowe,</w:t>
      </w:r>
    </w:p>
    <w:p w14:paraId="6EC8B764" w14:textId="77777777" w:rsidR="00735872" w:rsidRDefault="00D57AE8" w:rsidP="00FE70E3">
      <w:pPr>
        <w:pStyle w:val="Akapitzlist"/>
        <w:numPr>
          <w:ilvl w:val="0"/>
          <w:numId w:val="214"/>
        </w:numPr>
        <w:rPr>
          <w:rFonts w:cs="Times New Roman"/>
          <w:szCs w:val="24"/>
        </w:rPr>
      </w:pPr>
      <w:r w:rsidRPr="00735872">
        <w:rPr>
          <w:rFonts w:cs="Times New Roman"/>
          <w:szCs w:val="24"/>
        </w:rPr>
        <w:t>42  połączenia wykonane przez seniorów zostały zakończone interwencją, w tym:</w:t>
      </w:r>
    </w:p>
    <w:p w14:paraId="612F0CFB" w14:textId="77777777" w:rsidR="00735872" w:rsidRDefault="00D57AE8" w:rsidP="00FE70E3">
      <w:pPr>
        <w:pStyle w:val="Akapitzlist"/>
        <w:numPr>
          <w:ilvl w:val="1"/>
          <w:numId w:val="214"/>
        </w:numPr>
        <w:rPr>
          <w:rFonts w:cs="Times New Roman"/>
          <w:szCs w:val="24"/>
        </w:rPr>
      </w:pPr>
      <w:r w:rsidRPr="00735872">
        <w:rPr>
          <w:rFonts w:cs="Times New Roman"/>
          <w:szCs w:val="24"/>
        </w:rPr>
        <w:t>4 połączenia z lekarzem – konsultacja odnośnie do stanu zdrowia,</w:t>
      </w:r>
    </w:p>
    <w:p w14:paraId="6D7C8DDC" w14:textId="77777777" w:rsidR="00735872" w:rsidRDefault="00D57AE8" w:rsidP="00FE70E3">
      <w:pPr>
        <w:pStyle w:val="Akapitzlist"/>
        <w:numPr>
          <w:ilvl w:val="1"/>
          <w:numId w:val="214"/>
        </w:numPr>
        <w:rPr>
          <w:rFonts w:cs="Times New Roman"/>
          <w:szCs w:val="24"/>
        </w:rPr>
      </w:pPr>
      <w:r w:rsidRPr="00735872">
        <w:rPr>
          <w:rFonts w:cs="Times New Roman"/>
          <w:szCs w:val="24"/>
        </w:rPr>
        <w:t>7 razy operator telecentrum wzywał pogotowie ratunkowe,</w:t>
      </w:r>
    </w:p>
    <w:p w14:paraId="33140002" w14:textId="05CF78F8" w:rsidR="00D57AE8" w:rsidRDefault="00D57AE8" w:rsidP="00FE70E3">
      <w:pPr>
        <w:pStyle w:val="Akapitzlist"/>
        <w:numPr>
          <w:ilvl w:val="1"/>
          <w:numId w:val="214"/>
        </w:numPr>
        <w:rPr>
          <w:rFonts w:cs="Times New Roman"/>
          <w:szCs w:val="24"/>
        </w:rPr>
      </w:pPr>
      <w:r w:rsidRPr="00735872">
        <w:rPr>
          <w:rFonts w:cs="Times New Roman"/>
          <w:szCs w:val="24"/>
        </w:rPr>
        <w:t>31 połączeń dotyczyło przeprowadzenia rozmowy wspierającej/kontrolnej odnośnie do stanu zdrowia z operatorem telecentrum.</w:t>
      </w:r>
    </w:p>
    <w:p w14:paraId="0360804A" w14:textId="77777777" w:rsidR="00735872" w:rsidRPr="00735872" w:rsidRDefault="00735872" w:rsidP="00735872">
      <w:pPr>
        <w:rPr>
          <w:rFonts w:cs="Times New Roman"/>
          <w:szCs w:val="24"/>
        </w:rPr>
      </w:pPr>
    </w:p>
    <w:p w14:paraId="21511D94" w14:textId="77777777" w:rsidR="00D57AE8" w:rsidRPr="00D57AE8" w:rsidRDefault="00D57AE8" w:rsidP="00D57AE8">
      <w:pPr>
        <w:rPr>
          <w:rFonts w:cs="Times New Roman"/>
          <w:szCs w:val="24"/>
        </w:rPr>
      </w:pPr>
      <w:r w:rsidRPr="00D57AE8">
        <w:rPr>
          <w:rFonts w:cs="Times New Roman"/>
          <w:szCs w:val="24"/>
        </w:rPr>
        <w:t xml:space="preserve">Nadto, wiele nowych działań podejmowanych na poziomie regionalnym projektowanych jest przy udziale osób starszych oraz na podstawie kompleksowej diagnozy potrzeb i zasobów tej grupy. Do ich realizacji angażowane są podmioty z różnych sektorów, by inicjatywy </w:t>
      </w:r>
    </w:p>
    <w:p w14:paraId="7BF4F636" w14:textId="2C7FA10F" w:rsidR="009778CD" w:rsidRDefault="00D57AE8" w:rsidP="00D57AE8">
      <w:pPr>
        <w:rPr>
          <w:rFonts w:cs="Times New Roman"/>
          <w:szCs w:val="24"/>
        </w:rPr>
      </w:pPr>
      <w:r w:rsidRPr="00D57AE8">
        <w:rPr>
          <w:rFonts w:cs="Times New Roman"/>
          <w:szCs w:val="24"/>
        </w:rPr>
        <w:t>na rzecz osób starszych stawały się interesem wspólnym społeczności lokalnej.</w:t>
      </w:r>
    </w:p>
    <w:p w14:paraId="37529A69" w14:textId="77777777" w:rsidR="000B1B06" w:rsidRDefault="000B1B06" w:rsidP="00D57AE8">
      <w:pPr>
        <w:rPr>
          <w:rFonts w:cs="Times New Roman"/>
          <w:color w:val="FF0000"/>
          <w:szCs w:val="24"/>
        </w:rPr>
      </w:pPr>
    </w:p>
    <w:p w14:paraId="7F96718C" w14:textId="38005691" w:rsidR="009778CD" w:rsidRDefault="00837D67" w:rsidP="009778CD">
      <w:pPr>
        <w:pStyle w:val="Nagwek3"/>
      </w:pPr>
      <w:bookmarkStart w:id="321" w:name="_Toc80523202"/>
      <w:r w:rsidRPr="00837D67">
        <w:lastRenderedPageBreak/>
        <w:t xml:space="preserve">Działania związane z ochroną seniorów przed negatywnymi skutkami pandemii COVID-19, które zostały podjęte w 2020 r w województwie </w:t>
      </w:r>
      <w:r>
        <w:t>wielkopolskim</w:t>
      </w:r>
      <w:bookmarkEnd w:id="321"/>
    </w:p>
    <w:p w14:paraId="1ADCB10A" w14:textId="77777777" w:rsidR="00837D67" w:rsidRDefault="00837D67" w:rsidP="00AC180B">
      <w:pPr>
        <w:rPr>
          <w:rFonts w:cs="Times New Roman"/>
          <w:szCs w:val="24"/>
        </w:rPr>
      </w:pPr>
    </w:p>
    <w:p w14:paraId="107C85ED" w14:textId="68F996EF" w:rsidR="00AC180B" w:rsidRDefault="00D57AE8" w:rsidP="00D57AE8">
      <w:pPr>
        <w:rPr>
          <w:rFonts w:cs="Times New Roman"/>
          <w:szCs w:val="24"/>
        </w:rPr>
      </w:pPr>
      <w:r w:rsidRPr="00D57AE8">
        <w:rPr>
          <w:rFonts w:cs="Times New Roman"/>
          <w:szCs w:val="24"/>
        </w:rPr>
        <w:t>Ośrodk</w:t>
      </w:r>
      <w:r>
        <w:rPr>
          <w:rFonts w:cs="Times New Roman"/>
          <w:szCs w:val="24"/>
        </w:rPr>
        <w:t>i</w:t>
      </w:r>
      <w:r w:rsidRPr="00D57AE8">
        <w:rPr>
          <w:rFonts w:cs="Times New Roman"/>
          <w:szCs w:val="24"/>
        </w:rPr>
        <w:t xml:space="preserve"> Pomocy Społecznej, </w:t>
      </w:r>
      <w:r>
        <w:rPr>
          <w:rFonts w:cs="Times New Roman"/>
          <w:szCs w:val="24"/>
        </w:rPr>
        <w:t>są</w:t>
      </w:r>
      <w:r w:rsidRPr="00D57AE8">
        <w:rPr>
          <w:rFonts w:cs="Times New Roman"/>
          <w:szCs w:val="24"/>
        </w:rPr>
        <w:t xml:space="preserve"> zobowiązane do udzielania pomocy osobom starszym, w</w:t>
      </w:r>
      <w:r>
        <w:rPr>
          <w:rFonts w:cs="Times New Roman"/>
          <w:szCs w:val="24"/>
        </w:rPr>
        <w:t> </w:t>
      </w:r>
      <w:r w:rsidRPr="00D57AE8">
        <w:rPr>
          <w:rFonts w:cs="Times New Roman"/>
          <w:szCs w:val="24"/>
        </w:rPr>
        <w:t xml:space="preserve">szczególności obecnie – w okresie epidemii </w:t>
      </w:r>
      <w:proofErr w:type="spellStart"/>
      <w:r w:rsidRPr="00D57AE8">
        <w:rPr>
          <w:rFonts w:cs="Times New Roman"/>
          <w:szCs w:val="24"/>
        </w:rPr>
        <w:t>koronawirusa</w:t>
      </w:r>
      <w:proofErr w:type="spellEnd"/>
      <w:r w:rsidRPr="00D57AE8">
        <w:rPr>
          <w:rFonts w:cs="Times New Roman"/>
          <w:szCs w:val="24"/>
        </w:rPr>
        <w:t xml:space="preserve"> w Polsce. Ośrodki te mają możliwość realizacji wsparcia </w:t>
      </w:r>
      <w:r>
        <w:rPr>
          <w:rFonts w:cs="Times New Roman"/>
          <w:szCs w:val="24"/>
        </w:rPr>
        <w:t xml:space="preserve"> </w:t>
      </w:r>
      <w:r w:rsidRPr="00D57AE8">
        <w:rPr>
          <w:rFonts w:cs="Times New Roman"/>
          <w:szCs w:val="24"/>
        </w:rPr>
        <w:t>specjalistycznego (psychologicznego, prawnego, socjalnego) drogą telefoniczną,</w:t>
      </w:r>
      <w:r>
        <w:rPr>
          <w:rFonts w:cs="Times New Roman"/>
          <w:szCs w:val="24"/>
        </w:rPr>
        <w:t xml:space="preserve"> </w:t>
      </w:r>
      <w:r w:rsidRPr="00D57AE8">
        <w:rPr>
          <w:rFonts w:cs="Times New Roman"/>
          <w:szCs w:val="24"/>
        </w:rPr>
        <w:t>cz</w:t>
      </w:r>
      <w:r>
        <w:rPr>
          <w:rFonts w:cs="Times New Roman"/>
          <w:szCs w:val="24"/>
        </w:rPr>
        <w:t>y </w:t>
      </w:r>
      <w:r w:rsidRPr="00D57AE8">
        <w:rPr>
          <w:rFonts w:cs="Times New Roman"/>
          <w:szCs w:val="24"/>
        </w:rPr>
        <w:t>za</w:t>
      </w:r>
      <w:r>
        <w:rPr>
          <w:rFonts w:cs="Times New Roman"/>
          <w:szCs w:val="24"/>
        </w:rPr>
        <w:t> </w:t>
      </w:r>
      <w:r w:rsidRPr="00D57AE8">
        <w:rPr>
          <w:rFonts w:cs="Times New Roman"/>
          <w:szCs w:val="24"/>
        </w:rPr>
        <w:t>pomocą</w:t>
      </w:r>
      <w:r>
        <w:rPr>
          <w:rFonts w:cs="Times New Roman"/>
          <w:szCs w:val="24"/>
        </w:rPr>
        <w:t xml:space="preserve"> </w:t>
      </w:r>
      <w:r w:rsidRPr="00D57AE8">
        <w:rPr>
          <w:rFonts w:cs="Times New Roman"/>
          <w:szCs w:val="24"/>
        </w:rPr>
        <w:t>połączeń on-line. OPS-y</w:t>
      </w:r>
      <w:r>
        <w:rPr>
          <w:rFonts w:cs="Times New Roman"/>
          <w:szCs w:val="24"/>
        </w:rPr>
        <w:t xml:space="preserve"> </w:t>
      </w:r>
      <w:r w:rsidRPr="00D57AE8">
        <w:rPr>
          <w:rFonts w:cs="Times New Roman"/>
          <w:szCs w:val="24"/>
        </w:rPr>
        <w:t>zajmują się również organizowaniem pomocy w</w:t>
      </w:r>
      <w:r>
        <w:rPr>
          <w:rFonts w:cs="Times New Roman"/>
          <w:szCs w:val="24"/>
        </w:rPr>
        <w:t> </w:t>
      </w:r>
      <w:r w:rsidRPr="00D57AE8">
        <w:rPr>
          <w:rFonts w:cs="Times New Roman"/>
          <w:szCs w:val="24"/>
        </w:rPr>
        <w:t>dokonywaniu i dostarczaniu zakupów środków żywnościowych, higienicznych czy leków, co często czynią, korzystając ze wsparcia: Ochotniczej Straży Pożarnej, Policji, Wojsk Obrony Terytorialnej, harcerzy i wolontariuszy</w:t>
      </w:r>
      <w:r>
        <w:rPr>
          <w:rFonts w:cs="Times New Roman"/>
          <w:szCs w:val="24"/>
        </w:rPr>
        <w:t xml:space="preserve">. </w:t>
      </w:r>
      <w:r w:rsidR="00837D67">
        <w:rPr>
          <w:rFonts w:cs="Times New Roman"/>
          <w:szCs w:val="24"/>
        </w:rPr>
        <w:t xml:space="preserve">Poniżej zamieszczono wybrane przykłady </w:t>
      </w:r>
      <w:r>
        <w:rPr>
          <w:rFonts w:cs="Times New Roman"/>
          <w:szCs w:val="24"/>
        </w:rPr>
        <w:t xml:space="preserve">działań </w:t>
      </w:r>
      <w:r w:rsidR="00837D67">
        <w:rPr>
          <w:rFonts w:cs="Times New Roman"/>
          <w:szCs w:val="24"/>
        </w:rPr>
        <w:t>realizowan</w:t>
      </w:r>
      <w:r>
        <w:rPr>
          <w:rFonts w:cs="Times New Roman"/>
          <w:szCs w:val="24"/>
        </w:rPr>
        <w:t>ych</w:t>
      </w:r>
      <w:r w:rsidR="00837D67">
        <w:rPr>
          <w:rFonts w:cs="Times New Roman"/>
          <w:szCs w:val="24"/>
        </w:rPr>
        <w:t xml:space="preserve"> zarówno na terenie gmin, jak i powiatów</w:t>
      </w:r>
      <w:r>
        <w:rPr>
          <w:rFonts w:cs="Times New Roman"/>
          <w:szCs w:val="24"/>
        </w:rPr>
        <w:t xml:space="preserve"> województwa wielkopolskiego</w:t>
      </w:r>
      <w:r w:rsidR="00837D67">
        <w:rPr>
          <w:rFonts w:cs="Times New Roman"/>
          <w:szCs w:val="24"/>
        </w:rPr>
        <w:t>.</w:t>
      </w:r>
    </w:p>
    <w:p w14:paraId="4754B7BF" w14:textId="77777777" w:rsidR="00837D67" w:rsidRDefault="00837D67" w:rsidP="00AC180B">
      <w:pPr>
        <w:rPr>
          <w:rFonts w:cs="Times New Roman"/>
          <w:szCs w:val="24"/>
        </w:rPr>
      </w:pPr>
    </w:p>
    <w:p w14:paraId="6EA62ECA" w14:textId="77777777" w:rsidR="00837D67" w:rsidRPr="009157F4" w:rsidRDefault="00837D67" w:rsidP="00837D67">
      <w:pPr>
        <w:rPr>
          <w:rFonts w:cs="Times New Roman"/>
          <w:szCs w:val="24"/>
        </w:rPr>
      </w:pPr>
      <w:r w:rsidRPr="009157F4">
        <w:rPr>
          <w:rFonts w:cs="Times New Roman"/>
          <w:szCs w:val="24"/>
        </w:rPr>
        <w:t>Gmina Kórnik</w:t>
      </w:r>
    </w:p>
    <w:p w14:paraId="03692FF5" w14:textId="42BD2E4E" w:rsidR="00837D67" w:rsidRPr="00837D67" w:rsidRDefault="00837D67" w:rsidP="00837D67">
      <w:pPr>
        <w:rPr>
          <w:rFonts w:cs="Times New Roman"/>
          <w:b/>
          <w:bCs/>
          <w:szCs w:val="24"/>
        </w:rPr>
      </w:pPr>
      <w:r w:rsidRPr="00837D67">
        <w:rPr>
          <w:rFonts w:cs="Times New Roman"/>
          <w:szCs w:val="24"/>
        </w:rPr>
        <w:t>Na stronie internetowej naszego ośrodka oraz na stronie Urzędu Miasta i Gminy Kórnik została zamieszczona informacja o możliwości wsparcia z platformy pod nazwą ABCsenior.com. Ponadto lokalne stowarzyszenia na bieżąco są zaangażowane w pomoc seniorom.</w:t>
      </w:r>
    </w:p>
    <w:p w14:paraId="5F141193" w14:textId="77777777" w:rsidR="00837D67" w:rsidRDefault="00837D67" w:rsidP="00AC180B">
      <w:pPr>
        <w:rPr>
          <w:rFonts w:cs="Times New Roman"/>
          <w:b/>
          <w:bCs/>
          <w:szCs w:val="24"/>
        </w:rPr>
      </w:pPr>
    </w:p>
    <w:p w14:paraId="0BC152B1" w14:textId="080FBEB6" w:rsidR="00837D67" w:rsidRPr="009157F4" w:rsidRDefault="00837D67" w:rsidP="00AC180B">
      <w:pPr>
        <w:rPr>
          <w:rFonts w:cs="Times New Roman"/>
          <w:szCs w:val="24"/>
        </w:rPr>
      </w:pPr>
      <w:r w:rsidRPr="009157F4">
        <w:rPr>
          <w:rFonts w:cs="Times New Roman"/>
          <w:szCs w:val="24"/>
        </w:rPr>
        <w:t>Gmina Krzykosy</w:t>
      </w:r>
    </w:p>
    <w:p w14:paraId="1853C7CE" w14:textId="77777777" w:rsidR="00837D67" w:rsidRPr="00837D67" w:rsidRDefault="00837D67" w:rsidP="00837D67">
      <w:pPr>
        <w:rPr>
          <w:rFonts w:cs="Times New Roman"/>
          <w:szCs w:val="24"/>
        </w:rPr>
      </w:pPr>
      <w:r w:rsidRPr="00837D67">
        <w:rPr>
          <w:rFonts w:cs="Times New Roman"/>
          <w:szCs w:val="24"/>
        </w:rPr>
        <w:t>Ośrodek Pomocy Społecznej w Krzykosach realizuje usługi wsparcia dla Seniorów poprzez:</w:t>
      </w:r>
    </w:p>
    <w:p w14:paraId="0D7CC565" w14:textId="77777777" w:rsidR="00837D67" w:rsidRDefault="00837D67" w:rsidP="00FE70E3">
      <w:pPr>
        <w:pStyle w:val="Akapitzlist"/>
        <w:numPr>
          <w:ilvl w:val="0"/>
          <w:numId w:val="81"/>
        </w:numPr>
        <w:rPr>
          <w:rFonts w:cs="Times New Roman"/>
          <w:szCs w:val="24"/>
        </w:rPr>
      </w:pPr>
      <w:r w:rsidRPr="00837D67">
        <w:rPr>
          <w:rFonts w:cs="Times New Roman"/>
          <w:szCs w:val="24"/>
        </w:rPr>
        <w:t>bezpłatne poradnictwo psychologiczne "NA TELEFON" pod nr telefonu 609 033</w:t>
      </w:r>
      <w:r>
        <w:rPr>
          <w:rFonts w:cs="Times New Roman"/>
          <w:szCs w:val="24"/>
        </w:rPr>
        <w:t> </w:t>
      </w:r>
      <w:r w:rsidRPr="00837D67">
        <w:rPr>
          <w:rFonts w:cs="Times New Roman"/>
          <w:szCs w:val="24"/>
        </w:rPr>
        <w:t>013;</w:t>
      </w:r>
    </w:p>
    <w:p w14:paraId="274A8ED5" w14:textId="77777777" w:rsidR="00837D67" w:rsidRDefault="00837D67" w:rsidP="00FE70E3">
      <w:pPr>
        <w:pStyle w:val="Akapitzlist"/>
        <w:numPr>
          <w:ilvl w:val="0"/>
          <w:numId w:val="81"/>
        </w:numPr>
        <w:rPr>
          <w:rFonts w:cs="Times New Roman"/>
          <w:szCs w:val="24"/>
        </w:rPr>
      </w:pPr>
      <w:r w:rsidRPr="00837D67">
        <w:rPr>
          <w:rFonts w:cs="Times New Roman"/>
          <w:szCs w:val="24"/>
        </w:rPr>
        <w:t>możliwość przystąpienia do wirtualnego Klubu Seniora w powiecie średzkim;</w:t>
      </w:r>
    </w:p>
    <w:p w14:paraId="17CF4842" w14:textId="5A1978D4" w:rsidR="009778CD" w:rsidRDefault="00837D67" w:rsidP="00FE70E3">
      <w:pPr>
        <w:pStyle w:val="Akapitzlist"/>
        <w:numPr>
          <w:ilvl w:val="0"/>
          <w:numId w:val="81"/>
        </w:numPr>
        <w:rPr>
          <w:rFonts w:cs="Times New Roman"/>
          <w:szCs w:val="24"/>
        </w:rPr>
      </w:pPr>
      <w:r w:rsidRPr="00837D67">
        <w:rPr>
          <w:rFonts w:cs="Times New Roman"/>
          <w:szCs w:val="24"/>
        </w:rPr>
        <w:t>ponadto, pracownicy socjalni utrzymują kontakt telefoniczny z Seniorami (pozostającymi w ewidencji Ośrodka).</w:t>
      </w:r>
    </w:p>
    <w:p w14:paraId="76206B60" w14:textId="77777777" w:rsidR="00837D67" w:rsidRPr="00837D67" w:rsidRDefault="00837D67" w:rsidP="00837D67">
      <w:pPr>
        <w:rPr>
          <w:rFonts w:cs="Times New Roman"/>
          <w:b/>
          <w:bCs/>
          <w:szCs w:val="24"/>
        </w:rPr>
      </w:pPr>
    </w:p>
    <w:p w14:paraId="3711412A" w14:textId="3D0D3BF1" w:rsidR="00D57AE8" w:rsidRPr="009157F4" w:rsidRDefault="00D57AE8" w:rsidP="00837D67">
      <w:pPr>
        <w:rPr>
          <w:rFonts w:cs="Times New Roman"/>
          <w:szCs w:val="24"/>
        </w:rPr>
      </w:pPr>
      <w:r w:rsidRPr="009157F4">
        <w:rPr>
          <w:rFonts w:cs="Times New Roman"/>
          <w:szCs w:val="24"/>
        </w:rPr>
        <w:t>Gmina Miedzichowo</w:t>
      </w:r>
    </w:p>
    <w:p w14:paraId="3FC1700E" w14:textId="49913A13" w:rsidR="00D57AE8" w:rsidRPr="00D57AE8" w:rsidRDefault="00D57AE8" w:rsidP="00D57AE8">
      <w:pPr>
        <w:rPr>
          <w:rFonts w:cs="Times New Roman"/>
          <w:szCs w:val="24"/>
        </w:rPr>
      </w:pPr>
      <w:r w:rsidRPr="00D57AE8">
        <w:rPr>
          <w:rFonts w:cs="Times New Roman"/>
          <w:szCs w:val="24"/>
        </w:rPr>
        <w:t>Dla osób starszych, samotnych oraz niepełnosprawnych jest kierowana pomoc w postaci wsparcia, a także w postaci pomocy w formie  dostarczania żywności oraz zakupów. Z osobami jest utrzymywany stały kontakt.</w:t>
      </w:r>
    </w:p>
    <w:p w14:paraId="4111CA7F" w14:textId="77777777" w:rsidR="00D57AE8" w:rsidRDefault="00D57AE8" w:rsidP="00837D67">
      <w:pPr>
        <w:rPr>
          <w:rFonts w:cs="Times New Roman"/>
          <w:b/>
          <w:bCs/>
          <w:szCs w:val="24"/>
        </w:rPr>
      </w:pPr>
    </w:p>
    <w:p w14:paraId="1E3D46BE" w14:textId="2BFDC240" w:rsidR="00837D67" w:rsidRPr="009157F4" w:rsidRDefault="00837D67" w:rsidP="00837D67">
      <w:pPr>
        <w:rPr>
          <w:rFonts w:cs="Times New Roman"/>
          <w:szCs w:val="24"/>
        </w:rPr>
      </w:pPr>
      <w:r w:rsidRPr="009157F4">
        <w:rPr>
          <w:rFonts w:cs="Times New Roman"/>
          <w:szCs w:val="24"/>
        </w:rPr>
        <w:t>Gmina Oborniki</w:t>
      </w:r>
    </w:p>
    <w:p w14:paraId="4CA49952" w14:textId="236BFBD3" w:rsidR="00837D67" w:rsidRPr="00837D67" w:rsidRDefault="00837D67" w:rsidP="00837D67">
      <w:r>
        <w:t xml:space="preserve">W </w:t>
      </w:r>
      <w:r w:rsidRPr="00837D67">
        <w:t xml:space="preserve">gminie Oborniki są nieprzerwanie świadczone usługi opiekuńcze. Seniorzy, którzy nie są nimi objęci mogą i zwracają się do tut. </w:t>
      </w:r>
      <w:r>
        <w:t xml:space="preserve"> </w:t>
      </w:r>
      <w:r w:rsidRPr="00837D67">
        <w:t>Ośrodka z prośbą o zrobienie zakupów lub dostarczenie posiłku. Ponadto Ośrodek zapewnia kontakt telefoniczny z psychologiem</w:t>
      </w:r>
      <w:r>
        <w:t xml:space="preserve">. </w:t>
      </w:r>
      <w:r w:rsidRPr="00837D67">
        <w:t>Telefon ten nie jest infolinią, a rozmowy są umawiane indywidualnie według potrzeb.</w:t>
      </w:r>
      <w:r w:rsidRPr="00837D67">
        <w:cr/>
      </w:r>
    </w:p>
    <w:p w14:paraId="607E050E" w14:textId="522DB826" w:rsidR="00837D67" w:rsidRPr="009157F4" w:rsidRDefault="00837D67" w:rsidP="00837D67">
      <w:pPr>
        <w:rPr>
          <w:rFonts w:cs="Times New Roman"/>
          <w:szCs w:val="24"/>
        </w:rPr>
      </w:pPr>
      <w:r w:rsidRPr="009157F4">
        <w:rPr>
          <w:rFonts w:cs="Times New Roman"/>
          <w:szCs w:val="24"/>
        </w:rPr>
        <w:t>Gmina Rawicz</w:t>
      </w:r>
    </w:p>
    <w:p w14:paraId="3EFE72C8" w14:textId="636DBDB2" w:rsidR="00837D67" w:rsidRDefault="00837D67" w:rsidP="00837D67">
      <w:r w:rsidRPr="00837D67">
        <w:t xml:space="preserve">Wsparcie obejmuje rozmowy wspierające, pomoc przy zakupach i załatwianiach spraw dnia codziennego przy zaangażowaniu </w:t>
      </w:r>
      <w:r>
        <w:t xml:space="preserve"> </w:t>
      </w:r>
      <w:r w:rsidRPr="00837D67">
        <w:t>wolontariuszy. Telefon jest dostępny dla Seniorów w dni robocze, od godziny 8:00 do 18:00.</w:t>
      </w:r>
    </w:p>
    <w:p w14:paraId="04134ADB" w14:textId="732B6A54" w:rsidR="00D57AE8" w:rsidRDefault="00D57AE8" w:rsidP="00837D67"/>
    <w:p w14:paraId="639B1040" w14:textId="672D6469" w:rsidR="00D57AE8" w:rsidRPr="009157F4" w:rsidRDefault="00D57AE8" w:rsidP="00837D67">
      <w:r w:rsidRPr="009157F4">
        <w:t>Miasto Poznań</w:t>
      </w:r>
    </w:p>
    <w:p w14:paraId="5372009C" w14:textId="742C49C4" w:rsidR="00D57AE8" w:rsidRDefault="00D57AE8" w:rsidP="00D57AE8">
      <w:r>
        <w:t xml:space="preserve">Telefon Serdeczności ma przeciwdziałać samotności wśród osób starszych w trudnym okresie pandemii. Mogą z niego skorzystać  wszyscy seniorzy, którym doskwiera poczucie izolacji i </w:t>
      </w:r>
      <w:r>
        <w:lastRenderedPageBreak/>
        <w:t>samotności nasilające się w związku z kwarantanną, nie mają z kim porozmawiać  i chcieliby podzielić się swoimi przemyśleniami, lękami, obawami. Wystarczy zadzwonić by uzyskać wsparcie. Poznańscy seniorzy powinni mieć możliwość kontaktu w różnych porach dnia, dlatego telefon jest czynny od poniedziałku do piątku  w godz. 12.00-20.00. Jeden numer obsługiwany jest przez kilka osób, które pełnią 4-godzinne dyżury. To pracownicy  Zespołu Dziennych Domów Pomocy, którzy na co dzień współpracują z seniorami, znają ich problemy, są gotowi do udzielenia wsparcia  i przydatnych informacji przez telefon. W sytuacji, gdy senior będzie potrzebował profesjonalnej pomocy psychologicznej  (interwencyjnej), pracownicy ZDDP przekażą numer do specjalistów (w ramach aktualnie dostępnej oferty na stronie miasta i Centrum  Inicjatyw Senioralnych) lub przekierują połącznie do CIS lub Biura Poznań Kontakt.</w:t>
      </w:r>
    </w:p>
    <w:p w14:paraId="2ADAD132" w14:textId="77777777" w:rsidR="00837D67" w:rsidRDefault="00837D67" w:rsidP="00837D67">
      <w:pPr>
        <w:rPr>
          <w:rFonts w:cs="Times New Roman"/>
          <w:szCs w:val="24"/>
        </w:rPr>
      </w:pPr>
    </w:p>
    <w:p w14:paraId="279842D5" w14:textId="77777777" w:rsidR="00837D67" w:rsidRPr="009157F4" w:rsidRDefault="00837D67" w:rsidP="00837D67">
      <w:pPr>
        <w:rPr>
          <w:rFonts w:cs="Times New Roman"/>
          <w:szCs w:val="24"/>
        </w:rPr>
      </w:pPr>
      <w:r w:rsidRPr="009157F4">
        <w:rPr>
          <w:rFonts w:cs="Times New Roman"/>
          <w:szCs w:val="24"/>
        </w:rPr>
        <w:t>Powiat Nowotomyski</w:t>
      </w:r>
    </w:p>
    <w:p w14:paraId="1748ACCA" w14:textId="77777777" w:rsidR="00837D67" w:rsidRPr="00837D67" w:rsidRDefault="00837D67" w:rsidP="00837D67">
      <w:r w:rsidRPr="00837D67">
        <w:t>Wszyscy mieszkańcy z terenu powiatu nowotomyskiego mogą kontaktować się telefonicznie</w:t>
      </w:r>
      <w:r>
        <w:t xml:space="preserve"> </w:t>
      </w:r>
      <w:r w:rsidRPr="00837D67">
        <w:t xml:space="preserve">z: pracownikiem socjalnym, psychologiem </w:t>
      </w:r>
      <w:r>
        <w:t xml:space="preserve"> </w:t>
      </w:r>
      <w:r w:rsidRPr="00837D67">
        <w:t>i radc</w:t>
      </w:r>
      <w:r>
        <w:t>ą</w:t>
      </w:r>
      <w:r w:rsidRPr="00837D67">
        <w:t xml:space="preserve"> prawnym</w:t>
      </w:r>
      <w:r>
        <w:t>.</w:t>
      </w:r>
    </w:p>
    <w:p w14:paraId="0D0B85A0" w14:textId="77777777" w:rsidR="00837D67" w:rsidRDefault="00837D67" w:rsidP="00837D67">
      <w:pPr>
        <w:rPr>
          <w:rFonts w:cs="Times New Roman"/>
          <w:color w:val="FF0000"/>
          <w:szCs w:val="24"/>
        </w:rPr>
      </w:pPr>
    </w:p>
    <w:p w14:paraId="142A801C" w14:textId="76FA7F70" w:rsidR="00AC180B" w:rsidRDefault="00AC180B" w:rsidP="00AC180B">
      <w:pPr>
        <w:pStyle w:val="Nagwek3"/>
      </w:pPr>
      <w:bookmarkStart w:id="322" w:name="_Toc77514041"/>
      <w:bookmarkStart w:id="323" w:name="_Toc80523203"/>
      <w:r>
        <w:t>Infrastruktura społeczna oraz usługi świadczone osobom starszym w 2020 r.</w:t>
      </w:r>
      <w:bookmarkEnd w:id="322"/>
      <w:bookmarkEnd w:id="323"/>
    </w:p>
    <w:p w14:paraId="02F7EEF7" w14:textId="77777777" w:rsidR="000B1B06" w:rsidRPr="000B1B06" w:rsidRDefault="000B1B06" w:rsidP="000B1B06"/>
    <w:p w14:paraId="3D816FB0" w14:textId="424C504D" w:rsidR="00AC180B" w:rsidRDefault="00AC180B" w:rsidP="00AC180B">
      <w:pPr>
        <w:rPr>
          <w:rFonts w:cs="Times New Roman"/>
          <w:szCs w:val="24"/>
        </w:rPr>
      </w:pPr>
      <w:r w:rsidRPr="00D96C8C">
        <w:rPr>
          <w:rFonts w:cs="Times New Roman"/>
          <w:szCs w:val="24"/>
        </w:rPr>
        <w:t xml:space="preserve">Szczegółowe informacje dotyczące usług oraz infrastruktury społecznej dostępnej dla osób starszych w województwie </w:t>
      </w:r>
      <w:r w:rsidR="005C3916">
        <w:rPr>
          <w:rFonts w:cs="Times New Roman"/>
          <w:szCs w:val="24"/>
        </w:rPr>
        <w:t>wielkopolskim</w:t>
      </w:r>
      <w:r>
        <w:rPr>
          <w:rFonts w:cs="Times New Roman"/>
          <w:szCs w:val="24"/>
        </w:rPr>
        <w:t xml:space="preserve"> w 2020 r. przedstawia poniższa tabela</w:t>
      </w:r>
    </w:p>
    <w:p w14:paraId="29A691A6" w14:textId="77777777" w:rsidR="00AC180B" w:rsidRPr="00851299" w:rsidRDefault="00AC180B" w:rsidP="00AC180B">
      <w:pPr>
        <w:rPr>
          <w:rFonts w:cs="Times New Roman"/>
          <w:color w:val="FF0000"/>
          <w:szCs w:val="24"/>
        </w:rPr>
      </w:pPr>
    </w:p>
    <w:p w14:paraId="762E578E" w14:textId="77777777" w:rsidR="00AB1786" w:rsidRPr="0092226B" w:rsidRDefault="00AB1786" w:rsidP="000D7CDE">
      <w:pPr>
        <w:rPr>
          <w:rFonts w:cs="Times New Roman"/>
          <w:color w:val="FF0000"/>
          <w:szCs w:val="24"/>
        </w:rPr>
      </w:pPr>
    </w:p>
    <w:p w14:paraId="6AE1E303" w14:textId="77777777" w:rsidR="00F02288" w:rsidRPr="0092226B" w:rsidRDefault="00F02288" w:rsidP="003C1988">
      <w:pPr>
        <w:rPr>
          <w:rFonts w:cs="Times New Roman"/>
          <w:color w:val="FF0000"/>
          <w:szCs w:val="24"/>
          <w:lang w:eastAsia="ar-SA"/>
        </w:rPr>
        <w:sectPr w:rsidR="00F02288" w:rsidRPr="0092226B" w:rsidSect="00FC210F">
          <w:pgSz w:w="11906" w:h="16840"/>
          <w:pgMar w:top="1418" w:right="1418" w:bottom="1417" w:left="1418" w:header="708" w:footer="708" w:gutter="0"/>
          <w:cols w:space="708"/>
          <w:docGrid w:linePitch="360"/>
        </w:sectPr>
      </w:pPr>
    </w:p>
    <w:p w14:paraId="76CED0D0" w14:textId="4EB078C5" w:rsidR="004D48DD" w:rsidRPr="00B47AAA" w:rsidRDefault="004D48DD" w:rsidP="004D48DD">
      <w:pPr>
        <w:pStyle w:val="Legenda"/>
        <w:keepNext/>
        <w:rPr>
          <w:rFonts w:cs="Times New Roman"/>
          <w:b/>
          <w:i w:val="0"/>
          <w:color w:val="auto"/>
          <w:sz w:val="24"/>
        </w:rPr>
      </w:pPr>
      <w:bookmarkStart w:id="324" w:name="_Toc49171444"/>
      <w:r w:rsidRPr="00B47AAA">
        <w:rPr>
          <w:rFonts w:cs="Times New Roman"/>
          <w:b/>
          <w:i w:val="0"/>
          <w:color w:val="auto"/>
          <w:sz w:val="24"/>
        </w:rPr>
        <w:lastRenderedPageBreak/>
        <w:t xml:space="preserve">Tabela </w:t>
      </w:r>
      <w:r w:rsidR="00A871AD">
        <w:rPr>
          <w:rFonts w:cs="Times New Roman"/>
          <w:b/>
          <w:i w:val="0"/>
          <w:color w:val="auto"/>
          <w:sz w:val="24"/>
        </w:rPr>
        <w:t>78</w:t>
      </w:r>
      <w:r w:rsidR="00054E88">
        <w:rPr>
          <w:rFonts w:cs="Times New Roman"/>
          <w:b/>
          <w:i w:val="0"/>
          <w:color w:val="auto"/>
          <w:sz w:val="24"/>
        </w:rPr>
        <w:t>.</w:t>
      </w:r>
      <w:r w:rsidRPr="00B47AAA">
        <w:rPr>
          <w:rFonts w:cs="Times New Roman"/>
          <w:b/>
          <w:i w:val="0"/>
          <w:color w:val="auto"/>
          <w:sz w:val="24"/>
        </w:rPr>
        <w:t xml:space="preserve"> Karta województwa wielkopolskiego</w:t>
      </w:r>
      <w:bookmarkEnd w:id="324"/>
    </w:p>
    <w:tbl>
      <w:tblPr>
        <w:tblStyle w:val="Tabelasiatki5ciemnaakcent2"/>
        <w:tblpPr w:leftFromText="141" w:rightFromText="141" w:vertAnchor="text" w:tblpXSpec="center" w:tblpY="1"/>
        <w:tblW w:w="14741" w:type="dxa"/>
        <w:tblLayout w:type="fixed"/>
        <w:tblLook w:val="04A0" w:firstRow="1" w:lastRow="0" w:firstColumn="1" w:lastColumn="0" w:noHBand="0" w:noVBand="1"/>
      </w:tblPr>
      <w:tblGrid>
        <w:gridCol w:w="2830"/>
        <w:gridCol w:w="3066"/>
        <w:gridCol w:w="53"/>
        <w:gridCol w:w="2895"/>
        <w:gridCol w:w="790"/>
        <w:gridCol w:w="2158"/>
        <w:gridCol w:w="2949"/>
      </w:tblGrid>
      <w:tr w:rsidR="00B47AAA" w:rsidRPr="00B47AAA" w14:paraId="06545E9B" w14:textId="77777777" w:rsidTr="00B47AAA">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4BA7FAFB" w14:textId="029971D3" w:rsidR="00210CE6" w:rsidRPr="007726D7" w:rsidRDefault="00210CE6" w:rsidP="007B46A6">
            <w:pPr>
              <w:spacing w:line="240" w:lineRule="auto"/>
              <w:jc w:val="center"/>
              <w:rPr>
                <w:color w:val="auto"/>
                <w:sz w:val="20"/>
                <w:szCs w:val="20"/>
              </w:rPr>
            </w:pPr>
            <w:r w:rsidRPr="007726D7">
              <w:rPr>
                <w:color w:val="auto"/>
                <w:sz w:val="20"/>
                <w:szCs w:val="20"/>
              </w:rPr>
              <w:t>WOJEWÓDZTWO WIELKOPOLSKIE</w:t>
            </w:r>
          </w:p>
        </w:tc>
      </w:tr>
      <w:tr w:rsidR="00B47AAA" w:rsidRPr="00B47AAA" w14:paraId="30B71DE2" w14:textId="77777777" w:rsidTr="00B47AA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772DBCF6" w14:textId="1BCC7922" w:rsidR="00F02288" w:rsidRPr="007726D7" w:rsidRDefault="00F02288" w:rsidP="007B46A6">
            <w:pPr>
              <w:spacing w:line="240" w:lineRule="auto"/>
              <w:jc w:val="center"/>
              <w:rPr>
                <w:color w:val="auto"/>
                <w:sz w:val="20"/>
                <w:szCs w:val="20"/>
              </w:rPr>
            </w:pPr>
            <w:r w:rsidRPr="007726D7">
              <w:rPr>
                <w:color w:val="auto"/>
                <w:sz w:val="20"/>
                <w:szCs w:val="20"/>
              </w:rPr>
              <w:t>USŁUGI SPOŁECZNE DLA OSÓB STARSZYCH / INFRASTRUKTURA POMOCY SPOLECZNEJ – DANE ZA 20</w:t>
            </w:r>
            <w:r w:rsidR="006D3F18" w:rsidRPr="007726D7">
              <w:rPr>
                <w:color w:val="auto"/>
                <w:sz w:val="20"/>
                <w:szCs w:val="20"/>
              </w:rPr>
              <w:t>20</w:t>
            </w:r>
            <w:r w:rsidRPr="007726D7">
              <w:rPr>
                <w:color w:val="auto"/>
                <w:sz w:val="20"/>
                <w:szCs w:val="20"/>
              </w:rPr>
              <w:t xml:space="preserve"> R.</w:t>
            </w:r>
          </w:p>
        </w:tc>
      </w:tr>
      <w:tr w:rsidR="00B47AAA" w:rsidRPr="00B47AAA" w14:paraId="6CF6EC9C" w14:textId="77777777" w:rsidTr="00B47AAA">
        <w:trPr>
          <w:trHeight w:val="7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7C022BF5" w14:textId="77777777" w:rsidR="00F02288" w:rsidRPr="007726D7" w:rsidRDefault="00F02288" w:rsidP="00386862">
            <w:pPr>
              <w:spacing w:line="240" w:lineRule="auto"/>
              <w:rPr>
                <w:rFonts w:eastAsia="Times New Roman"/>
                <w:color w:val="auto"/>
                <w:sz w:val="20"/>
                <w:szCs w:val="20"/>
                <w:lang w:eastAsia="pl-PL"/>
              </w:rPr>
            </w:pPr>
            <w:r w:rsidRPr="007726D7">
              <w:rPr>
                <w:rFonts w:eastAsia="Times New Roman"/>
                <w:color w:val="auto"/>
                <w:sz w:val="20"/>
                <w:szCs w:val="20"/>
                <w:lang w:eastAsia="pl-PL"/>
              </w:rPr>
              <w:t>Instytucje pomocy społecznej, w tym:</w:t>
            </w:r>
          </w:p>
        </w:tc>
        <w:tc>
          <w:tcPr>
            <w:tcW w:w="3066" w:type="dxa"/>
          </w:tcPr>
          <w:p w14:paraId="7A5D536E" w14:textId="77777777" w:rsidR="00F02288" w:rsidRPr="007726D7" w:rsidRDefault="00F02288" w:rsidP="007B46A6">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7726D7">
              <w:rPr>
                <w:b/>
                <w:sz w:val="20"/>
                <w:szCs w:val="20"/>
              </w:rPr>
              <w:t>Rodzaj placówki</w:t>
            </w:r>
          </w:p>
        </w:tc>
        <w:tc>
          <w:tcPr>
            <w:tcW w:w="2948" w:type="dxa"/>
            <w:gridSpan w:val="2"/>
          </w:tcPr>
          <w:p w14:paraId="6956A5DC" w14:textId="77777777" w:rsidR="00F02288" w:rsidRPr="007726D7" w:rsidRDefault="00F02288" w:rsidP="007B46A6">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7726D7">
              <w:rPr>
                <w:b/>
                <w:sz w:val="20"/>
                <w:szCs w:val="20"/>
              </w:rPr>
              <w:t>Liczba placówek</w:t>
            </w:r>
          </w:p>
        </w:tc>
        <w:tc>
          <w:tcPr>
            <w:tcW w:w="2948" w:type="dxa"/>
            <w:gridSpan w:val="2"/>
          </w:tcPr>
          <w:p w14:paraId="3C25CF59" w14:textId="77777777" w:rsidR="00F02288" w:rsidRPr="007726D7" w:rsidRDefault="00F02288" w:rsidP="007B46A6">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7726D7">
              <w:rPr>
                <w:b/>
                <w:sz w:val="20"/>
                <w:szCs w:val="20"/>
              </w:rPr>
              <w:t>Liczba miejsc dla osób starszych</w:t>
            </w:r>
          </w:p>
        </w:tc>
        <w:tc>
          <w:tcPr>
            <w:tcW w:w="2949" w:type="dxa"/>
          </w:tcPr>
          <w:p w14:paraId="11906ECA" w14:textId="77777777" w:rsidR="00F02288" w:rsidRPr="007726D7" w:rsidRDefault="00F02288" w:rsidP="007B46A6">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7726D7">
              <w:rPr>
                <w:b/>
                <w:sz w:val="20"/>
                <w:szCs w:val="20"/>
              </w:rPr>
              <w:t>Liczba korzystających osób starszych</w:t>
            </w:r>
          </w:p>
        </w:tc>
      </w:tr>
      <w:tr w:rsidR="00B47AAA" w:rsidRPr="00B47AAA" w14:paraId="09697DE8" w14:textId="77777777" w:rsidTr="00B47AA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DCE7CAB" w14:textId="77777777" w:rsidR="00F02288" w:rsidRPr="007726D7" w:rsidRDefault="00F02288" w:rsidP="00386862">
            <w:pPr>
              <w:spacing w:line="240" w:lineRule="auto"/>
              <w:rPr>
                <w:rFonts w:eastAsia="Times New Roman"/>
                <w:color w:val="auto"/>
                <w:sz w:val="20"/>
                <w:szCs w:val="20"/>
                <w:lang w:eastAsia="pl-PL"/>
              </w:rPr>
            </w:pPr>
          </w:p>
        </w:tc>
        <w:tc>
          <w:tcPr>
            <w:tcW w:w="3066" w:type="dxa"/>
          </w:tcPr>
          <w:p w14:paraId="0591860A" w14:textId="77777777" w:rsidR="00F02288" w:rsidRPr="007726D7" w:rsidRDefault="00F02288" w:rsidP="00386862">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Środowiskowe Domy Samopomocy</w:t>
            </w:r>
          </w:p>
        </w:tc>
        <w:tc>
          <w:tcPr>
            <w:tcW w:w="2948" w:type="dxa"/>
            <w:gridSpan w:val="2"/>
          </w:tcPr>
          <w:p w14:paraId="3ACFDFE9" w14:textId="78105BE7" w:rsidR="00F02288" w:rsidRPr="007726D7" w:rsidRDefault="000B3445" w:rsidP="00AA74F2">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74</w:t>
            </w:r>
          </w:p>
        </w:tc>
        <w:tc>
          <w:tcPr>
            <w:tcW w:w="2948" w:type="dxa"/>
            <w:gridSpan w:val="2"/>
          </w:tcPr>
          <w:p w14:paraId="53CDC2E9" w14:textId="77777777" w:rsidR="00F02288" w:rsidRPr="007726D7" w:rsidRDefault="00AA74F2" w:rsidP="00AA74F2">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2 456</w:t>
            </w:r>
          </w:p>
        </w:tc>
        <w:tc>
          <w:tcPr>
            <w:tcW w:w="2949" w:type="dxa"/>
          </w:tcPr>
          <w:p w14:paraId="17BB599C" w14:textId="204EAF26" w:rsidR="00F02288" w:rsidRPr="007726D7" w:rsidRDefault="006D3F18" w:rsidP="00AA74F2">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b.d.</w:t>
            </w:r>
          </w:p>
        </w:tc>
      </w:tr>
      <w:tr w:rsidR="006D3F18" w:rsidRPr="00B47AAA" w14:paraId="52BF17BE" w14:textId="77777777" w:rsidTr="00B47AA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F0FE4A8" w14:textId="77777777" w:rsidR="006D3F18" w:rsidRPr="007726D7" w:rsidRDefault="006D3F18" w:rsidP="006D3F18">
            <w:pPr>
              <w:spacing w:line="240" w:lineRule="auto"/>
              <w:rPr>
                <w:rFonts w:eastAsia="Times New Roman"/>
                <w:color w:val="auto"/>
                <w:sz w:val="20"/>
                <w:szCs w:val="20"/>
                <w:lang w:eastAsia="pl-PL"/>
              </w:rPr>
            </w:pPr>
          </w:p>
        </w:tc>
        <w:tc>
          <w:tcPr>
            <w:tcW w:w="3066" w:type="dxa"/>
          </w:tcPr>
          <w:p w14:paraId="0FC3BD6D" w14:textId="77777777" w:rsidR="006D3F18" w:rsidRPr="007726D7" w:rsidRDefault="006D3F18" w:rsidP="006D3F18">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Dzienne Domy Pomocy</w:t>
            </w:r>
          </w:p>
        </w:tc>
        <w:tc>
          <w:tcPr>
            <w:tcW w:w="2948" w:type="dxa"/>
            <w:gridSpan w:val="2"/>
          </w:tcPr>
          <w:p w14:paraId="6346C182" w14:textId="1069F1FC" w:rsidR="006D3F18" w:rsidRPr="007726D7" w:rsidRDefault="006D3F18" w:rsidP="006D3F18">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19</w:t>
            </w:r>
          </w:p>
        </w:tc>
        <w:tc>
          <w:tcPr>
            <w:tcW w:w="2948" w:type="dxa"/>
            <w:gridSpan w:val="2"/>
          </w:tcPr>
          <w:p w14:paraId="2C7A79EF" w14:textId="62959272" w:rsidR="006D3F18" w:rsidRPr="007726D7" w:rsidRDefault="006D3F18" w:rsidP="006D3F18">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1006</w:t>
            </w:r>
          </w:p>
        </w:tc>
        <w:tc>
          <w:tcPr>
            <w:tcW w:w="2949" w:type="dxa"/>
          </w:tcPr>
          <w:p w14:paraId="71A49A44" w14:textId="2B590561" w:rsidR="006D3F18" w:rsidRPr="007726D7" w:rsidRDefault="006D3F18" w:rsidP="006D3F18">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1502</w:t>
            </w:r>
          </w:p>
        </w:tc>
      </w:tr>
      <w:tr w:rsidR="00B47AAA" w:rsidRPr="00B47AAA" w14:paraId="7D1A9FB2" w14:textId="77777777" w:rsidTr="00B47AA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7FEA360" w14:textId="77777777" w:rsidR="00F02288" w:rsidRPr="007726D7" w:rsidRDefault="00F02288" w:rsidP="00386862">
            <w:pPr>
              <w:spacing w:line="240" w:lineRule="auto"/>
              <w:rPr>
                <w:rFonts w:eastAsia="Times New Roman"/>
                <w:color w:val="auto"/>
                <w:sz w:val="20"/>
                <w:szCs w:val="20"/>
                <w:lang w:eastAsia="pl-PL"/>
              </w:rPr>
            </w:pPr>
          </w:p>
        </w:tc>
        <w:tc>
          <w:tcPr>
            <w:tcW w:w="3066" w:type="dxa"/>
          </w:tcPr>
          <w:p w14:paraId="4ECE5B10" w14:textId="77777777" w:rsidR="00F02288" w:rsidRPr="007726D7" w:rsidRDefault="00F02288" w:rsidP="00386862">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Noclegownie, schroniska i domy dla osób bezdomnych</w:t>
            </w:r>
          </w:p>
        </w:tc>
        <w:tc>
          <w:tcPr>
            <w:tcW w:w="2948" w:type="dxa"/>
            <w:gridSpan w:val="2"/>
          </w:tcPr>
          <w:p w14:paraId="5D884FB3" w14:textId="77777777" w:rsidR="00F02288" w:rsidRPr="007726D7" w:rsidRDefault="00AA74F2" w:rsidP="00AA74F2">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372</w:t>
            </w:r>
          </w:p>
        </w:tc>
        <w:tc>
          <w:tcPr>
            <w:tcW w:w="2948" w:type="dxa"/>
            <w:gridSpan w:val="2"/>
          </w:tcPr>
          <w:p w14:paraId="51666C87" w14:textId="73B6CD6D" w:rsidR="00F02288" w:rsidRPr="007726D7" w:rsidRDefault="000B3445" w:rsidP="00AA74F2">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b.d.</w:t>
            </w:r>
          </w:p>
        </w:tc>
        <w:tc>
          <w:tcPr>
            <w:tcW w:w="2949" w:type="dxa"/>
          </w:tcPr>
          <w:p w14:paraId="615E6376" w14:textId="63A15453" w:rsidR="00F02288" w:rsidRPr="007726D7" w:rsidRDefault="006D3F18" w:rsidP="00AA74F2">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b.d.</w:t>
            </w:r>
          </w:p>
        </w:tc>
      </w:tr>
      <w:tr w:rsidR="00852F7C" w:rsidRPr="00B47AAA" w14:paraId="3A883384" w14:textId="77777777" w:rsidTr="00B47AA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16D7D35" w14:textId="77777777" w:rsidR="00852F7C" w:rsidRPr="007726D7" w:rsidRDefault="00852F7C" w:rsidP="00852F7C">
            <w:pPr>
              <w:spacing w:line="240" w:lineRule="auto"/>
              <w:rPr>
                <w:rFonts w:eastAsia="Times New Roman"/>
                <w:color w:val="auto"/>
                <w:sz w:val="20"/>
                <w:szCs w:val="20"/>
                <w:lang w:eastAsia="pl-PL"/>
              </w:rPr>
            </w:pPr>
          </w:p>
        </w:tc>
        <w:tc>
          <w:tcPr>
            <w:tcW w:w="3066" w:type="dxa"/>
          </w:tcPr>
          <w:p w14:paraId="60691260" w14:textId="77777777" w:rsidR="00852F7C" w:rsidRPr="007726D7" w:rsidRDefault="00852F7C" w:rsidP="00852F7C">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Ogrzewalnie</w:t>
            </w:r>
          </w:p>
        </w:tc>
        <w:tc>
          <w:tcPr>
            <w:tcW w:w="2948" w:type="dxa"/>
            <w:gridSpan w:val="2"/>
          </w:tcPr>
          <w:p w14:paraId="39F2C897" w14:textId="7BAB24EC" w:rsidR="00852F7C" w:rsidRPr="007726D7" w:rsidRDefault="00852F7C" w:rsidP="00852F7C">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3</w:t>
            </w:r>
          </w:p>
        </w:tc>
        <w:tc>
          <w:tcPr>
            <w:tcW w:w="2948" w:type="dxa"/>
            <w:gridSpan w:val="2"/>
          </w:tcPr>
          <w:p w14:paraId="32061462" w14:textId="79FF44DC" w:rsidR="00852F7C" w:rsidRPr="007726D7" w:rsidRDefault="00852F7C" w:rsidP="00852F7C">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20</w:t>
            </w:r>
          </w:p>
        </w:tc>
        <w:tc>
          <w:tcPr>
            <w:tcW w:w="2949" w:type="dxa"/>
          </w:tcPr>
          <w:p w14:paraId="2E48D10A" w14:textId="482999E4" w:rsidR="00852F7C" w:rsidRPr="007726D7" w:rsidRDefault="00852F7C" w:rsidP="00852F7C">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20</w:t>
            </w:r>
          </w:p>
        </w:tc>
      </w:tr>
      <w:tr w:rsidR="00B47AAA" w:rsidRPr="00B47AAA" w14:paraId="01C512BB" w14:textId="77777777" w:rsidTr="00B47AA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62D225A" w14:textId="77777777" w:rsidR="00F02288" w:rsidRPr="007726D7" w:rsidRDefault="00F02288" w:rsidP="00386862">
            <w:pPr>
              <w:spacing w:line="240" w:lineRule="auto"/>
              <w:rPr>
                <w:rFonts w:eastAsia="Times New Roman"/>
                <w:color w:val="auto"/>
                <w:sz w:val="20"/>
                <w:szCs w:val="20"/>
                <w:lang w:eastAsia="pl-PL"/>
              </w:rPr>
            </w:pPr>
          </w:p>
        </w:tc>
        <w:tc>
          <w:tcPr>
            <w:tcW w:w="3066" w:type="dxa"/>
          </w:tcPr>
          <w:p w14:paraId="5C8B908A" w14:textId="77777777" w:rsidR="00F02288" w:rsidRPr="007726D7" w:rsidRDefault="00F02288" w:rsidP="00386862">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Kluby Samopomocy</w:t>
            </w:r>
          </w:p>
        </w:tc>
        <w:tc>
          <w:tcPr>
            <w:tcW w:w="2948" w:type="dxa"/>
            <w:gridSpan w:val="2"/>
          </w:tcPr>
          <w:p w14:paraId="7134E0A9" w14:textId="6242ABBE" w:rsidR="00F02288" w:rsidRPr="007726D7" w:rsidRDefault="00852F7C" w:rsidP="00AA74F2">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b.d.</w:t>
            </w:r>
          </w:p>
        </w:tc>
        <w:tc>
          <w:tcPr>
            <w:tcW w:w="2948" w:type="dxa"/>
            <w:gridSpan w:val="2"/>
          </w:tcPr>
          <w:p w14:paraId="149BAE21" w14:textId="10E266B7" w:rsidR="00F02288" w:rsidRPr="007726D7" w:rsidRDefault="00852F7C" w:rsidP="00AA74F2">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b.d.</w:t>
            </w:r>
          </w:p>
        </w:tc>
        <w:tc>
          <w:tcPr>
            <w:tcW w:w="2949" w:type="dxa"/>
          </w:tcPr>
          <w:p w14:paraId="3373EFD8" w14:textId="715FFFCA" w:rsidR="00F02288" w:rsidRPr="007726D7" w:rsidRDefault="00852F7C" w:rsidP="00AA74F2">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b.d.</w:t>
            </w:r>
          </w:p>
        </w:tc>
      </w:tr>
      <w:tr w:rsidR="00B47AAA" w:rsidRPr="00B47AAA" w14:paraId="6DDF8E5C" w14:textId="77777777" w:rsidTr="00B47AA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06C3A92" w14:textId="77777777" w:rsidR="00F02288" w:rsidRPr="007726D7" w:rsidRDefault="00F02288" w:rsidP="00386862">
            <w:pPr>
              <w:spacing w:line="240" w:lineRule="auto"/>
              <w:rPr>
                <w:rFonts w:eastAsia="Times New Roman"/>
                <w:color w:val="auto"/>
                <w:sz w:val="20"/>
                <w:szCs w:val="20"/>
                <w:lang w:eastAsia="pl-PL"/>
              </w:rPr>
            </w:pPr>
          </w:p>
        </w:tc>
        <w:tc>
          <w:tcPr>
            <w:tcW w:w="3066" w:type="dxa"/>
          </w:tcPr>
          <w:p w14:paraId="530FB414" w14:textId="77777777" w:rsidR="00F02288" w:rsidRPr="007726D7" w:rsidRDefault="00F02288" w:rsidP="00386862">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Placówki zapewniające całodobową opiekę osobom niepełnosprawnym, przewlekle chorym lub osobom w podeszłym wieku</w:t>
            </w:r>
          </w:p>
        </w:tc>
        <w:tc>
          <w:tcPr>
            <w:tcW w:w="2948" w:type="dxa"/>
            <w:gridSpan w:val="2"/>
          </w:tcPr>
          <w:p w14:paraId="1C7C4737" w14:textId="24D872DE" w:rsidR="00F02288" w:rsidRPr="007726D7" w:rsidRDefault="004F0B6F" w:rsidP="00AA74F2">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40</w:t>
            </w:r>
          </w:p>
        </w:tc>
        <w:tc>
          <w:tcPr>
            <w:tcW w:w="2948" w:type="dxa"/>
            <w:gridSpan w:val="2"/>
          </w:tcPr>
          <w:p w14:paraId="66C4DB8D" w14:textId="39393321" w:rsidR="00F02288" w:rsidRPr="007726D7" w:rsidRDefault="004F0B6F" w:rsidP="00AA74F2">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1 421</w:t>
            </w:r>
          </w:p>
        </w:tc>
        <w:tc>
          <w:tcPr>
            <w:tcW w:w="2949" w:type="dxa"/>
          </w:tcPr>
          <w:p w14:paraId="29279082" w14:textId="01E0241A" w:rsidR="00F02288" w:rsidRPr="007726D7" w:rsidRDefault="004F0B6F" w:rsidP="00AA74F2">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b.d.</w:t>
            </w:r>
          </w:p>
        </w:tc>
      </w:tr>
      <w:tr w:rsidR="004F0B6F" w:rsidRPr="00B47AAA" w14:paraId="43AE5F79" w14:textId="77777777" w:rsidTr="00B47AA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4655609" w14:textId="77777777" w:rsidR="004F0B6F" w:rsidRPr="007726D7" w:rsidRDefault="004F0B6F" w:rsidP="004F0B6F">
            <w:pPr>
              <w:spacing w:line="240" w:lineRule="auto"/>
              <w:rPr>
                <w:rFonts w:eastAsia="Times New Roman"/>
                <w:color w:val="auto"/>
                <w:sz w:val="20"/>
                <w:szCs w:val="20"/>
                <w:lang w:eastAsia="pl-PL"/>
              </w:rPr>
            </w:pPr>
          </w:p>
        </w:tc>
        <w:tc>
          <w:tcPr>
            <w:tcW w:w="3066" w:type="dxa"/>
          </w:tcPr>
          <w:p w14:paraId="2EA25F6D" w14:textId="77777777" w:rsidR="004F0B6F" w:rsidRPr="007726D7" w:rsidRDefault="004F0B6F" w:rsidP="004F0B6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Domy Pomocy Społecznej</w:t>
            </w:r>
          </w:p>
        </w:tc>
        <w:tc>
          <w:tcPr>
            <w:tcW w:w="2948" w:type="dxa"/>
            <w:gridSpan w:val="2"/>
          </w:tcPr>
          <w:p w14:paraId="2633AF5E" w14:textId="46CD5A24" w:rsidR="004F0B6F" w:rsidRPr="007726D7" w:rsidRDefault="004F0B6F" w:rsidP="004F0B6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50</w:t>
            </w:r>
          </w:p>
        </w:tc>
        <w:tc>
          <w:tcPr>
            <w:tcW w:w="2948" w:type="dxa"/>
            <w:gridSpan w:val="2"/>
          </w:tcPr>
          <w:p w14:paraId="27DB69AA" w14:textId="1F919A8E" w:rsidR="004F0B6F" w:rsidRPr="007726D7" w:rsidRDefault="004F0B6F" w:rsidP="004F0B6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2 846</w:t>
            </w:r>
          </w:p>
        </w:tc>
        <w:tc>
          <w:tcPr>
            <w:tcW w:w="2949" w:type="dxa"/>
          </w:tcPr>
          <w:p w14:paraId="2771614C" w14:textId="2FE306EA" w:rsidR="004F0B6F" w:rsidRPr="007726D7" w:rsidRDefault="004F0B6F" w:rsidP="004F0B6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2 930</w:t>
            </w:r>
          </w:p>
        </w:tc>
      </w:tr>
      <w:tr w:rsidR="004F0B6F" w:rsidRPr="00B47AAA" w14:paraId="37EB35DF" w14:textId="77777777" w:rsidTr="00B47AA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13918E02" w14:textId="77777777" w:rsidR="004F0B6F" w:rsidRPr="007726D7" w:rsidRDefault="004F0B6F" w:rsidP="004F0B6F">
            <w:pPr>
              <w:spacing w:line="240" w:lineRule="auto"/>
              <w:rPr>
                <w:rFonts w:eastAsia="Times New Roman"/>
                <w:color w:val="auto"/>
                <w:sz w:val="20"/>
                <w:szCs w:val="20"/>
                <w:lang w:eastAsia="pl-PL"/>
              </w:rPr>
            </w:pPr>
          </w:p>
        </w:tc>
        <w:tc>
          <w:tcPr>
            <w:tcW w:w="3066" w:type="dxa"/>
          </w:tcPr>
          <w:p w14:paraId="5201AF87" w14:textId="77777777" w:rsidR="004F0B6F" w:rsidRPr="007726D7" w:rsidRDefault="004F0B6F" w:rsidP="004F0B6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Mieszkania chronione ogółem</w:t>
            </w:r>
          </w:p>
        </w:tc>
        <w:tc>
          <w:tcPr>
            <w:tcW w:w="2948" w:type="dxa"/>
            <w:gridSpan w:val="2"/>
          </w:tcPr>
          <w:p w14:paraId="25B7AEDA" w14:textId="756343C6" w:rsidR="004F0B6F" w:rsidRPr="007726D7" w:rsidRDefault="004F0B6F" w:rsidP="004F0B6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50</w:t>
            </w:r>
          </w:p>
        </w:tc>
        <w:tc>
          <w:tcPr>
            <w:tcW w:w="2948" w:type="dxa"/>
            <w:gridSpan w:val="2"/>
          </w:tcPr>
          <w:p w14:paraId="12BBAEC0" w14:textId="3E8F8BF6" w:rsidR="004F0B6F" w:rsidRPr="007726D7" w:rsidRDefault="004F0B6F" w:rsidP="004F0B6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74</w:t>
            </w:r>
          </w:p>
        </w:tc>
        <w:tc>
          <w:tcPr>
            <w:tcW w:w="2949" w:type="dxa"/>
          </w:tcPr>
          <w:p w14:paraId="452BAF27" w14:textId="2BC0D3FF" w:rsidR="004F0B6F" w:rsidRPr="007726D7" w:rsidRDefault="004F0B6F" w:rsidP="004F0B6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125</w:t>
            </w:r>
          </w:p>
        </w:tc>
      </w:tr>
      <w:tr w:rsidR="00B47AAA" w:rsidRPr="00B47AAA" w14:paraId="7A159A05" w14:textId="77777777" w:rsidTr="00B47AA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57E8985" w14:textId="77777777" w:rsidR="00F02288" w:rsidRPr="007726D7" w:rsidRDefault="00F02288" w:rsidP="00386862">
            <w:pPr>
              <w:spacing w:line="240" w:lineRule="auto"/>
              <w:rPr>
                <w:rFonts w:eastAsia="Times New Roman"/>
                <w:color w:val="auto"/>
                <w:sz w:val="20"/>
                <w:szCs w:val="20"/>
                <w:lang w:eastAsia="pl-PL"/>
              </w:rPr>
            </w:pPr>
          </w:p>
        </w:tc>
        <w:tc>
          <w:tcPr>
            <w:tcW w:w="3066" w:type="dxa"/>
          </w:tcPr>
          <w:p w14:paraId="726EA787" w14:textId="77777777" w:rsidR="00F02288" w:rsidRPr="007726D7" w:rsidRDefault="00F02288" w:rsidP="00386862">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Ośrodki Interwencji Kryzysowej ogółem</w:t>
            </w:r>
          </w:p>
        </w:tc>
        <w:tc>
          <w:tcPr>
            <w:tcW w:w="2948" w:type="dxa"/>
            <w:gridSpan w:val="2"/>
          </w:tcPr>
          <w:p w14:paraId="1A1DDBAF" w14:textId="34C140CA" w:rsidR="00F02288" w:rsidRPr="007726D7" w:rsidRDefault="004F0B6F" w:rsidP="00AA74F2">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21</w:t>
            </w:r>
          </w:p>
        </w:tc>
        <w:tc>
          <w:tcPr>
            <w:tcW w:w="2948" w:type="dxa"/>
            <w:gridSpan w:val="2"/>
          </w:tcPr>
          <w:p w14:paraId="068182F2" w14:textId="1EC619C5" w:rsidR="00F02288" w:rsidRPr="007726D7" w:rsidRDefault="004F0B6F" w:rsidP="00AA74F2">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b.d.</w:t>
            </w:r>
          </w:p>
        </w:tc>
        <w:tc>
          <w:tcPr>
            <w:tcW w:w="2949" w:type="dxa"/>
          </w:tcPr>
          <w:p w14:paraId="3189447F" w14:textId="5351DA32" w:rsidR="00F02288" w:rsidRPr="007726D7" w:rsidRDefault="004F0B6F" w:rsidP="00AA74F2">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b.d.</w:t>
            </w:r>
          </w:p>
        </w:tc>
      </w:tr>
      <w:tr w:rsidR="00B47AAA" w:rsidRPr="00B47AAA" w14:paraId="3B0C5600" w14:textId="77777777" w:rsidTr="00B47AA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9C2A283" w14:textId="77777777" w:rsidR="00F02288" w:rsidRPr="007726D7" w:rsidRDefault="00F02288" w:rsidP="00386862">
            <w:pPr>
              <w:spacing w:line="240" w:lineRule="auto"/>
              <w:rPr>
                <w:rFonts w:eastAsia="Times New Roman"/>
                <w:color w:val="auto"/>
                <w:sz w:val="20"/>
                <w:szCs w:val="20"/>
                <w:lang w:eastAsia="pl-PL"/>
              </w:rPr>
            </w:pPr>
          </w:p>
        </w:tc>
        <w:tc>
          <w:tcPr>
            <w:tcW w:w="3066" w:type="dxa"/>
          </w:tcPr>
          <w:p w14:paraId="2AE13643" w14:textId="77777777" w:rsidR="00F02288" w:rsidRPr="007726D7" w:rsidRDefault="00F02288" w:rsidP="00386862">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Jednostki specjalistycznego poradnictwa</w:t>
            </w:r>
          </w:p>
        </w:tc>
        <w:tc>
          <w:tcPr>
            <w:tcW w:w="2948" w:type="dxa"/>
            <w:gridSpan w:val="2"/>
          </w:tcPr>
          <w:p w14:paraId="1CEB646F" w14:textId="39373826" w:rsidR="00F02288" w:rsidRPr="007726D7" w:rsidRDefault="004F0B6F" w:rsidP="00AA74F2">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225</w:t>
            </w:r>
          </w:p>
        </w:tc>
        <w:tc>
          <w:tcPr>
            <w:tcW w:w="2948" w:type="dxa"/>
            <w:gridSpan w:val="2"/>
          </w:tcPr>
          <w:p w14:paraId="0D78C3BB" w14:textId="704355E0" w:rsidR="00F02288" w:rsidRPr="007726D7" w:rsidRDefault="004F0B6F" w:rsidP="00AA74F2">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b.d.</w:t>
            </w:r>
          </w:p>
        </w:tc>
        <w:tc>
          <w:tcPr>
            <w:tcW w:w="2949" w:type="dxa"/>
          </w:tcPr>
          <w:p w14:paraId="6CF98265" w14:textId="77100A83" w:rsidR="00F02288" w:rsidRPr="007726D7" w:rsidRDefault="004F0B6F" w:rsidP="00AA74F2">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b.d.</w:t>
            </w:r>
          </w:p>
        </w:tc>
      </w:tr>
      <w:tr w:rsidR="004F0B6F" w:rsidRPr="00B47AAA" w14:paraId="75967BC5" w14:textId="77777777" w:rsidTr="00B47AA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50D4BEA" w14:textId="77777777" w:rsidR="004F0B6F" w:rsidRPr="007726D7" w:rsidRDefault="004F0B6F" w:rsidP="004F0B6F">
            <w:pPr>
              <w:spacing w:line="240" w:lineRule="auto"/>
              <w:rPr>
                <w:rFonts w:eastAsia="Times New Roman"/>
                <w:sz w:val="20"/>
                <w:szCs w:val="20"/>
                <w:lang w:eastAsia="pl-PL"/>
              </w:rPr>
            </w:pPr>
          </w:p>
        </w:tc>
        <w:tc>
          <w:tcPr>
            <w:tcW w:w="3066" w:type="dxa"/>
          </w:tcPr>
          <w:p w14:paraId="7A263AB4" w14:textId="28F51E23" w:rsidR="004F0B6F" w:rsidRPr="007726D7" w:rsidRDefault="004F0B6F" w:rsidP="004F0B6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Placówki wsparcia dziennego</w:t>
            </w:r>
          </w:p>
        </w:tc>
        <w:tc>
          <w:tcPr>
            <w:tcW w:w="2948" w:type="dxa"/>
            <w:gridSpan w:val="2"/>
          </w:tcPr>
          <w:p w14:paraId="27A6FE68" w14:textId="259DCDD0" w:rsidR="004F0B6F" w:rsidRPr="007726D7" w:rsidRDefault="004F0B6F" w:rsidP="004F0B6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32</w:t>
            </w:r>
          </w:p>
        </w:tc>
        <w:tc>
          <w:tcPr>
            <w:tcW w:w="2948" w:type="dxa"/>
            <w:gridSpan w:val="2"/>
          </w:tcPr>
          <w:p w14:paraId="4C7AAEBA" w14:textId="31ED600F" w:rsidR="004F0B6F" w:rsidRPr="007726D7" w:rsidRDefault="004F0B6F" w:rsidP="004F0B6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870</w:t>
            </w:r>
          </w:p>
        </w:tc>
        <w:tc>
          <w:tcPr>
            <w:tcW w:w="2949" w:type="dxa"/>
          </w:tcPr>
          <w:p w14:paraId="198DF256" w14:textId="7A8ADB77" w:rsidR="004F0B6F" w:rsidRPr="007726D7" w:rsidRDefault="004F0B6F" w:rsidP="004F0B6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942</w:t>
            </w:r>
          </w:p>
        </w:tc>
      </w:tr>
      <w:tr w:rsidR="00B47AAA" w:rsidRPr="00B47AAA" w14:paraId="776B32FB" w14:textId="77777777" w:rsidTr="00B47AAA">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34C1AD6" w14:textId="77777777" w:rsidR="00F02288" w:rsidRPr="007726D7" w:rsidRDefault="00F02288" w:rsidP="00386862">
            <w:pPr>
              <w:spacing w:line="240" w:lineRule="auto"/>
              <w:rPr>
                <w:rFonts w:eastAsia="Times New Roman"/>
                <w:color w:val="auto"/>
                <w:sz w:val="20"/>
                <w:szCs w:val="20"/>
                <w:lang w:eastAsia="pl-PL"/>
              </w:rPr>
            </w:pPr>
          </w:p>
        </w:tc>
        <w:tc>
          <w:tcPr>
            <w:tcW w:w="3066" w:type="dxa"/>
          </w:tcPr>
          <w:p w14:paraId="79AE5F9A" w14:textId="77777777" w:rsidR="00F02288" w:rsidRPr="007726D7" w:rsidRDefault="00F02288" w:rsidP="00386862">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Placówki Senior+, w tym:</w:t>
            </w:r>
          </w:p>
        </w:tc>
        <w:tc>
          <w:tcPr>
            <w:tcW w:w="8845" w:type="dxa"/>
            <w:gridSpan w:val="5"/>
          </w:tcPr>
          <w:p w14:paraId="31968B4F" w14:textId="77777777" w:rsidR="00F02288" w:rsidRPr="007726D7" w:rsidRDefault="00F02288" w:rsidP="00AA74F2">
            <w:pPr>
              <w:tabs>
                <w:tab w:val="left" w:pos="1035"/>
                <w:tab w:val="center" w:pos="4314"/>
                <w:tab w:val="left" w:pos="6750"/>
              </w:tabs>
              <w:spacing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7726D7">
              <w:rPr>
                <w:b/>
                <w:sz w:val="20"/>
                <w:szCs w:val="20"/>
              </w:rPr>
              <w:tab/>
            </w:r>
          </w:p>
        </w:tc>
      </w:tr>
      <w:tr w:rsidR="00265423" w:rsidRPr="00B47AAA" w14:paraId="345753D4" w14:textId="77777777" w:rsidTr="0026542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668FCCDB" w14:textId="77777777" w:rsidR="00265423" w:rsidRPr="007726D7" w:rsidRDefault="00265423" w:rsidP="004F0B6F">
            <w:pPr>
              <w:spacing w:line="240" w:lineRule="auto"/>
              <w:rPr>
                <w:rFonts w:eastAsia="Times New Roman"/>
                <w:color w:val="auto"/>
                <w:sz w:val="20"/>
                <w:szCs w:val="20"/>
                <w:lang w:eastAsia="pl-PL"/>
              </w:rPr>
            </w:pPr>
          </w:p>
        </w:tc>
        <w:tc>
          <w:tcPr>
            <w:tcW w:w="3066" w:type="dxa"/>
          </w:tcPr>
          <w:p w14:paraId="35B2C932" w14:textId="77777777" w:rsidR="00265423" w:rsidRPr="007726D7" w:rsidRDefault="00265423" w:rsidP="004F0B6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Domy Dziennego Pobytu</w:t>
            </w:r>
          </w:p>
        </w:tc>
        <w:tc>
          <w:tcPr>
            <w:tcW w:w="2948" w:type="dxa"/>
            <w:gridSpan w:val="2"/>
          </w:tcPr>
          <w:p w14:paraId="26DD62A0" w14:textId="7958C5E5" w:rsidR="00265423" w:rsidRPr="007726D7" w:rsidRDefault="00265423" w:rsidP="004F0B6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32</w:t>
            </w:r>
          </w:p>
        </w:tc>
        <w:tc>
          <w:tcPr>
            <w:tcW w:w="2948" w:type="dxa"/>
            <w:gridSpan w:val="2"/>
          </w:tcPr>
          <w:p w14:paraId="161D5757" w14:textId="00456154" w:rsidR="00265423" w:rsidRPr="007726D7" w:rsidRDefault="00265423" w:rsidP="004F0B6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876</w:t>
            </w:r>
          </w:p>
        </w:tc>
        <w:tc>
          <w:tcPr>
            <w:tcW w:w="2949" w:type="dxa"/>
            <w:vMerge w:val="restart"/>
            <w:vAlign w:val="center"/>
          </w:tcPr>
          <w:p w14:paraId="7EAC5575" w14:textId="15BE0E30" w:rsidR="00265423" w:rsidRPr="007726D7" w:rsidRDefault="00265423" w:rsidP="00265423">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r w:rsidR="00064E07">
              <w:rPr>
                <w:sz w:val="20"/>
                <w:szCs w:val="20"/>
              </w:rPr>
              <w:t xml:space="preserve"> </w:t>
            </w:r>
            <w:r>
              <w:rPr>
                <w:sz w:val="20"/>
                <w:szCs w:val="20"/>
              </w:rPr>
              <w:t>051</w:t>
            </w:r>
          </w:p>
        </w:tc>
      </w:tr>
      <w:tr w:rsidR="00265423" w:rsidRPr="00B47AAA" w14:paraId="5A0380BA" w14:textId="77777777" w:rsidTr="00B47AAA">
        <w:trPr>
          <w:trHeight w:val="85"/>
        </w:trPr>
        <w:tc>
          <w:tcPr>
            <w:cnfStyle w:val="001000000000" w:firstRow="0" w:lastRow="0" w:firstColumn="1" w:lastColumn="0" w:oddVBand="0" w:evenVBand="0" w:oddHBand="0" w:evenHBand="0" w:firstRowFirstColumn="0" w:firstRowLastColumn="0" w:lastRowFirstColumn="0" w:lastRowLastColumn="0"/>
            <w:tcW w:w="2830" w:type="dxa"/>
            <w:vMerge/>
          </w:tcPr>
          <w:p w14:paraId="1537BC44" w14:textId="77777777" w:rsidR="00265423" w:rsidRPr="007726D7" w:rsidRDefault="00265423" w:rsidP="004F0B6F">
            <w:pPr>
              <w:spacing w:line="240" w:lineRule="auto"/>
              <w:rPr>
                <w:rFonts w:eastAsia="Times New Roman"/>
                <w:color w:val="auto"/>
                <w:sz w:val="20"/>
                <w:szCs w:val="20"/>
                <w:lang w:eastAsia="pl-PL"/>
              </w:rPr>
            </w:pPr>
          </w:p>
        </w:tc>
        <w:tc>
          <w:tcPr>
            <w:tcW w:w="3066" w:type="dxa"/>
          </w:tcPr>
          <w:p w14:paraId="163E44C9" w14:textId="77777777" w:rsidR="00265423" w:rsidRPr="007726D7" w:rsidRDefault="00265423" w:rsidP="004F0B6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Kluby Senior+</w:t>
            </w:r>
          </w:p>
        </w:tc>
        <w:tc>
          <w:tcPr>
            <w:tcW w:w="2948" w:type="dxa"/>
            <w:gridSpan w:val="2"/>
          </w:tcPr>
          <w:p w14:paraId="6DE1A2D1" w14:textId="60E8722F" w:rsidR="00265423" w:rsidRPr="007726D7" w:rsidRDefault="00265423" w:rsidP="004F0B6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r w:rsidRPr="007726D7">
              <w:rPr>
                <w:sz w:val="20"/>
                <w:szCs w:val="20"/>
              </w:rPr>
              <w:t>2</w:t>
            </w:r>
          </w:p>
        </w:tc>
        <w:tc>
          <w:tcPr>
            <w:tcW w:w="2948" w:type="dxa"/>
            <w:gridSpan w:val="2"/>
          </w:tcPr>
          <w:p w14:paraId="043016ED" w14:textId="0FA10668" w:rsidR="00265423" w:rsidRPr="007726D7" w:rsidRDefault="00265423" w:rsidP="004F0B6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1 358</w:t>
            </w:r>
          </w:p>
        </w:tc>
        <w:tc>
          <w:tcPr>
            <w:tcW w:w="2949" w:type="dxa"/>
            <w:vMerge/>
          </w:tcPr>
          <w:p w14:paraId="43EC4442" w14:textId="0EDB9CA2" w:rsidR="00265423" w:rsidRPr="007726D7" w:rsidRDefault="00265423" w:rsidP="004F0B6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B47AAA" w:rsidRPr="00B47AAA" w14:paraId="2948DEBE" w14:textId="77777777" w:rsidTr="00B47AAA">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6394422D" w14:textId="77777777" w:rsidR="00F02288" w:rsidRPr="007726D7" w:rsidRDefault="00F02288" w:rsidP="00386862">
            <w:pPr>
              <w:spacing w:line="240" w:lineRule="auto"/>
              <w:rPr>
                <w:rFonts w:eastAsia="Times New Roman"/>
                <w:color w:val="auto"/>
                <w:sz w:val="20"/>
                <w:szCs w:val="20"/>
                <w:lang w:eastAsia="pl-PL"/>
              </w:rPr>
            </w:pPr>
            <w:r w:rsidRPr="007726D7">
              <w:rPr>
                <w:rFonts w:eastAsia="Times New Roman"/>
                <w:color w:val="auto"/>
                <w:sz w:val="20"/>
                <w:szCs w:val="20"/>
                <w:lang w:eastAsia="pl-PL"/>
              </w:rPr>
              <w:t>Usługi świadczone osobom starszym</w:t>
            </w:r>
          </w:p>
        </w:tc>
        <w:tc>
          <w:tcPr>
            <w:tcW w:w="3119" w:type="dxa"/>
            <w:gridSpan w:val="2"/>
          </w:tcPr>
          <w:p w14:paraId="49BBB2C8" w14:textId="77777777" w:rsidR="00F02288" w:rsidRPr="007726D7" w:rsidRDefault="00F02288" w:rsidP="007B46A6">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7726D7">
              <w:rPr>
                <w:b/>
                <w:sz w:val="20"/>
                <w:szCs w:val="20"/>
              </w:rPr>
              <w:t>Rodzaj usług</w:t>
            </w:r>
          </w:p>
        </w:tc>
        <w:tc>
          <w:tcPr>
            <w:tcW w:w="3685" w:type="dxa"/>
            <w:gridSpan w:val="2"/>
          </w:tcPr>
          <w:p w14:paraId="40C674DA" w14:textId="77777777" w:rsidR="00F02288" w:rsidRPr="007726D7" w:rsidRDefault="00F02288" w:rsidP="007B46A6">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7726D7">
              <w:rPr>
                <w:b/>
                <w:sz w:val="20"/>
                <w:szCs w:val="20"/>
              </w:rPr>
              <w:t>Liczba osób starszych objętych pomocą</w:t>
            </w:r>
          </w:p>
        </w:tc>
        <w:tc>
          <w:tcPr>
            <w:tcW w:w="5107" w:type="dxa"/>
            <w:gridSpan w:val="2"/>
          </w:tcPr>
          <w:p w14:paraId="187DB301" w14:textId="77777777" w:rsidR="00F02288" w:rsidRPr="007726D7" w:rsidRDefault="00F02288" w:rsidP="007B46A6">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7726D7">
              <w:rPr>
                <w:b/>
                <w:sz w:val="20"/>
                <w:szCs w:val="20"/>
              </w:rPr>
              <w:t>Wysokość środków przeznaczonych na usługi</w:t>
            </w:r>
          </w:p>
        </w:tc>
      </w:tr>
      <w:tr w:rsidR="004F0B6F" w:rsidRPr="00B47AAA" w14:paraId="072DF86F" w14:textId="77777777" w:rsidTr="00B47AAA">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6B95ED65" w14:textId="77777777" w:rsidR="004F0B6F" w:rsidRPr="007726D7" w:rsidRDefault="004F0B6F" w:rsidP="004F0B6F">
            <w:pPr>
              <w:spacing w:line="240" w:lineRule="auto"/>
              <w:rPr>
                <w:rFonts w:eastAsia="Times New Roman"/>
                <w:b w:val="0"/>
                <w:bCs w:val="0"/>
                <w:color w:val="auto"/>
                <w:sz w:val="20"/>
                <w:szCs w:val="20"/>
                <w:lang w:eastAsia="pl-PL"/>
              </w:rPr>
            </w:pPr>
          </w:p>
        </w:tc>
        <w:tc>
          <w:tcPr>
            <w:tcW w:w="3119" w:type="dxa"/>
            <w:gridSpan w:val="2"/>
          </w:tcPr>
          <w:p w14:paraId="71C13BBE" w14:textId="77777777" w:rsidR="004F0B6F" w:rsidRPr="007726D7" w:rsidRDefault="004F0B6F" w:rsidP="004F0B6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Usługi opiekuńcze ogółem</w:t>
            </w:r>
          </w:p>
        </w:tc>
        <w:tc>
          <w:tcPr>
            <w:tcW w:w="3685" w:type="dxa"/>
            <w:gridSpan w:val="2"/>
          </w:tcPr>
          <w:p w14:paraId="1D1DD233" w14:textId="2859F0E3" w:rsidR="004F0B6F" w:rsidRPr="007726D7" w:rsidRDefault="004F0B6F" w:rsidP="004F0B6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11 025</w:t>
            </w:r>
          </w:p>
        </w:tc>
        <w:tc>
          <w:tcPr>
            <w:tcW w:w="5107" w:type="dxa"/>
            <w:gridSpan w:val="2"/>
          </w:tcPr>
          <w:p w14:paraId="1C15B0D7" w14:textId="3B663938" w:rsidR="004F0B6F" w:rsidRPr="007726D7" w:rsidRDefault="004F0B6F" w:rsidP="004F0B6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91 080 845,48</w:t>
            </w:r>
            <w:r w:rsidR="007726D7" w:rsidRPr="007726D7">
              <w:rPr>
                <w:sz w:val="20"/>
                <w:szCs w:val="20"/>
              </w:rPr>
              <w:t xml:space="preserve"> zł</w:t>
            </w:r>
          </w:p>
        </w:tc>
      </w:tr>
      <w:tr w:rsidR="00B47AAA" w:rsidRPr="00B47AAA" w14:paraId="3B328B93" w14:textId="77777777" w:rsidTr="00B47AAA">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09A06304" w14:textId="77777777" w:rsidR="007B46A6" w:rsidRPr="007726D7" w:rsidRDefault="007B46A6" w:rsidP="00386862">
            <w:pPr>
              <w:spacing w:line="240" w:lineRule="auto"/>
              <w:rPr>
                <w:rFonts w:eastAsia="Times New Roman"/>
                <w:b w:val="0"/>
                <w:bCs w:val="0"/>
                <w:color w:val="auto"/>
                <w:sz w:val="20"/>
                <w:szCs w:val="20"/>
                <w:lang w:eastAsia="pl-PL"/>
              </w:rPr>
            </w:pPr>
          </w:p>
        </w:tc>
        <w:tc>
          <w:tcPr>
            <w:tcW w:w="11911" w:type="dxa"/>
            <w:gridSpan w:val="6"/>
          </w:tcPr>
          <w:p w14:paraId="690335C4" w14:textId="77777777" w:rsidR="007B46A6" w:rsidRPr="007726D7" w:rsidRDefault="007B46A6" w:rsidP="00386862">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w tym:</w:t>
            </w:r>
          </w:p>
        </w:tc>
      </w:tr>
      <w:tr w:rsidR="004F0B6F" w:rsidRPr="00B47AAA" w14:paraId="28AA2D4C" w14:textId="77777777" w:rsidTr="00B47AAA">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1D216B68" w14:textId="77777777" w:rsidR="004F0B6F" w:rsidRPr="007726D7" w:rsidRDefault="004F0B6F" w:rsidP="004F0B6F">
            <w:pPr>
              <w:spacing w:line="240" w:lineRule="auto"/>
              <w:rPr>
                <w:rFonts w:eastAsia="Times New Roman"/>
                <w:b w:val="0"/>
                <w:bCs w:val="0"/>
                <w:color w:val="auto"/>
                <w:sz w:val="20"/>
                <w:szCs w:val="20"/>
                <w:lang w:eastAsia="pl-PL"/>
              </w:rPr>
            </w:pPr>
          </w:p>
        </w:tc>
        <w:tc>
          <w:tcPr>
            <w:tcW w:w="3119" w:type="dxa"/>
            <w:gridSpan w:val="2"/>
          </w:tcPr>
          <w:p w14:paraId="262248ED" w14:textId="77777777" w:rsidR="004F0B6F" w:rsidRPr="007726D7" w:rsidRDefault="004F0B6F" w:rsidP="004F0B6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specjalistyczne usługi opiekuńcze</w:t>
            </w:r>
          </w:p>
        </w:tc>
        <w:tc>
          <w:tcPr>
            <w:tcW w:w="3685" w:type="dxa"/>
            <w:gridSpan w:val="2"/>
          </w:tcPr>
          <w:p w14:paraId="0C548544" w14:textId="75FA5FC7" w:rsidR="004F0B6F" w:rsidRPr="007726D7" w:rsidRDefault="004F0B6F" w:rsidP="004F0B6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205</w:t>
            </w:r>
          </w:p>
        </w:tc>
        <w:tc>
          <w:tcPr>
            <w:tcW w:w="5107" w:type="dxa"/>
            <w:gridSpan w:val="2"/>
          </w:tcPr>
          <w:p w14:paraId="21893B07" w14:textId="3D3C87EA" w:rsidR="004F0B6F" w:rsidRPr="007726D7" w:rsidRDefault="004F0B6F" w:rsidP="004F0B6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1 745 691,69</w:t>
            </w:r>
            <w:r w:rsidR="007726D7" w:rsidRPr="007726D7">
              <w:rPr>
                <w:sz w:val="20"/>
                <w:szCs w:val="20"/>
              </w:rPr>
              <w:t xml:space="preserve"> zł</w:t>
            </w:r>
          </w:p>
        </w:tc>
      </w:tr>
      <w:tr w:rsidR="004F0B6F" w:rsidRPr="00B47AAA" w14:paraId="36A725C9" w14:textId="77777777" w:rsidTr="00B47A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0" w:type="dxa"/>
            <w:vMerge/>
          </w:tcPr>
          <w:p w14:paraId="23988777" w14:textId="77777777" w:rsidR="004F0B6F" w:rsidRPr="007726D7" w:rsidRDefault="004F0B6F" w:rsidP="004F0B6F">
            <w:pPr>
              <w:spacing w:line="240" w:lineRule="auto"/>
              <w:rPr>
                <w:rFonts w:eastAsia="Times New Roman"/>
                <w:b w:val="0"/>
                <w:bCs w:val="0"/>
                <w:color w:val="auto"/>
                <w:sz w:val="20"/>
                <w:szCs w:val="20"/>
                <w:lang w:eastAsia="pl-PL"/>
              </w:rPr>
            </w:pPr>
          </w:p>
        </w:tc>
        <w:tc>
          <w:tcPr>
            <w:tcW w:w="3119" w:type="dxa"/>
            <w:gridSpan w:val="2"/>
          </w:tcPr>
          <w:p w14:paraId="2D91A551" w14:textId="77777777" w:rsidR="004F0B6F" w:rsidRPr="007726D7" w:rsidRDefault="004F0B6F" w:rsidP="004F0B6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specjalistyczne usługi opiekuńcze w miejscu zamieszkania dla osób z zaburzeniami psychicznymi</w:t>
            </w:r>
          </w:p>
        </w:tc>
        <w:tc>
          <w:tcPr>
            <w:tcW w:w="3685" w:type="dxa"/>
            <w:gridSpan w:val="2"/>
          </w:tcPr>
          <w:p w14:paraId="477FDA09" w14:textId="7AE6D9BC" w:rsidR="004F0B6F" w:rsidRPr="007726D7" w:rsidRDefault="004F0B6F" w:rsidP="004F0B6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499</w:t>
            </w:r>
          </w:p>
        </w:tc>
        <w:tc>
          <w:tcPr>
            <w:tcW w:w="5107" w:type="dxa"/>
            <w:gridSpan w:val="2"/>
          </w:tcPr>
          <w:p w14:paraId="0EDC5B4C" w14:textId="6C510B85" w:rsidR="004F0B6F" w:rsidRPr="007726D7" w:rsidRDefault="004F0B6F" w:rsidP="004F0B6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6 737 007,94</w:t>
            </w:r>
            <w:r w:rsidR="007726D7" w:rsidRPr="007726D7">
              <w:rPr>
                <w:sz w:val="20"/>
                <w:szCs w:val="20"/>
              </w:rPr>
              <w:t xml:space="preserve"> zł</w:t>
            </w:r>
          </w:p>
        </w:tc>
      </w:tr>
      <w:tr w:rsidR="00B47AAA" w:rsidRPr="00B47AAA" w14:paraId="0D6D53C0" w14:textId="77777777" w:rsidTr="00B47AAA">
        <w:trPr>
          <w:trHeight w:val="19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45616C2E" w14:textId="77777777" w:rsidR="00F02288" w:rsidRPr="007726D7" w:rsidRDefault="00F02288" w:rsidP="00386862">
            <w:pPr>
              <w:spacing w:line="240" w:lineRule="auto"/>
              <w:rPr>
                <w:rFonts w:eastAsia="Times New Roman"/>
                <w:b w:val="0"/>
                <w:bCs w:val="0"/>
                <w:color w:val="auto"/>
                <w:sz w:val="20"/>
                <w:szCs w:val="20"/>
                <w:lang w:eastAsia="pl-PL"/>
              </w:rPr>
            </w:pPr>
            <w:r w:rsidRPr="007726D7">
              <w:rPr>
                <w:rFonts w:eastAsia="Times New Roman"/>
                <w:color w:val="auto"/>
                <w:sz w:val="20"/>
                <w:szCs w:val="20"/>
                <w:lang w:eastAsia="pl-PL"/>
              </w:rPr>
              <w:t>Świadczenia pieniężne przyznane osobom starszym</w:t>
            </w:r>
          </w:p>
        </w:tc>
        <w:tc>
          <w:tcPr>
            <w:tcW w:w="3119" w:type="dxa"/>
            <w:gridSpan w:val="2"/>
          </w:tcPr>
          <w:p w14:paraId="45800A96" w14:textId="77777777" w:rsidR="00F02288" w:rsidRPr="007726D7" w:rsidRDefault="00F02288" w:rsidP="007B46A6">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7726D7">
              <w:rPr>
                <w:b/>
                <w:sz w:val="20"/>
                <w:szCs w:val="20"/>
              </w:rPr>
              <w:t>Nazwa świadczenia</w:t>
            </w:r>
          </w:p>
        </w:tc>
        <w:tc>
          <w:tcPr>
            <w:tcW w:w="3685" w:type="dxa"/>
            <w:gridSpan w:val="2"/>
          </w:tcPr>
          <w:p w14:paraId="5C22E938" w14:textId="77777777" w:rsidR="00F02288" w:rsidRPr="007726D7" w:rsidRDefault="00F02288" w:rsidP="007B46A6">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7726D7">
              <w:rPr>
                <w:b/>
                <w:sz w:val="20"/>
                <w:szCs w:val="20"/>
              </w:rPr>
              <w:t>Liczba osób starszych</w:t>
            </w:r>
          </w:p>
        </w:tc>
        <w:tc>
          <w:tcPr>
            <w:tcW w:w="5107" w:type="dxa"/>
            <w:gridSpan w:val="2"/>
          </w:tcPr>
          <w:p w14:paraId="4259E32F" w14:textId="77777777" w:rsidR="00F02288" w:rsidRPr="007726D7" w:rsidRDefault="00F02288" w:rsidP="007B46A6">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7726D7">
              <w:rPr>
                <w:b/>
                <w:sz w:val="20"/>
                <w:szCs w:val="20"/>
              </w:rPr>
              <w:t>Kwota świadczenia</w:t>
            </w:r>
          </w:p>
        </w:tc>
      </w:tr>
      <w:tr w:rsidR="004F0B6F" w:rsidRPr="00B47AAA" w14:paraId="2A9B67D6" w14:textId="77777777" w:rsidTr="00B47AAA">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36329FC7" w14:textId="77777777" w:rsidR="004F0B6F" w:rsidRPr="007726D7" w:rsidRDefault="004F0B6F" w:rsidP="004F0B6F">
            <w:pPr>
              <w:spacing w:line="240" w:lineRule="auto"/>
              <w:rPr>
                <w:rFonts w:eastAsia="Times New Roman"/>
                <w:b w:val="0"/>
                <w:bCs w:val="0"/>
                <w:color w:val="auto"/>
                <w:sz w:val="20"/>
                <w:szCs w:val="20"/>
                <w:lang w:eastAsia="pl-PL"/>
              </w:rPr>
            </w:pPr>
          </w:p>
        </w:tc>
        <w:tc>
          <w:tcPr>
            <w:tcW w:w="3119" w:type="dxa"/>
            <w:gridSpan w:val="2"/>
          </w:tcPr>
          <w:p w14:paraId="4F286384" w14:textId="77777777" w:rsidR="004F0B6F" w:rsidRPr="007726D7" w:rsidRDefault="004F0B6F" w:rsidP="004F0B6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Zasiłek stały</w:t>
            </w:r>
          </w:p>
        </w:tc>
        <w:tc>
          <w:tcPr>
            <w:tcW w:w="3685" w:type="dxa"/>
            <w:gridSpan w:val="2"/>
          </w:tcPr>
          <w:p w14:paraId="5B7EB111" w14:textId="035C2700" w:rsidR="004F0B6F" w:rsidRPr="007726D7" w:rsidRDefault="004F0B6F" w:rsidP="004F0B6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4 438</w:t>
            </w:r>
          </w:p>
        </w:tc>
        <w:tc>
          <w:tcPr>
            <w:tcW w:w="5107" w:type="dxa"/>
            <w:gridSpan w:val="2"/>
          </w:tcPr>
          <w:p w14:paraId="265BCB85" w14:textId="1A7DB85F" w:rsidR="004F0B6F" w:rsidRPr="007726D7" w:rsidRDefault="004F0B6F" w:rsidP="004F0B6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25 098 684,28</w:t>
            </w:r>
            <w:r w:rsidR="007726D7" w:rsidRPr="007726D7">
              <w:rPr>
                <w:sz w:val="20"/>
                <w:szCs w:val="20"/>
              </w:rPr>
              <w:t xml:space="preserve"> zł</w:t>
            </w:r>
          </w:p>
        </w:tc>
      </w:tr>
      <w:tr w:rsidR="004F0B6F" w:rsidRPr="00B47AAA" w14:paraId="54D03625" w14:textId="77777777" w:rsidTr="00B47AAA">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26EB5143" w14:textId="77777777" w:rsidR="004F0B6F" w:rsidRPr="007726D7" w:rsidRDefault="004F0B6F" w:rsidP="004F0B6F">
            <w:pPr>
              <w:spacing w:line="240" w:lineRule="auto"/>
              <w:rPr>
                <w:rFonts w:eastAsia="Times New Roman"/>
                <w:b w:val="0"/>
                <w:bCs w:val="0"/>
                <w:color w:val="auto"/>
                <w:sz w:val="20"/>
                <w:szCs w:val="20"/>
                <w:lang w:eastAsia="pl-PL"/>
              </w:rPr>
            </w:pPr>
          </w:p>
        </w:tc>
        <w:tc>
          <w:tcPr>
            <w:tcW w:w="3119" w:type="dxa"/>
            <w:gridSpan w:val="2"/>
          </w:tcPr>
          <w:p w14:paraId="2C994CFC" w14:textId="77777777" w:rsidR="004F0B6F" w:rsidRPr="007726D7" w:rsidRDefault="004F0B6F" w:rsidP="004F0B6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Zasiłek okresowy</w:t>
            </w:r>
          </w:p>
        </w:tc>
        <w:tc>
          <w:tcPr>
            <w:tcW w:w="3685" w:type="dxa"/>
            <w:gridSpan w:val="2"/>
          </w:tcPr>
          <w:p w14:paraId="102B2AA1" w14:textId="68E2635F" w:rsidR="004F0B6F" w:rsidRPr="007726D7" w:rsidRDefault="004F0B6F" w:rsidP="004F0B6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2 408</w:t>
            </w:r>
          </w:p>
        </w:tc>
        <w:tc>
          <w:tcPr>
            <w:tcW w:w="5107" w:type="dxa"/>
            <w:gridSpan w:val="2"/>
          </w:tcPr>
          <w:p w14:paraId="630F161D" w14:textId="11735361" w:rsidR="004F0B6F" w:rsidRPr="007726D7" w:rsidRDefault="004F0B6F" w:rsidP="004F0B6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4 830 568,20</w:t>
            </w:r>
            <w:r w:rsidR="007726D7" w:rsidRPr="007726D7">
              <w:rPr>
                <w:sz w:val="20"/>
                <w:szCs w:val="20"/>
              </w:rPr>
              <w:t xml:space="preserve"> zł</w:t>
            </w:r>
          </w:p>
        </w:tc>
      </w:tr>
      <w:tr w:rsidR="004F0B6F" w:rsidRPr="00B47AAA" w14:paraId="4DA15DAD" w14:textId="77777777" w:rsidTr="00B47AAA">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52B9FA97" w14:textId="77777777" w:rsidR="004F0B6F" w:rsidRPr="007726D7" w:rsidRDefault="004F0B6F" w:rsidP="004F0B6F">
            <w:pPr>
              <w:spacing w:line="240" w:lineRule="auto"/>
              <w:rPr>
                <w:rFonts w:eastAsia="Times New Roman"/>
                <w:b w:val="0"/>
                <w:bCs w:val="0"/>
                <w:color w:val="auto"/>
                <w:sz w:val="20"/>
                <w:szCs w:val="20"/>
                <w:lang w:eastAsia="pl-PL"/>
              </w:rPr>
            </w:pPr>
          </w:p>
        </w:tc>
        <w:tc>
          <w:tcPr>
            <w:tcW w:w="3119" w:type="dxa"/>
            <w:gridSpan w:val="2"/>
          </w:tcPr>
          <w:p w14:paraId="43CF41D4" w14:textId="77777777" w:rsidR="004F0B6F" w:rsidRPr="007726D7" w:rsidRDefault="004F0B6F" w:rsidP="004F0B6F">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Zasiłek celowy</w:t>
            </w:r>
          </w:p>
        </w:tc>
        <w:tc>
          <w:tcPr>
            <w:tcW w:w="3685" w:type="dxa"/>
            <w:gridSpan w:val="2"/>
          </w:tcPr>
          <w:p w14:paraId="011D4D18" w14:textId="595E90FF" w:rsidR="004F0B6F" w:rsidRPr="007726D7" w:rsidRDefault="004F0B6F" w:rsidP="004F0B6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6 038</w:t>
            </w:r>
          </w:p>
        </w:tc>
        <w:tc>
          <w:tcPr>
            <w:tcW w:w="5107" w:type="dxa"/>
            <w:gridSpan w:val="2"/>
          </w:tcPr>
          <w:p w14:paraId="5C23347C" w14:textId="1D7C74D2" w:rsidR="004F0B6F" w:rsidRPr="007726D7" w:rsidRDefault="004F0B6F" w:rsidP="004F0B6F">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6 736 022,95</w:t>
            </w:r>
            <w:r w:rsidR="007726D7" w:rsidRPr="007726D7">
              <w:rPr>
                <w:sz w:val="20"/>
                <w:szCs w:val="20"/>
              </w:rPr>
              <w:t xml:space="preserve"> zł</w:t>
            </w:r>
          </w:p>
        </w:tc>
      </w:tr>
      <w:tr w:rsidR="004F0B6F" w:rsidRPr="00B47AAA" w14:paraId="5D84BF24" w14:textId="77777777" w:rsidTr="00B47AAA">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429398FA" w14:textId="77777777" w:rsidR="004F0B6F" w:rsidRPr="007726D7" w:rsidRDefault="004F0B6F" w:rsidP="004F0B6F">
            <w:pPr>
              <w:spacing w:line="240" w:lineRule="auto"/>
              <w:rPr>
                <w:rFonts w:eastAsia="Times New Roman"/>
                <w:b w:val="0"/>
                <w:bCs w:val="0"/>
                <w:color w:val="auto"/>
                <w:sz w:val="20"/>
                <w:szCs w:val="20"/>
                <w:lang w:eastAsia="pl-PL"/>
              </w:rPr>
            </w:pPr>
          </w:p>
        </w:tc>
        <w:tc>
          <w:tcPr>
            <w:tcW w:w="3119" w:type="dxa"/>
            <w:gridSpan w:val="2"/>
          </w:tcPr>
          <w:p w14:paraId="33609493" w14:textId="77777777" w:rsidR="004F0B6F" w:rsidRPr="007726D7" w:rsidRDefault="004F0B6F" w:rsidP="004F0B6F">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Specjalny zasiłek celowy</w:t>
            </w:r>
          </w:p>
        </w:tc>
        <w:tc>
          <w:tcPr>
            <w:tcW w:w="3685" w:type="dxa"/>
            <w:gridSpan w:val="2"/>
          </w:tcPr>
          <w:p w14:paraId="1B309882" w14:textId="02F54C09" w:rsidR="004F0B6F" w:rsidRPr="007726D7" w:rsidRDefault="004F0B6F" w:rsidP="004F0B6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7 096</w:t>
            </w:r>
          </w:p>
        </w:tc>
        <w:tc>
          <w:tcPr>
            <w:tcW w:w="5107" w:type="dxa"/>
            <w:gridSpan w:val="2"/>
          </w:tcPr>
          <w:p w14:paraId="3257632F" w14:textId="24E5BFFA" w:rsidR="004F0B6F" w:rsidRPr="007726D7" w:rsidRDefault="004F0B6F" w:rsidP="004F0B6F">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5 176 955,98</w:t>
            </w:r>
            <w:r w:rsidR="007726D7" w:rsidRPr="007726D7">
              <w:rPr>
                <w:sz w:val="20"/>
                <w:szCs w:val="20"/>
              </w:rPr>
              <w:t xml:space="preserve"> zł</w:t>
            </w:r>
          </w:p>
        </w:tc>
      </w:tr>
      <w:tr w:rsidR="00B47AAA" w:rsidRPr="00B47AAA" w14:paraId="3CFA094F" w14:textId="77777777" w:rsidTr="00B47AA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48A5A357" w14:textId="77777777" w:rsidR="00F02288" w:rsidRPr="007726D7" w:rsidRDefault="00F02288" w:rsidP="00386862">
            <w:pPr>
              <w:spacing w:line="240" w:lineRule="auto"/>
              <w:rPr>
                <w:b w:val="0"/>
                <w:color w:val="auto"/>
                <w:sz w:val="20"/>
                <w:szCs w:val="20"/>
                <w:lang w:eastAsia="pl-PL"/>
              </w:rPr>
            </w:pPr>
            <w:r w:rsidRPr="007726D7">
              <w:rPr>
                <w:color w:val="auto"/>
                <w:sz w:val="20"/>
                <w:szCs w:val="20"/>
                <w:lang w:eastAsia="pl-PL"/>
              </w:rPr>
              <w:t>Największe problemy/niedogodności w świadczeniu opieki nad osobami starszymi (np. zasoby kadrowe, rzeczowe, finansowe itp.)</w:t>
            </w:r>
          </w:p>
        </w:tc>
        <w:tc>
          <w:tcPr>
            <w:tcW w:w="11911" w:type="dxa"/>
            <w:gridSpan w:val="6"/>
          </w:tcPr>
          <w:p w14:paraId="15782397" w14:textId="77777777" w:rsidR="00F02288" w:rsidRPr="007726D7" w:rsidRDefault="00F02288" w:rsidP="00386862">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b/>
                <w:sz w:val="20"/>
                <w:szCs w:val="20"/>
              </w:rPr>
              <w:t>1.</w:t>
            </w:r>
            <w:r w:rsidRPr="007726D7">
              <w:rPr>
                <w:sz w:val="20"/>
                <w:szCs w:val="20"/>
              </w:rPr>
              <w:t xml:space="preserve"> Finansowe</w:t>
            </w:r>
          </w:p>
        </w:tc>
      </w:tr>
      <w:tr w:rsidR="00B47AAA" w:rsidRPr="00B47AAA" w14:paraId="59EC66C9" w14:textId="77777777" w:rsidTr="00B47AAA">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5F43F10A" w14:textId="77777777" w:rsidR="00F02288" w:rsidRPr="007726D7" w:rsidRDefault="00F02288" w:rsidP="00386862">
            <w:pPr>
              <w:spacing w:line="240" w:lineRule="auto"/>
              <w:rPr>
                <w:color w:val="auto"/>
                <w:sz w:val="20"/>
                <w:szCs w:val="20"/>
                <w:lang w:eastAsia="pl-PL"/>
              </w:rPr>
            </w:pPr>
          </w:p>
        </w:tc>
        <w:tc>
          <w:tcPr>
            <w:tcW w:w="11911" w:type="dxa"/>
            <w:gridSpan w:val="6"/>
          </w:tcPr>
          <w:p w14:paraId="4C830890" w14:textId="77777777" w:rsidR="00F02288" w:rsidRPr="007726D7" w:rsidRDefault="00F02288" w:rsidP="00386862">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b/>
                <w:sz w:val="20"/>
                <w:szCs w:val="20"/>
              </w:rPr>
              <w:t>2.</w:t>
            </w:r>
            <w:r w:rsidRPr="007726D7">
              <w:rPr>
                <w:sz w:val="20"/>
                <w:szCs w:val="20"/>
              </w:rPr>
              <w:t xml:space="preserve"> Kadrowe</w:t>
            </w:r>
          </w:p>
        </w:tc>
      </w:tr>
      <w:tr w:rsidR="00B47AAA" w:rsidRPr="00B47AAA" w14:paraId="6D6BEF60" w14:textId="77777777" w:rsidTr="00B47AAA">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5D300B21" w14:textId="77777777" w:rsidR="00F02288" w:rsidRPr="007726D7" w:rsidRDefault="00F02288" w:rsidP="00386862">
            <w:pPr>
              <w:spacing w:line="240" w:lineRule="auto"/>
              <w:rPr>
                <w:color w:val="auto"/>
                <w:sz w:val="20"/>
                <w:szCs w:val="20"/>
                <w:lang w:eastAsia="pl-PL"/>
              </w:rPr>
            </w:pPr>
          </w:p>
        </w:tc>
        <w:tc>
          <w:tcPr>
            <w:tcW w:w="11911" w:type="dxa"/>
            <w:gridSpan w:val="6"/>
          </w:tcPr>
          <w:p w14:paraId="1727D03A" w14:textId="77777777" w:rsidR="00F02288" w:rsidRPr="007726D7" w:rsidRDefault="00F02288" w:rsidP="00386862">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b/>
                <w:sz w:val="20"/>
                <w:szCs w:val="20"/>
              </w:rPr>
              <w:t>3.</w:t>
            </w:r>
            <w:r w:rsidRPr="007726D7">
              <w:rPr>
                <w:sz w:val="20"/>
                <w:szCs w:val="20"/>
              </w:rPr>
              <w:t xml:space="preserve"> Rzeczowe</w:t>
            </w:r>
          </w:p>
        </w:tc>
      </w:tr>
      <w:tr w:rsidR="00B47AAA" w:rsidRPr="00B47AAA" w14:paraId="0C2BA438" w14:textId="77777777" w:rsidTr="00B47AAA">
        <w:trPr>
          <w:trHeight w:val="442"/>
        </w:trPr>
        <w:tc>
          <w:tcPr>
            <w:cnfStyle w:val="001000000000" w:firstRow="0" w:lastRow="0" w:firstColumn="1" w:lastColumn="0" w:oddVBand="0" w:evenVBand="0" w:oddHBand="0" w:evenHBand="0" w:firstRowFirstColumn="0" w:firstRowLastColumn="0" w:lastRowFirstColumn="0" w:lastRowLastColumn="0"/>
            <w:tcW w:w="2830" w:type="dxa"/>
          </w:tcPr>
          <w:p w14:paraId="60CB1974" w14:textId="77777777" w:rsidR="00F02288" w:rsidRPr="007726D7" w:rsidRDefault="00F02288" w:rsidP="00386862">
            <w:pPr>
              <w:spacing w:line="240" w:lineRule="auto"/>
              <w:rPr>
                <w:color w:val="auto"/>
                <w:sz w:val="20"/>
                <w:szCs w:val="20"/>
                <w:lang w:eastAsia="pl-PL"/>
              </w:rPr>
            </w:pPr>
            <w:r w:rsidRPr="007726D7">
              <w:rPr>
                <w:color w:val="auto"/>
                <w:sz w:val="20"/>
                <w:szCs w:val="20"/>
                <w:lang w:eastAsia="pl-PL"/>
              </w:rPr>
              <w:t>Stopień zaspokojenia potrzeb w zakresie usług opiekuńczych</w:t>
            </w:r>
          </w:p>
        </w:tc>
        <w:tc>
          <w:tcPr>
            <w:tcW w:w="11911" w:type="dxa"/>
            <w:gridSpan w:val="6"/>
          </w:tcPr>
          <w:p w14:paraId="6A9C606A" w14:textId="1284FE70" w:rsidR="00F02288" w:rsidRPr="007726D7" w:rsidRDefault="00B47AAA" w:rsidP="00386862">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Jednostki samorządu terytorialnego województwa wielkopolskiego w zdecydowanej większości określają stopień zaspokojenia potrzeb w zakresie usług opiekuńczych na poziomie zadowalającym.</w:t>
            </w:r>
          </w:p>
        </w:tc>
      </w:tr>
    </w:tbl>
    <w:p w14:paraId="0147A66E" w14:textId="77777777" w:rsidR="005C6286" w:rsidRPr="005C6286" w:rsidRDefault="005C6286" w:rsidP="005C6286">
      <w:pPr>
        <w:tabs>
          <w:tab w:val="left" w:pos="5400"/>
        </w:tabs>
        <w:rPr>
          <w:rFonts w:eastAsia="Times New Roman" w:cs="Times New Roman"/>
          <w:b/>
          <w:szCs w:val="24"/>
          <w:lang w:eastAsia="pl-PL"/>
        </w:rPr>
      </w:pPr>
      <w:r w:rsidRPr="005C6286">
        <w:rPr>
          <w:rFonts w:eastAsia="Times New Roman" w:cs="Times New Roman"/>
          <w:b/>
          <w:szCs w:val="24"/>
          <w:lang w:eastAsia="pl-PL"/>
        </w:rPr>
        <w:t xml:space="preserve">Źródło: Dane Wojewody </w:t>
      </w:r>
      <w:r>
        <w:rPr>
          <w:rFonts w:eastAsia="Times New Roman" w:cs="Times New Roman"/>
          <w:b/>
          <w:szCs w:val="24"/>
          <w:lang w:eastAsia="pl-PL"/>
        </w:rPr>
        <w:t>Wielkopolskiego</w:t>
      </w:r>
      <w:r w:rsidRPr="005C6286">
        <w:rPr>
          <w:rFonts w:eastAsia="Times New Roman" w:cs="Times New Roman"/>
          <w:b/>
          <w:szCs w:val="24"/>
          <w:lang w:eastAsia="pl-PL"/>
        </w:rPr>
        <w:t xml:space="preserve">. </w:t>
      </w:r>
    </w:p>
    <w:p w14:paraId="34C87246" w14:textId="77777777" w:rsidR="00F02288" w:rsidRPr="0092226B" w:rsidRDefault="00F02288" w:rsidP="00FE70E3">
      <w:pPr>
        <w:pStyle w:val="Nagwek2"/>
        <w:numPr>
          <w:ilvl w:val="1"/>
          <w:numId w:val="12"/>
        </w:numPr>
        <w:spacing w:before="0"/>
        <w:rPr>
          <w:rFonts w:eastAsia="Times New Roman" w:cs="Times New Roman"/>
          <w:color w:val="FF0000"/>
          <w:sz w:val="24"/>
          <w:szCs w:val="24"/>
          <w:lang w:eastAsia="ar-SA"/>
        </w:rPr>
        <w:sectPr w:rsidR="00F02288" w:rsidRPr="0092226B" w:rsidSect="00F02288">
          <w:pgSz w:w="16840" w:h="11906" w:orient="landscape"/>
          <w:pgMar w:top="1418" w:right="1418" w:bottom="1418" w:left="1417" w:header="708" w:footer="708" w:gutter="0"/>
          <w:cols w:space="708"/>
          <w:docGrid w:linePitch="360"/>
        </w:sectPr>
      </w:pPr>
    </w:p>
    <w:p w14:paraId="08D4B6A2" w14:textId="77777777" w:rsidR="00BB5D9D" w:rsidRPr="003C373A" w:rsidRDefault="003C373A" w:rsidP="00FE70E3">
      <w:pPr>
        <w:pStyle w:val="Nagwek2"/>
        <w:numPr>
          <w:ilvl w:val="1"/>
          <w:numId w:val="12"/>
        </w:numPr>
        <w:spacing w:before="240" w:after="240"/>
        <w:rPr>
          <w:rFonts w:eastAsia="Times New Roman" w:cs="Times New Roman"/>
          <w:sz w:val="40"/>
          <w:lang w:eastAsia="ar-SA"/>
        </w:rPr>
      </w:pPr>
      <w:r>
        <w:rPr>
          <w:rFonts w:eastAsia="Times New Roman" w:cs="Times New Roman"/>
          <w:color w:val="FF0000"/>
          <w:sz w:val="40"/>
          <w:lang w:eastAsia="ar-SA"/>
        </w:rPr>
        <w:lastRenderedPageBreak/>
        <w:t xml:space="preserve"> </w:t>
      </w:r>
      <w:bookmarkStart w:id="325" w:name="_Toc80523204"/>
      <w:r w:rsidR="00B25D75" w:rsidRPr="003C373A">
        <w:rPr>
          <w:rFonts w:eastAsia="Times New Roman" w:cs="Times New Roman"/>
          <w:sz w:val="40"/>
          <w:lang w:eastAsia="ar-SA"/>
        </w:rPr>
        <w:t xml:space="preserve">Województwo </w:t>
      </w:r>
      <w:r w:rsidR="005F0A32" w:rsidRPr="003C373A">
        <w:rPr>
          <w:rFonts w:eastAsia="Times New Roman" w:cs="Times New Roman"/>
          <w:sz w:val="40"/>
          <w:lang w:eastAsia="ar-SA"/>
        </w:rPr>
        <w:t>z</w:t>
      </w:r>
      <w:r w:rsidR="00475EFA" w:rsidRPr="003C373A">
        <w:rPr>
          <w:rFonts w:eastAsia="Times New Roman" w:cs="Times New Roman"/>
          <w:sz w:val="40"/>
          <w:lang w:eastAsia="ar-SA"/>
        </w:rPr>
        <w:t>achodniopomorskie</w:t>
      </w:r>
      <w:bookmarkEnd w:id="325"/>
    </w:p>
    <w:p w14:paraId="4FF4D513" w14:textId="77777777" w:rsidR="00A871AD" w:rsidRPr="00A871AD" w:rsidRDefault="00A871AD" w:rsidP="00A871AD">
      <w:pPr>
        <w:pStyle w:val="Akapitzlist"/>
        <w:keepNext/>
        <w:keepLines/>
        <w:numPr>
          <w:ilvl w:val="1"/>
          <w:numId w:val="1"/>
        </w:numPr>
        <w:spacing w:before="120" w:after="120"/>
        <w:contextualSpacing w:val="0"/>
        <w:outlineLvl w:val="1"/>
        <w:rPr>
          <w:rFonts w:eastAsiaTheme="majorEastAsia" w:cstheme="majorBidi"/>
          <w:b/>
          <w:vanish/>
          <w:color w:val="ED7D31" w:themeColor="accent2"/>
          <w:sz w:val="34"/>
          <w:szCs w:val="26"/>
          <w:lang w:eastAsia="ar-SA"/>
        </w:rPr>
      </w:pPr>
      <w:bookmarkStart w:id="326" w:name="_Toc80523205"/>
      <w:bookmarkStart w:id="327" w:name="_Toc77514043"/>
      <w:bookmarkEnd w:id="326"/>
    </w:p>
    <w:p w14:paraId="636F239A" w14:textId="7C973632" w:rsidR="003C373A" w:rsidRDefault="003C373A" w:rsidP="00A871AD">
      <w:pPr>
        <w:pStyle w:val="Nagwek3"/>
        <w:rPr>
          <w:lang w:eastAsia="ar-SA"/>
        </w:rPr>
      </w:pPr>
      <w:bookmarkStart w:id="328" w:name="_Toc80523206"/>
      <w:r w:rsidRPr="006C7311">
        <w:rPr>
          <w:lang w:eastAsia="ar-SA"/>
        </w:rPr>
        <w:t>Aktywność ekonomiczna i warunki bytowe</w:t>
      </w:r>
      <w:bookmarkEnd w:id="327"/>
      <w:bookmarkEnd w:id="328"/>
    </w:p>
    <w:p w14:paraId="50070C69" w14:textId="77777777" w:rsidR="000B1B06" w:rsidRPr="000B1B06" w:rsidRDefault="000B1B06" w:rsidP="000B1B06">
      <w:pPr>
        <w:rPr>
          <w:lang w:eastAsia="ar-SA"/>
        </w:rPr>
      </w:pPr>
    </w:p>
    <w:p w14:paraId="39B5BCBA" w14:textId="1B8A4351" w:rsidR="003C373A" w:rsidRPr="006C7311" w:rsidRDefault="003C373A" w:rsidP="006C7311">
      <w:pPr>
        <w:rPr>
          <w:rFonts w:cs="Times New Roman"/>
          <w:szCs w:val="24"/>
        </w:rPr>
      </w:pPr>
      <w:r w:rsidRPr="006C7311">
        <w:rPr>
          <w:rFonts w:cs="Times New Roman"/>
          <w:szCs w:val="24"/>
        </w:rPr>
        <w:t>W 2020 r. w województwie zachodniopomorskim przeciętny miesięczny dochód rozporządzalny przypadający na 1 osobę w gospodarstwach domowych wyniósł  1862 zł. Na</w:t>
      </w:r>
      <w:r w:rsidR="00A76E31">
        <w:rPr>
          <w:rFonts w:cs="Times New Roman"/>
          <w:szCs w:val="24"/>
        </w:rPr>
        <w:t> </w:t>
      </w:r>
      <w:r w:rsidRPr="006C7311">
        <w:rPr>
          <w:rFonts w:cs="Times New Roman"/>
          <w:szCs w:val="24"/>
        </w:rPr>
        <w:t>dochód rozporządzalny gospodarstwa domowego składają się przede wszystkim dochody z</w:t>
      </w:r>
      <w:r w:rsidR="00A76E31">
        <w:rPr>
          <w:rFonts w:cs="Times New Roman"/>
          <w:szCs w:val="24"/>
        </w:rPr>
        <w:t> </w:t>
      </w:r>
      <w:r w:rsidRPr="006C7311">
        <w:rPr>
          <w:rFonts w:cs="Times New Roman"/>
          <w:szCs w:val="24"/>
        </w:rPr>
        <w:t>pracy najemnej oraz dochody ze świadczeń społecznych. W 2020 r. ich udział w dochodzie rozporządzalnym wyniósł odpowiednio 49,8% i 39,6%. W 2020 r. przeciętne miesięczne wydatki na 1 osobę w gospodarstwach domowych wyniosły 1243 zł.  Na żywność i napoje bezalkoholowe gospodarstwa domowe przeznaczały przeciętnie 29,2% ogólnej kwoty wydatków, na opłaty z tytułu użytkowania mieszkania lub domu i za korzystanie z nośników energii - 20,3%, a na zdrowie – 4,4%.</w:t>
      </w:r>
    </w:p>
    <w:p w14:paraId="0C15EB6A" w14:textId="77777777" w:rsidR="003C373A" w:rsidRPr="006C7311" w:rsidRDefault="003C373A" w:rsidP="006C7311">
      <w:pPr>
        <w:rPr>
          <w:rFonts w:cs="Times New Roman"/>
          <w:szCs w:val="24"/>
        </w:rPr>
      </w:pPr>
    </w:p>
    <w:p w14:paraId="3FF4EBB1" w14:textId="77777777" w:rsidR="003C373A" w:rsidRPr="006C7311" w:rsidRDefault="003C373A" w:rsidP="006C7311">
      <w:pPr>
        <w:rPr>
          <w:rFonts w:cs="Times New Roman"/>
          <w:szCs w:val="24"/>
        </w:rPr>
      </w:pPr>
      <w:r w:rsidRPr="006C7311">
        <w:rPr>
          <w:rFonts w:cs="Times New Roman"/>
          <w:szCs w:val="24"/>
        </w:rPr>
        <w:t>W 2020 r. swoją sytuację materialną jako bardzo dobrą i raczej dobrą oceniło 47,6% gospodarstw domowych. Udział gospodarstw określających swoją sytuację materialną jako przeciętną wyniósł 42,1%, a raczej złą i złą ukształtował się na poziomie 10,3%.</w:t>
      </w:r>
    </w:p>
    <w:p w14:paraId="3202C942" w14:textId="77777777" w:rsidR="006C7311" w:rsidRDefault="006C7311" w:rsidP="006C7311">
      <w:pPr>
        <w:rPr>
          <w:rFonts w:cs="Times New Roman"/>
          <w:szCs w:val="24"/>
        </w:rPr>
      </w:pPr>
    </w:p>
    <w:p w14:paraId="2FEFA84B" w14:textId="77777777" w:rsidR="003C373A" w:rsidRPr="006C7311" w:rsidRDefault="003C373A" w:rsidP="006C7311">
      <w:pPr>
        <w:rPr>
          <w:rFonts w:cs="Times New Roman"/>
          <w:szCs w:val="24"/>
        </w:rPr>
      </w:pPr>
      <w:r w:rsidRPr="006C7311">
        <w:rPr>
          <w:rFonts w:cs="Times New Roman"/>
          <w:szCs w:val="24"/>
        </w:rPr>
        <w:t>W analizowanym roku przeciętna liczba osób w gospodarstwie domowym ukształtowała się na poziomie 2,40. Przeciętna powierzchnia użytkowa mieszkania zajmowana przez gospodarstwo domowe wyniosła 72,88 m</w:t>
      </w:r>
      <w:r w:rsidRPr="00422DC6">
        <w:rPr>
          <w:rFonts w:cs="Times New Roman"/>
          <w:szCs w:val="24"/>
          <w:vertAlign w:val="superscript"/>
        </w:rPr>
        <w:t>2</w:t>
      </w:r>
      <w:r w:rsidRPr="006C7311">
        <w:rPr>
          <w:rFonts w:cs="Times New Roman"/>
          <w:szCs w:val="24"/>
        </w:rPr>
        <w:t>.</w:t>
      </w:r>
    </w:p>
    <w:p w14:paraId="18180B62" w14:textId="77777777" w:rsidR="006C7311" w:rsidRDefault="006C7311" w:rsidP="006C7311">
      <w:pPr>
        <w:pStyle w:val="Legenda"/>
        <w:keepNext/>
        <w:rPr>
          <w:rFonts w:cs="Times New Roman"/>
          <w:i w:val="0"/>
          <w:iCs w:val="0"/>
          <w:color w:val="auto"/>
          <w:sz w:val="24"/>
          <w:szCs w:val="24"/>
        </w:rPr>
      </w:pPr>
    </w:p>
    <w:p w14:paraId="6D7962AD" w14:textId="071F6FC1" w:rsidR="003C373A" w:rsidRDefault="003C373A" w:rsidP="006C7311">
      <w:pPr>
        <w:pStyle w:val="Legenda"/>
        <w:keepNext/>
        <w:rPr>
          <w:rFonts w:cs="Times New Roman"/>
          <w:b/>
          <w:i w:val="0"/>
          <w:color w:val="auto"/>
          <w:sz w:val="24"/>
        </w:rPr>
      </w:pPr>
      <w:r w:rsidRPr="00432294">
        <w:rPr>
          <w:rFonts w:cs="Times New Roman"/>
          <w:b/>
          <w:i w:val="0"/>
          <w:color w:val="auto"/>
          <w:sz w:val="24"/>
        </w:rPr>
        <w:t xml:space="preserve">Tabela </w:t>
      </w:r>
      <w:r w:rsidR="00A871AD">
        <w:rPr>
          <w:rFonts w:cs="Times New Roman"/>
          <w:b/>
          <w:i w:val="0"/>
          <w:color w:val="auto"/>
          <w:sz w:val="24"/>
        </w:rPr>
        <w:t>79</w:t>
      </w:r>
      <w:r w:rsidR="00054E88">
        <w:rPr>
          <w:rFonts w:cs="Times New Roman"/>
          <w:b/>
          <w:i w:val="0"/>
          <w:color w:val="auto"/>
          <w:sz w:val="24"/>
        </w:rPr>
        <w:t>.</w:t>
      </w:r>
      <w:r w:rsidRPr="00432294">
        <w:rPr>
          <w:rFonts w:cs="Times New Roman"/>
          <w:b/>
          <w:i w:val="0"/>
          <w:color w:val="auto"/>
          <w:sz w:val="24"/>
        </w:rPr>
        <w:t xml:space="preserve"> </w:t>
      </w:r>
      <w:r>
        <w:rPr>
          <w:rFonts w:cs="Times New Roman"/>
          <w:b/>
          <w:i w:val="0"/>
          <w:color w:val="auto"/>
          <w:sz w:val="24"/>
        </w:rPr>
        <w:t xml:space="preserve">Aktywność ekonomiczna osób starszych w województwie zachodniopomorskim </w:t>
      </w:r>
    </w:p>
    <w:tbl>
      <w:tblPr>
        <w:tblStyle w:val="Tabelasiatki6kolorowaakcent2"/>
        <w:tblpPr w:leftFromText="141" w:rightFromText="141" w:vertAnchor="text" w:tblpXSpec="center" w:tblpY="1"/>
        <w:tblW w:w="9322" w:type="dxa"/>
        <w:tblLayout w:type="fixed"/>
        <w:tblLook w:val="04A0" w:firstRow="1" w:lastRow="0" w:firstColumn="1" w:lastColumn="0" w:noHBand="0" w:noVBand="1"/>
      </w:tblPr>
      <w:tblGrid>
        <w:gridCol w:w="2296"/>
        <w:gridCol w:w="3969"/>
        <w:gridCol w:w="3057"/>
      </w:tblGrid>
      <w:tr w:rsidR="003C373A" w:rsidRPr="00422DC6" w14:paraId="6AAAA1DA" w14:textId="77777777" w:rsidTr="006C7311">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322" w:type="dxa"/>
            <w:gridSpan w:val="3"/>
          </w:tcPr>
          <w:p w14:paraId="64CB69E7" w14:textId="77777777" w:rsidR="003C373A" w:rsidRPr="00422DC6" w:rsidRDefault="003C373A" w:rsidP="00AF3BFA">
            <w:pPr>
              <w:jc w:val="center"/>
              <w:rPr>
                <w:rFonts w:cs="Times New Roman"/>
                <w:color w:val="auto"/>
                <w:sz w:val="20"/>
                <w:szCs w:val="20"/>
              </w:rPr>
            </w:pPr>
            <w:r w:rsidRPr="00422DC6">
              <w:rPr>
                <w:rFonts w:cs="Times New Roman"/>
                <w:color w:val="auto"/>
                <w:sz w:val="20"/>
                <w:szCs w:val="20"/>
                <w:lang w:eastAsia="pl-PL"/>
              </w:rPr>
              <w:t>AKTYWNOŚĆ EKONOMICZNA OSÓB STARSZYCH – DANE ZA 2020 R.</w:t>
            </w:r>
          </w:p>
        </w:tc>
      </w:tr>
      <w:tr w:rsidR="003C373A" w:rsidRPr="00422DC6" w14:paraId="6225292D" w14:textId="77777777" w:rsidTr="006C731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265" w:type="dxa"/>
            <w:gridSpan w:val="2"/>
          </w:tcPr>
          <w:p w14:paraId="2F10075B" w14:textId="77777777" w:rsidR="003C373A" w:rsidRPr="00422DC6" w:rsidRDefault="003C373A" w:rsidP="00AF3BFA">
            <w:pPr>
              <w:rPr>
                <w:rFonts w:cs="Times New Roman"/>
                <w:color w:val="auto"/>
                <w:sz w:val="20"/>
                <w:szCs w:val="20"/>
              </w:rPr>
            </w:pPr>
            <w:r w:rsidRPr="00422DC6">
              <w:rPr>
                <w:rFonts w:cs="Times New Roman"/>
                <w:color w:val="auto"/>
                <w:sz w:val="20"/>
                <w:szCs w:val="20"/>
              </w:rPr>
              <w:t>Podział</w:t>
            </w:r>
          </w:p>
        </w:tc>
        <w:tc>
          <w:tcPr>
            <w:tcW w:w="3057" w:type="dxa"/>
          </w:tcPr>
          <w:p w14:paraId="14F6FBC3" w14:textId="77777777" w:rsidR="003C373A" w:rsidRPr="00422DC6" w:rsidRDefault="003C373A" w:rsidP="00AF3BFA">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422DC6">
              <w:rPr>
                <w:rFonts w:cs="Times New Roman"/>
                <w:b/>
                <w:color w:val="auto"/>
                <w:sz w:val="20"/>
                <w:szCs w:val="20"/>
              </w:rPr>
              <w:t>Liczba</w:t>
            </w:r>
          </w:p>
        </w:tc>
      </w:tr>
      <w:tr w:rsidR="003C373A" w:rsidRPr="00422DC6" w14:paraId="2378D62B" w14:textId="77777777" w:rsidTr="006C7311">
        <w:trPr>
          <w:trHeight w:val="224"/>
        </w:trPr>
        <w:tc>
          <w:tcPr>
            <w:cnfStyle w:val="001000000000" w:firstRow="0" w:lastRow="0" w:firstColumn="1" w:lastColumn="0" w:oddVBand="0" w:evenVBand="0" w:oddHBand="0" w:evenHBand="0" w:firstRowFirstColumn="0" w:firstRowLastColumn="0" w:lastRowFirstColumn="0" w:lastRowLastColumn="0"/>
            <w:tcW w:w="2296" w:type="dxa"/>
            <w:vMerge w:val="restart"/>
          </w:tcPr>
          <w:p w14:paraId="46A98C2C" w14:textId="77777777" w:rsidR="003C373A" w:rsidRPr="00422DC6" w:rsidRDefault="003C373A" w:rsidP="00AF3BFA">
            <w:pPr>
              <w:rPr>
                <w:rFonts w:cs="Times New Roman"/>
                <w:b w:val="0"/>
                <w:color w:val="auto"/>
                <w:sz w:val="20"/>
                <w:szCs w:val="20"/>
                <w:lang w:eastAsia="pl-PL"/>
              </w:rPr>
            </w:pPr>
            <w:r w:rsidRPr="00422DC6">
              <w:rPr>
                <w:rFonts w:cs="Times New Roman"/>
                <w:color w:val="auto"/>
                <w:sz w:val="20"/>
                <w:szCs w:val="20"/>
                <w:lang w:eastAsia="pl-PL"/>
              </w:rPr>
              <w:t>Osoby aktywne zawodowo razem (w tys.)</w:t>
            </w:r>
          </w:p>
        </w:tc>
        <w:tc>
          <w:tcPr>
            <w:tcW w:w="3969" w:type="dxa"/>
          </w:tcPr>
          <w:p w14:paraId="7173523E"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ogółem</w:t>
            </w:r>
          </w:p>
        </w:tc>
        <w:tc>
          <w:tcPr>
            <w:tcW w:w="3057" w:type="dxa"/>
          </w:tcPr>
          <w:p w14:paraId="702701B1"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721</w:t>
            </w:r>
          </w:p>
        </w:tc>
      </w:tr>
      <w:tr w:rsidR="003C373A" w:rsidRPr="00422DC6" w14:paraId="69A58289" w14:textId="77777777" w:rsidTr="00A76E31">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296" w:type="dxa"/>
            <w:vMerge/>
          </w:tcPr>
          <w:p w14:paraId="6DBCF4A1" w14:textId="77777777" w:rsidR="003C373A" w:rsidRPr="00422DC6" w:rsidRDefault="003C373A" w:rsidP="00AF3BFA">
            <w:pPr>
              <w:rPr>
                <w:rFonts w:cs="Times New Roman"/>
                <w:b w:val="0"/>
                <w:color w:val="auto"/>
                <w:sz w:val="20"/>
                <w:szCs w:val="20"/>
                <w:lang w:eastAsia="pl-PL"/>
              </w:rPr>
            </w:pPr>
          </w:p>
        </w:tc>
        <w:tc>
          <w:tcPr>
            <w:tcW w:w="3969" w:type="dxa"/>
          </w:tcPr>
          <w:p w14:paraId="0501A97F"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w tym w wieku 60+</w:t>
            </w:r>
          </w:p>
        </w:tc>
        <w:tc>
          <w:tcPr>
            <w:tcW w:w="3057" w:type="dxa"/>
          </w:tcPr>
          <w:p w14:paraId="2BD01AEB"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69</w:t>
            </w:r>
          </w:p>
        </w:tc>
      </w:tr>
      <w:tr w:rsidR="003C373A" w:rsidRPr="00422DC6" w14:paraId="4E579576" w14:textId="77777777" w:rsidTr="006C7311">
        <w:trPr>
          <w:trHeight w:val="285"/>
        </w:trPr>
        <w:tc>
          <w:tcPr>
            <w:cnfStyle w:val="001000000000" w:firstRow="0" w:lastRow="0" w:firstColumn="1" w:lastColumn="0" w:oddVBand="0" w:evenVBand="0" w:oddHBand="0" w:evenHBand="0" w:firstRowFirstColumn="0" w:firstRowLastColumn="0" w:lastRowFirstColumn="0" w:lastRowLastColumn="0"/>
            <w:tcW w:w="2296" w:type="dxa"/>
            <w:vMerge w:val="restart"/>
          </w:tcPr>
          <w:p w14:paraId="0D8DA175" w14:textId="77777777" w:rsidR="003C373A" w:rsidRPr="00422DC6" w:rsidRDefault="003C373A" w:rsidP="00AF3BFA">
            <w:pPr>
              <w:rPr>
                <w:rFonts w:cs="Times New Roman"/>
                <w:b w:val="0"/>
                <w:color w:val="auto"/>
                <w:sz w:val="20"/>
                <w:szCs w:val="20"/>
                <w:lang w:eastAsia="pl-PL"/>
              </w:rPr>
            </w:pPr>
            <w:r w:rsidRPr="00422DC6">
              <w:rPr>
                <w:rFonts w:cs="Times New Roman"/>
                <w:color w:val="auto"/>
                <w:sz w:val="20"/>
                <w:szCs w:val="20"/>
                <w:lang w:eastAsia="pl-PL"/>
              </w:rPr>
              <w:t xml:space="preserve">Osoby aktywne zawodowo </w:t>
            </w:r>
            <w:r w:rsidRPr="00422DC6">
              <w:rPr>
                <w:rFonts w:cs="Times New Roman"/>
                <w:color w:val="auto"/>
                <w:sz w:val="20"/>
                <w:szCs w:val="20"/>
                <w:lang w:eastAsia="pl-PL"/>
              </w:rPr>
              <w:br/>
              <w:t>– pracujący (w tys.)</w:t>
            </w:r>
          </w:p>
        </w:tc>
        <w:tc>
          <w:tcPr>
            <w:tcW w:w="3969" w:type="dxa"/>
          </w:tcPr>
          <w:p w14:paraId="0D77B742"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Ogółem</w:t>
            </w:r>
          </w:p>
        </w:tc>
        <w:tc>
          <w:tcPr>
            <w:tcW w:w="3057" w:type="dxa"/>
          </w:tcPr>
          <w:p w14:paraId="44BE29D4"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696</w:t>
            </w:r>
          </w:p>
        </w:tc>
      </w:tr>
      <w:tr w:rsidR="003C373A" w:rsidRPr="00422DC6" w14:paraId="5259C534" w14:textId="77777777" w:rsidTr="00A76E31">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296" w:type="dxa"/>
            <w:vMerge/>
          </w:tcPr>
          <w:p w14:paraId="110DBBD8" w14:textId="77777777" w:rsidR="003C373A" w:rsidRPr="00422DC6" w:rsidRDefault="003C373A" w:rsidP="00AF3BFA">
            <w:pPr>
              <w:rPr>
                <w:rFonts w:cs="Times New Roman"/>
                <w:b w:val="0"/>
                <w:color w:val="auto"/>
                <w:sz w:val="20"/>
                <w:szCs w:val="20"/>
                <w:lang w:eastAsia="pl-PL"/>
              </w:rPr>
            </w:pPr>
          </w:p>
        </w:tc>
        <w:tc>
          <w:tcPr>
            <w:tcW w:w="3969" w:type="dxa"/>
          </w:tcPr>
          <w:p w14:paraId="56EBF721"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w tym w wieku 60+</w:t>
            </w:r>
          </w:p>
        </w:tc>
        <w:tc>
          <w:tcPr>
            <w:tcW w:w="3057" w:type="dxa"/>
          </w:tcPr>
          <w:p w14:paraId="35748687"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68</w:t>
            </w:r>
          </w:p>
        </w:tc>
      </w:tr>
      <w:tr w:rsidR="003C373A" w:rsidRPr="00422DC6" w14:paraId="43BF6BB8" w14:textId="77777777" w:rsidTr="006C7311">
        <w:trPr>
          <w:trHeight w:val="224"/>
        </w:trPr>
        <w:tc>
          <w:tcPr>
            <w:cnfStyle w:val="001000000000" w:firstRow="0" w:lastRow="0" w:firstColumn="1" w:lastColumn="0" w:oddVBand="0" w:evenVBand="0" w:oddHBand="0" w:evenHBand="0" w:firstRowFirstColumn="0" w:firstRowLastColumn="0" w:lastRowFirstColumn="0" w:lastRowLastColumn="0"/>
            <w:tcW w:w="2296" w:type="dxa"/>
            <w:vMerge w:val="restart"/>
          </w:tcPr>
          <w:p w14:paraId="58EF45C3" w14:textId="77777777" w:rsidR="003C373A" w:rsidRPr="00422DC6" w:rsidRDefault="003C373A" w:rsidP="00AF3BFA">
            <w:pPr>
              <w:rPr>
                <w:rFonts w:cs="Times New Roman"/>
                <w:b w:val="0"/>
                <w:color w:val="auto"/>
                <w:sz w:val="20"/>
                <w:szCs w:val="20"/>
                <w:lang w:eastAsia="pl-PL"/>
              </w:rPr>
            </w:pPr>
            <w:r w:rsidRPr="00422DC6">
              <w:rPr>
                <w:rFonts w:cs="Times New Roman"/>
                <w:color w:val="auto"/>
                <w:sz w:val="20"/>
                <w:szCs w:val="20"/>
                <w:lang w:eastAsia="pl-PL"/>
              </w:rPr>
              <w:t>Osoby bierne zawodowo          (w tys.)</w:t>
            </w:r>
          </w:p>
        </w:tc>
        <w:tc>
          <w:tcPr>
            <w:tcW w:w="3969" w:type="dxa"/>
          </w:tcPr>
          <w:p w14:paraId="6E543CED"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ogółem</w:t>
            </w:r>
          </w:p>
        </w:tc>
        <w:tc>
          <w:tcPr>
            <w:tcW w:w="3057" w:type="dxa"/>
          </w:tcPr>
          <w:p w14:paraId="30B2504D"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610</w:t>
            </w:r>
          </w:p>
        </w:tc>
      </w:tr>
      <w:tr w:rsidR="003C373A" w:rsidRPr="00422DC6" w14:paraId="0D5FAFAA" w14:textId="77777777" w:rsidTr="00A76E3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296" w:type="dxa"/>
            <w:vMerge/>
          </w:tcPr>
          <w:p w14:paraId="21945234" w14:textId="77777777" w:rsidR="003C373A" w:rsidRPr="00422DC6" w:rsidRDefault="003C373A" w:rsidP="00AF3BFA">
            <w:pPr>
              <w:rPr>
                <w:rFonts w:cs="Times New Roman"/>
                <w:b w:val="0"/>
                <w:color w:val="auto"/>
                <w:sz w:val="20"/>
                <w:szCs w:val="20"/>
                <w:lang w:eastAsia="pl-PL"/>
              </w:rPr>
            </w:pPr>
          </w:p>
        </w:tc>
        <w:tc>
          <w:tcPr>
            <w:tcW w:w="3969" w:type="dxa"/>
          </w:tcPr>
          <w:p w14:paraId="52225EFE"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w tym w wieku 60+</w:t>
            </w:r>
          </w:p>
        </w:tc>
        <w:tc>
          <w:tcPr>
            <w:tcW w:w="3057" w:type="dxa"/>
          </w:tcPr>
          <w:p w14:paraId="0BA328C4"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371</w:t>
            </w:r>
          </w:p>
        </w:tc>
      </w:tr>
      <w:tr w:rsidR="003C373A" w:rsidRPr="00422DC6" w14:paraId="3F492812" w14:textId="77777777" w:rsidTr="006C7311">
        <w:trPr>
          <w:trHeight w:val="285"/>
        </w:trPr>
        <w:tc>
          <w:tcPr>
            <w:cnfStyle w:val="001000000000" w:firstRow="0" w:lastRow="0" w:firstColumn="1" w:lastColumn="0" w:oddVBand="0" w:evenVBand="0" w:oddHBand="0" w:evenHBand="0" w:firstRowFirstColumn="0" w:firstRowLastColumn="0" w:lastRowFirstColumn="0" w:lastRowLastColumn="0"/>
            <w:tcW w:w="2296" w:type="dxa"/>
            <w:vMerge w:val="restart"/>
          </w:tcPr>
          <w:p w14:paraId="2AE2B2AC" w14:textId="77777777" w:rsidR="003C373A" w:rsidRPr="00422DC6" w:rsidRDefault="003C373A" w:rsidP="00AF3BFA">
            <w:pPr>
              <w:rPr>
                <w:rFonts w:cs="Times New Roman"/>
                <w:b w:val="0"/>
                <w:color w:val="auto"/>
                <w:sz w:val="20"/>
                <w:szCs w:val="20"/>
                <w:lang w:eastAsia="pl-PL"/>
              </w:rPr>
            </w:pPr>
            <w:r w:rsidRPr="00422DC6">
              <w:rPr>
                <w:rFonts w:cs="Times New Roman"/>
                <w:color w:val="auto"/>
                <w:sz w:val="20"/>
                <w:szCs w:val="20"/>
                <w:lang w:eastAsia="pl-PL"/>
              </w:rPr>
              <w:t>Współczynnik aktywności zawodowej %</w:t>
            </w:r>
          </w:p>
        </w:tc>
        <w:tc>
          <w:tcPr>
            <w:tcW w:w="3969" w:type="dxa"/>
          </w:tcPr>
          <w:p w14:paraId="55ED46E0"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Ogółem</w:t>
            </w:r>
          </w:p>
        </w:tc>
        <w:tc>
          <w:tcPr>
            <w:tcW w:w="3057" w:type="dxa"/>
          </w:tcPr>
          <w:p w14:paraId="0AC4E9C7"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54,2</w:t>
            </w:r>
          </w:p>
        </w:tc>
      </w:tr>
      <w:tr w:rsidR="003C373A" w:rsidRPr="00422DC6" w14:paraId="7FCA131D" w14:textId="77777777" w:rsidTr="00A76E31">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296" w:type="dxa"/>
            <w:vMerge/>
          </w:tcPr>
          <w:p w14:paraId="74931DE4" w14:textId="77777777" w:rsidR="003C373A" w:rsidRPr="00422DC6" w:rsidRDefault="003C373A" w:rsidP="00AF3BFA">
            <w:pPr>
              <w:rPr>
                <w:rFonts w:cs="Times New Roman"/>
                <w:b w:val="0"/>
                <w:color w:val="auto"/>
                <w:sz w:val="20"/>
                <w:szCs w:val="20"/>
                <w:lang w:eastAsia="pl-PL"/>
              </w:rPr>
            </w:pPr>
          </w:p>
        </w:tc>
        <w:tc>
          <w:tcPr>
            <w:tcW w:w="3969" w:type="dxa"/>
          </w:tcPr>
          <w:p w14:paraId="4AEEAE7C"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w tym w wieku 60+</w:t>
            </w:r>
          </w:p>
        </w:tc>
        <w:tc>
          <w:tcPr>
            <w:tcW w:w="3057" w:type="dxa"/>
          </w:tcPr>
          <w:p w14:paraId="41A8B239"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15,7</w:t>
            </w:r>
          </w:p>
        </w:tc>
      </w:tr>
      <w:tr w:rsidR="003C373A" w:rsidRPr="00422DC6" w14:paraId="7A3E3E64" w14:textId="77777777" w:rsidTr="006C7311">
        <w:trPr>
          <w:trHeight w:val="143"/>
        </w:trPr>
        <w:tc>
          <w:tcPr>
            <w:cnfStyle w:val="001000000000" w:firstRow="0" w:lastRow="0" w:firstColumn="1" w:lastColumn="0" w:oddVBand="0" w:evenVBand="0" w:oddHBand="0" w:evenHBand="0" w:firstRowFirstColumn="0" w:firstRowLastColumn="0" w:lastRowFirstColumn="0" w:lastRowLastColumn="0"/>
            <w:tcW w:w="2296" w:type="dxa"/>
            <w:vMerge w:val="restart"/>
          </w:tcPr>
          <w:p w14:paraId="064C3AA5" w14:textId="77777777" w:rsidR="003C373A" w:rsidRPr="00422DC6" w:rsidRDefault="003C373A" w:rsidP="00AF3BFA">
            <w:pPr>
              <w:rPr>
                <w:rFonts w:cs="Times New Roman"/>
                <w:b w:val="0"/>
                <w:color w:val="auto"/>
                <w:sz w:val="20"/>
                <w:szCs w:val="20"/>
                <w:lang w:eastAsia="pl-PL"/>
              </w:rPr>
            </w:pPr>
            <w:r w:rsidRPr="00422DC6">
              <w:rPr>
                <w:rFonts w:cs="Times New Roman"/>
                <w:color w:val="auto"/>
                <w:sz w:val="20"/>
                <w:szCs w:val="20"/>
                <w:lang w:eastAsia="pl-PL"/>
              </w:rPr>
              <w:t>Wskaźnik zatrudnienia %</w:t>
            </w:r>
          </w:p>
        </w:tc>
        <w:tc>
          <w:tcPr>
            <w:tcW w:w="3969" w:type="dxa"/>
          </w:tcPr>
          <w:p w14:paraId="35729034"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ogółem</w:t>
            </w:r>
          </w:p>
        </w:tc>
        <w:tc>
          <w:tcPr>
            <w:tcW w:w="3057" w:type="dxa"/>
          </w:tcPr>
          <w:p w14:paraId="0712E094"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52,3</w:t>
            </w:r>
          </w:p>
        </w:tc>
      </w:tr>
      <w:tr w:rsidR="003C373A" w:rsidRPr="00422DC6" w14:paraId="14478C4C" w14:textId="77777777" w:rsidTr="00A76E31">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296" w:type="dxa"/>
            <w:vMerge/>
          </w:tcPr>
          <w:p w14:paraId="40EC7E1C" w14:textId="77777777" w:rsidR="003C373A" w:rsidRPr="00422DC6" w:rsidRDefault="003C373A" w:rsidP="00AF3BFA">
            <w:pPr>
              <w:rPr>
                <w:rFonts w:cs="Times New Roman"/>
                <w:b w:val="0"/>
                <w:color w:val="auto"/>
                <w:sz w:val="20"/>
                <w:szCs w:val="20"/>
                <w:lang w:eastAsia="pl-PL"/>
              </w:rPr>
            </w:pPr>
          </w:p>
        </w:tc>
        <w:tc>
          <w:tcPr>
            <w:tcW w:w="3969" w:type="dxa"/>
          </w:tcPr>
          <w:p w14:paraId="4BAED4B5"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w tym w wieku 60+</w:t>
            </w:r>
          </w:p>
        </w:tc>
        <w:tc>
          <w:tcPr>
            <w:tcW w:w="3057" w:type="dxa"/>
          </w:tcPr>
          <w:p w14:paraId="0D230A1C"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15,5</w:t>
            </w:r>
          </w:p>
        </w:tc>
      </w:tr>
      <w:tr w:rsidR="003C373A" w:rsidRPr="00422DC6" w14:paraId="69020019" w14:textId="77777777" w:rsidTr="006C7311">
        <w:trPr>
          <w:trHeight w:val="282"/>
        </w:trPr>
        <w:tc>
          <w:tcPr>
            <w:cnfStyle w:val="001000000000" w:firstRow="0" w:lastRow="0" w:firstColumn="1" w:lastColumn="0" w:oddVBand="0" w:evenVBand="0" w:oddHBand="0" w:evenHBand="0" w:firstRowFirstColumn="0" w:firstRowLastColumn="0" w:lastRowFirstColumn="0" w:lastRowLastColumn="0"/>
            <w:tcW w:w="2296" w:type="dxa"/>
            <w:vMerge w:val="restart"/>
          </w:tcPr>
          <w:p w14:paraId="17DDF4F6" w14:textId="77777777" w:rsidR="003C373A" w:rsidRPr="00422DC6" w:rsidRDefault="003C373A" w:rsidP="00AF3BFA">
            <w:pPr>
              <w:rPr>
                <w:rFonts w:cs="Times New Roman"/>
                <w:b w:val="0"/>
                <w:color w:val="auto"/>
                <w:sz w:val="20"/>
                <w:szCs w:val="20"/>
                <w:lang w:eastAsia="pl-PL"/>
              </w:rPr>
            </w:pPr>
            <w:r w:rsidRPr="00422DC6">
              <w:rPr>
                <w:rFonts w:eastAsia="Times New Roman" w:cs="Times New Roman"/>
                <w:color w:val="auto"/>
                <w:sz w:val="20"/>
                <w:szCs w:val="20"/>
                <w:lang w:eastAsia="pl-PL"/>
              </w:rPr>
              <w:t xml:space="preserve">Osoby bierne zawodowo  w wieku 60 lat i więcej według wybranych przyczyn bierności </w:t>
            </w:r>
            <w:r w:rsidRPr="00422DC6">
              <w:rPr>
                <w:rFonts w:eastAsia="Times New Roman" w:cs="Times New Roman"/>
                <w:color w:val="auto"/>
                <w:sz w:val="20"/>
                <w:szCs w:val="20"/>
                <w:lang w:eastAsia="pl-PL"/>
              </w:rPr>
              <w:br/>
              <w:t>(w tys.)</w:t>
            </w:r>
          </w:p>
        </w:tc>
        <w:tc>
          <w:tcPr>
            <w:tcW w:w="3969" w:type="dxa"/>
          </w:tcPr>
          <w:p w14:paraId="390B416E"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ogółem</w:t>
            </w:r>
          </w:p>
        </w:tc>
        <w:tc>
          <w:tcPr>
            <w:tcW w:w="3057" w:type="dxa"/>
          </w:tcPr>
          <w:p w14:paraId="7FD9FE69"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371</w:t>
            </w:r>
          </w:p>
        </w:tc>
      </w:tr>
      <w:tr w:rsidR="003C373A" w:rsidRPr="00422DC6" w14:paraId="1BBCD326" w14:textId="77777777" w:rsidTr="006C731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96" w:type="dxa"/>
            <w:vMerge/>
          </w:tcPr>
          <w:p w14:paraId="0CCAA5F6" w14:textId="77777777" w:rsidR="003C373A" w:rsidRPr="00422DC6" w:rsidRDefault="003C373A" w:rsidP="00AF3BFA">
            <w:pPr>
              <w:rPr>
                <w:rFonts w:eastAsia="Times New Roman" w:cs="Times New Roman"/>
                <w:b w:val="0"/>
                <w:bCs w:val="0"/>
                <w:color w:val="auto"/>
                <w:sz w:val="20"/>
                <w:szCs w:val="20"/>
                <w:lang w:eastAsia="pl-PL"/>
              </w:rPr>
            </w:pPr>
          </w:p>
        </w:tc>
        <w:tc>
          <w:tcPr>
            <w:tcW w:w="7026" w:type="dxa"/>
            <w:gridSpan w:val="2"/>
          </w:tcPr>
          <w:p w14:paraId="554D90E7"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w tym:</w:t>
            </w:r>
          </w:p>
        </w:tc>
      </w:tr>
      <w:tr w:rsidR="003C373A" w:rsidRPr="00422DC6" w14:paraId="3292522B" w14:textId="77777777" w:rsidTr="006C7311">
        <w:trPr>
          <w:trHeight w:val="280"/>
        </w:trPr>
        <w:tc>
          <w:tcPr>
            <w:cnfStyle w:val="001000000000" w:firstRow="0" w:lastRow="0" w:firstColumn="1" w:lastColumn="0" w:oddVBand="0" w:evenVBand="0" w:oddHBand="0" w:evenHBand="0" w:firstRowFirstColumn="0" w:firstRowLastColumn="0" w:lastRowFirstColumn="0" w:lastRowLastColumn="0"/>
            <w:tcW w:w="2296" w:type="dxa"/>
            <w:vMerge/>
          </w:tcPr>
          <w:p w14:paraId="35FD1B7E" w14:textId="77777777" w:rsidR="003C373A" w:rsidRPr="00422DC6" w:rsidRDefault="003C373A" w:rsidP="00AF3BFA">
            <w:pPr>
              <w:rPr>
                <w:rFonts w:eastAsia="Times New Roman" w:cs="Times New Roman"/>
                <w:b w:val="0"/>
                <w:bCs w:val="0"/>
                <w:color w:val="auto"/>
                <w:sz w:val="20"/>
                <w:szCs w:val="20"/>
                <w:lang w:eastAsia="pl-PL"/>
              </w:rPr>
            </w:pPr>
          </w:p>
        </w:tc>
        <w:tc>
          <w:tcPr>
            <w:tcW w:w="3969" w:type="dxa"/>
          </w:tcPr>
          <w:p w14:paraId="4A147D93"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pl-PL"/>
              </w:rPr>
            </w:pPr>
            <w:r w:rsidRPr="00422DC6">
              <w:rPr>
                <w:rFonts w:eastAsia="Times New Roman" w:cs="Times New Roman"/>
                <w:color w:val="auto"/>
                <w:sz w:val="20"/>
                <w:szCs w:val="20"/>
                <w:lang w:eastAsia="pl-PL"/>
              </w:rPr>
              <w:t>osoby nieposzukujące pracy - razem</w:t>
            </w:r>
          </w:p>
        </w:tc>
        <w:tc>
          <w:tcPr>
            <w:tcW w:w="3057" w:type="dxa"/>
          </w:tcPr>
          <w:p w14:paraId="0F225137"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371</w:t>
            </w:r>
          </w:p>
        </w:tc>
      </w:tr>
      <w:tr w:rsidR="003C373A" w:rsidRPr="00422DC6" w14:paraId="0FEA86B5" w14:textId="77777777" w:rsidTr="006C731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296" w:type="dxa"/>
            <w:vMerge/>
          </w:tcPr>
          <w:p w14:paraId="32671563" w14:textId="77777777" w:rsidR="003C373A" w:rsidRPr="00422DC6" w:rsidRDefault="003C373A" w:rsidP="00AF3BFA">
            <w:pPr>
              <w:rPr>
                <w:rFonts w:eastAsia="Times New Roman" w:cs="Times New Roman"/>
                <w:b w:val="0"/>
                <w:bCs w:val="0"/>
                <w:color w:val="auto"/>
                <w:sz w:val="20"/>
                <w:szCs w:val="20"/>
                <w:lang w:eastAsia="pl-PL"/>
              </w:rPr>
            </w:pPr>
          </w:p>
        </w:tc>
        <w:tc>
          <w:tcPr>
            <w:tcW w:w="3969" w:type="dxa"/>
          </w:tcPr>
          <w:p w14:paraId="37AC41AB"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eastAsia="Times New Roman" w:cs="Times New Roman"/>
                <w:color w:val="auto"/>
                <w:sz w:val="20"/>
                <w:szCs w:val="20"/>
                <w:lang w:eastAsia="pl-PL"/>
              </w:rPr>
              <w:t>osoby nieposzukujące pracy - emerytura</w:t>
            </w:r>
          </w:p>
        </w:tc>
        <w:tc>
          <w:tcPr>
            <w:tcW w:w="3057" w:type="dxa"/>
          </w:tcPr>
          <w:p w14:paraId="66601AA1"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333</w:t>
            </w:r>
          </w:p>
        </w:tc>
      </w:tr>
      <w:tr w:rsidR="003C373A" w:rsidRPr="00422DC6" w14:paraId="21F4AD2A" w14:textId="77777777" w:rsidTr="006C7311">
        <w:trPr>
          <w:trHeight w:val="280"/>
        </w:trPr>
        <w:tc>
          <w:tcPr>
            <w:cnfStyle w:val="001000000000" w:firstRow="0" w:lastRow="0" w:firstColumn="1" w:lastColumn="0" w:oddVBand="0" w:evenVBand="0" w:oddHBand="0" w:evenHBand="0" w:firstRowFirstColumn="0" w:firstRowLastColumn="0" w:lastRowFirstColumn="0" w:lastRowLastColumn="0"/>
            <w:tcW w:w="2296" w:type="dxa"/>
            <w:vMerge/>
          </w:tcPr>
          <w:p w14:paraId="333E76AA" w14:textId="77777777" w:rsidR="003C373A" w:rsidRPr="00422DC6" w:rsidRDefault="003C373A" w:rsidP="00AF3BFA">
            <w:pPr>
              <w:rPr>
                <w:rFonts w:eastAsia="Times New Roman" w:cs="Times New Roman"/>
                <w:b w:val="0"/>
                <w:bCs w:val="0"/>
                <w:color w:val="auto"/>
                <w:sz w:val="20"/>
                <w:szCs w:val="20"/>
                <w:lang w:eastAsia="pl-PL"/>
              </w:rPr>
            </w:pPr>
          </w:p>
        </w:tc>
        <w:tc>
          <w:tcPr>
            <w:tcW w:w="3969" w:type="dxa"/>
          </w:tcPr>
          <w:p w14:paraId="7E5B3856"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eastAsia="Times New Roman" w:cs="Times New Roman"/>
                <w:color w:val="auto"/>
                <w:sz w:val="20"/>
                <w:szCs w:val="20"/>
                <w:lang w:eastAsia="pl-PL"/>
              </w:rPr>
              <w:t>osoby nieposzukujące pracy - choroba, niepełnosprawność</w:t>
            </w:r>
          </w:p>
        </w:tc>
        <w:tc>
          <w:tcPr>
            <w:tcW w:w="3057" w:type="dxa"/>
          </w:tcPr>
          <w:p w14:paraId="0C8D409E"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24</w:t>
            </w:r>
          </w:p>
        </w:tc>
      </w:tr>
      <w:tr w:rsidR="003C373A" w:rsidRPr="00422DC6" w14:paraId="10CFBE17" w14:textId="77777777" w:rsidTr="006C731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96" w:type="dxa"/>
            <w:vMerge w:val="restart"/>
          </w:tcPr>
          <w:p w14:paraId="42A3EDD6" w14:textId="77777777" w:rsidR="003C373A" w:rsidRPr="00422DC6" w:rsidRDefault="003C373A" w:rsidP="00AF3BFA">
            <w:pPr>
              <w:rPr>
                <w:rFonts w:eastAsia="Times New Roman" w:cs="Times New Roman"/>
                <w:b w:val="0"/>
                <w:bCs w:val="0"/>
                <w:color w:val="auto"/>
                <w:sz w:val="20"/>
                <w:szCs w:val="20"/>
                <w:lang w:eastAsia="pl-PL"/>
              </w:rPr>
            </w:pPr>
            <w:r w:rsidRPr="00422DC6">
              <w:rPr>
                <w:rFonts w:eastAsia="Times New Roman" w:cs="Times New Roman"/>
                <w:color w:val="auto"/>
                <w:sz w:val="20"/>
                <w:szCs w:val="20"/>
                <w:lang w:eastAsia="pl-PL"/>
              </w:rPr>
              <w:lastRenderedPageBreak/>
              <w:t>Osoby bezrobotne zarejestrowane w urzędach pracy (w tys.)</w:t>
            </w:r>
          </w:p>
        </w:tc>
        <w:tc>
          <w:tcPr>
            <w:tcW w:w="3969" w:type="dxa"/>
          </w:tcPr>
          <w:p w14:paraId="25E812D2"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ogółem</w:t>
            </w:r>
          </w:p>
        </w:tc>
        <w:tc>
          <w:tcPr>
            <w:tcW w:w="3057" w:type="dxa"/>
          </w:tcPr>
          <w:p w14:paraId="5326C13A"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52,0</w:t>
            </w:r>
          </w:p>
        </w:tc>
      </w:tr>
      <w:tr w:rsidR="003C373A" w:rsidRPr="00422DC6" w14:paraId="5A042824" w14:textId="77777777" w:rsidTr="006C7311">
        <w:trPr>
          <w:trHeight w:val="284"/>
        </w:trPr>
        <w:tc>
          <w:tcPr>
            <w:cnfStyle w:val="001000000000" w:firstRow="0" w:lastRow="0" w:firstColumn="1" w:lastColumn="0" w:oddVBand="0" w:evenVBand="0" w:oddHBand="0" w:evenHBand="0" w:firstRowFirstColumn="0" w:firstRowLastColumn="0" w:lastRowFirstColumn="0" w:lastRowLastColumn="0"/>
            <w:tcW w:w="2296" w:type="dxa"/>
            <w:vMerge/>
          </w:tcPr>
          <w:p w14:paraId="0CBC410A" w14:textId="77777777" w:rsidR="003C373A" w:rsidRPr="00422DC6" w:rsidRDefault="003C373A" w:rsidP="00AF3BFA">
            <w:pPr>
              <w:rPr>
                <w:rFonts w:eastAsia="Times New Roman" w:cs="Times New Roman"/>
                <w:b w:val="0"/>
                <w:bCs w:val="0"/>
                <w:color w:val="auto"/>
                <w:sz w:val="20"/>
                <w:szCs w:val="20"/>
                <w:lang w:eastAsia="pl-PL"/>
              </w:rPr>
            </w:pPr>
          </w:p>
        </w:tc>
        <w:tc>
          <w:tcPr>
            <w:tcW w:w="3969" w:type="dxa"/>
          </w:tcPr>
          <w:p w14:paraId="2D17D774"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w tym w wieku 60+</w:t>
            </w:r>
          </w:p>
        </w:tc>
        <w:tc>
          <w:tcPr>
            <w:tcW w:w="3057" w:type="dxa"/>
          </w:tcPr>
          <w:p w14:paraId="06B1472C"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3,9</w:t>
            </w:r>
          </w:p>
        </w:tc>
      </w:tr>
      <w:tr w:rsidR="003C373A" w:rsidRPr="00422DC6" w14:paraId="5F69CBD5" w14:textId="77777777" w:rsidTr="006C7311">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296" w:type="dxa"/>
            <w:vMerge w:val="restart"/>
          </w:tcPr>
          <w:p w14:paraId="6C84E004" w14:textId="77777777" w:rsidR="003C373A" w:rsidRPr="00422DC6" w:rsidRDefault="003C373A" w:rsidP="00AF3BFA">
            <w:pPr>
              <w:rPr>
                <w:rFonts w:eastAsia="Times New Roman" w:cs="Times New Roman"/>
                <w:b w:val="0"/>
                <w:bCs w:val="0"/>
                <w:color w:val="auto"/>
                <w:sz w:val="20"/>
                <w:szCs w:val="20"/>
                <w:lang w:eastAsia="pl-PL"/>
              </w:rPr>
            </w:pPr>
            <w:r w:rsidRPr="00422DC6">
              <w:rPr>
                <w:rFonts w:eastAsia="Times New Roman" w:cs="Times New Roman"/>
                <w:color w:val="auto"/>
                <w:sz w:val="20"/>
                <w:szCs w:val="20"/>
                <w:lang w:eastAsia="pl-PL"/>
              </w:rPr>
              <w:t xml:space="preserve">Osoby pobierające renty </w:t>
            </w:r>
            <w:r w:rsidRPr="00422DC6">
              <w:rPr>
                <w:rFonts w:eastAsia="Times New Roman" w:cs="Times New Roman"/>
                <w:color w:val="auto"/>
                <w:sz w:val="20"/>
                <w:szCs w:val="20"/>
                <w:lang w:eastAsia="pl-PL"/>
              </w:rPr>
              <w:br/>
              <w:t xml:space="preserve">i emerytury </w:t>
            </w:r>
          </w:p>
        </w:tc>
        <w:tc>
          <w:tcPr>
            <w:tcW w:w="7026" w:type="dxa"/>
            <w:gridSpan w:val="2"/>
          </w:tcPr>
          <w:p w14:paraId="4092EBB8" w14:textId="77777777" w:rsidR="003C373A" w:rsidRPr="00422DC6" w:rsidRDefault="003C373A" w:rsidP="00AF3BFA">
            <w:pPr>
              <w:tabs>
                <w:tab w:val="left" w:pos="1725"/>
                <w:tab w:val="center" w:pos="2363"/>
              </w:tabs>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422DC6">
              <w:rPr>
                <w:rFonts w:cs="Times New Roman"/>
                <w:b/>
                <w:color w:val="auto"/>
                <w:sz w:val="20"/>
                <w:szCs w:val="20"/>
              </w:rPr>
              <w:t>ZUS</w:t>
            </w:r>
          </w:p>
        </w:tc>
      </w:tr>
      <w:tr w:rsidR="003C373A" w:rsidRPr="00422DC6" w14:paraId="594B902D" w14:textId="77777777" w:rsidTr="006C7311">
        <w:trPr>
          <w:trHeight w:val="189"/>
        </w:trPr>
        <w:tc>
          <w:tcPr>
            <w:cnfStyle w:val="001000000000" w:firstRow="0" w:lastRow="0" w:firstColumn="1" w:lastColumn="0" w:oddVBand="0" w:evenVBand="0" w:oddHBand="0" w:evenHBand="0" w:firstRowFirstColumn="0" w:firstRowLastColumn="0" w:lastRowFirstColumn="0" w:lastRowLastColumn="0"/>
            <w:tcW w:w="2296" w:type="dxa"/>
            <w:vMerge/>
          </w:tcPr>
          <w:p w14:paraId="78BD89FC" w14:textId="77777777" w:rsidR="003C373A" w:rsidRPr="00422DC6" w:rsidRDefault="003C373A" w:rsidP="00AF3BFA">
            <w:pPr>
              <w:rPr>
                <w:rFonts w:eastAsia="Times New Roman" w:cs="Times New Roman"/>
                <w:b w:val="0"/>
                <w:bCs w:val="0"/>
                <w:color w:val="auto"/>
                <w:sz w:val="20"/>
                <w:szCs w:val="20"/>
                <w:lang w:eastAsia="pl-PL"/>
              </w:rPr>
            </w:pPr>
          </w:p>
        </w:tc>
        <w:tc>
          <w:tcPr>
            <w:tcW w:w="3969" w:type="dxa"/>
          </w:tcPr>
          <w:p w14:paraId="1A63800F" w14:textId="77777777" w:rsidR="003C373A" w:rsidRPr="00422DC6" w:rsidRDefault="003C373A" w:rsidP="00AF3BFA">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422DC6">
              <w:rPr>
                <w:rFonts w:cs="Times New Roman"/>
                <w:b/>
                <w:color w:val="auto"/>
                <w:sz w:val="20"/>
                <w:szCs w:val="20"/>
              </w:rPr>
              <w:t>Rodzaj świadczenia</w:t>
            </w:r>
          </w:p>
        </w:tc>
        <w:tc>
          <w:tcPr>
            <w:tcW w:w="3057" w:type="dxa"/>
          </w:tcPr>
          <w:p w14:paraId="76348E7F" w14:textId="77777777" w:rsidR="003C373A" w:rsidRPr="00422DC6" w:rsidRDefault="003C373A" w:rsidP="00AF3BFA">
            <w:pPr>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422DC6">
              <w:rPr>
                <w:rFonts w:cs="Times New Roman"/>
                <w:b/>
                <w:color w:val="auto"/>
                <w:sz w:val="20"/>
                <w:szCs w:val="20"/>
              </w:rPr>
              <w:t>Przeciętna miesięczna liczba emerytów i rencistów (w tys.)</w:t>
            </w:r>
          </w:p>
        </w:tc>
      </w:tr>
      <w:tr w:rsidR="003C373A" w:rsidRPr="00422DC6" w14:paraId="33FF3464" w14:textId="77777777" w:rsidTr="006C7311">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296" w:type="dxa"/>
            <w:vMerge/>
          </w:tcPr>
          <w:p w14:paraId="42E6F9DF" w14:textId="77777777" w:rsidR="003C373A" w:rsidRPr="00422DC6" w:rsidRDefault="003C373A" w:rsidP="00AF3BFA">
            <w:pPr>
              <w:rPr>
                <w:rFonts w:eastAsia="Times New Roman" w:cs="Times New Roman"/>
                <w:b w:val="0"/>
                <w:bCs w:val="0"/>
                <w:color w:val="auto"/>
                <w:sz w:val="20"/>
                <w:szCs w:val="20"/>
                <w:lang w:eastAsia="pl-PL"/>
              </w:rPr>
            </w:pPr>
          </w:p>
        </w:tc>
        <w:tc>
          <w:tcPr>
            <w:tcW w:w="3969" w:type="dxa"/>
          </w:tcPr>
          <w:p w14:paraId="320CAC97"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Emerytury</w:t>
            </w:r>
          </w:p>
        </w:tc>
        <w:tc>
          <w:tcPr>
            <w:tcW w:w="3057" w:type="dxa"/>
          </w:tcPr>
          <w:p w14:paraId="2B45E8C2"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276,4</w:t>
            </w:r>
          </w:p>
        </w:tc>
      </w:tr>
      <w:tr w:rsidR="003C373A" w:rsidRPr="00422DC6" w14:paraId="12FB7333" w14:textId="77777777" w:rsidTr="006C7311">
        <w:trPr>
          <w:trHeight w:val="142"/>
        </w:trPr>
        <w:tc>
          <w:tcPr>
            <w:cnfStyle w:val="001000000000" w:firstRow="0" w:lastRow="0" w:firstColumn="1" w:lastColumn="0" w:oddVBand="0" w:evenVBand="0" w:oddHBand="0" w:evenHBand="0" w:firstRowFirstColumn="0" w:firstRowLastColumn="0" w:lastRowFirstColumn="0" w:lastRowLastColumn="0"/>
            <w:tcW w:w="2296" w:type="dxa"/>
            <w:vMerge/>
          </w:tcPr>
          <w:p w14:paraId="6089B8F7" w14:textId="77777777" w:rsidR="003C373A" w:rsidRPr="00422DC6" w:rsidRDefault="003C373A" w:rsidP="00AF3BFA">
            <w:pPr>
              <w:rPr>
                <w:rFonts w:eastAsia="Times New Roman" w:cs="Times New Roman"/>
                <w:b w:val="0"/>
                <w:bCs w:val="0"/>
                <w:color w:val="auto"/>
                <w:sz w:val="20"/>
                <w:szCs w:val="20"/>
                <w:lang w:eastAsia="pl-PL"/>
              </w:rPr>
            </w:pPr>
          </w:p>
        </w:tc>
        <w:tc>
          <w:tcPr>
            <w:tcW w:w="3969" w:type="dxa"/>
          </w:tcPr>
          <w:p w14:paraId="1E89D75D"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Renty z tytułu niezdolności do pracy</w:t>
            </w:r>
          </w:p>
        </w:tc>
        <w:tc>
          <w:tcPr>
            <w:tcW w:w="3057" w:type="dxa"/>
          </w:tcPr>
          <w:p w14:paraId="2917D963"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29,3</w:t>
            </w:r>
          </w:p>
        </w:tc>
      </w:tr>
      <w:tr w:rsidR="003C373A" w:rsidRPr="00422DC6" w14:paraId="0D34E92B" w14:textId="77777777" w:rsidTr="006C7311">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296" w:type="dxa"/>
            <w:vMerge/>
          </w:tcPr>
          <w:p w14:paraId="537F22E6" w14:textId="77777777" w:rsidR="003C373A" w:rsidRPr="00422DC6" w:rsidRDefault="003C373A" w:rsidP="00AF3BFA">
            <w:pPr>
              <w:rPr>
                <w:rFonts w:eastAsia="Times New Roman" w:cs="Times New Roman"/>
                <w:b w:val="0"/>
                <w:bCs w:val="0"/>
                <w:color w:val="auto"/>
                <w:sz w:val="20"/>
                <w:szCs w:val="20"/>
                <w:lang w:eastAsia="pl-PL"/>
              </w:rPr>
            </w:pPr>
          </w:p>
        </w:tc>
        <w:tc>
          <w:tcPr>
            <w:tcW w:w="3969" w:type="dxa"/>
          </w:tcPr>
          <w:p w14:paraId="4F6AB44F"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Renty rodzinne</w:t>
            </w:r>
          </w:p>
        </w:tc>
        <w:tc>
          <w:tcPr>
            <w:tcW w:w="3057" w:type="dxa"/>
          </w:tcPr>
          <w:p w14:paraId="4B9423F9"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52,5</w:t>
            </w:r>
          </w:p>
        </w:tc>
      </w:tr>
      <w:tr w:rsidR="003C373A" w:rsidRPr="00422DC6" w14:paraId="0429E761" w14:textId="77777777" w:rsidTr="006C7311">
        <w:trPr>
          <w:trHeight w:val="284"/>
        </w:trPr>
        <w:tc>
          <w:tcPr>
            <w:cnfStyle w:val="001000000000" w:firstRow="0" w:lastRow="0" w:firstColumn="1" w:lastColumn="0" w:oddVBand="0" w:evenVBand="0" w:oddHBand="0" w:evenHBand="0" w:firstRowFirstColumn="0" w:firstRowLastColumn="0" w:lastRowFirstColumn="0" w:lastRowLastColumn="0"/>
            <w:tcW w:w="2296" w:type="dxa"/>
            <w:vMerge/>
          </w:tcPr>
          <w:p w14:paraId="41E1C4B4" w14:textId="77777777" w:rsidR="003C373A" w:rsidRPr="00422DC6" w:rsidRDefault="003C373A" w:rsidP="00AF3BFA">
            <w:pPr>
              <w:rPr>
                <w:rFonts w:eastAsia="Times New Roman" w:cs="Times New Roman"/>
                <w:b w:val="0"/>
                <w:bCs w:val="0"/>
                <w:color w:val="auto"/>
                <w:sz w:val="20"/>
                <w:szCs w:val="20"/>
                <w:lang w:eastAsia="pl-PL"/>
              </w:rPr>
            </w:pPr>
          </w:p>
        </w:tc>
        <w:tc>
          <w:tcPr>
            <w:tcW w:w="7026" w:type="dxa"/>
            <w:gridSpan w:val="2"/>
          </w:tcPr>
          <w:p w14:paraId="0D43FC12" w14:textId="77777777" w:rsidR="003C373A" w:rsidRPr="00422DC6" w:rsidRDefault="003C373A" w:rsidP="00AF3BFA">
            <w:pPr>
              <w:tabs>
                <w:tab w:val="left" w:pos="1507"/>
                <w:tab w:val="center" w:pos="2363"/>
              </w:tabs>
              <w:cnfStyle w:val="000000000000" w:firstRow="0" w:lastRow="0" w:firstColumn="0" w:lastColumn="0" w:oddVBand="0" w:evenVBand="0" w:oddHBand="0" w:evenHBand="0" w:firstRowFirstColumn="0" w:firstRowLastColumn="0" w:lastRowFirstColumn="0" w:lastRowLastColumn="0"/>
              <w:rPr>
                <w:rFonts w:cs="Times New Roman"/>
                <w:b/>
                <w:color w:val="auto"/>
                <w:sz w:val="20"/>
                <w:szCs w:val="20"/>
              </w:rPr>
            </w:pPr>
            <w:r w:rsidRPr="00422DC6">
              <w:rPr>
                <w:rFonts w:cs="Times New Roman"/>
                <w:b/>
                <w:color w:val="auto"/>
                <w:sz w:val="20"/>
                <w:szCs w:val="20"/>
              </w:rPr>
              <w:t>KRUS</w:t>
            </w:r>
          </w:p>
        </w:tc>
      </w:tr>
      <w:tr w:rsidR="003C373A" w:rsidRPr="00422DC6" w14:paraId="5C3B0991" w14:textId="77777777" w:rsidTr="006C7311">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296" w:type="dxa"/>
            <w:vMerge/>
          </w:tcPr>
          <w:p w14:paraId="569E277D" w14:textId="77777777" w:rsidR="003C373A" w:rsidRPr="00422DC6" w:rsidRDefault="003C373A" w:rsidP="00AF3BFA">
            <w:pPr>
              <w:rPr>
                <w:rFonts w:eastAsia="Times New Roman" w:cs="Times New Roman"/>
                <w:b w:val="0"/>
                <w:bCs w:val="0"/>
                <w:color w:val="auto"/>
                <w:sz w:val="20"/>
                <w:szCs w:val="20"/>
                <w:lang w:eastAsia="pl-PL"/>
              </w:rPr>
            </w:pPr>
          </w:p>
        </w:tc>
        <w:tc>
          <w:tcPr>
            <w:tcW w:w="3969" w:type="dxa"/>
          </w:tcPr>
          <w:p w14:paraId="0C5DC98B" w14:textId="77777777" w:rsidR="003C373A" w:rsidRPr="00422DC6" w:rsidRDefault="003C373A" w:rsidP="00AF3BFA">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422DC6">
              <w:rPr>
                <w:rFonts w:cs="Times New Roman"/>
                <w:b/>
                <w:color w:val="auto"/>
                <w:sz w:val="20"/>
                <w:szCs w:val="20"/>
              </w:rPr>
              <w:t>Rodzaj świadczenia</w:t>
            </w:r>
          </w:p>
        </w:tc>
        <w:tc>
          <w:tcPr>
            <w:tcW w:w="3057" w:type="dxa"/>
          </w:tcPr>
          <w:p w14:paraId="050998E4" w14:textId="77777777" w:rsidR="003C373A" w:rsidRPr="00422DC6" w:rsidRDefault="003C373A" w:rsidP="00AF3BFA">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0"/>
                <w:szCs w:val="20"/>
              </w:rPr>
            </w:pPr>
            <w:r w:rsidRPr="00422DC6">
              <w:rPr>
                <w:rFonts w:cs="Times New Roman"/>
                <w:b/>
                <w:color w:val="auto"/>
                <w:sz w:val="20"/>
                <w:szCs w:val="20"/>
              </w:rPr>
              <w:t>Przeciętna miesięczna liczba emerytów i rencistów (w tys.)</w:t>
            </w:r>
          </w:p>
        </w:tc>
      </w:tr>
      <w:tr w:rsidR="003C373A" w:rsidRPr="00422DC6" w14:paraId="0C7BE1A7" w14:textId="77777777" w:rsidTr="006C7311">
        <w:trPr>
          <w:trHeight w:val="79"/>
        </w:trPr>
        <w:tc>
          <w:tcPr>
            <w:cnfStyle w:val="001000000000" w:firstRow="0" w:lastRow="0" w:firstColumn="1" w:lastColumn="0" w:oddVBand="0" w:evenVBand="0" w:oddHBand="0" w:evenHBand="0" w:firstRowFirstColumn="0" w:firstRowLastColumn="0" w:lastRowFirstColumn="0" w:lastRowLastColumn="0"/>
            <w:tcW w:w="2296" w:type="dxa"/>
            <w:vMerge/>
          </w:tcPr>
          <w:p w14:paraId="5FEAD5FE" w14:textId="77777777" w:rsidR="003C373A" w:rsidRPr="00422DC6" w:rsidRDefault="003C373A" w:rsidP="00AF3BFA">
            <w:pPr>
              <w:rPr>
                <w:rFonts w:eastAsia="Times New Roman" w:cs="Times New Roman"/>
                <w:b w:val="0"/>
                <w:bCs w:val="0"/>
                <w:color w:val="auto"/>
                <w:sz w:val="20"/>
                <w:szCs w:val="20"/>
                <w:lang w:eastAsia="pl-PL"/>
              </w:rPr>
            </w:pPr>
          </w:p>
        </w:tc>
        <w:tc>
          <w:tcPr>
            <w:tcW w:w="3969" w:type="dxa"/>
          </w:tcPr>
          <w:p w14:paraId="4F2054B4"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Emerytury</w:t>
            </w:r>
          </w:p>
        </w:tc>
        <w:tc>
          <w:tcPr>
            <w:tcW w:w="3057" w:type="dxa"/>
          </w:tcPr>
          <w:p w14:paraId="265E58A8"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18,3</w:t>
            </w:r>
          </w:p>
        </w:tc>
      </w:tr>
      <w:tr w:rsidR="003C373A" w:rsidRPr="00422DC6" w14:paraId="4F7301D9" w14:textId="77777777" w:rsidTr="006C7311">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296" w:type="dxa"/>
            <w:vMerge/>
          </w:tcPr>
          <w:p w14:paraId="078C7520" w14:textId="77777777" w:rsidR="003C373A" w:rsidRPr="00422DC6" w:rsidRDefault="003C373A" w:rsidP="00AF3BFA">
            <w:pPr>
              <w:rPr>
                <w:rFonts w:eastAsia="Times New Roman" w:cs="Times New Roman"/>
                <w:b w:val="0"/>
                <w:bCs w:val="0"/>
                <w:color w:val="auto"/>
                <w:sz w:val="20"/>
                <w:szCs w:val="20"/>
                <w:lang w:eastAsia="pl-PL"/>
              </w:rPr>
            </w:pPr>
          </w:p>
        </w:tc>
        <w:tc>
          <w:tcPr>
            <w:tcW w:w="3969" w:type="dxa"/>
          </w:tcPr>
          <w:p w14:paraId="3275FB9B"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Renty z tytułu niezdolności do pracy</w:t>
            </w:r>
          </w:p>
        </w:tc>
        <w:tc>
          <w:tcPr>
            <w:tcW w:w="3057" w:type="dxa"/>
          </w:tcPr>
          <w:p w14:paraId="73423EE0" w14:textId="77777777" w:rsidR="003C373A" w:rsidRPr="00422DC6" w:rsidRDefault="003C373A" w:rsidP="00AF3BFA">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422DC6">
              <w:rPr>
                <w:rFonts w:cs="Times New Roman"/>
                <w:color w:val="auto"/>
                <w:sz w:val="20"/>
                <w:szCs w:val="20"/>
              </w:rPr>
              <w:t>4,2</w:t>
            </w:r>
          </w:p>
        </w:tc>
      </w:tr>
      <w:tr w:rsidR="003C373A" w:rsidRPr="00422DC6" w14:paraId="695F71B8" w14:textId="77777777" w:rsidTr="006C7311">
        <w:trPr>
          <w:trHeight w:val="79"/>
        </w:trPr>
        <w:tc>
          <w:tcPr>
            <w:cnfStyle w:val="001000000000" w:firstRow="0" w:lastRow="0" w:firstColumn="1" w:lastColumn="0" w:oddVBand="0" w:evenVBand="0" w:oddHBand="0" w:evenHBand="0" w:firstRowFirstColumn="0" w:firstRowLastColumn="0" w:lastRowFirstColumn="0" w:lastRowLastColumn="0"/>
            <w:tcW w:w="2296" w:type="dxa"/>
            <w:vMerge/>
          </w:tcPr>
          <w:p w14:paraId="0A1AC005" w14:textId="77777777" w:rsidR="003C373A" w:rsidRPr="00422DC6" w:rsidRDefault="003C373A" w:rsidP="00AF3BFA">
            <w:pPr>
              <w:rPr>
                <w:rFonts w:eastAsia="Times New Roman" w:cs="Times New Roman"/>
                <w:b w:val="0"/>
                <w:bCs w:val="0"/>
                <w:color w:val="auto"/>
                <w:sz w:val="20"/>
                <w:szCs w:val="20"/>
                <w:lang w:eastAsia="pl-PL"/>
              </w:rPr>
            </w:pPr>
          </w:p>
        </w:tc>
        <w:tc>
          <w:tcPr>
            <w:tcW w:w="3969" w:type="dxa"/>
          </w:tcPr>
          <w:p w14:paraId="3F453FA8"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Renty rodzinne</w:t>
            </w:r>
          </w:p>
        </w:tc>
        <w:tc>
          <w:tcPr>
            <w:tcW w:w="3057" w:type="dxa"/>
          </w:tcPr>
          <w:p w14:paraId="5EA7E094" w14:textId="77777777" w:rsidR="003C373A" w:rsidRPr="00422DC6" w:rsidRDefault="003C373A" w:rsidP="00AF3BFA">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422DC6">
              <w:rPr>
                <w:rFonts w:cs="Times New Roman"/>
                <w:color w:val="auto"/>
                <w:sz w:val="20"/>
                <w:szCs w:val="20"/>
              </w:rPr>
              <w:t>0,9</w:t>
            </w:r>
          </w:p>
        </w:tc>
      </w:tr>
    </w:tbl>
    <w:p w14:paraId="0D9A8586" w14:textId="77777777" w:rsidR="003C373A" w:rsidRPr="006C7311" w:rsidRDefault="003C373A" w:rsidP="006C7311">
      <w:pPr>
        <w:tabs>
          <w:tab w:val="left" w:pos="5400"/>
        </w:tabs>
        <w:rPr>
          <w:rFonts w:eastAsia="Times New Roman" w:cs="Times New Roman"/>
          <w:b/>
          <w:szCs w:val="24"/>
          <w:lang w:eastAsia="pl-PL"/>
        </w:rPr>
      </w:pPr>
      <w:r w:rsidRPr="006C7311">
        <w:rPr>
          <w:rFonts w:eastAsia="Times New Roman" w:cs="Times New Roman"/>
          <w:b/>
          <w:szCs w:val="24"/>
          <w:lang w:eastAsia="pl-PL"/>
        </w:rPr>
        <w:t xml:space="preserve">Źródło: GUS. </w:t>
      </w:r>
    </w:p>
    <w:p w14:paraId="7C012BCF" w14:textId="77777777" w:rsidR="003C373A" w:rsidRDefault="003C373A" w:rsidP="000D7CDE">
      <w:pPr>
        <w:rPr>
          <w:rFonts w:cs="Times New Roman"/>
          <w:b/>
          <w:color w:val="FF0000"/>
          <w:szCs w:val="24"/>
          <w:lang w:eastAsia="ar-SA"/>
        </w:rPr>
      </w:pPr>
    </w:p>
    <w:p w14:paraId="24E4C1A6" w14:textId="5149964C" w:rsidR="009C4080" w:rsidRDefault="009C4080" w:rsidP="009C4080">
      <w:pPr>
        <w:pStyle w:val="Nagwek3"/>
      </w:pPr>
      <w:bookmarkStart w:id="329" w:name="_Toc77514044"/>
      <w:bookmarkStart w:id="330" w:name="_Toc80523207"/>
      <w:r w:rsidRPr="009C4080">
        <w:t>Sytuacja osób niepełnosprawnych i ich opiekunów</w:t>
      </w:r>
      <w:bookmarkEnd w:id="329"/>
      <w:bookmarkEnd w:id="330"/>
    </w:p>
    <w:p w14:paraId="0F17B29C" w14:textId="77777777" w:rsidR="000B1B06" w:rsidRPr="000B1B06" w:rsidRDefault="000B1B06" w:rsidP="000B1B06"/>
    <w:p w14:paraId="76D07A61" w14:textId="4E5947AA" w:rsidR="009C4080" w:rsidRDefault="009C4080" w:rsidP="009C4080">
      <w:pPr>
        <w:rPr>
          <w:rFonts w:cs="Times New Roman"/>
          <w:szCs w:val="24"/>
        </w:rPr>
      </w:pPr>
      <w:r w:rsidRPr="009C4080">
        <w:rPr>
          <w:rFonts w:cs="Times New Roman"/>
          <w:szCs w:val="24"/>
        </w:rPr>
        <w:t>Wraz z epidemią COVID-19, która dotyka każdego z obywateli, zostały wprowadzone rozwiązania dedykowane osobom niepełnosprawnym i ich opiekunom. Ich celem jest ułatwienie codziennego funkcjonowanie tej właśnie grupie naszego społeczeństwa. Nowe świadczenie z Państwowego Funduszu Rehabilitacji Osób Niepełnoprawnych, rozszerzenie możliwości pobierania zasiłku opiekuńczego przez rodziców dzieci do 18 roku życia czy orzeczenia o niepełnosprawności bez osobistego stawiennictwa, to tylko niektóre z</w:t>
      </w:r>
      <w:r w:rsidR="00A76E31">
        <w:rPr>
          <w:rFonts w:cs="Times New Roman"/>
          <w:szCs w:val="24"/>
        </w:rPr>
        <w:t> </w:t>
      </w:r>
      <w:r w:rsidRPr="009C4080">
        <w:rPr>
          <w:rFonts w:cs="Times New Roman"/>
          <w:szCs w:val="24"/>
        </w:rPr>
        <w:t xml:space="preserve">obowiązujących rozwiązań. </w:t>
      </w:r>
    </w:p>
    <w:p w14:paraId="1AC99EDE" w14:textId="77777777" w:rsidR="009C4080" w:rsidRPr="009C4080" w:rsidRDefault="009C4080" w:rsidP="009C4080">
      <w:pPr>
        <w:rPr>
          <w:rFonts w:cs="Times New Roman"/>
          <w:szCs w:val="24"/>
        </w:rPr>
      </w:pPr>
    </w:p>
    <w:p w14:paraId="36F3DF0A" w14:textId="779C75EA" w:rsidR="009C4080" w:rsidRDefault="009C4080" w:rsidP="009C4080">
      <w:pPr>
        <w:rPr>
          <w:rFonts w:cs="Times New Roman"/>
          <w:szCs w:val="24"/>
        </w:rPr>
      </w:pPr>
      <w:r w:rsidRPr="009C4080">
        <w:rPr>
          <w:rFonts w:cs="Times New Roman"/>
          <w:szCs w:val="24"/>
        </w:rPr>
        <w:t>Problem z opieką nad dorosłą osobą niepełnosprawną pojawia w związku z zawieszeniem działalności placówek dziennego pobytu: warsztatów terapii zajęciowej, ośrodków dziennego pobytu, środowiskowych domów samopomocy lub innych placówek (np. ośrodka rewalidacyjno- wychowawczego). Opiekun osoby niepełnoprawnej może w takim przypadku uzyskać zasiłek przysługujący na opiekę nad chorym dorosłym członkiem rodziny. Aktualnie, lekarz, przewodniczący składu orzekającego, jeśli uzna dołączoną do wniosku o wydanie orzeczenia dokumentację medyczną za wystarczającą, będzie mógł sporządzić ocenę stanu zdrowia osoby orzekanej bez przeprowadzenia bezpośredniego badania. Dodatkowym ułatwieniem jest przedłużenie zaświadczeń uprawniających do orzekania o niepełnosprawności lub stopniu niepełnosprawności wydane członkowi powiatowego zespołu przez wojewodę, którego ważność upływa w terminie od 8 marca 2020 r. Zaświadczenie to zachowa ważność do 90. dnia od chwili odwołania stanu zagrożenia epidemicznego lub stanu epidemii (ale nie dłużej niż do dnia wydania nowego zaświadczenia)</w:t>
      </w:r>
      <w:r>
        <w:rPr>
          <w:rStyle w:val="Odwoanieprzypisudolnego"/>
          <w:rFonts w:cs="Times New Roman"/>
          <w:szCs w:val="24"/>
        </w:rPr>
        <w:footnoteReference w:id="52"/>
      </w:r>
      <w:r w:rsidRPr="009C4080">
        <w:rPr>
          <w:rFonts w:cs="Times New Roman"/>
          <w:szCs w:val="24"/>
        </w:rPr>
        <w:t>.</w:t>
      </w:r>
    </w:p>
    <w:p w14:paraId="15EE909B" w14:textId="77777777" w:rsidR="009C4080" w:rsidRPr="009C4080" w:rsidRDefault="009C4080" w:rsidP="009C4080">
      <w:pPr>
        <w:rPr>
          <w:rFonts w:cs="Times New Roman"/>
          <w:szCs w:val="24"/>
        </w:rPr>
      </w:pPr>
    </w:p>
    <w:p w14:paraId="3DB02575" w14:textId="77777777" w:rsidR="009C4080" w:rsidRDefault="009C4080" w:rsidP="009C4080">
      <w:pPr>
        <w:rPr>
          <w:rFonts w:cs="Times New Roman"/>
          <w:szCs w:val="24"/>
        </w:rPr>
      </w:pPr>
      <w:r w:rsidRPr="009C4080">
        <w:rPr>
          <w:rFonts w:cs="Times New Roman"/>
          <w:szCs w:val="24"/>
        </w:rPr>
        <w:t xml:space="preserve">Rodziny w  których występują osoby niepełnosprawne wymagają szerszego wsparcia ze strony Państwa. Osoby niepełnosprawne wymagają sprawowania nad nimi wszechstronnej  opieki w różnych zakresach przez różne instytucje w jednym czasie np. POZ, pielęgniarska opieka </w:t>
      </w:r>
      <w:r w:rsidRPr="009C4080">
        <w:rPr>
          <w:rFonts w:cs="Times New Roman"/>
          <w:szCs w:val="24"/>
        </w:rPr>
        <w:lastRenderedPageBreak/>
        <w:t>długoterminowa domowa, pomoc społeczna, rehabilitacja. Te formy nie mogą się wykluczać. Aktualnie jeżeli w domu pacjenta udzielane są świadczenia przez pielęgniarki opieki długoterminowej domowej to nie są wspierane przez pielęgniarki POZ. Należy także rozszerzyć możliwość aktywizacji osób niepełnosprawnych np. poprzez możliwość wykonywania pracy</w:t>
      </w:r>
      <w:r>
        <w:rPr>
          <w:rFonts w:cs="Times New Roman"/>
          <w:szCs w:val="24"/>
        </w:rPr>
        <w:t>.</w:t>
      </w:r>
    </w:p>
    <w:p w14:paraId="0C5C3382" w14:textId="77777777" w:rsidR="009C4080" w:rsidRDefault="009C4080" w:rsidP="009C4080">
      <w:pPr>
        <w:rPr>
          <w:rFonts w:cs="Times New Roman"/>
          <w:szCs w:val="24"/>
        </w:rPr>
      </w:pPr>
    </w:p>
    <w:p w14:paraId="76E5B233" w14:textId="450789E2" w:rsidR="009C4080" w:rsidRDefault="009C4080" w:rsidP="009C4080">
      <w:pPr>
        <w:rPr>
          <w:rFonts w:cs="Times New Roman"/>
          <w:szCs w:val="24"/>
        </w:rPr>
      </w:pPr>
      <w:r w:rsidRPr="009C4080">
        <w:rPr>
          <w:rFonts w:cs="Times New Roman"/>
          <w:szCs w:val="24"/>
        </w:rPr>
        <w:t>Większość osób starszych posiada samodzielne gospodarstwa domowe. Dominujące są gospodarstwa jednoosobowe z przewagą kobiet. Duża grupa osób po uzyskaniu wieku emerytalnego nadal pracuje, pobierając jednocześnie świadczenia emerytalne. Jest to spowodowane zbyt niską emeryturą oraz potrzebą dalszych kontaktów społecznych</w:t>
      </w:r>
      <w:r>
        <w:rPr>
          <w:rStyle w:val="Odwoanieprzypisudolnego"/>
          <w:rFonts w:cs="Times New Roman"/>
          <w:szCs w:val="24"/>
        </w:rPr>
        <w:footnoteReference w:id="53"/>
      </w:r>
      <w:r w:rsidRPr="009C4080">
        <w:rPr>
          <w:rFonts w:cs="Times New Roman"/>
          <w:szCs w:val="24"/>
        </w:rPr>
        <w:t>.</w:t>
      </w:r>
    </w:p>
    <w:p w14:paraId="4BE144F2" w14:textId="77777777" w:rsidR="009C4080" w:rsidRDefault="009C4080" w:rsidP="000D7CDE">
      <w:pPr>
        <w:rPr>
          <w:rFonts w:cs="Times New Roman"/>
          <w:b/>
          <w:color w:val="FF0000"/>
          <w:szCs w:val="24"/>
          <w:lang w:eastAsia="ar-SA"/>
        </w:rPr>
      </w:pPr>
    </w:p>
    <w:p w14:paraId="6E4AC33A" w14:textId="044149E9" w:rsidR="009C4080" w:rsidRDefault="00D66410" w:rsidP="009C4080">
      <w:pPr>
        <w:pStyle w:val="Nagwek3"/>
      </w:pPr>
      <w:bookmarkStart w:id="331" w:name="_Toc77514045"/>
      <w:bookmarkStart w:id="332" w:name="_Toc80523208"/>
      <w:r w:rsidRPr="00D66410">
        <w:t xml:space="preserve">Działania i inicjatywy realizowane na rzecz osób starszych w województwie </w:t>
      </w:r>
      <w:r>
        <w:t>zachodniopomorskim</w:t>
      </w:r>
      <w:bookmarkEnd w:id="331"/>
      <w:bookmarkEnd w:id="332"/>
    </w:p>
    <w:p w14:paraId="4021DDE7" w14:textId="5D197EF0" w:rsidR="009C4080" w:rsidRDefault="009C4080" w:rsidP="000D7CDE">
      <w:pPr>
        <w:rPr>
          <w:rFonts w:cs="Times New Roman"/>
          <w:szCs w:val="24"/>
        </w:rPr>
      </w:pPr>
    </w:p>
    <w:p w14:paraId="6825D377" w14:textId="6E6A6426" w:rsidR="00D66410" w:rsidRPr="00865CB7" w:rsidRDefault="00D66410" w:rsidP="00D66410">
      <w:pPr>
        <w:rPr>
          <w:rFonts w:cs="Times New Roman"/>
          <w:b/>
          <w:bCs/>
          <w:szCs w:val="24"/>
        </w:rPr>
      </w:pPr>
      <w:r w:rsidRPr="00865CB7">
        <w:rPr>
          <w:rFonts w:cs="Times New Roman"/>
          <w:b/>
          <w:bCs/>
          <w:szCs w:val="24"/>
        </w:rPr>
        <w:t>Dokumenty i strategie na poziomie wojewódzkim</w:t>
      </w:r>
    </w:p>
    <w:p w14:paraId="7471A4DE" w14:textId="77777777" w:rsidR="00A76E31" w:rsidRDefault="00D66410" w:rsidP="00D66410">
      <w:pPr>
        <w:rPr>
          <w:rFonts w:cs="Times New Roman"/>
          <w:szCs w:val="24"/>
        </w:rPr>
      </w:pPr>
      <w:r w:rsidRPr="00D66410">
        <w:rPr>
          <w:rFonts w:cs="Times New Roman"/>
          <w:szCs w:val="24"/>
        </w:rPr>
        <w:t xml:space="preserve">Zachodniopomorska Karta Seniora - Wojewódzki Programu Wspierania Rodziny </w:t>
      </w:r>
      <w:r w:rsidR="00A76E31">
        <w:rPr>
          <w:rFonts w:cs="Times New Roman"/>
          <w:szCs w:val="24"/>
        </w:rPr>
        <w:t xml:space="preserve"> </w:t>
      </w:r>
      <w:r w:rsidRPr="00D66410">
        <w:rPr>
          <w:rFonts w:cs="Times New Roman"/>
          <w:szCs w:val="24"/>
        </w:rPr>
        <w:t>i Systemu Pieczy Zastępczej na lata 2014 – 2020 pn. „Region dla Rodziny”</w:t>
      </w:r>
    </w:p>
    <w:p w14:paraId="72562C29" w14:textId="22453938" w:rsidR="00D66410" w:rsidRDefault="00D66410" w:rsidP="00D66410">
      <w:pPr>
        <w:rPr>
          <w:rFonts w:cs="Times New Roman"/>
          <w:szCs w:val="24"/>
        </w:rPr>
      </w:pPr>
      <w:r w:rsidRPr="00D66410">
        <w:rPr>
          <w:rFonts w:cs="Times New Roman"/>
          <w:szCs w:val="24"/>
        </w:rPr>
        <w:t xml:space="preserve">Jednym z głównych celów programu było wdrożenie i promocja Zachodniopomorskiej Karty Rodziny i Zachodniopomorskiej Karty Seniora,  którą od 2016 r. bezpłatnie otrzymywali mieszkańcy gmin województwa zachodniopomorskiego. W 2020 r. wśród mieszkańców województwa rozpowszechniono łącznie 3.312 zachodniopomorskich kart (w tym Kart Seniora - 1.997 szt.) </w:t>
      </w:r>
    </w:p>
    <w:p w14:paraId="15109887" w14:textId="77777777" w:rsidR="00A76E31" w:rsidRPr="00D66410" w:rsidRDefault="00A76E31" w:rsidP="00D66410">
      <w:pPr>
        <w:rPr>
          <w:rFonts w:cs="Times New Roman"/>
          <w:szCs w:val="24"/>
        </w:rPr>
      </w:pPr>
    </w:p>
    <w:p w14:paraId="721B670D" w14:textId="231EE0F2" w:rsidR="00D66410" w:rsidRDefault="00D66410" w:rsidP="00D66410">
      <w:pPr>
        <w:rPr>
          <w:rFonts w:cs="Times New Roman"/>
          <w:szCs w:val="24"/>
        </w:rPr>
      </w:pPr>
      <w:r w:rsidRPr="00D66410">
        <w:rPr>
          <w:rFonts w:cs="Times New Roman"/>
          <w:szCs w:val="24"/>
        </w:rPr>
        <w:t xml:space="preserve">„Program współpracy Województwa Zachodniopomorskiego z organizacjami pozarządowymi na rok 2020 r.” - Zarząd Województwa Zachodniopomorskiego </w:t>
      </w:r>
      <w:r w:rsidR="00A76E31">
        <w:rPr>
          <w:rFonts w:cs="Times New Roman"/>
          <w:szCs w:val="24"/>
        </w:rPr>
        <w:t xml:space="preserve"> </w:t>
      </w:r>
      <w:r w:rsidRPr="00D66410">
        <w:rPr>
          <w:rFonts w:cs="Times New Roman"/>
          <w:szCs w:val="24"/>
        </w:rPr>
        <w:t xml:space="preserve">w 2020 r. ogłosił konkurs ofert dla podmiotów niepublicznych na wsparcie </w:t>
      </w:r>
      <w:r w:rsidR="00A76E31">
        <w:rPr>
          <w:rFonts w:cs="Times New Roman"/>
          <w:szCs w:val="24"/>
        </w:rPr>
        <w:t xml:space="preserve"> </w:t>
      </w:r>
      <w:r w:rsidRPr="00D66410">
        <w:rPr>
          <w:rFonts w:cs="Times New Roman"/>
          <w:szCs w:val="24"/>
        </w:rPr>
        <w:t>i powierzenie realizacji zadań z zakresu polityki społecznej, których adresatami byli Seniorzy - mieszkańcy województwa zachodniopomorskiego (osoby powyżej 60 r.ż.). Działania zawarte w programie realizowane były w ramach zadania publicznego pn. „Działalność na rzecz osób starszych”. Na ich realizację przeznaczono z budżetu Województwa Zachodniopomorskiego kwotę 200 000 zł, a  z działań na rzecz osób starszych realizowanych przez organizacje pozarządowe skorzystało ponad 700 osób.</w:t>
      </w:r>
    </w:p>
    <w:p w14:paraId="72A87249" w14:textId="77777777" w:rsidR="00A76E31" w:rsidRPr="00D66410" w:rsidRDefault="00A76E31" w:rsidP="00D66410">
      <w:pPr>
        <w:rPr>
          <w:rFonts w:cs="Times New Roman"/>
          <w:szCs w:val="24"/>
        </w:rPr>
      </w:pPr>
    </w:p>
    <w:p w14:paraId="1835529A" w14:textId="3E7F6E38" w:rsidR="00D66410" w:rsidRPr="00D66410" w:rsidRDefault="00D66410" w:rsidP="00D66410">
      <w:pPr>
        <w:rPr>
          <w:rFonts w:cs="Times New Roman"/>
          <w:szCs w:val="24"/>
        </w:rPr>
      </w:pPr>
      <w:r w:rsidRPr="00466A36">
        <w:rPr>
          <w:rFonts w:cs="Times New Roman"/>
          <w:b/>
          <w:bCs/>
          <w:szCs w:val="24"/>
        </w:rPr>
        <w:t>Przykłady programów wspierających aktywność społeczną, kulturalną, edukacyjną, sportową i obywatelską osób starszych</w:t>
      </w:r>
    </w:p>
    <w:p w14:paraId="50AE9804" w14:textId="77777777" w:rsidR="00D66410" w:rsidRPr="00D66410" w:rsidRDefault="00D66410" w:rsidP="00D66410">
      <w:pPr>
        <w:rPr>
          <w:rFonts w:cs="Times New Roman"/>
          <w:szCs w:val="24"/>
        </w:rPr>
      </w:pPr>
      <w:r w:rsidRPr="00D66410">
        <w:rPr>
          <w:rFonts w:cs="Times New Roman"/>
          <w:szCs w:val="24"/>
        </w:rPr>
        <w:t xml:space="preserve">Organizacje działające na rzecz wspierania aktywności  osób starszych w większości gmin i powiatów województwa zachodniopomorskiego to przede wszystkim Uniwersytet III Wieku, Akademia Każdego Wieku działająca przy Towarzystwach Oświatowych, Polski Związek Emerytów, Rencistów i Inwalidów, Stowarzyszenie Kobiet Po Chorobie Raka Piersi, Polski Związek Niewidomych, Polskie Stowarzyszenie Diabetyków, Polski Związek Głuchych, Stowarzyszenie Pomocy Osobom Niepełnosprawnym, Związek Kombatantów RP i Byłych </w:t>
      </w:r>
      <w:r w:rsidRPr="00D66410">
        <w:rPr>
          <w:rFonts w:cs="Times New Roman"/>
          <w:szCs w:val="24"/>
        </w:rPr>
        <w:lastRenderedPageBreak/>
        <w:t>Więźniów Politycznych, Związek Inwalidów Wojennych RP, Związek Sybiraków, Związek Harcerstwa Polskiego– Harcerski Krąg Seniora, Związek Nauczycielstwa Polskiego.</w:t>
      </w:r>
    </w:p>
    <w:p w14:paraId="1D8CCA9D" w14:textId="77777777" w:rsidR="00466A36" w:rsidRDefault="00D66410" w:rsidP="00D66410">
      <w:pPr>
        <w:rPr>
          <w:rFonts w:cs="Times New Roman"/>
          <w:szCs w:val="24"/>
        </w:rPr>
      </w:pPr>
      <w:r w:rsidRPr="00D66410">
        <w:rPr>
          <w:rFonts w:cs="Times New Roman"/>
          <w:szCs w:val="24"/>
        </w:rPr>
        <w:t>W 2020 r. w  Mieście Koszalinie w ramach programów wspierających seniorów realizowane były miedzy innymi takie  działania jak:</w:t>
      </w:r>
    </w:p>
    <w:p w14:paraId="4C049CA7" w14:textId="77777777" w:rsidR="00466A36" w:rsidRDefault="00D66410" w:rsidP="00FE70E3">
      <w:pPr>
        <w:pStyle w:val="Akapitzlist"/>
        <w:numPr>
          <w:ilvl w:val="0"/>
          <w:numId w:val="216"/>
        </w:numPr>
        <w:rPr>
          <w:rFonts w:cs="Times New Roman"/>
          <w:szCs w:val="24"/>
        </w:rPr>
      </w:pPr>
      <w:r w:rsidRPr="00466A36">
        <w:rPr>
          <w:rFonts w:cs="Times New Roman"/>
          <w:szCs w:val="24"/>
        </w:rPr>
        <w:t>„Karaoke dla seniorów”- Współorganizacja koncertu ”Kolędowanie na jazzowo i nie tylko”. W działaniach organizowanych przez Centrum Kultury 105 ogółem wzięło udział  880 seniorów.</w:t>
      </w:r>
    </w:p>
    <w:p w14:paraId="107B7181" w14:textId="77777777" w:rsidR="00466A36" w:rsidRDefault="00D66410" w:rsidP="00FE70E3">
      <w:pPr>
        <w:pStyle w:val="Akapitzlist"/>
        <w:numPr>
          <w:ilvl w:val="0"/>
          <w:numId w:val="216"/>
        </w:numPr>
        <w:rPr>
          <w:rFonts w:cs="Times New Roman"/>
          <w:szCs w:val="24"/>
        </w:rPr>
      </w:pPr>
      <w:r w:rsidRPr="00466A36">
        <w:rPr>
          <w:rFonts w:cs="Times New Roman"/>
          <w:szCs w:val="24"/>
        </w:rPr>
        <w:t>Wystawy i wernisaże- przeprowadzono cykl spotkań pn. „ Zmalujemy w bibliotece”. Uczestniczyło w nich 10 osób.</w:t>
      </w:r>
    </w:p>
    <w:p w14:paraId="591F7920" w14:textId="77777777" w:rsidR="00466A36" w:rsidRDefault="00D66410" w:rsidP="00FE70E3">
      <w:pPr>
        <w:pStyle w:val="Akapitzlist"/>
        <w:numPr>
          <w:ilvl w:val="0"/>
          <w:numId w:val="216"/>
        </w:numPr>
        <w:rPr>
          <w:rFonts w:cs="Times New Roman"/>
          <w:szCs w:val="24"/>
        </w:rPr>
      </w:pPr>
      <w:r w:rsidRPr="00466A36">
        <w:rPr>
          <w:rFonts w:cs="Times New Roman"/>
          <w:szCs w:val="24"/>
        </w:rPr>
        <w:t>Spotkania dla osób niedowidzących w Wypożyczalni Książki Mówionej.</w:t>
      </w:r>
      <w:r w:rsidR="00466A36">
        <w:rPr>
          <w:rFonts w:cs="Times New Roman"/>
          <w:szCs w:val="24"/>
        </w:rPr>
        <w:t xml:space="preserve"> </w:t>
      </w:r>
      <w:r w:rsidRPr="00466A36">
        <w:rPr>
          <w:rFonts w:cs="Times New Roman"/>
          <w:szCs w:val="24"/>
        </w:rPr>
        <w:t>W Koszalińskiej Bibliotece Publicznej odbyło się  8 spotkań, w których uczestniczyło 87 osób.</w:t>
      </w:r>
    </w:p>
    <w:p w14:paraId="63DE45C9" w14:textId="77777777" w:rsidR="00466A36" w:rsidRDefault="00D66410" w:rsidP="00FE70E3">
      <w:pPr>
        <w:pStyle w:val="Akapitzlist"/>
        <w:numPr>
          <w:ilvl w:val="0"/>
          <w:numId w:val="216"/>
        </w:numPr>
        <w:rPr>
          <w:rFonts w:cs="Times New Roman"/>
          <w:szCs w:val="24"/>
        </w:rPr>
      </w:pPr>
      <w:r w:rsidRPr="00466A36">
        <w:rPr>
          <w:rFonts w:cs="Times New Roman"/>
          <w:szCs w:val="24"/>
        </w:rPr>
        <w:t>Koszalińska Biblioteka Publiczna zorganizowała 12 spotkań online z cyklu Filmowa Akademia Integracji – 3 987 uczestników.</w:t>
      </w:r>
    </w:p>
    <w:p w14:paraId="3E3FDDB3" w14:textId="77777777" w:rsidR="00466A36" w:rsidRDefault="00D66410" w:rsidP="00FE70E3">
      <w:pPr>
        <w:pStyle w:val="Akapitzlist"/>
        <w:numPr>
          <w:ilvl w:val="0"/>
          <w:numId w:val="216"/>
        </w:numPr>
        <w:rPr>
          <w:rFonts w:cs="Times New Roman"/>
          <w:szCs w:val="24"/>
        </w:rPr>
      </w:pPr>
      <w:r w:rsidRPr="00466A36">
        <w:rPr>
          <w:rFonts w:cs="Times New Roman"/>
          <w:szCs w:val="24"/>
        </w:rPr>
        <w:t xml:space="preserve">Książki z dużą czcionką, audiobooki i ebooki. Z myślą o osobach starszych, gromadzone są książki z powiększonym drukiem, ok. 1040 woluminów. W </w:t>
      </w:r>
      <w:proofErr w:type="spellStart"/>
      <w:r w:rsidRPr="00466A36">
        <w:rPr>
          <w:rFonts w:cs="Times New Roman"/>
          <w:szCs w:val="24"/>
        </w:rPr>
        <w:t>Mediatece</w:t>
      </w:r>
      <w:proofErr w:type="spellEnd"/>
      <w:r w:rsidRPr="00466A36">
        <w:rPr>
          <w:rFonts w:cs="Times New Roman"/>
          <w:szCs w:val="24"/>
        </w:rPr>
        <w:t xml:space="preserve"> </w:t>
      </w:r>
      <w:r w:rsidR="00466A36">
        <w:rPr>
          <w:rFonts w:cs="Times New Roman"/>
          <w:szCs w:val="24"/>
        </w:rPr>
        <w:t xml:space="preserve"> </w:t>
      </w:r>
      <w:r w:rsidRPr="00466A36">
        <w:rPr>
          <w:rFonts w:cs="Times New Roman"/>
          <w:szCs w:val="24"/>
        </w:rPr>
        <w:t xml:space="preserve">- audiobooków: 4 390 tytułów książek nagranych  w formacie mp3 i audio. Dostęp do ponad 65 000 tytułów ebooków na platformie </w:t>
      </w:r>
      <w:proofErr w:type="spellStart"/>
      <w:r w:rsidRPr="00466A36">
        <w:rPr>
          <w:rFonts w:cs="Times New Roman"/>
          <w:szCs w:val="24"/>
        </w:rPr>
        <w:t>Legimi</w:t>
      </w:r>
      <w:proofErr w:type="spellEnd"/>
      <w:r w:rsidRPr="00466A36">
        <w:rPr>
          <w:rFonts w:cs="Times New Roman"/>
          <w:szCs w:val="24"/>
        </w:rPr>
        <w:t xml:space="preserve"> i </w:t>
      </w:r>
      <w:proofErr w:type="spellStart"/>
      <w:r w:rsidRPr="00466A36">
        <w:rPr>
          <w:rFonts w:cs="Times New Roman"/>
          <w:szCs w:val="24"/>
        </w:rPr>
        <w:t>Ibuk</w:t>
      </w:r>
      <w:proofErr w:type="spellEnd"/>
      <w:r w:rsidRPr="00466A36">
        <w:rPr>
          <w:rFonts w:cs="Times New Roman"/>
          <w:szCs w:val="24"/>
        </w:rPr>
        <w:t xml:space="preserve"> Libra, z możliwością powiększenia  wielkości czcionki.</w:t>
      </w:r>
    </w:p>
    <w:p w14:paraId="6FA356F3" w14:textId="77777777" w:rsidR="00466A36" w:rsidRDefault="00D66410" w:rsidP="00FE70E3">
      <w:pPr>
        <w:pStyle w:val="Akapitzlist"/>
        <w:numPr>
          <w:ilvl w:val="0"/>
          <w:numId w:val="216"/>
        </w:numPr>
        <w:rPr>
          <w:rFonts w:cs="Times New Roman"/>
          <w:szCs w:val="24"/>
        </w:rPr>
      </w:pPr>
      <w:r w:rsidRPr="00466A36">
        <w:rPr>
          <w:rFonts w:cs="Times New Roman"/>
          <w:szCs w:val="24"/>
        </w:rPr>
        <w:t>Etnograficzne Warsztaty Rękodzielnicze w Zagrodzie - propagowanie tradycyjnych technik plastyki ludowej . W 50 spotkaniach udział wzięły 284 osoby.</w:t>
      </w:r>
    </w:p>
    <w:p w14:paraId="3E4E25D6" w14:textId="77777777" w:rsidR="00466A36" w:rsidRDefault="00D66410" w:rsidP="00FE70E3">
      <w:pPr>
        <w:pStyle w:val="Akapitzlist"/>
        <w:numPr>
          <w:ilvl w:val="0"/>
          <w:numId w:val="216"/>
        </w:numPr>
        <w:rPr>
          <w:rFonts w:cs="Times New Roman"/>
          <w:szCs w:val="24"/>
        </w:rPr>
      </w:pPr>
      <w:r w:rsidRPr="00466A36">
        <w:rPr>
          <w:rFonts w:cs="Times New Roman"/>
          <w:szCs w:val="24"/>
        </w:rPr>
        <w:t>Międzynarodowy Dzień Dziergania w Miejscach Publicznych. Z inicjatywy pięciu seniorek  z kółka „</w:t>
      </w:r>
      <w:proofErr w:type="spellStart"/>
      <w:r w:rsidRPr="00466A36">
        <w:rPr>
          <w:rFonts w:cs="Times New Roman"/>
          <w:szCs w:val="24"/>
        </w:rPr>
        <w:t>Robótkowo</w:t>
      </w:r>
      <w:proofErr w:type="spellEnd"/>
      <w:r w:rsidRPr="00466A36">
        <w:rPr>
          <w:rFonts w:cs="Times New Roman"/>
          <w:szCs w:val="24"/>
        </w:rPr>
        <w:t xml:space="preserve">” zorganizowano spotkanie w Zagrodzie </w:t>
      </w:r>
      <w:proofErr w:type="spellStart"/>
      <w:r w:rsidRPr="00466A36">
        <w:rPr>
          <w:rFonts w:cs="Times New Roman"/>
          <w:szCs w:val="24"/>
        </w:rPr>
        <w:t>Jamneńskiej</w:t>
      </w:r>
      <w:proofErr w:type="spellEnd"/>
      <w:r w:rsidRPr="00466A36">
        <w:rPr>
          <w:rFonts w:cs="Times New Roman"/>
          <w:szCs w:val="24"/>
        </w:rPr>
        <w:t>. Udział w nim wzięło 10 seniorów.</w:t>
      </w:r>
    </w:p>
    <w:p w14:paraId="4A97B9D0" w14:textId="77777777" w:rsidR="00466A36" w:rsidRDefault="00D66410" w:rsidP="00FE70E3">
      <w:pPr>
        <w:pStyle w:val="Akapitzlist"/>
        <w:numPr>
          <w:ilvl w:val="0"/>
          <w:numId w:val="216"/>
        </w:numPr>
        <w:rPr>
          <w:rFonts w:cs="Times New Roman"/>
          <w:szCs w:val="24"/>
        </w:rPr>
      </w:pPr>
      <w:r w:rsidRPr="00466A36">
        <w:rPr>
          <w:rFonts w:cs="Times New Roman"/>
          <w:szCs w:val="24"/>
        </w:rPr>
        <w:t xml:space="preserve">Bilet </w:t>
      </w:r>
      <w:proofErr w:type="spellStart"/>
      <w:r w:rsidRPr="00466A36">
        <w:rPr>
          <w:rFonts w:cs="Times New Roman"/>
          <w:szCs w:val="24"/>
        </w:rPr>
        <w:t>Aqua</w:t>
      </w:r>
      <w:proofErr w:type="spellEnd"/>
      <w:r w:rsidRPr="00466A36">
        <w:rPr>
          <w:rFonts w:cs="Times New Roman"/>
          <w:szCs w:val="24"/>
        </w:rPr>
        <w:t xml:space="preserve"> Senior. W 2020 roku z oferty Parku skorzystało 19 610 osób (55+). </w:t>
      </w:r>
    </w:p>
    <w:p w14:paraId="02EACC96" w14:textId="048670F6" w:rsidR="00D66410" w:rsidRDefault="00D66410" w:rsidP="00FE70E3">
      <w:pPr>
        <w:pStyle w:val="Akapitzlist"/>
        <w:numPr>
          <w:ilvl w:val="0"/>
          <w:numId w:val="216"/>
        </w:numPr>
        <w:rPr>
          <w:rFonts w:cs="Times New Roman"/>
          <w:szCs w:val="24"/>
        </w:rPr>
      </w:pPr>
      <w:r w:rsidRPr="00466A36">
        <w:rPr>
          <w:rFonts w:cs="Times New Roman"/>
          <w:szCs w:val="24"/>
        </w:rPr>
        <w:t xml:space="preserve"> Niedzielne Spektakle w Bałtyckim Teatrze Dramatycznym w Koszalinie. W 2020 roku 362  seniorów skorzystało z zakupu biletów  w cenie 15 zł na niedzielne spektakle. W ramach imprez o charakterze międzypokoleniowym teatr wystawił 6 spektakli familijnych, w których uczestniczyły całe rodziny ( dzieci, wnukowie, dziadkowie).</w:t>
      </w:r>
    </w:p>
    <w:p w14:paraId="34A83049" w14:textId="77777777" w:rsidR="00466A36" w:rsidRPr="00466A36" w:rsidRDefault="00466A36" w:rsidP="00466A36">
      <w:pPr>
        <w:rPr>
          <w:rFonts w:cs="Times New Roman"/>
          <w:szCs w:val="24"/>
        </w:rPr>
      </w:pPr>
    </w:p>
    <w:p w14:paraId="04085E84" w14:textId="1EEA97BD" w:rsidR="00D66410" w:rsidRPr="00D66410" w:rsidRDefault="00D66410" w:rsidP="00D66410">
      <w:pPr>
        <w:rPr>
          <w:rFonts w:cs="Times New Roman"/>
          <w:szCs w:val="24"/>
        </w:rPr>
      </w:pPr>
      <w:r w:rsidRPr="00D66410">
        <w:rPr>
          <w:rFonts w:cs="Times New Roman"/>
          <w:szCs w:val="24"/>
        </w:rPr>
        <w:t>Gmina Sławoborze w ramach działań  przeznaczonych dla osób starszych była  realizatorem projektu socjalnego pn. „Aktywni seniorzy w gminie Sławoborze – edycja IV - 2020 roku”.</w:t>
      </w:r>
      <w:r w:rsidR="00466A36">
        <w:rPr>
          <w:rFonts w:cs="Times New Roman"/>
          <w:szCs w:val="24"/>
        </w:rPr>
        <w:t xml:space="preserve"> </w:t>
      </w:r>
      <w:r w:rsidRPr="00D66410">
        <w:rPr>
          <w:rFonts w:cs="Times New Roman"/>
          <w:szCs w:val="24"/>
        </w:rPr>
        <w:t xml:space="preserve">Dzięki realizacji konkretnych zadań z zakresu kultury, edukacji, sportu </w:t>
      </w:r>
      <w:r w:rsidR="00466A36">
        <w:rPr>
          <w:rFonts w:cs="Times New Roman"/>
          <w:szCs w:val="24"/>
        </w:rPr>
        <w:t xml:space="preserve"> </w:t>
      </w:r>
      <w:r w:rsidRPr="00D66410">
        <w:rPr>
          <w:rFonts w:cs="Times New Roman"/>
          <w:szCs w:val="24"/>
        </w:rPr>
        <w:t>i udziałowi osób starszych w inicjatywach obywatelskich nastąpiło zwiększenie aktywności tej grupy społecznej. Od stycznia do 15 października 2020 r</w:t>
      </w:r>
      <w:r w:rsidR="0058349D">
        <w:rPr>
          <w:rFonts w:cs="Times New Roman"/>
          <w:szCs w:val="24"/>
        </w:rPr>
        <w:t>.</w:t>
      </w:r>
      <w:r w:rsidRPr="00D66410">
        <w:rPr>
          <w:rFonts w:cs="Times New Roman"/>
          <w:szCs w:val="24"/>
        </w:rPr>
        <w:t xml:space="preserve"> systematycznie w różnych działaniach realizowanego projektu brało udział 36 seniorów. </w:t>
      </w:r>
    </w:p>
    <w:p w14:paraId="0F784775" w14:textId="77777777" w:rsidR="00466A36" w:rsidRDefault="00466A36" w:rsidP="00D66410">
      <w:pPr>
        <w:rPr>
          <w:rFonts w:cs="Times New Roman"/>
          <w:szCs w:val="24"/>
        </w:rPr>
      </w:pPr>
    </w:p>
    <w:p w14:paraId="75A9ED0E" w14:textId="54E22752" w:rsidR="00466A36" w:rsidRPr="00466A36" w:rsidRDefault="00466A36" w:rsidP="00D66410">
      <w:pPr>
        <w:rPr>
          <w:rFonts w:cs="Times New Roman"/>
          <w:b/>
          <w:bCs/>
          <w:szCs w:val="24"/>
        </w:rPr>
      </w:pPr>
      <w:r w:rsidRPr="00466A36">
        <w:rPr>
          <w:rFonts w:cs="Times New Roman"/>
          <w:b/>
          <w:bCs/>
          <w:szCs w:val="24"/>
        </w:rPr>
        <w:t>Przykłady dobrych praktyk na poziomie powiatu, gminy.</w:t>
      </w:r>
    </w:p>
    <w:p w14:paraId="43D57B1F" w14:textId="40208B21" w:rsidR="00D66410" w:rsidRPr="00D66410" w:rsidRDefault="00D66410" w:rsidP="00D66410">
      <w:pPr>
        <w:rPr>
          <w:rFonts w:cs="Times New Roman"/>
          <w:szCs w:val="24"/>
        </w:rPr>
      </w:pPr>
      <w:r w:rsidRPr="00D66410">
        <w:rPr>
          <w:rFonts w:cs="Times New Roman"/>
          <w:szCs w:val="24"/>
        </w:rPr>
        <w:t xml:space="preserve">Ogromnym dorobkiem programów dla osób w podeszłym wieku może poszczycić się Miasto Stargard, które w 2018 </w:t>
      </w:r>
      <w:r w:rsidR="0058349D">
        <w:rPr>
          <w:rFonts w:cs="Times New Roman"/>
          <w:szCs w:val="24"/>
        </w:rPr>
        <w:t xml:space="preserve">r. </w:t>
      </w:r>
      <w:r w:rsidRPr="00D66410">
        <w:rPr>
          <w:rFonts w:cs="Times New Roman"/>
          <w:szCs w:val="24"/>
        </w:rPr>
        <w:t>zostało włączone do Sieci Miast Przyjaznych Starzeniu Światowej Organizacji Zdrowia.  W 2020 r</w:t>
      </w:r>
      <w:r w:rsidR="0058349D">
        <w:rPr>
          <w:rFonts w:cs="Times New Roman"/>
          <w:szCs w:val="24"/>
        </w:rPr>
        <w:t>.</w:t>
      </w:r>
      <w:r w:rsidRPr="00D66410">
        <w:rPr>
          <w:rFonts w:cs="Times New Roman"/>
          <w:szCs w:val="24"/>
        </w:rPr>
        <w:t xml:space="preserve"> zrealizowano między innymi takie programy jak:</w:t>
      </w:r>
    </w:p>
    <w:p w14:paraId="03090BF5" w14:textId="77777777" w:rsidR="00466A36" w:rsidRDefault="00D66410" w:rsidP="00FE70E3">
      <w:pPr>
        <w:pStyle w:val="Akapitzlist"/>
        <w:numPr>
          <w:ilvl w:val="0"/>
          <w:numId w:val="217"/>
        </w:numPr>
        <w:rPr>
          <w:rFonts w:cs="Times New Roman"/>
          <w:szCs w:val="24"/>
        </w:rPr>
      </w:pPr>
      <w:r w:rsidRPr="00466A36">
        <w:rPr>
          <w:rFonts w:cs="Times New Roman"/>
          <w:szCs w:val="24"/>
        </w:rPr>
        <w:t>Program „Stargard Przyjazny Starzeniu”- opracowany przez Zespół Koordynacyjny. Pracowano nad diagnozą oraz propozycją działań w 8 obszarach tj. przestrzenie publiczne i budynki, transport, mieszkalnictwo, partycypacja społeczna, szacunek</w:t>
      </w:r>
      <w:r w:rsidR="00466A36" w:rsidRPr="00466A36">
        <w:rPr>
          <w:rFonts w:cs="Times New Roman"/>
          <w:szCs w:val="24"/>
        </w:rPr>
        <w:t xml:space="preserve"> </w:t>
      </w:r>
      <w:r w:rsidRPr="00466A36">
        <w:rPr>
          <w:rFonts w:cs="Times New Roman"/>
          <w:szCs w:val="24"/>
        </w:rPr>
        <w:t xml:space="preserve">i inkluzja </w:t>
      </w:r>
      <w:r w:rsidRPr="00466A36">
        <w:rPr>
          <w:rFonts w:cs="Times New Roman"/>
          <w:szCs w:val="24"/>
        </w:rPr>
        <w:lastRenderedPageBreak/>
        <w:t>społeczna, partycypacja obywatelska i zatrudnienie, komunikacja</w:t>
      </w:r>
      <w:r w:rsidR="00466A36" w:rsidRPr="00466A36">
        <w:rPr>
          <w:rFonts w:cs="Times New Roman"/>
          <w:szCs w:val="24"/>
        </w:rPr>
        <w:t xml:space="preserve"> </w:t>
      </w:r>
      <w:r w:rsidRPr="00466A36">
        <w:rPr>
          <w:rFonts w:cs="Times New Roman"/>
          <w:szCs w:val="24"/>
        </w:rPr>
        <w:t>i informacja, wsparcie społeczności i usługi zdrowotne. Na podstawie przeprowadzonej diagnozy opracowano cele w ww. obszarach tematycznych, a ich realizację zaplanowano na 3 lata</w:t>
      </w:r>
      <w:r w:rsidR="00466A36">
        <w:rPr>
          <w:rFonts w:cs="Times New Roman"/>
          <w:szCs w:val="24"/>
        </w:rPr>
        <w:t>.</w:t>
      </w:r>
    </w:p>
    <w:p w14:paraId="6D5E2D62" w14:textId="77777777" w:rsidR="00466A36" w:rsidRDefault="00D66410" w:rsidP="00FE70E3">
      <w:pPr>
        <w:pStyle w:val="Akapitzlist"/>
        <w:numPr>
          <w:ilvl w:val="0"/>
          <w:numId w:val="217"/>
        </w:numPr>
        <w:rPr>
          <w:rFonts w:cs="Times New Roman"/>
          <w:szCs w:val="24"/>
        </w:rPr>
      </w:pPr>
      <w:r w:rsidRPr="00466A36">
        <w:rPr>
          <w:rFonts w:cs="Times New Roman"/>
          <w:szCs w:val="24"/>
        </w:rPr>
        <w:t xml:space="preserve">„Złota Rączka” – program obejmujący bezpłatną pomoc seniorom w drobnych naprawach w lokalu w którym zamieszkują. W 2020 r. wykonano 40 usług. https://www.stargard.pl/dla-mieszkanca/zlota-raczka   </w:t>
      </w:r>
    </w:p>
    <w:p w14:paraId="57B40C47" w14:textId="77777777" w:rsidR="00466A36" w:rsidRDefault="00D66410" w:rsidP="00FE70E3">
      <w:pPr>
        <w:pStyle w:val="Akapitzlist"/>
        <w:numPr>
          <w:ilvl w:val="0"/>
          <w:numId w:val="217"/>
        </w:numPr>
        <w:rPr>
          <w:rFonts w:cs="Times New Roman"/>
          <w:szCs w:val="24"/>
        </w:rPr>
      </w:pPr>
      <w:r w:rsidRPr="00466A36">
        <w:rPr>
          <w:rFonts w:cs="Times New Roman"/>
          <w:szCs w:val="24"/>
        </w:rPr>
        <w:t xml:space="preserve">„Krzesełko dla seniora” - wystawiane w czasie godzin otwarcia siedziby firm i instytucji umożliwia mieszkańcom miasta skorzystanie z chwili wytchnienia podczas przemieszczania się po mieście w celu załatwiania różnych spraw. </w:t>
      </w:r>
    </w:p>
    <w:p w14:paraId="1B97F2EC" w14:textId="3B8639BF" w:rsidR="00466A36" w:rsidRDefault="00D66410" w:rsidP="00FE70E3">
      <w:pPr>
        <w:pStyle w:val="Akapitzlist"/>
        <w:numPr>
          <w:ilvl w:val="0"/>
          <w:numId w:val="217"/>
        </w:numPr>
        <w:rPr>
          <w:rFonts w:cs="Times New Roman"/>
          <w:szCs w:val="24"/>
        </w:rPr>
      </w:pPr>
      <w:r w:rsidRPr="00466A36">
        <w:rPr>
          <w:rFonts w:cs="Times New Roman"/>
          <w:szCs w:val="24"/>
        </w:rPr>
        <w:t>Stargardzkie Dni Seniora - Stargardzkie Dni Seniora zostały zainaugurowane</w:t>
      </w:r>
      <w:r w:rsidR="00466A36">
        <w:rPr>
          <w:rFonts w:cs="Times New Roman"/>
          <w:szCs w:val="24"/>
        </w:rPr>
        <w:t xml:space="preserve"> </w:t>
      </w:r>
      <w:r w:rsidRPr="00466A36">
        <w:rPr>
          <w:rFonts w:cs="Times New Roman"/>
          <w:szCs w:val="24"/>
        </w:rPr>
        <w:t xml:space="preserve">w roku 2016. W 2020 </w:t>
      </w:r>
      <w:r w:rsidR="0058349D">
        <w:rPr>
          <w:rFonts w:cs="Times New Roman"/>
          <w:szCs w:val="24"/>
        </w:rPr>
        <w:t>r.</w:t>
      </w:r>
      <w:r w:rsidRPr="00466A36">
        <w:rPr>
          <w:rFonts w:cs="Times New Roman"/>
          <w:szCs w:val="24"/>
        </w:rPr>
        <w:t xml:space="preserve"> podczas obchodów Święta Seniorów zorganizowano zajęcia  gimnastyczne, zajęcia z obsługi defibrylatorów AED, grę miejską. Stargardzkie Dni Seniora już na stałe wpisały się w kalendarz Miasta. Podczas ich trwania seniorzy mają okazję do wspólnych spotkań, rozmów i integracji w środowisku lokalnym. https://www.stargard.pl/dla-mieszkanca/dni-seniora </w:t>
      </w:r>
    </w:p>
    <w:p w14:paraId="34ABA80F" w14:textId="77777777" w:rsidR="00466A36" w:rsidRDefault="00D66410" w:rsidP="00FE70E3">
      <w:pPr>
        <w:pStyle w:val="Akapitzlist"/>
        <w:numPr>
          <w:ilvl w:val="0"/>
          <w:numId w:val="217"/>
        </w:numPr>
        <w:rPr>
          <w:rFonts w:cs="Times New Roman"/>
          <w:szCs w:val="24"/>
        </w:rPr>
      </w:pPr>
      <w:r w:rsidRPr="00466A36">
        <w:rPr>
          <w:rFonts w:cs="Times New Roman"/>
          <w:szCs w:val="24"/>
        </w:rPr>
        <w:t>Program „Potrzebny Dom” podprogram „Nie Sami” – to 24 mieszkania wspomagane dla osób powyżej 55. roku życia. Mieszkania te są wyposażone w system przywołania.</w:t>
      </w:r>
    </w:p>
    <w:p w14:paraId="37F84A66" w14:textId="044D4C0E" w:rsidR="00D66410" w:rsidRPr="00466A36" w:rsidRDefault="00D66410" w:rsidP="00FE70E3">
      <w:pPr>
        <w:pStyle w:val="Akapitzlist"/>
        <w:numPr>
          <w:ilvl w:val="0"/>
          <w:numId w:val="217"/>
        </w:numPr>
        <w:rPr>
          <w:rFonts w:cs="Times New Roman"/>
          <w:szCs w:val="24"/>
        </w:rPr>
      </w:pPr>
      <w:r w:rsidRPr="00466A36">
        <w:rPr>
          <w:rFonts w:cs="Times New Roman"/>
          <w:szCs w:val="24"/>
        </w:rPr>
        <w:t>„Życie seniora też może być radosne” – w ramach zadania realizowanego na zlecenie Miasta przez Stowarzyszenie „Edukacja-Zdrowie-Aktywność” opracowano</w:t>
      </w:r>
      <w:r w:rsidR="00466A36">
        <w:rPr>
          <w:rFonts w:cs="Times New Roman"/>
          <w:szCs w:val="24"/>
        </w:rPr>
        <w:t xml:space="preserve"> </w:t>
      </w:r>
      <w:r w:rsidRPr="00466A36">
        <w:rPr>
          <w:rFonts w:cs="Times New Roman"/>
          <w:szCs w:val="24"/>
        </w:rPr>
        <w:t>i wydrukowano 50 broszur związanych z tematyką zdrowia, które zostały rozdane osobom starszym.</w:t>
      </w:r>
    </w:p>
    <w:p w14:paraId="4965F92A" w14:textId="77777777" w:rsidR="00466A36" w:rsidRDefault="00466A36" w:rsidP="00D66410">
      <w:pPr>
        <w:rPr>
          <w:rFonts w:cs="Times New Roman"/>
          <w:szCs w:val="24"/>
        </w:rPr>
      </w:pPr>
    </w:p>
    <w:p w14:paraId="707EC97B" w14:textId="77A5370E" w:rsidR="00D66410" w:rsidRDefault="00D66410" w:rsidP="00D66410">
      <w:pPr>
        <w:rPr>
          <w:rFonts w:cs="Times New Roman"/>
          <w:szCs w:val="24"/>
        </w:rPr>
      </w:pPr>
      <w:r w:rsidRPr="00D66410">
        <w:rPr>
          <w:rFonts w:cs="Times New Roman"/>
          <w:szCs w:val="24"/>
        </w:rPr>
        <w:t xml:space="preserve">Gmina Dobra k. Nowogardu w 2020r w ramach działalności Klubu Seniora+, zorganizowała szkolenie „Bezpieczeństwo seniorów w sieci”, kurs komputerowy „Moje finanse i transakcje w sieci” – 12 uczestników. </w:t>
      </w:r>
    </w:p>
    <w:p w14:paraId="183E0EAC" w14:textId="77777777" w:rsidR="00466A36" w:rsidRPr="00D66410" w:rsidRDefault="00466A36" w:rsidP="00D66410">
      <w:pPr>
        <w:rPr>
          <w:rFonts w:cs="Times New Roman"/>
          <w:szCs w:val="24"/>
        </w:rPr>
      </w:pPr>
    </w:p>
    <w:p w14:paraId="02D094CF" w14:textId="77777777" w:rsidR="00D66410" w:rsidRPr="00D66410" w:rsidRDefault="00D66410" w:rsidP="00D66410">
      <w:pPr>
        <w:rPr>
          <w:rFonts w:cs="Times New Roman"/>
          <w:szCs w:val="24"/>
        </w:rPr>
      </w:pPr>
      <w:r w:rsidRPr="00D66410">
        <w:rPr>
          <w:rFonts w:cs="Times New Roman"/>
          <w:szCs w:val="24"/>
        </w:rPr>
        <w:t>Gmina Kamień Pomorski w okresie od 08.10.2018 r. do dnia 29.02.2020 r. była beneficjentem projektu „Podniesienie kompetencji cyfrowych mieszkańców województw: wielkopolskiego</w:t>
      </w:r>
    </w:p>
    <w:p w14:paraId="16E96F1E" w14:textId="77777777" w:rsidR="00D66410" w:rsidRPr="00D66410" w:rsidRDefault="00D66410" w:rsidP="00D66410">
      <w:pPr>
        <w:rPr>
          <w:rFonts w:cs="Times New Roman"/>
          <w:szCs w:val="24"/>
        </w:rPr>
      </w:pPr>
      <w:r w:rsidRPr="00D66410">
        <w:rPr>
          <w:rFonts w:cs="Times New Roman"/>
          <w:szCs w:val="24"/>
        </w:rPr>
        <w:t>i zachodniopomorskiego” POPC.03.01.00-00-0086/18 współfinansowanego przez Unię Europejską ze środków Europejskiego Funduszu Rozwoju Regionalnego w ramach Programu Operacyjnego Polska Cyfrowa na lata 2014-2020, działania szkoleniowe na rzecz rozwoju kompetencji cyfrowej. Odbyły się zajęcia z modułów: „Mój biznes w sieci”, z którego skorzystało 12 uczestników, „Działam w sieciach społecznościowych” , w ramach którego przeszkolono 48 uczestników. Projekt zakładał przeszkolenie 265 osób w wieku 65+, w tym osób z niepełnosprawnością do końca lutego 2020 r. Projekt był promowany na łamach lokalnego portalu internetowego. Aktywni seniorzy i osoby niepełnosprawne poprzez szkolenia zwiększali swoją sprawność psychofizyczną. Spotkania w grupach wpłynęły pozytywnie na rozwój komunikacji u osób starszych i niepełnosprawnych. Link do strony gdzie był promowany projekt: www.ikamien.pl/artykuly/29719/.</w:t>
      </w:r>
    </w:p>
    <w:p w14:paraId="08DFF1D7" w14:textId="77777777" w:rsidR="00466A36" w:rsidRDefault="00466A36" w:rsidP="00D66410">
      <w:pPr>
        <w:rPr>
          <w:rFonts w:cs="Times New Roman"/>
          <w:szCs w:val="24"/>
        </w:rPr>
      </w:pPr>
    </w:p>
    <w:p w14:paraId="5FD1D0C4" w14:textId="4CA7549A" w:rsidR="00D66410" w:rsidRPr="00D66410" w:rsidRDefault="00D66410" w:rsidP="00D66410">
      <w:pPr>
        <w:rPr>
          <w:rFonts w:cs="Times New Roman"/>
          <w:szCs w:val="24"/>
        </w:rPr>
      </w:pPr>
      <w:r w:rsidRPr="00D66410">
        <w:rPr>
          <w:rFonts w:cs="Times New Roman"/>
          <w:szCs w:val="24"/>
        </w:rPr>
        <w:t>Gmina Miasto Szczecin</w:t>
      </w:r>
      <w:r w:rsidR="00466A36">
        <w:rPr>
          <w:rFonts w:cs="Times New Roman"/>
          <w:szCs w:val="24"/>
        </w:rPr>
        <w:t xml:space="preserve"> realizuje </w:t>
      </w:r>
      <w:r w:rsidRPr="00D66410">
        <w:rPr>
          <w:rFonts w:cs="Times New Roman"/>
          <w:szCs w:val="24"/>
        </w:rPr>
        <w:t>Programu „Dom dla seniora”</w:t>
      </w:r>
      <w:r w:rsidR="00466A36">
        <w:rPr>
          <w:rFonts w:cs="Times New Roman"/>
          <w:szCs w:val="24"/>
        </w:rPr>
        <w:t>, którego celem</w:t>
      </w:r>
      <w:r w:rsidRPr="00D66410">
        <w:rPr>
          <w:rFonts w:cs="Times New Roman"/>
          <w:szCs w:val="24"/>
        </w:rPr>
        <w:t xml:space="preserve"> jest zapewnienie mieszkań o standardzie dostosowanym do potrzeb osób starszych, wraz z towarzyszącą infrastrukturą organizacyjno-społeczną, która umożliwia samodzielne i bezpieczne </w:t>
      </w:r>
      <w:r w:rsidRPr="00D66410">
        <w:rPr>
          <w:rFonts w:cs="Times New Roman"/>
          <w:szCs w:val="24"/>
        </w:rPr>
        <w:lastRenderedPageBreak/>
        <w:t xml:space="preserve">funkcjonowanie seniorów </w:t>
      </w:r>
      <w:r w:rsidR="00466A36">
        <w:rPr>
          <w:rFonts w:cs="Times New Roman"/>
          <w:szCs w:val="24"/>
        </w:rPr>
        <w:t xml:space="preserve"> </w:t>
      </w:r>
      <w:r w:rsidRPr="00D66410">
        <w:rPr>
          <w:rFonts w:cs="Times New Roman"/>
          <w:szCs w:val="24"/>
        </w:rPr>
        <w:t>w środowisku zamieszkania. realizatorami programu są: Gmina Miasto Szczecin we współpracy ze Szczecińskim Towarzystwem Budownictwa Społecznego Sp. z o.o. oraz Miejskim Ośrodkiem Pomocy Rodzinie. W 2020 r</w:t>
      </w:r>
      <w:r w:rsidR="00460C5B">
        <w:rPr>
          <w:rFonts w:cs="Times New Roman"/>
          <w:szCs w:val="24"/>
        </w:rPr>
        <w:t>.</w:t>
      </w:r>
      <w:r w:rsidRPr="00D66410">
        <w:rPr>
          <w:rFonts w:cs="Times New Roman"/>
          <w:szCs w:val="24"/>
        </w:rPr>
        <w:t xml:space="preserve"> na terenie Gminy Miasto Szczecin funkcjonowało 38 mieszkań wspomaganych dla osób starszych. Gmina Miasto Szczecin,</w:t>
      </w:r>
      <w:r w:rsidR="00466A36">
        <w:rPr>
          <w:rFonts w:cs="Times New Roman"/>
          <w:szCs w:val="24"/>
        </w:rPr>
        <w:t xml:space="preserve"> </w:t>
      </w:r>
      <w:r w:rsidRPr="00D66410">
        <w:rPr>
          <w:rFonts w:cs="Times New Roman"/>
          <w:szCs w:val="24"/>
        </w:rPr>
        <w:t>w ramach podpisanej umowy, uiszcza miesięczny czynsz najmu za 38 lokali mieszkalnych oraz częściowo refunduje koszty systemu opieki domowej osób starszych</w:t>
      </w:r>
      <w:r w:rsidR="00466A36">
        <w:rPr>
          <w:rFonts w:cs="Times New Roman"/>
          <w:szCs w:val="24"/>
        </w:rPr>
        <w:t xml:space="preserve">. </w:t>
      </w:r>
      <w:r w:rsidRPr="00D66410">
        <w:rPr>
          <w:rFonts w:cs="Times New Roman"/>
          <w:szCs w:val="24"/>
        </w:rPr>
        <w:t xml:space="preserve">Gmina Miasto Szczecin stawia również na rozwój mieszkalnictwa chronionego dla osób starszych. Mieszkania chronione stanowią alternatywę dla instytucjonalnej formy domów pomocy społecznej. Mogą być przyznane osobom, które ze względu na trudną sytuację życiową, wiek, niepełnosprawność lub chorobę wymagają wsparcia w funkcjonowaniu </w:t>
      </w:r>
      <w:r w:rsidR="00466A36">
        <w:rPr>
          <w:rFonts w:cs="Times New Roman"/>
          <w:szCs w:val="24"/>
        </w:rPr>
        <w:t xml:space="preserve"> </w:t>
      </w:r>
      <w:r w:rsidRPr="00D66410">
        <w:rPr>
          <w:rFonts w:cs="Times New Roman"/>
          <w:szCs w:val="24"/>
        </w:rPr>
        <w:t>w codziennym życiu. Stanowią uzupełnienie pomocy i wsparcia dla niesamodzielnych osób starszych, mają charakter innowacyjny oraz nie występujący powszechnie w Polskim systemie opieki nad seniorami.</w:t>
      </w:r>
      <w:r w:rsidR="00466A36">
        <w:rPr>
          <w:rFonts w:cs="Times New Roman"/>
          <w:szCs w:val="24"/>
        </w:rPr>
        <w:t xml:space="preserve"> </w:t>
      </w:r>
      <w:r w:rsidRPr="00D66410">
        <w:rPr>
          <w:rFonts w:cs="Times New Roman"/>
          <w:szCs w:val="24"/>
        </w:rPr>
        <w:t>Rozwój mieszkalnictwa chronionego i wspomaganego jest odpowiedzią na rosnące zapotrzebowanie na długoterminowe usługi opiekuńcze, świadczone względem osób starszych. Wszystkie mieszkania z katalogu chronionych i wspomaganych są w pełni dostosowane do potrzeb osób starszych i niepełnosprawnych. W 2020 r</w:t>
      </w:r>
      <w:r w:rsidR="00460C5B">
        <w:rPr>
          <w:rFonts w:cs="Times New Roman"/>
          <w:szCs w:val="24"/>
        </w:rPr>
        <w:t>.</w:t>
      </w:r>
      <w:r w:rsidRPr="00D66410">
        <w:rPr>
          <w:rFonts w:cs="Times New Roman"/>
          <w:szCs w:val="24"/>
        </w:rPr>
        <w:t xml:space="preserve"> w Szczecinie funkcjonowało 12 mieszkań chronionych, przeznaczonych dla 74 osób starszych.</w:t>
      </w:r>
    </w:p>
    <w:p w14:paraId="434DDC86" w14:textId="77777777" w:rsidR="00466A36" w:rsidRDefault="00466A36" w:rsidP="00D66410">
      <w:pPr>
        <w:rPr>
          <w:rFonts w:cs="Times New Roman"/>
          <w:szCs w:val="24"/>
        </w:rPr>
      </w:pPr>
    </w:p>
    <w:p w14:paraId="0AB5F085" w14:textId="03B1055D" w:rsidR="00D66410" w:rsidRDefault="00D66410" w:rsidP="00D66410">
      <w:pPr>
        <w:rPr>
          <w:rFonts w:cs="Times New Roman"/>
          <w:szCs w:val="24"/>
        </w:rPr>
      </w:pPr>
      <w:r w:rsidRPr="00D66410">
        <w:rPr>
          <w:rFonts w:cs="Times New Roman"/>
          <w:szCs w:val="24"/>
        </w:rPr>
        <w:t xml:space="preserve">„Anioł mieszka po sąsiedzku” - Święta spędzane w samotności bardzo rzadko są wyborem – przeważnie to przykra konieczność. Natomiast osamotnienie w połączeniu z ubóstwem, niepełnosprawnością i chorobą, zwłaszcza w okresie świątecznym, to dla starszych ludzi zestaw nie do zniesienia. Dlatego od kilku lat młodzi wolontariusze ze Szkolnego Klubu Wolontariusza przy Liceum Ogólnokształcącym w Bornem Sulinowie (pod kierunkiem opiekuna) prowadzą akcję pn. „Anioł mieszka po sąsiedzku”, przy wsparciu Urzędu Miejskiego i innych instytucji. Jak co roku akcję wsparli wielkoduszni sponsorzy. Pomocą w formie paczek z żywnością i artykułami gospodarstwa domowego objęto ubogie, starsze osoby z terenu całej gminy. „Aniołowie, którzy mieszkają po sąsiedzku” wręczyli prezenty świąteczne ok. 60 osobom. </w:t>
      </w:r>
    </w:p>
    <w:p w14:paraId="718E85D4" w14:textId="77777777" w:rsidR="00466A36" w:rsidRPr="00D66410" w:rsidRDefault="00466A36" w:rsidP="00D66410">
      <w:pPr>
        <w:rPr>
          <w:rFonts w:cs="Times New Roman"/>
          <w:szCs w:val="24"/>
        </w:rPr>
      </w:pPr>
    </w:p>
    <w:p w14:paraId="1C3F6487" w14:textId="120F87A4" w:rsidR="00D66410" w:rsidRDefault="00D66410" w:rsidP="00D66410">
      <w:pPr>
        <w:rPr>
          <w:rFonts w:cs="Times New Roman"/>
          <w:szCs w:val="24"/>
        </w:rPr>
      </w:pPr>
      <w:r w:rsidRPr="00D66410">
        <w:rPr>
          <w:rFonts w:cs="Times New Roman"/>
          <w:szCs w:val="24"/>
        </w:rPr>
        <w:t xml:space="preserve">„Pokoleniowe w garach mieszanie” – realizacja zadania publicznego w Łubowie  „Razem możemy więcej” – wieś Łubowo w myśl tej idei miała okazję do dzielenia się dobrem z potrzebującym człowiekiem. Wykonano paczki „wigilijne” dla samotnych i potrzebujących mieszkańców sołectwa. Przygotowano pierogi, krokiety, barszcz czerwony, śledzie, świąteczne wypieki i kompot z suszu. Oprócz potraw wigilijnych w paczkach znalazł się opłatek, świeca, słodki upominek, kawa i herbata. To przedsięwzięcie udało się zrealizować przy współpracy Sołectwa Łubowo i Koła Gospodyń Wiejskich w Łubowie. </w:t>
      </w:r>
    </w:p>
    <w:p w14:paraId="78D356C5" w14:textId="77777777" w:rsidR="00466A36" w:rsidRPr="00D66410" w:rsidRDefault="00466A36" w:rsidP="00D66410">
      <w:pPr>
        <w:rPr>
          <w:rFonts w:cs="Times New Roman"/>
          <w:szCs w:val="24"/>
        </w:rPr>
      </w:pPr>
    </w:p>
    <w:p w14:paraId="4700563A" w14:textId="311B7A12" w:rsidR="00D66410" w:rsidRPr="00D66410" w:rsidRDefault="00D66410" w:rsidP="00D66410">
      <w:pPr>
        <w:rPr>
          <w:rFonts w:cs="Times New Roman"/>
          <w:szCs w:val="24"/>
        </w:rPr>
      </w:pPr>
      <w:r w:rsidRPr="00D66410">
        <w:rPr>
          <w:rFonts w:cs="Times New Roman"/>
          <w:szCs w:val="24"/>
        </w:rPr>
        <w:t>Program „Rehabilitacja seniorów – mieszkańców Miasta Szczecinek na lata 2017-2020”. Celem programu jest zapobieganie i przeciwdziałanie negatywnym skutkom chorób przewlekłych związanych z narządem ruchu poprzez stworzenie dodatkowych możliwości korzystania z nowoczesnych metod rehabilitacji leczniczej, poprawa dostępności do usług rehabilitacyjnych, zapobieganie długotrwałej niepełnosprawności i jej skutkom oraz zwiększenie komfortu życia osób po 65 roku życia  dysfunkcją narządu ruchu, zachęcanie do zwiększenia aktywności fizycznej. W 2020 r</w:t>
      </w:r>
      <w:r w:rsidR="00460C5B">
        <w:rPr>
          <w:rFonts w:cs="Times New Roman"/>
          <w:szCs w:val="24"/>
        </w:rPr>
        <w:t>.</w:t>
      </w:r>
      <w:r w:rsidRPr="00D66410">
        <w:rPr>
          <w:rFonts w:cs="Times New Roman"/>
          <w:szCs w:val="24"/>
        </w:rPr>
        <w:t xml:space="preserve"> do zabiegów zakwalifikowano 501 osób, wykonano 11.992 zabiegi na łączną kwotę 119.920 zł. </w:t>
      </w:r>
    </w:p>
    <w:p w14:paraId="4C6FFDBB" w14:textId="77777777" w:rsidR="00D66410" w:rsidRPr="00D66410" w:rsidRDefault="00D66410" w:rsidP="00D66410">
      <w:pPr>
        <w:rPr>
          <w:rFonts w:cs="Times New Roman"/>
          <w:szCs w:val="24"/>
        </w:rPr>
      </w:pPr>
      <w:r w:rsidRPr="00D66410">
        <w:rPr>
          <w:rFonts w:cs="Times New Roman"/>
          <w:szCs w:val="24"/>
        </w:rPr>
        <w:lastRenderedPageBreak/>
        <w:t xml:space="preserve">Stacja Socjalna Joannitów. Przykładem dobrych praktyk realizowanych na rzecz osób starszych Gminie Połczyn-Zdrój jest sprawnie funkcjonująca od 26 lat przy Miejsko-Gminnym Ośrodku Pomocy Społecznej Stacja Socjalna Joannitów jako placówka niosąca pomoc humanitarną przewlekle chorym, starszym i niepełnosprawnym. Chorzy mogą uzyskać wsparcie w postaci nieodpłatnych usług pielęgnacyjnych. Dwóch pracowników zatrudnionych w Stacji Joannitów dociera z pomocą medyczną i pielęgnacyjną do ok. 40 osób wymagających wsparcia. Dzięki hojności Zakonu Joannitów ośrodek otrzymał w darowiźnie 3 samochody osobowe. W ramach ww. placówki działa nieodpłatna wypożyczalnia sprzętu rehabilitacyjnego. Kilka razy w roku realizowane są transporty ze środkami medycznymi </w:t>
      </w:r>
    </w:p>
    <w:p w14:paraId="7F65C3AD" w14:textId="77777777" w:rsidR="00D66410" w:rsidRPr="00D66410" w:rsidRDefault="00D66410" w:rsidP="00D66410">
      <w:pPr>
        <w:rPr>
          <w:rFonts w:cs="Times New Roman"/>
          <w:szCs w:val="24"/>
        </w:rPr>
      </w:pPr>
      <w:r w:rsidRPr="00D66410">
        <w:rPr>
          <w:rFonts w:cs="Times New Roman"/>
          <w:szCs w:val="24"/>
        </w:rPr>
        <w:t>i sprzętem rehabilitacyjnym.</w:t>
      </w:r>
    </w:p>
    <w:p w14:paraId="7E10AE64" w14:textId="77777777" w:rsidR="00D66410" w:rsidRPr="00D66410" w:rsidRDefault="00D66410" w:rsidP="00D66410">
      <w:pPr>
        <w:rPr>
          <w:rFonts w:cs="Times New Roman"/>
          <w:szCs w:val="24"/>
        </w:rPr>
      </w:pPr>
    </w:p>
    <w:p w14:paraId="60FF3DEB" w14:textId="77777777" w:rsidR="00D66410" w:rsidRPr="00D66410" w:rsidRDefault="00D66410" w:rsidP="00D66410">
      <w:pPr>
        <w:rPr>
          <w:rFonts w:cs="Times New Roman"/>
          <w:szCs w:val="24"/>
        </w:rPr>
      </w:pPr>
      <w:r w:rsidRPr="00D66410">
        <w:rPr>
          <w:rFonts w:cs="Times New Roman"/>
          <w:szCs w:val="24"/>
        </w:rPr>
        <w:t xml:space="preserve">Połczyn Zdrój. Miejsko-Gminny Ośrodek Pomocy Społecznej zawarł współpracę z lokalnym restauratorem, prezesem stowarzyszenia „Towarzystwo Przyjaźni Cygańsko-Słowiańskiej”, który w ramach prowadzonego projektu COVID–19 – nazwa zadania „Wsparcie dla najbardziej potrzebujących i narażonych na zakażenia” nieodpłatnie przygotowywał gorące posiłki dla 20 osób starszych, niepełnosprawnych, wskazanych przez ośrodek pomocy </w:t>
      </w:r>
    </w:p>
    <w:p w14:paraId="3AF7497F" w14:textId="77777777" w:rsidR="00D66410" w:rsidRPr="00D66410" w:rsidRDefault="00D66410" w:rsidP="00D66410">
      <w:pPr>
        <w:rPr>
          <w:rFonts w:cs="Times New Roman"/>
          <w:szCs w:val="24"/>
        </w:rPr>
      </w:pPr>
      <w:r w:rsidRPr="00D66410">
        <w:rPr>
          <w:rFonts w:cs="Times New Roman"/>
          <w:szCs w:val="24"/>
        </w:rPr>
        <w:t>w okresie od 23.06.2020 r. do 22.09.2020</w:t>
      </w:r>
      <w:r w:rsidR="00C30527">
        <w:rPr>
          <w:rFonts w:cs="Times New Roman"/>
          <w:szCs w:val="24"/>
        </w:rPr>
        <w:t xml:space="preserve"> r</w:t>
      </w:r>
      <w:r w:rsidRPr="00D66410">
        <w:rPr>
          <w:rFonts w:cs="Times New Roman"/>
          <w:szCs w:val="24"/>
        </w:rPr>
        <w:t xml:space="preserve">. W tym okresie nawiązano współpracę </w:t>
      </w:r>
    </w:p>
    <w:p w14:paraId="3BCB60E8" w14:textId="5EB4CC9C" w:rsidR="00D66410" w:rsidRDefault="00D66410" w:rsidP="00D66410">
      <w:pPr>
        <w:rPr>
          <w:rFonts w:cs="Times New Roman"/>
          <w:szCs w:val="24"/>
        </w:rPr>
      </w:pPr>
      <w:r w:rsidRPr="00D66410">
        <w:rPr>
          <w:rFonts w:cs="Times New Roman"/>
          <w:szCs w:val="24"/>
        </w:rPr>
        <w:t>z miejscowymi harcerzami w celu pomocy przy wyprowadzaniu na spacer zwierząt domowych osób zagrożonych COVID-19 i seniorów.</w:t>
      </w:r>
    </w:p>
    <w:p w14:paraId="48BAAA34" w14:textId="77777777" w:rsidR="00466A36" w:rsidRDefault="00466A36" w:rsidP="00D66410">
      <w:pPr>
        <w:rPr>
          <w:rFonts w:cs="Times New Roman"/>
          <w:szCs w:val="24"/>
        </w:rPr>
      </w:pPr>
    </w:p>
    <w:p w14:paraId="185E6C01" w14:textId="166E69F3" w:rsidR="00D66410" w:rsidRPr="00466A36" w:rsidRDefault="00D66410" w:rsidP="00D66410">
      <w:pPr>
        <w:rPr>
          <w:rFonts w:cs="Times New Roman"/>
          <w:b/>
          <w:bCs/>
          <w:szCs w:val="24"/>
        </w:rPr>
      </w:pPr>
      <w:r w:rsidRPr="00466A36">
        <w:rPr>
          <w:rFonts w:cs="Times New Roman"/>
          <w:b/>
          <w:bCs/>
          <w:szCs w:val="24"/>
        </w:rPr>
        <w:t>Przykłady innowacyjnych rozwiązań</w:t>
      </w:r>
    </w:p>
    <w:p w14:paraId="796216E3" w14:textId="77777777" w:rsidR="00D66410" w:rsidRPr="00D66410" w:rsidRDefault="00D66410" w:rsidP="00D66410">
      <w:pPr>
        <w:rPr>
          <w:rFonts w:cs="Times New Roman"/>
          <w:szCs w:val="24"/>
        </w:rPr>
      </w:pPr>
      <w:proofErr w:type="spellStart"/>
      <w:r w:rsidRPr="00D66410">
        <w:rPr>
          <w:rFonts w:cs="Times New Roman"/>
          <w:szCs w:val="24"/>
        </w:rPr>
        <w:t>Teleopieka</w:t>
      </w:r>
      <w:proofErr w:type="spellEnd"/>
      <w:r w:rsidRPr="00D66410">
        <w:rPr>
          <w:rFonts w:cs="Times New Roman"/>
          <w:szCs w:val="24"/>
        </w:rPr>
        <w:t xml:space="preserve"> i opaski życia – pandemia COVID-19 przyspieszyła wykorzystanie nowych technologii w celu ochrony seniorów. W województwie zachodniopomorskim wiele gmin wprowadziło różne formy </w:t>
      </w:r>
      <w:proofErr w:type="spellStart"/>
      <w:r w:rsidRPr="00D66410">
        <w:rPr>
          <w:rFonts w:cs="Times New Roman"/>
          <w:szCs w:val="24"/>
        </w:rPr>
        <w:t>teleopieki</w:t>
      </w:r>
      <w:proofErr w:type="spellEnd"/>
      <w:r w:rsidRPr="00D66410">
        <w:rPr>
          <w:rFonts w:cs="Times New Roman"/>
          <w:szCs w:val="24"/>
        </w:rPr>
        <w:t xml:space="preserve"> domowej, które pozwalają na szybkie udzielenie osobie potrzebującej pomocy medycznej czy wsparcia np. przez pracowników pomocy społecznej </w:t>
      </w:r>
    </w:p>
    <w:p w14:paraId="4314F478" w14:textId="77777777" w:rsidR="00D66410" w:rsidRPr="00D66410" w:rsidRDefault="00D66410" w:rsidP="00D66410">
      <w:pPr>
        <w:rPr>
          <w:rFonts w:cs="Times New Roman"/>
          <w:szCs w:val="24"/>
        </w:rPr>
      </w:pPr>
      <w:r w:rsidRPr="00D66410">
        <w:rPr>
          <w:rFonts w:cs="Times New Roman"/>
          <w:szCs w:val="24"/>
        </w:rPr>
        <w:t xml:space="preserve">czy wolontariuszy. Rodzajem </w:t>
      </w:r>
      <w:proofErr w:type="spellStart"/>
      <w:r w:rsidRPr="00D66410">
        <w:rPr>
          <w:rFonts w:cs="Times New Roman"/>
          <w:szCs w:val="24"/>
        </w:rPr>
        <w:t>teleopieki</w:t>
      </w:r>
      <w:proofErr w:type="spellEnd"/>
      <w:r w:rsidRPr="00D66410">
        <w:rPr>
          <w:rFonts w:cs="Times New Roman"/>
          <w:szCs w:val="24"/>
        </w:rPr>
        <w:t xml:space="preserve"> są opaski noszone na przegubie ręki monitorujące lokalizację i funkcje życiowe seniora. Opaski wśród seniorów wprowadzono m. in. w miastach: Koszalin, Szczecinek, Goleniów, gminach: Wałcz, Świdwin, Mielno, Sławno, Sianów, powiecie szczecineckim (opaski testowano u pensjonariuszy DPS w Bornem Sulinowie). </w:t>
      </w:r>
    </w:p>
    <w:p w14:paraId="3ED508A8" w14:textId="77777777" w:rsidR="00466A36" w:rsidRDefault="00466A36" w:rsidP="00D66410">
      <w:pPr>
        <w:rPr>
          <w:rFonts w:cs="Times New Roman"/>
          <w:szCs w:val="24"/>
        </w:rPr>
      </w:pPr>
    </w:p>
    <w:p w14:paraId="15F37457" w14:textId="24E34B86" w:rsidR="00D66410" w:rsidRPr="00D66410" w:rsidRDefault="00D66410" w:rsidP="00D66410">
      <w:pPr>
        <w:rPr>
          <w:rFonts w:cs="Times New Roman"/>
          <w:szCs w:val="24"/>
        </w:rPr>
      </w:pPr>
      <w:r w:rsidRPr="00D66410">
        <w:rPr>
          <w:rFonts w:cs="Times New Roman"/>
          <w:szCs w:val="24"/>
        </w:rPr>
        <w:t xml:space="preserve">„Koperta życia” – akcja promująca wśród osób starszych, chorych i  niesamodzielnych specjalną kopertę, zawierającą formularz z krótkim opisem historii choroby, listą zażywanych leków, danymi chorego oraz kontaktem do lekarza prowadzącego i najbliższych członów rodziny. Kopertę przechowuje się w lodówce, uprzednio oznakowanej charakterystycznym magnesem lub naklejką. Koperta jest nieodzowna dla lekarzy i ratowników wezwanych </w:t>
      </w:r>
    </w:p>
    <w:p w14:paraId="37C2F1CB" w14:textId="77777777" w:rsidR="00D66410" w:rsidRPr="00D66410" w:rsidRDefault="00D66410" w:rsidP="00D66410">
      <w:pPr>
        <w:rPr>
          <w:rFonts w:cs="Times New Roman"/>
          <w:szCs w:val="24"/>
        </w:rPr>
      </w:pPr>
      <w:r w:rsidRPr="00D66410">
        <w:rPr>
          <w:rFonts w:cs="Times New Roman"/>
          <w:szCs w:val="24"/>
        </w:rPr>
        <w:t xml:space="preserve">na interwencję w podjęciu szybkiej akcji ratującej życie. Koperty wprowadzono </w:t>
      </w:r>
    </w:p>
    <w:p w14:paraId="4CC2B776" w14:textId="77777777" w:rsidR="00D66410" w:rsidRPr="00D66410" w:rsidRDefault="00D66410" w:rsidP="00D66410">
      <w:pPr>
        <w:rPr>
          <w:rFonts w:cs="Times New Roman"/>
          <w:szCs w:val="24"/>
        </w:rPr>
      </w:pPr>
      <w:r w:rsidRPr="00D66410">
        <w:rPr>
          <w:rFonts w:cs="Times New Roman"/>
          <w:szCs w:val="24"/>
        </w:rPr>
        <w:t xml:space="preserve">m.in. w gminach: Dziwnów, Kalisz Pomorski, Goleniów, Mielno, czy powiatach gryfickim </w:t>
      </w:r>
    </w:p>
    <w:p w14:paraId="05DBE371" w14:textId="77777777" w:rsidR="00466A36" w:rsidRDefault="00D66410" w:rsidP="00D66410">
      <w:pPr>
        <w:rPr>
          <w:rFonts w:cs="Times New Roman"/>
          <w:szCs w:val="24"/>
        </w:rPr>
      </w:pPr>
      <w:r w:rsidRPr="00D66410">
        <w:rPr>
          <w:rFonts w:cs="Times New Roman"/>
          <w:szCs w:val="24"/>
        </w:rPr>
        <w:t>i kołobrzeskim.</w:t>
      </w:r>
    </w:p>
    <w:p w14:paraId="0C9CE63B" w14:textId="2DB7F918" w:rsidR="00D66410" w:rsidRPr="00D66410" w:rsidRDefault="00D66410" w:rsidP="00D66410">
      <w:pPr>
        <w:rPr>
          <w:rFonts w:cs="Times New Roman"/>
          <w:szCs w:val="24"/>
        </w:rPr>
      </w:pPr>
      <w:proofErr w:type="spellStart"/>
      <w:r w:rsidRPr="00D66410">
        <w:rPr>
          <w:rFonts w:cs="Times New Roman"/>
          <w:szCs w:val="24"/>
        </w:rPr>
        <w:t>iTAXI</w:t>
      </w:r>
      <w:proofErr w:type="spellEnd"/>
      <w:r w:rsidRPr="00D66410">
        <w:rPr>
          <w:rFonts w:cs="Times New Roman"/>
          <w:szCs w:val="24"/>
        </w:rPr>
        <w:t xml:space="preserve"> dla Seniora - wsparcie logistyczne dla seniorów ułatwiające załatwienie niezbędnych spraw urzędowych oraz osobistych – program Miasta i Gminy Goleniów.</w:t>
      </w:r>
    </w:p>
    <w:p w14:paraId="17D89E27" w14:textId="77777777" w:rsidR="00466A36" w:rsidRDefault="00466A36" w:rsidP="00D66410">
      <w:pPr>
        <w:rPr>
          <w:rFonts w:cs="Times New Roman"/>
          <w:szCs w:val="24"/>
        </w:rPr>
      </w:pPr>
    </w:p>
    <w:p w14:paraId="7A391F20" w14:textId="19D83E3E" w:rsidR="00D66410" w:rsidRPr="00D66410" w:rsidRDefault="00D66410" w:rsidP="00D66410">
      <w:pPr>
        <w:rPr>
          <w:rFonts w:cs="Times New Roman"/>
          <w:szCs w:val="24"/>
        </w:rPr>
      </w:pPr>
      <w:r w:rsidRPr="00D66410">
        <w:rPr>
          <w:rFonts w:cs="Times New Roman"/>
          <w:szCs w:val="24"/>
        </w:rPr>
        <w:t xml:space="preserve">Bon opiekuńczy Alzheimer 75 - program Gminy Miasta Szczecin.  Świadczenie pieniężne dla opiekuna udzielającego wsparcia osobie chorej na chorobę Alzheimera powyżej 75 roku życia. </w:t>
      </w:r>
    </w:p>
    <w:p w14:paraId="27022F2B" w14:textId="77777777" w:rsidR="00466A36" w:rsidRDefault="00466A36" w:rsidP="00D66410">
      <w:pPr>
        <w:rPr>
          <w:rFonts w:cs="Times New Roman"/>
          <w:szCs w:val="24"/>
        </w:rPr>
      </w:pPr>
    </w:p>
    <w:p w14:paraId="7C6C0994" w14:textId="5FB111BB" w:rsidR="00D66410" w:rsidRPr="00D66410" w:rsidRDefault="00D66410" w:rsidP="00D66410">
      <w:pPr>
        <w:rPr>
          <w:rFonts w:cs="Times New Roman"/>
          <w:szCs w:val="24"/>
        </w:rPr>
      </w:pPr>
      <w:r w:rsidRPr="00D66410">
        <w:rPr>
          <w:rFonts w:cs="Times New Roman"/>
          <w:szCs w:val="24"/>
        </w:rPr>
        <w:lastRenderedPageBreak/>
        <w:t xml:space="preserve">Wykorzystanie nowoczesnych metod terapeutycznych zarówno w pracy z osobami </w:t>
      </w:r>
    </w:p>
    <w:p w14:paraId="57B875D0" w14:textId="77777777" w:rsidR="00D66410" w:rsidRPr="00D66410" w:rsidRDefault="00D66410" w:rsidP="00D66410">
      <w:pPr>
        <w:rPr>
          <w:rFonts w:cs="Times New Roman"/>
          <w:szCs w:val="24"/>
        </w:rPr>
      </w:pPr>
      <w:r w:rsidRPr="00D66410">
        <w:rPr>
          <w:rFonts w:cs="Times New Roman"/>
          <w:szCs w:val="24"/>
        </w:rPr>
        <w:t xml:space="preserve">w podeszłym wieku, jaki i osobami cierpiącymi na demencję czy Alzheimera np. metody Montessori czy terapii </w:t>
      </w:r>
      <w:proofErr w:type="spellStart"/>
      <w:r w:rsidRPr="00D66410">
        <w:rPr>
          <w:rFonts w:cs="Times New Roman"/>
          <w:szCs w:val="24"/>
        </w:rPr>
        <w:t>Bowena</w:t>
      </w:r>
      <w:proofErr w:type="spellEnd"/>
      <w:r w:rsidRPr="00D66410">
        <w:rPr>
          <w:rFonts w:cs="Times New Roman"/>
          <w:szCs w:val="24"/>
        </w:rPr>
        <w:t xml:space="preserve"> stosowanej przez Dzienny Dom „Senior+” w Kaliszu Pomorskim.</w:t>
      </w:r>
    </w:p>
    <w:p w14:paraId="6DE1854D" w14:textId="77777777" w:rsidR="00D66410" w:rsidRDefault="00D66410" w:rsidP="000D7CDE">
      <w:pPr>
        <w:rPr>
          <w:rFonts w:cs="Times New Roman"/>
          <w:b/>
          <w:color w:val="FF0000"/>
          <w:szCs w:val="24"/>
          <w:lang w:eastAsia="ar-SA"/>
        </w:rPr>
      </w:pPr>
    </w:p>
    <w:p w14:paraId="312BE84D" w14:textId="1B2BCBB6" w:rsidR="009C4080" w:rsidRDefault="009C4080" w:rsidP="009C4080">
      <w:pPr>
        <w:pStyle w:val="Nagwek3"/>
      </w:pPr>
      <w:bookmarkStart w:id="333" w:name="_Toc77514046"/>
      <w:bookmarkStart w:id="334" w:name="_Toc80523209"/>
      <w:r w:rsidRPr="009C4080">
        <w:t xml:space="preserve">Działania związane z ochroną seniorów przed negatywnymi skutkami pandemii COVID-19, które zostały podjęte w 2020 r w województwie </w:t>
      </w:r>
      <w:r w:rsidR="00D66410" w:rsidRPr="00D66410">
        <w:t>zachodniopomorskim</w:t>
      </w:r>
      <w:bookmarkEnd w:id="333"/>
      <w:bookmarkEnd w:id="334"/>
    </w:p>
    <w:p w14:paraId="7A32D211" w14:textId="77777777" w:rsidR="000B1B06" w:rsidRPr="000B1B06" w:rsidRDefault="000B1B06" w:rsidP="000B1B06"/>
    <w:p w14:paraId="562C3614" w14:textId="7917A7B4" w:rsidR="009C4080" w:rsidRPr="009C4080" w:rsidRDefault="009C4080" w:rsidP="009C4080">
      <w:pPr>
        <w:rPr>
          <w:rFonts w:cs="Times New Roman"/>
          <w:szCs w:val="24"/>
        </w:rPr>
      </w:pPr>
      <w:r w:rsidRPr="009C4080">
        <w:rPr>
          <w:rFonts w:cs="Times New Roman"/>
          <w:szCs w:val="24"/>
        </w:rPr>
        <w:t>W czasie pandemii COVID-19 wiele ośrodków pomocy społecznej na terenie województwa zachodniopomorskiego realizowało usługi opiekuńcze i specjalistyczne usługi opiekuńcze,</w:t>
      </w:r>
    </w:p>
    <w:p w14:paraId="44A3A8FA" w14:textId="77777777" w:rsidR="00466A36" w:rsidRDefault="009C4080" w:rsidP="009C4080">
      <w:pPr>
        <w:rPr>
          <w:rFonts w:cs="Times New Roman"/>
          <w:szCs w:val="24"/>
        </w:rPr>
      </w:pPr>
      <w:r w:rsidRPr="009C4080">
        <w:rPr>
          <w:rFonts w:cs="Times New Roman"/>
          <w:szCs w:val="24"/>
        </w:rPr>
        <w:t>z zachowaniem reżimu sanitarnego. Dzięki nim podtrzymywana była dobra kondycja psychiczna, samopoczucie oraz integracja ze społecznością w stopniu adekwatnym</w:t>
      </w:r>
      <w:r w:rsidR="00A76E31">
        <w:rPr>
          <w:rFonts w:cs="Times New Roman"/>
          <w:szCs w:val="24"/>
        </w:rPr>
        <w:t xml:space="preserve"> </w:t>
      </w:r>
      <w:r w:rsidRPr="009C4080">
        <w:rPr>
          <w:rFonts w:cs="Times New Roman"/>
          <w:szCs w:val="24"/>
        </w:rPr>
        <w:t xml:space="preserve">do indywidualnych możliwości i potrzeb. Następowało również zmniejszenie izolacji społecznej. </w:t>
      </w:r>
    </w:p>
    <w:p w14:paraId="0183F7B6" w14:textId="77777777" w:rsidR="00466A36" w:rsidRDefault="00466A36" w:rsidP="009C4080">
      <w:pPr>
        <w:rPr>
          <w:rFonts w:cs="Times New Roman"/>
          <w:szCs w:val="24"/>
        </w:rPr>
      </w:pPr>
    </w:p>
    <w:p w14:paraId="4A7E774C" w14:textId="69F16D1F" w:rsidR="00A76E31" w:rsidRDefault="00466A36" w:rsidP="00466A36">
      <w:pPr>
        <w:rPr>
          <w:rFonts w:cs="Times New Roman"/>
          <w:szCs w:val="24"/>
        </w:rPr>
      </w:pPr>
      <w:r w:rsidRPr="00D66410">
        <w:rPr>
          <w:rFonts w:cs="Times New Roman"/>
          <w:szCs w:val="24"/>
        </w:rPr>
        <w:t>W związku z trudną sytuacją epidemiologiczną Zarząd Województwa Zachodniopomorskiego uruchomił środki w ramach trybu pozakonkursowego w wysokości 50 000 zł na wykonanie/zakup i dystrybucję środków ochrony osobistej (maseczki, rękawiczki jednorazowe, żele dezynfekujące, gogle ochronne) stanowiących ochronę przed zakażeniem wirusem SARS-CoV-2. Z tej formy pomocy skorzystało ponad 15 000 osób z terenu województwa, w tym także osoby starsze</w:t>
      </w:r>
      <w:r w:rsidR="009C4080" w:rsidRPr="009C4080">
        <w:rPr>
          <w:rFonts w:cs="Times New Roman"/>
          <w:szCs w:val="24"/>
        </w:rPr>
        <w:t xml:space="preserve"> </w:t>
      </w:r>
    </w:p>
    <w:p w14:paraId="31B03379" w14:textId="77777777" w:rsidR="00A76E31" w:rsidRDefault="00A76E31" w:rsidP="009C4080">
      <w:pPr>
        <w:rPr>
          <w:rFonts w:cs="Times New Roman"/>
          <w:szCs w:val="24"/>
        </w:rPr>
      </w:pPr>
    </w:p>
    <w:p w14:paraId="6174AEC7" w14:textId="70B382DC" w:rsidR="009C4080" w:rsidRPr="009C4080" w:rsidRDefault="009C4080" w:rsidP="009C4080">
      <w:pPr>
        <w:rPr>
          <w:rFonts w:cs="Times New Roman"/>
          <w:szCs w:val="24"/>
        </w:rPr>
      </w:pPr>
      <w:r w:rsidRPr="009C4080">
        <w:rPr>
          <w:rFonts w:cs="Times New Roman"/>
          <w:szCs w:val="24"/>
        </w:rPr>
        <w:t xml:space="preserve">Ponadto gminy przystąpiły do programu „Wspieraj Seniora”, który zakłada pomoc w dostarczeniu niezbędnych produktów do domu seniora, by ograniczyć konieczność wychodzenia osób starszych na zewnątrz podczas pandemii, ze względu na ich bezpieczeństwo. Dokonywano zakupu leków oraz artykułów spożywczych dla osób starszych szczególnie zagrożonych lub objętych kwarantanną. Według zgłaszanych potrzeb opłacano rachunki, realizowano recepty. Pomagano również w kontaktach z innymi instytucjami, zwłaszcza przychodniami. Na lokalnych stronach internetowych informowano o naborach wolontariuszy.  </w:t>
      </w:r>
    </w:p>
    <w:p w14:paraId="3503D9E7" w14:textId="77777777" w:rsidR="00A76E31" w:rsidRDefault="00A76E31" w:rsidP="009C4080">
      <w:pPr>
        <w:rPr>
          <w:rFonts w:cs="Times New Roman"/>
          <w:szCs w:val="24"/>
        </w:rPr>
      </w:pPr>
    </w:p>
    <w:p w14:paraId="546205F2" w14:textId="299665F2" w:rsidR="009C4080" w:rsidRPr="009C4080" w:rsidRDefault="00A76E31" w:rsidP="009C4080">
      <w:pPr>
        <w:rPr>
          <w:rFonts w:cs="Times New Roman"/>
          <w:szCs w:val="24"/>
        </w:rPr>
      </w:pPr>
      <w:r>
        <w:rPr>
          <w:rFonts w:cs="Times New Roman"/>
          <w:szCs w:val="24"/>
        </w:rPr>
        <w:t xml:space="preserve">Oprócz tego </w:t>
      </w:r>
      <w:r w:rsidR="009C4080" w:rsidRPr="009C4080">
        <w:rPr>
          <w:rFonts w:cs="Times New Roman"/>
          <w:szCs w:val="24"/>
        </w:rPr>
        <w:t>osoby starsze mogły skorzystać z instruktarzu telefonicznego w zakresie bezpieczeństwa oraz higieny podczas trwania epidemii COVID 19.</w:t>
      </w:r>
    </w:p>
    <w:p w14:paraId="4F4F06CC" w14:textId="77777777" w:rsidR="00A76E31" w:rsidRDefault="00A76E31" w:rsidP="009C4080">
      <w:pPr>
        <w:rPr>
          <w:rFonts w:cs="Times New Roman"/>
          <w:szCs w:val="24"/>
        </w:rPr>
      </w:pPr>
    </w:p>
    <w:p w14:paraId="4F8B0634" w14:textId="528CC319" w:rsidR="009C4080" w:rsidRPr="009C4080" w:rsidRDefault="009C4080" w:rsidP="009C4080">
      <w:pPr>
        <w:rPr>
          <w:rFonts w:cs="Times New Roman"/>
          <w:szCs w:val="24"/>
        </w:rPr>
      </w:pPr>
      <w:r w:rsidRPr="009C4080">
        <w:rPr>
          <w:rFonts w:cs="Times New Roman"/>
          <w:szCs w:val="24"/>
        </w:rPr>
        <w:t xml:space="preserve">Inicjowane były </w:t>
      </w:r>
      <w:r w:rsidR="00A76E31">
        <w:rPr>
          <w:rFonts w:cs="Times New Roman"/>
          <w:szCs w:val="24"/>
        </w:rPr>
        <w:t xml:space="preserve">również </w:t>
      </w:r>
      <w:r w:rsidRPr="009C4080">
        <w:rPr>
          <w:rFonts w:cs="Times New Roman"/>
          <w:szCs w:val="24"/>
        </w:rPr>
        <w:t xml:space="preserve">akcje społeczne, np.: </w:t>
      </w:r>
    </w:p>
    <w:p w14:paraId="52141785" w14:textId="77777777" w:rsidR="00A76E31" w:rsidRDefault="009C4080" w:rsidP="00FE70E3">
      <w:pPr>
        <w:pStyle w:val="Akapitzlist"/>
        <w:numPr>
          <w:ilvl w:val="0"/>
          <w:numId w:val="215"/>
        </w:numPr>
        <w:rPr>
          <w:rFonts w:cs="Times New Roman"/>
          <w:szCs w:val="24"/>
        </w:rPr>
      </w:pPr>
      <w:r w:rsidRPr="00A76E31">
        <w:rPr>
          <w:rFonts w:cs="Times New Roman"/>
          <w:szCs w:val="24"/>
        </w:rPr>
        <w:t>„Senior dla Seniora”, w której chętni seniorzy włączeni zostali do akcji szycia maseczek ochronnych na rzecz innych seniorów;</w:t>
      </w:r>
    </w:p>
    <w:p w14:paraId="2973B7B7" w14:textId="77777777" w:rsidR="00A76E31" w:rsidRDefault="009C4080" w:rsidP="00FE70E3">
      <w:pPr>
        <w:pStyle w:val="Akapitzlist"/>
        <w:numPr>
          <w:ilvl w:val="0"/>
          <w:numId w:val="215"/>
        </w:numPr>
        <w:rPr>
          <w:rFonts w:cs="Times New Roman"/>
          <w:szCs w:val="24"/>
        </w:rPr>
      </w:pPr>
      <w:r w:rsidRPr="00A76E31">
        <w:rPr>
          <w:rFonts w:cs="Times New Roman"/>
          <w:szCs w:val="24"/>
        </w:rPr>
        <w:t>„Więc chodź pomaluj mój świat”, w której mieszkańcy Szczecina zostali zaproszeni</w:t>
      </w:r>
      <w:r w:rsidR="00A76E31">
        <w:rPr>
          <w:rFonts w:cs="Times New Roman"/>
          <w:szCs w:val="24"/>
        </w:rPr>
        <w:t xml:space="preserve"> </w:t>
      </w:r>
      <w:r w:rsidRPr="00A76E31">
        <w:rPr>
          <w:rFonts w:cs="Times New Roman"/>
          <w:szCs w:val="24"/>
        </w:rPr>
        <w:t xml:space="preserve">do stworzenia laurki oraz przesłania jej drogą mailową do Centrum Seniora </w:t>
      </w:r>
      <w:r w:rsidR="00A76E31">
        <w:rPr>
          <w:rFonts w:cs="Times New Roman"/>
          <w:szCs w:val="24"/>
        </w:rPr>
        <w:t xml:space="preserve"> </w:t>
      </w:r>
      <w:r w:rsidRPr="00A76E31">
        <w:rPr>
          <w:rFonts w:cs="Times New Roman"/>
          <w:szCs w:val="24"/>
        </w:rPr>
        <w:t>w Szczecinie;</w:t>
      </w:r>
    </w:p>
    <w:p w14:paraId="55868765" w14:textId="41CE7BE4" w:rsidR="009C4080" w:rsidRPr="00A76E31" w:rsidRDefault="009C4080" w:rsidP="00FE70E3">
      <w:pPr>
        <w:pStyle w:val="Akapitzlist"/>
        <w:numPr>
          <w:ilvl w:val="0"/>
          <w:numId w:val="215"/>
        </w:numPr>
        <w:rPr>
          <w:rFonts w:cs="Times New Roman"/>
          <w:szCs w:val="24"/>
        </w:rPr>
      </w:pPr>
      <w:r w:rsidRPr="00A76E31">
        <w:rPr>
          <w:rFonts w:cs="Times New Roman"/>
          <w:szCs w:val="24"/>
        </w:rPr>
        <w:t>„Uszyte sercem” w ramach, której seniorzy szyli poduszki dla mieszkańców Domów Pomocy Społecznej, jako prezent na święta Bożego Narodzenia.</w:t>
      </w:r>
    </w:p>
    <w:p w14:paraId="73C1333B" w14:textId="77777777" w:rsidR="00A76E31" w:rsidRDefault="00A76E31" w:rsidP="009C4080">
      <w:pPr>
        <w:rPr>
          <w:rFonts w:cs="Times New Roman"/>
          <w:szCs w:val="24"/>
        </w:rPr>
      </w:pPr>
    </w:p>
    <w:p w14:paraId="578BBA86" w14:textId="0626DDA2" w:rsidR="009C4080" w:rsidRPr="009C4080" w:rsidRDefault="009C4080" w:rsidP="009C4080">
      <w:pPr>
        <w:rPr>
          <w:rFonts w:cs="Times New Roman"/>
          <w:szCs w:val="24"/>
        </w:rPr>
      </w:pPr>
      <w:r w:rsidRPr="009C4080">
        <w:rPr>
          <w:rFonts w:cs="Times New Roman"/>
          <w:szCs w:val="24"/>
        </w:rPr>
        <w:t>W związku z ograniczeniem kontaktów mieszkańców w okresie pandemii, za pośrednictwem lokalnych stron internetowych szerzono wśród seniorów informacje związane</w:t>
      </w:r>
      <w:r w:rsidR="00C30527">
        <w:rPr>
          <w:rFonts w:cs="Times New Roman"/>
          <w:szCs w:val="24"/>
        </w:rPr>
        <w:t xml:space="preserve"> </w:t>
      </w:r>
      <w:r w:rsidRPr="009C4080">
        <w:rPr>
          <w:rFonts w:cs="Times New Roman"/>
          <w:szCs w:val="24"/>
        </w:rPr>
        <w:t xml:space="preserve">z ogólnopolskim telefonem 12 333 70 88 dotyczącym wsparcia dla osób starszych. W wielu gminach </w:t>
      </w:r>
      <w:r w:rsidRPr="009C4080">
        <w:rPr>
          <w:rFonts w:cs="Times New Roman"/>
          <w:szCs w:val="24"/>
        </w:rPr>
        <w:lastRenderedPageBreak/>
        <w:t>organizowano dowozy osób starszych na szczepienie przeciwko COVID-19</w:t>
      </w:r>
      <w:r w:rsidR="00A76E31">
        <w:rPr>
          <w:rFonts w:cs="Times New Roman"/>
          <w:szCs w:val="24"/>
        </w:rPr>
        <w:t xml:space="preserve"> </w:t>
      </w:r>
      <w:r w:rsidRPr="009C4080">
        <w:rPr>
          <w:rFonts w:cs="Times New Roman"/>
          <w:szCs w:val="24"/>
        </w:rPr>
        <w:t>i monitorowano sytuację osób starszych po przyjęciu szczepionki.</w:t>
      </w:r>
    </w:p>
    <w:p w14:paraId="0946C9B1" w14:textId="77777777" w:rsidR="00A76E31" w:rsidRDefault="00A76E31" w:rsidP="009C4080">
      <w:pPr>
        <w:rPr>
          <w:rFonts w:cs="Times New Roman"/>
          <w:szCs w:val="24"/>
        </w:rPr>
      </w:pPr>
    </w:p>
    <w:p w14:paraId="267F81B8" w14:textId="5D25A120" w:rsidR="009C4080" w:rsidRPr="009C4080" w:rsidRDefault="009C4080" w:rsidP="009C4080">
      <w:pPr>
        <w:rPr>
          <w:rFonts w:cs="Times New Roman"/>
          <w:szCs w:val="24"/>
        </w:rPr>
      </w:pPr>
      <w:r w:rsidRPr="009C4080">
        <w:rPr>
          <w:rFonts w:cs="Times New Roman"/>
          <w:szCs w:val="24"/>
        </w:rPr>
        <w:t>Na poziomie kilku powiatów PFRON uruchomił program „Pomoc osobom niepełnosprawnym poszkodowanym w wyniku żywiołu lub sytuacji kryzysowych wywołanych chorobami zakaźnymi” Moduł III i Moduł IV. W ramach Modułu III była udzielana pomoc finansowa między innymi dla osób starszych niepełnosprawnych, które na skutek wystąpienia sytuacji kryzysowych spowodowanych chorobami zakaźnymi utraciły w okresie 09.03.2020</w:t>
      </w:r>
      <w:r w:rsidR="00C30527">
        <w:rPr>
          <w:rFonts w:cs="Times New Roman"/>
          <w:szCs w:val="24"/>
        </w:rPr>
        <w:t xml:space="preserve"> </w:t>
      </w:r>
      <w:r w:rsidRPr="009C4080">
        <w:rPr>
          <w:rFonts w:cs="Times New Roman"/>
          <w:szCs w:val="24"/>
        </w:rPr>
        <w:t>r. – 16.11.2021</w:t>
      </w:r>
      <w:r w:rsidR="00C30527">
        <w:rPr>
          <w:rFonts w:cs="Times New Roman"/>
          <w:szCs w:val="24"/>
        </w:rPr>
        <w:t xml:space="preserve"> </w:t>
      </w:r>
      <w:r w:rsidRPr="009C4080">
        <w:rPr>
          <w:rFonts w:cs="Times New Roman"/>
          <w:szCs w:val="24"/>
        </w:rPr>
        <w:t>r. możliwość korzystania (przez okres co najmniej 5 kolejnych następujących po sobie dni roboczych) z opieki świadczonej w placówce rehabilitacyjnej.</w:t>
      </w:r>
    </w:p>
    <w:p w14:paraId="4B0D3EA8" w14:textId="77777777" w:rsidR="00A76E31" w:rsidRDefault="00A76E31" w:rsidP="009C4080">
      <w:pPr>
        <w:rPr>
          <w:rFonts w:cs="Times New Roman"/>
          <w:szCs w:val="24"/>
        </w:rPr>
      </w:pPr>
    </w:p>
    <w:p w14:paraId="04A03DEC" w14:textId="7BB432C9" w:rsidR="009C4080" w:rsidRPr="009C4080" w:rsidRDefault="009C4080" w:rsidP="009C4080">
      <w:pPr>
        <w:rPr>
          <w:rFonts w:cs="Times New Roman"/>
          <w:szCs w:val="24"/>
        </w:rPr>
      </w:pPr>
      <w:r w:rsidRPr="009C4080">
        <w:rPr>
          <w:rFonts w:cs="Times New Roman"/>
          <w:szCs w:val="24"/>
        </w:rPr>
        <w:t xml:space="preserve">W ramach Modułu IV pomoc była udzielana samorządom powiatowym, które w związku </w:t>
      </w:r>
    </w:p>
    <w:p w14:paraId="1274448E" w14:textId="07A33979" w:rsidR="009C4080" w:rsidRPr="009C4080" w:rsidRDefault="009C4080" w:rsidP="009C4080">
      <w:pPr>
        <w:rPr>
          <w:rFonts w:cs="Times New Roman"/>
          <w:szCs w:val="24"/>
        </w:rPr>
      </w:pPr>
      <w:r w:rsidRPr="009C4080">
        <w:rPr>
          <w:rFonts w:cs="Times New Roman"/>
          <w:szCs w:val="24"/>
        </w:rPr>
        <w:t>z wystąpieniem sytuacji kryzysowych spowodowanych chorobami zakaźnymi uruchomiły dodatkowe wsparcie dla osób niepełnosprawnych w formie refundacji części wydatków poniesionych przez samorządy powiatowe. W ramach ww</w:t>
      </w:r>
      <w:r w:rsidR="00C30527">
        <w:rPr>
          <w:rFonts w:cs="Times New Roman"/>
          <w:szCs w:val="24"/>
        </w:rPr>
        <w:t>.</w:t>
      </w:r>
      <w:r w:rsidRPr="009C4080">
        <w:rPr>
          <w:rFonts w:cs="Times New Roman"/>
          <w:szCs w:val="24"/>
        </w:rPr>
        <w:t xml:space="preserve"> modułu skorzystały dwa DPS. Wydatki głównie dotyczyły zakupu środków ochronnych w związku z wystąpieniem pandemii COVID-19.</w:t>
      </w:r>
    </w:p>
    <w:p w14:paraId="14168CCA" w14:textId="77777777" w:rsidR="00A76E31" w:rsidRDefault="00A76E31" w:rsidP="009C4080">
      <w:pPr>
        <w:rPr>
          <w:rFonts w:cs="Times New Roman"/>
          <w:szCs w:val="24"/>
        </w:rPr>
      </w:pPr>
    </w:p>
    <w:p w14:paraId="104F3430" w14:textId="4C778549" w:rsidR="009C4080" w:rsidRPr="009C4080" w:rsidRDefault="009C4080" w:rsidP="009C4080">
      <w:pPr>
        <w:rPr>
          <w:rFonts w:cs="Times New Roman"/>
          <w:szCs w:val="24"/>
        </w:rPr>
      </w:pPr>
      <w:r w:rsidRPr="009C4080">
        <w:rPr>
          <w:rFonts w:cs="Times New Roman"/>
          <w:szCs w:val="24"/>
        </w:rPr>
        <w:t>Na terenie województwa zachodniopomorskiego realizowany jest projekt pn. „Region Dobrego Wsparcia”. Projekt realizowany jest przez Województwo Zachodniopomorskie</w:t>
      </w:r>
      <w:r w:rsidR="00A76E31">
        <w:rPr>
          <w:rFonts w:cs="Times New Roman"/>
          <w:szCs w:val="24"/>
        </w:rPr>
        <w:t xml:space="preserve"> </w:t>
      </w:r>
      <w:r w:rsidRPr="009C4080">
        <w:rPr>
          <w:rFonts w:cs="Times New Roman"/>
          <w:szCs w:val="24"/>
        </w:rPr>
        <w:t>w partnerstwie z Fundacją Nauka dla Środowiska, Caritas Diecezji Koszalińsko-Kołobrzeskiej, Caritas Archidiecezji Szczecińsko-Kamieńskiej, w okresie 01</w:t>
      </w:r>
      <w:r w:rsidR="004849F1">
        <w:rPr>
          <w:rFonts w:cs="Times New Roman"/>
          <w:szCs w:val="24"/>
        </w:rPr>
        <w:t xml:space="preserve"> kwietnia </w:t>
      </w:r>
      <w:r w:rsidRPr="009C4080">
        <w:rPr>
          <w:rFonts w:cs="Times New Roman"/>
          <w:szCs w:val="24"/>
        </w:rPr>
        <w:t>2020 r</w:t>
      </w:r>
      <w:r w:rsidR="00C30527">
        <w:rPr>
          <w:rFonts w:cs="Times New Roman"/>
          <w:szCs w:val="24"/>
        </w:rPr>
        <w:t>.</w:t>
      </w:r>
      <w:r w:rsidRPr="009C4080">
        <w:rPr>
          <w:rFonts w:cs="Times New Roman"/>
          <w:szCs w:val="24"/>
        </w:rPr>
        <w:t xml:space="preserve"> – 31</w:t>
      </w:r>
      <w:r w:rsidR="004849F1">
        <w:rPr>
          <w:rFonts w:cs="Times New Roman"/>
          <w:szCs w:val="24"/>
        </w:rPr>
        <w:t xml:space="preserve"> marca </w:t>
      </w:r>
      <w:r w:rsidRPr="009C4080">
        <w:rPr>
          <w:rFonts w:cs="Times New Roman"/>
          <w:szCs w:val="24"/>
        </w:rPr>
        <w:t>2023 r</w:t>
      </w:r>
      <w:r w:rsidR="00C30527">
        <w:rPr>
          <w:rFonts w:cs="Times New Roman"/>
          <w:szCs w:val="24"/>
        </w:rPr>
        <w:t>.</w:t>
      </w:r>
      <w:r w:rsidRPr="009C4080">
        <w:rPr>
          <w:rFonts w:cs="Times New Roman"/>
          <w:szCs w:val="24"/>
        </w:rPr>
        <w:t xml:space="preserve"> na terenie województwa zachodniopomorskiego. Projekt współfinansowany przez Unię Europejską z Europejskiego Funduszu Społecznego oraz budżetu państwa w ramach Regionalnego Programu Operacyjnego Województwa Zachodniopomorskiego 2014-2020 Priorytet VII Włączenie społeczne, Działanie 7.6. Wsparcie rozwoju usług społecznych świadczonych w interesie ogólnym.</w:t>
      </w:r>
    </w:p>
    <w:p w14:paraId="08992EDA" w14:textId="77777777" w:rsidR="00A76E31" w:rsidRDefault="00A76E31" w:rsidP="009C4080">
      <w:pPr>
        <w:rPr>
          <w:rFonts w:cs="Times New Roman"/>
          <w:szCs w:val="24"/>
        </w:rPr>
      </w:pPr>
    </w:p>
    <w:p w14:paraId="48F9C5F3" w14:textId="6FDBD247" w:rsidR="009C4080" w:rsidRDefault="00A76E31" w:rsidP="009C4080">
      <w:pPr>
        <w:rPr>
          <w:rFonts w:cs="Times New Roman"/>
          <w:b/>
          <w:color w:val="FF0000"/>
          <w:szCs w:val="24"/>
          <w:lang w:eastAsia="ar-SA"/>
        </w:rPr>
      </w:pPr>
      <w:r>
        <w:rPr>
          <w:rFonts w:cs="Times New Roman"/>
          <w:szCs w:val="24"/>
        </w:rPr>
        <w:t xml:space="preserve">Z kolei </w:t>
      </w:r>
      <w:r w:rsidR="009C4080" w:rsidRPr="009C4080">
        <w:rPr>
          <w:rFonts w:cs="Times New Roman"/>
          <w:szCs w:val="24"/>
        </w:rPr>
        <w:t>Domy Pomocy Społecznej z terenu województwa zachodniopomorskiego funkcjonowały zgodnie z przekazywanymi wytycznymi.</w:t>
      </w:r>
    </w:p>
    <w:p w14:paraId="28CD0305" w14:textId="77777777" w:rsidR="001A6CD0" w:rsidRDefault="001A6CD0" w:rsidP="001A6CD0">
      <w:pPr>
        <w:rPr>
          <w:rFonts w:eastAsia="Calibri" w:cs="Times New Roman"/>
          <w:bCs/>
          <w:color w:val="FF0000"/>
          <w:szCs w:val="24"/>
        </w:rPr>
      </w:pPr>
    </w:p>
    <w:p w14:paraId="5BF99ADA" w14:textId="0AB1C4EC" w:rsidR="001A6CD0" w:rsidRDefault="001A6CD0" w:rsidP="001A6CD0">
      <w:pPr>
        <w:pStyle w:val="Nagwek3"/>
      </w:pPr>
      <w:bookmarkStart w:id="335" w:name="_Toc77514047"/>
      <w:bookmarkStart w:id="336" w:name="_Toc80523210"/>
      <w:r>
        <w:t>Infrastruktura społeczna oraz usługi świadczone osobom starszym w 2020 r.</w:t>
      </w:r>
      <w:bookmarkEnd w:id="335"/>
      <w:bookmarkEnd w:id="336"/>
    </w:p>
    <w:p w14:paraId="60DC5731" w14:textId="77777777" w:rsidR="000B1B06" w:rsidRPr="000B1B06" w:rsidRDefault="000B1B06" w:rsidP="000B1B06"/>
    <w:p w14:paraId="11B67457" w14:textId="5BEE59DF" w:rsidR="001A6CD0" w:rsidRDefault="001A6CD0" w:rsidP="001A6CD0">
      <w:pPr>
        <w:rPr>
          <w:rFonts w:cs="Times New Roman"/>
          <w:szCs w:val="24"/>
        </w:rPr>
      </w:pPr>
      <w:r w:rsidRPr="00D96C8C">
        <w:rPr>
          <w:rFonts w:cs="Times New Roman"/>
          <w:szCs w:val="24"/>
        </w:rPr>
        <w:t xml:space="preserve">Szczegółowe informacje dotyczące usług oraz infrastruktury społecznej dostępnej dla osób starszych w województwie </w:t>
      </w:r>
      <w:r w:rsidR="005C3916">
        <w:rPr>
          <w:rFonts w:cs="Times New Roman"/>
          <w:szCs w:val="24"/>
        </w:rPr>
        <w:t>zachodniopomorskim</w:t>
      </w:r>
      <w:r>
        <w:rPr>
          <w:rFonts w:cs="Times New Roman"/>
          <w:szCs w:val="24"/>
        </w:rPr>
        <w:t xml:space="preserve"> w 2020 r. przedstawia poniższa tabela</w:t>
      </w:r>
      <w:r w:rsidR="009C4080">
        <w:rPr>
          <w:rFonts w:cs="Times New Roman"/>
          <w:szCs w:val="24"/>
        </w:rPr>
        <w:t>.</w:t>
      </w:r>
    </w:p>
    <w:p w14:paraId="4F31D2C3" w14:textId="5541E4AB" w:rsidR="00AC180B" w:rsidRPr="00AC180B" w:rsidRDefault="00AC180B" w:rsidP="00AC180B">
      <w:pPr>
        <w:rPr>
          <w:rFonts w:cs="Times New Roman"/>
          <w:szCs w:val="24"/>
        </w:rPr>
      </w:pPr>
    </w:p>
    <w:p w14:paraId="456F5BB4" w14:textId="77777777" w:rsidR="00BB5D9D" w:rsidRPr="0092226B" w:rsidRDefault="00BB5D9D" w:rsidP="000D7CDE">
      <w:pPr>
        <w:rPr>
          <w:rFonts w:eastAsia="Calibri" w:cs="Times New Roman"/>
          <w:bCs/>
          <w:color w:val="FF0000"/>
          <w:szCs w:val="24"/>
        </w:rPr>
      </w:pPr>
    </w:p>
    <w:p w14:paraId="5C1DF290" w14:textId="77777777" w:rsidR="00D75B65" w:rsidRPr="0092226B" w:rsidRDefault="00D75B65" w:rsidP="00FE70E3">
      <w:pPr>
        <w:pStyle w:val="Nagwek1"/>
        <w:numPr>
          <w:ilvl w:val="0"/>
          <w:numId w:val="12"/>
        </w:numPr>
        <w:ind w:left="0" w:firstLine="0"/>
        <w:rPr>
          <w:color w:val="FF0000"/>
          <w:lang w:eastAsia="ar-SA"/>
        </w:rPr>
        <w:sectPr w:rsidR="00D75B65" w:rsidRPr="0092226B" w:rsidSect="00FC210F">
          <w:pgSz w:w="11906" w:h="16840"/>
          <w:pgMar w:top="1418" w:right="1418" w:bottom="1417" w:left="1418" w:header="708" w:footer="708" w:gutter="0"/>
          <w:cols w:space="708"/>
          <w:docGrid w:linePitch="360"/>
        </w:sectPr>
      </w:pPr>
    </w:p>
    <w:p w14:paraId="03EF66EB" w14:textId="5C5C81DE" w:rsidR="004D48DD" w:rsidRPr="00D66410" w:rsidRDefault="004D48DD" w:rsidP="004D48DD">
      <w:pPr>
        <w:pStyle w:val="Legenda"/>
        <w:keepNext/>
        <w:rPr>
          <w:rFonts w:cs="Times New Roman"/>
          <w:b/>
          <w:i w:val="0"/>
          <w:color w:val="auto"/>
          <w:sz w:val="24"/>
        </w:rPr>
      </w:pPr>
      <w:bookmarkStart w:id="337" w:name="_Toc49171445"/>
      <w:r w:rsidRPr="00D66410">
        <w:rPr>
          <w:rFonts w:cs="Times New Roman"/>
          <w:b/>
          <w:i w:val="0"/>
          <w:color w:val="auto"/>
          <w:sz w:val="24"/>
        </w:rPr>
        <w:lastRenderedPageBreak/>
        <w:t>Tabela</w:t>
      </w:r>
      <w:r w:rsidR="00A871AD">
        <w:rPr>
          <w:rFonts w:cs="Times New Roman"/>
          <w:b/>
          <w:i w:val="0"/>
          <w:color w:val="auto"/>
          <w:sz w:val="24"/>
        </w:rPr>
        <w:t xml:space="preserve"> 80</w:t>
      </w:r>
      <w:r w:rsidR="00054E88">
        <w:rPr>
          <w:rFonts w:cs="Times New Roman"/>
          <w:b/>
          <w:i w:val="0"/>
          <w:color w:val="auto"/>
          <w:sz w:val="24"/>
        </w:rPr>
        <w:t>.</w:t>
      </w:r>
      <w:r w:rsidR="00A871AD">
        <w:rPr>
          <w:rFonts w:cs="Times New Roman"/>
          <w:b/>
          <w:i w:val="0"/>
          <w:color w:val="auto"/>
          <w:sz w:val="24"/>
        </w:rPr>
        <w:t xml:space="preserve"> </w:t>
      </w:r>
      <w:r w:rsidRPr="00D66410">
        <w:rPr>
          <w:rFonts w:cs="Times New Roman"/>
          <w:b/>
          <w:i w:val="0"/>
          <w:color w:val="auto"/>
          <w:sz w:val="24"/>
        </w:rPr>
        <w:t>Karta województwa zachodniopomorskiego</w:t>
      </w:r>
      <w:bookmarkEnd w:id="337"/>
    </w:p>
    <w:tbl>
      <w:tblPr>
        <w:tblStyle w:val="Tabelasiatki5ciemnaakcent2"/>
        <w:tblpPr w:leftFromText="141" w:rightFromText="141" w:vertAnchor="text" w:tblpXSpec="center" w:tblpY="1"/>
        <w:tblW w:w="14741" w:type="dxa"/>
        <w:tblLayout w:type="fixed"/>
        <w:tblLook w:val="04A0" w:firstRow="1" w:lastRow="0" w:firstColumn="1" w:lastColumn="0" w:noHBand="0" w:noVBand="1"/>
      </w:tblPr>
      <w:tblGrid>
        <w:gridCol w:w="2830"/>
        <w:gridCol w:w="3066"/>
        <w:gridCol w:w="53"/>
        <w:gridCol w:w="2895"/>
        <w:gridCol w:w="790"/>
        <w:gridCol w:w="2158"/>
        <w:gridCol w:w="2949"/>
      </w:tblGrid>
      <w:tr w:rsidR="00D66410" w:rsidRPr="00D66410" w14:paraId="22C0BDDB" w14:textId="77777777" w:rsidTr="00D66410">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70DE7F26" w14:textId="420F66FA" w:rsidR="00D66410" w:rsidRPr="007726D7" w:rsidRDefault="00D66410" w:rsidP="00DD5A25">
            <w:pPr>
              <w:spacing w:line="240" w:lineRule="auto"/>
              <w:jc w:val="center"/>
              <w:rPr>
                <w:color w:val="auto"/>
                <w:sz w:val="20"/>
                <w:szCs w:val="20"/>
              </w:rPr>
            </w:pPr>
            <w:r w:rsidRPr="007726D7">
              <w:rPr>
                <w:color w:val="auto"/>
                <w:sz w:val="20"/>
                <w:szCs w:val="20"/>
              </w:rPr>
              <w:t>WOJEWÓDZTWO ZACHODNIOPOMORSKIE</w:t>
            </w:r>
          </w:p>
        </w:tc>
      </w:tr>
      <w:tr w:rsidR="00D66410" w:rsidRPr="00D66410" w14:paraId="051E0AF6" w14:textId="77777777" w:rsidTr="00D66410">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4741" w:type="dxa"/>
            <w:gridSpan w:val="7"/>
          </w:tcPr>
          <w:p w14:paraId="124BE85E" w14:textId="28C386A4" w:rsidR="00DD5A25" w:rsidRPr="007726D7" w:rsidRDefault="00DD5A25" w:rsidP="00DD5A25">
            <w:pPr>
              <w:spacing w:line="240" w:lineRule="auto"/>
              <w:jc w:val="center"/>
              <w:rPr>
                <w:color w:val="auto"/>
                <w:sz w:val="20"/>
                <w:szCs w:val="20"/>
              </w:rPr>
            </w:pPr>
            <w:r w:rsidRPr="007726D7">
              <w:rPr>
                <w:color w:val="auto"/>
                <w:sz w:val="20"/>
                <w:szCs w:val="20"/>
              </w:rPr>
              <w:t>USŁUGI SPOŁECZNE DLA OSÓB STARSZYCH / INFRASTRUKTURA POMOCY SPOLECZNEJ – DANE ZA 20</w:t>
            </w:r>
            <w:r w:rsidR="00A871AD" w:rsidRPr="007726D7">
              <w:rPr>
                <w:color w:val="auto"/>
                <w:sz w:val="20"/>
                <w:szCs w:val="20"/>
              </w:rPr>
              <w:t>20</w:t>
            </w:r>
            <w:r w:rsidRPr="007726D7">
              <w:rPr>
                <w:color w:val="auto"/>
                <w:sz w:val="20"/>
                <w:szCs w:val="20"/>
              </w:rPr>
              <w:t xml:space="preserve"> R.</w:t>
            </w:r>
          </w:p>
        </w:tc>
      </w:tr>
      <w:tr w:rsidR="00D66410" w:rsidRPr="00D66410" w14:paraId="66445D03" w14:textId="77777777" w:rsidTr="00D66410">
        <w:trPr>
          <w:trHeight w:val="7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6C97244E" w14:textId="77777777" w:rsidR="00DD5A25" w:rsidRPr="00D66410" w:rsidRDefault="00DD5A25" w:rsidP="00DD5A25">
            <w:pPr>
              <w:spacing w:line="240" w:lineRule="auto"/>
              <w:rPr>
                <w:rFonts w:eastAsia="Times New Roman"/>
                <w:b w:val="0"/>
                <w:bCs w:val="0"/>
                <w:color w:val="auto"/>
                <w:lang w:eastAsia="pl-PL"/>
              </w:rPr>
            </w:pPr>
            <w:r w:rsidRPr="00D66410">
              <w:rPr>
                <w:rFonts w:eastAsia="Times New Roman"/>
                <w:color w:val="auto"/>
                <w:lang w:eastAsia="pl-PL"/>
              </w:rPr>
              <w:t>Instytucje pomocy społecznej, w tym:</w:t>
            </w:r>
          </w:p>
        </w:tc>
        <w:tc>
          <w:tcPr>
            <w:tcW w:w="3066" w:type="dxa"/>
          </w:tcPr>
          <w:p w14:paraId="7D58B33A" w14:textId="77777777" w:rsidR="00DD5A25" w:rsidRPr="007726D7" w:rsidRDefault="00DD5A25" w:rsidP="00DD5A25">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7726D7">
              <w:rPr>
                <w:b/>
                <w:sz w:val="20"/>
                <w:szCs w:val="20"/>
              </w:rPr>
              <w:t>Rodzaj placówki</w:t>
            </w:r>
          </w:p>
        </w:tc>
        <w:tc>
          <w:tcPr>
            <w:tcW w:w="2948" w:type="dxa"/>
            <w:gridSpan w:val="2"/>
          </w:tcPr>
          <w:p w14:paraId="4EE0B1AE" w14:textId="77777777" w:rsidR="00DD5A25" w:rsidRPr="007726D7" w:rsidRDefault="00DD5A25" w:rsidP="00DD5A25">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7726D7">
              <w:rPr>
                <w:b/>
                <w:sz w:val="20"/>
                <w:szCs w:val="20"/>
              </w:rPr>
              <w:t>Liczba placówek</w:t>
            </w:r>
          </w:p>
        </w:tc>
        <w:tc>
          <w:tcPr>
            <w:tcW w:w="2948" w:type="dxa"/>
            <w:gridSpan w:val="2"/>
          </w:tcPr>
          <w:p w14:paraId="1D0D328F" w14:textId="77777777" w:rsidR="00DD5A25" w:rsidRPr="007726D7" w:rsidRDefault="00DD5A25" w:rsidP="00DD5A25">
            <w:pPr>
              <w:spacing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7726D7">
              <w:rPr>
                <w:b/>
                <w:sz w:val="20"/>
                <w:szCs w:val="20"/>
              </w:rPr>
              <w:t>Liczba miejsc dla osób starszych</w:t>
            </w:r>
          </w:p>
        </w:tc>
        <w:tc>
          <w:tcPr>
            <w:tcW w:w="2949" w:type="dxa"/>
          </w:tcPr>
          <w:p w14:paraId="1E596354" w14:textId="77777777" w:rsidR="00DD5A25" w:rsidRPr="007726D7" w:rsidRDefault="00DD5A25" w:rsidP="00DD5A25">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7726D7">
              <w:rPr>
                <w:b/>
                <w:sz w:val="20"/>
                <w:szCs w:val="20"/>
              </w:rPr>
              <w:t>Liczba korzystających osób starszych</w:t>
            </w:r>
          </w:p>
        </w:tc>
      </w:tr>
      <w:tr w:rsidR="00466BE0" w:rsidRPr="00D66410" w14:paraId="646D0ADF" w14:textId="77777777" w:rsidTr="00D66410">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E8D5838" w14:textId="77777777" w:rsidR="00466BE0" w:rsidRPr="00D66410" w:rsidRDefault="00466BE0" w:rsidP="00466BE0">
            <w:pPr>
              <w:spacing w:line="240" w:lineRule="auto"/>
              <w:rPr>
                <w:rFonts w:eastAsia="Times New Roman"/>
                <w:color w:val="auto"/>
                <w:lang w:eastAsia="pl-PL"/>
              </w:rPr>
            </w:pPr>
          </w:p>
        </w:tc>
        <w:tc>
          <w:tcPr>
            <w:tcW w:w="3066" w:type="dxa"/>
          </w:tcPr>
          <w:p w14:paraId="1F7E3EE0" w14:textId="77777777" w:rsidR="00466BE0" w:rsidRPr="007726D7" w:rsidRDefault="00466BE0" w:rsidP="007726D7">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Środowiskowe Domy Samopomocy</w:t>
            </w:r>
          </w:p>
        </w:tc>
        <w:tc>
          <w:tcPr>
            <w:tcW w:w="2948" w:type="dxa"/>
            <w:gridSpan w:val="2"/>
          </w:tcPr>
          <w:p w14:paraId="493EEBBE" w14:textId="66206F0B"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47</w:t>
            </w:r>
          </w:p>
        </w:tc>
        <w:tc>
          <w:tcPr>
            <w:tcW w:w="2948" w:type="dxa"/>
            <w:gridSpan w:val="2"/>
          </w:tcPr>
          <w:p w14:paraId="0DE6C619" w14:textId="0D557823"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Ogólna liczba miejsc 1614 (w strukturach nie są wyodrębniane miejsca dla osób starszych)</w:t>
            </w:r>
          </w:p>
        </w:tc>
        <w:tc>
          <w:tcPr>
            <w:tcW w:w="2949" w:type="dxa"/>
          </w:tcPr>
          <w:p w14:paraId="694A5A09" w14:textId="32AB9D52"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257</w:t>
            </w:r>
          </w:p>
        </w:tc>
      </w:tr>
      <w:tr w:rsidR="00466BE0" w:rsidRPr="00D66410" w14:paraId="1D0275D4" w14:textId="77777777" w:rsidTr="00D66410">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646F3AA" w14:textId="77777777" w:rsidR="00466BE0" w:rsidRPr="00D66410" w:rsidRDefault="00466BE0" w:rsidP="00466BE0">
            <w:pPr>
              <w:spacing w:line="240" w:lineRule="auto"/>
              <w:rPr>
                <w:rFonts w:eastAsia="Times New Roman"/>
                <w:color w:val="auto"/>
                <w:lang w:eastAsia="pl-PL"/>
              </w:rPr>
            </w:pPr>
          </w:p>
        </w:tc>
        <w:tc>
          <w:tcPr>
            <w:tcW w:w="3066" w:type="dxa"/>
          </w:tcPr>
          <w:p w14:paraId="2AFE94C1" w14:textId="77777777" w:rsidR="00466BE0" w:rsidRPr="007726D7" w:rsidRDefault="00466BE0" w:rsidP="007726D7">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Dzienne Domy Pomocy</w:t>
            </w:r>
          </w:p>
        </w:tc>
        <w:tc>
          <w:tcPr>
            <w:tcW w:w="2948" w:type="dxa"/>
            <w:gridSpan w:val="2"/>
          </w:tcPr>
          <w:p w14:paraId="039D7B58" w14:textId="4C0BFA93"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19</w:t>
            </w:r>
          </w:p>
        </w:tc>
        <w:tc>
          <w:tcPr>
            <w:tcW w:w="2948" w:type="dxa"/>
            <w:gridSpan w:val="2"/>
          </w:tcPr>
          <w:p w14:paraId="4B91A088" w14:textId="38E18F05"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 xml:space="preserve">941 </w:t>
            </w:r>
          </w:p>
        </w:tc>
        <w:tc>
          <w:tcPr>
            <w:tcW w:w="2949" w:type="dxa"/>
          </w:tcPr>
          <w:p w14:paraId="2CC858C6" w14:textId="626B9F0B" w:rsidR="00466BE0" w:rsidRPr="007726D7" w:rsidRDefault="007726D7"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b.d.</w:t>
            </w:r>
          </w:p>
        </w:tc>
      </w:tr>
      <w:tr w:rsidR="00466BE0" w:rsidRPr="00D66410" w14:paraId="10BA3670" w14:textId="77777777" w:rsidTr="00D66410">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26F0DF3" w14:textId="77777777" w:rsidR="00466BE0" w:rsidRPr="00D66410" w:rsidRDefault="00466BE0" w:rsidP="00466BE0">
            <w:pPr>
              <w:spacing w:line="240" w:lineRule="auto"/>
              <w:rPr>
                <w:rFonts w:eastAsia="Times New Roman"/>
                <w:color w:val="auto"/>
                <w:lang w:eastAsia="pl-PL"/>
              </w:rPr>
            </w:pPr>
          </w:p>
        </w:tc>
        <w:tc>
          <w:tcPr>
            <w:tcW w:w="3066" w:type="dxa"/>
          </w:tcPr>
          <w:p w14:paraId="7976E523" w14:textId="77777777" w:rsidR="00466BE0" w:rsidRPr="007726D7" w:rsidRDefault="00466BE0" w:rsidP="007726D7">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Noclegownie, schroniska i domy dla osób bezdomnych</w:t>
            </w:r>
          </w:p>
        </w:tc>
        <w:tc>
          <w:tcPr>
            <w:tcW w:w="2948" w:type="dxa"/>
            <w:gridSpan w:val="2"/>
          </w:tcPr>
          <w:p w14:paraId="614162F5" w14:textId="702A9BE1"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42</w:t>
            </w:r>
          </w:p>
        </w:tc>
        <w:tc>
          <w:tcPr>
            <w:tcW w:w="2948" w:type="dxa"/>
            <w:gridSpan w:val="2"/>
          </w:tcPr>
          <w:p w14:paraId="247E297F" w14:textId="0FCDF02F"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1</w:t>
            </w:r>
            <w:r w:rsidR="007726D7">
              <w:rPr>
                <w:sz w:val="20"/>
                <w:szCs w:val="20"/>
              </w:rPr>
              <w:t xml:space="preserve"> </w:t>
            </w:r>
            <w:r w:rsidRPr="007726D7">
              <w:rPr>
                <w:sz w:val="20"/>
                <w:szCs w:val="20"/>
              </w:rPr>
              <w:t>351</w:t>
            </w:r>
          </w:p>
        </w:tc>
        <w:tc>
          <w:tcPr>
            <w:tcW w:w="2949" w:type="dxa"/>
          </w:tcPr>
          <w:p w14:paraId="170AB479" w14:textId="7004B024" w:rsidR="00466BE0" w:rsidRPr="007726D7" w:rsidRDefault="007726D7"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b.d.</w:t>
            </w:r>
          </w:p>
        </w:tc>
      </w:tr>
      <w:tr w:rsidR="00466BE0" w:rsidRPr="00D66410" w14:paraId="2C19CE0F" w14:textId="77777777" w:rsidTr="00D66410">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2C72E2B" w14:textId="77777777" w:rsidR="00466BE0" w:rsidRPr="00D66410" w:rsidRDefault="00466BE0" w:rsidP="00466BE0">
            <w:pPr>
              <w:spacing w:line="240" w:lineRule="auto"/>
              <w:rPr>
                <w:rFonts w:eastAsia="Times New Roman"/>
                <w:color w:val="auto"/>
                <w:lang w:eastAsia="pl-PL"/>
              </w:rPr>
            </w:pPr>
          </w:p>
        </w:tc>
        <w:tc>
          <w:tcPr>
            <w:tcW w:w="3066" w:type="dxa"/>
          </w:tcPr>
          <w:p w14:paraId="3E430C66" w14:textId="77777777" w:rsidR="00466BE0" w:rsidRPr="007726D7" w:rsidRDefault="00466BE0" w:rsidP="007726D7">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Ogrzewalnie</w:t>
            </w:r>
          </w:p>
        </w:tc>
        <w:tc>
          <w:tcPr>
            <w:tcW w:w="2948" w:type="dxa"/>
            <w:gridSpan w:val="2"/>
          </w:tcPr>
          <w:p w14:paraId="2D3F8AA9" w14:textId="0FD0B09C"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9</w:t>
            </w:r>
          </w:p>
        </w:tc>
        <w:tc>
          <w:tcPr>
            <w:tcW w:w="2948" w:type="dxa"/>
            <w:gridSpan w:val="2"/>
          </w:tcPr>
          <w:p w14:paraId="79B7348E" w14:textId="2103CDEC"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120</w:t>
            </w:r>
          </w:p>
        </w:tc>
        <w:tc>
          <w:tcPr>
            <w:tcW w:w="2949" w:type="dxa"/>
          </w:tcPr>
          <w:p w14:paraId="04683083" w14:textId="7E7F7ECE" w:rsidR="00466BE0" w:rsidRPr="007726D7" w:rsidRDefault="007726D7"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b.d.</w:t>
            </w:r>
          </w:p>
        </w:tc>
      </w:tr>
      <w:tr w:rsidR="00466BE0" w:rsidRPr="00D66410" w14:paraId="2E6106C3" w14:textId="77777777" w:rsidTr="00D66410">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502DF53" w14:textId="77777777" w:rsidR="00466BE0" w:rsidRPr="00D66410" w:rsidRDefault="00466BE0" w:rsidP="00466BE0">
            <w:pPr>
              <w:spacing w:line="240" w:lineRule="auto"/>
              <w:rPr>
                <w:rFonts w:eastAsia="Times New Roman"/>
                <w:color w:val="auto"/>
                <w:lang w:eastAsia="pl-PL"/>
              </w:rPr>
            </w:pPr>
          </w:p>
        </w:tc>
        <w:tc>
          <w:tcPr>
            <w:tcW w:w="3066" w:type="dxa"/>
          </w:tcPr>
          <w:p w14:paraId="0A3E771B" w14:textId="77777777" w:rsidR="00466BE0" w:rsidRPr="007726D7" w:rsidRDefault="00466BE0" w:rsidP="007726D7">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Kluby Samopomocy</w:t>
            </w:r>
          </w:p>
        </w:tc>
        <w:tc>
          <w:tcPr>
            <w:tcW w:w="2948" w:type="dxa"/>
            <w:gridSpan w:val="2"/>
          </w:tcPr>
          <w:p w14:paraId="196BF557" w14:textId="087672EF"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13</w:t>
            </w:r>
          </w:p>
        </w:tc>
        <w:tc>
          <w:tcPr>
            <w:tcW w:w="2948" w:type="dxa"/>
            <w:gridSpan w:val="2"/>
          </w:tcPr>
          <w:p w14:paraId="3EB3A868" w14:textId="5714B3A4"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415</w:t>
            </w:r>
          </w:p>
        </w:tc>
        <w:tc>
          <w:tcPr>
            <w:tcW w:w="2949" w:type="dxa"/>
          </w:tcPr>
          <w:p w14:paraId="63577CF1" w14:textId="3DC53422" w:rsidR="00466BE0" w:rsidRPr="007726D7" w:rsidRDefault="007726D7"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b.d.</w:t>
            </w:r>
          </w:p>
        </w:tc>
      </w:tr>
      <w:tr w:rsidR="00466BE0" w:rsidRPr="00D66410" w14:paraId="1BA763F7" w14:textId="77777777" w:rsidTr="00D66410">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B4D3F2E" w14:textId="77777777" w:rsidR="00466BE0" w:rsidRPr="00D66410" w:rsidRDefault="00466BE0" w:rsidP="00466BE0">
            <w:pPr>
              <w:spacing w:line="240" w:lineRule="auto"/>
              <w:rPr>
                <w:rFonts w:eastAsia="Times New Roman"/>
                <w:color w:val="auto"/>
                <w:lang w:eastAsia="pl-PL"/>
              </w:rPr>
            </w:pPr>
          </w:p>
        </w:tc>
        <w:tc>
          <w:tcPr>
            <w:tcW w:w="3066" w:type="dxa"/>
          </w:tcPr>
          <w:p w14:paraId="3D7DA778" w14:textId="77777777" w:rsidR="00466BE0" w:rsidRPr="007726D7" w:rsidRDefault="00466BE0" w:rsidP="007726D7">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Placówki zapewniające całodobową opiekę osobom niepełnosprawnym, przewlekle chorym lub osobom w podeszłym wieku</w:t>
            </w:r>
          </w:p>
        </w:tc>
        <w:tc>
          <w:tcPr>
            <w:tcW w:w="2948" w:type="dxa"/>
            <w:gridSpan w:val="2"/>
          </w:tcPr>
          <w:p w14:paraId="188E85AE" w14:textId="2DC67034"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25</w:t>
            </w:r>
          </w:p>
        </w:tc>
        <w:tc>
          <w:tcPr>
            <w:tcW w:w="2948" w:type="dxa"/>
            <w:gridSpan w:val="2"/>
          </w:tcPr>
          <w:p w14:paraId="2EAB2AF2" w14:textId="75887A6F"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1</w:t>
            </w:r>
            <w:r w:rsidR="007726D7">
              <w:rPr>
                <w:sz w:val="20"/>
                <w:szCs w:val="20"/>
              </w:rPr>
              <w:t xml:space="preserve"> </w:t>
            </w:r>
            <w:r w:rsidRPr="007726D7">
              <w:rPr>
                <w:sz w:val="20"/>
                <w:szCs w:val="20"/>
              </w:rPr>
              <w:t>084</w:t>
            </w:r>
          </w:p>
        </w:tc>
        <w:tc>
          <w:tcPr>
            <w:tcW w:w="2949" w:type="dxa"/>
          </w:tcPr>
          <w:p w14:paraId="779B4B5F" w14:textId="2CBAFA6D"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ok. 600</w:t>
            </w:r>
          </w:p>
        </w:tc>
      </w:tr>
      <w:tr w:rsidR="00466BE0" w:rsidRPr="00D66410" w14:paraId="3C79025F" w14:textId="77777777" w:rsidTr="00D66410">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7FB2B64B" w14:textId="77777777" w:rsidR="00466BE0" w:rsidRPr="00D66410" w:rsidRDefault="00466BE0" w:rsidP="00466BE0">
            <w:pPr>
              <w:spacing w:line="240" w:lineRule="auto"/>
              <w:rPr>
                <w:rFonts w:eastAsia="Times New Roman"/>
                <w:color w:val="auto"/>
                <w:lang w:eastAsia="pl-PL"/>
              </w:rPr>
            </w:pPr>
          </w:p>
        </w:tc>
        <w:tc>
          <w:tcPr>
            <w:tcW w:w="3066" w:type="dxa"/>
          </w:tcPr>
          <w:p w14:paraId="06086AF6" w14:textId="77777777" w:rsidR="00466BE0" w:rsidRPr="007726D7" w:rsidRDefault="00466BE0" w:rsidP="007726D7">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Domy Pomocy Społecznej</w:t>
            </w:r>
          </w:p>
        </w:tc>
        <w:tc>
          <w:tcPr>
            <w:tcW w:w="2948" w:type="dxa"/>
            <w:gridSpan w:val="2"/>
          </w:tcPr>
          <w:p w14:paraId="0BFC21D5" w14:textId="7837812F"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7</w:t>
            </w:r>
          </w:p>
        </w:tc>
        <w:tc>
          <w:tcPr>
            <w:tcW w:w="2948" w:type="dxa"/>
            <w:gridSpan w:val="2"/>
          </w:tcPr>
          <w:p w14:paraId="62AAA046" w14:textId="08B2F375"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1043</w:t>
            </w:r>
          </w:p>
        </w:tc>
        <w:tc>
          <w:tcPr>
            <w:tcW w:w="2949" w:type="dxa"/>
          </w:tcPr>
          <w:p w14:paraId="46D38A9A" w14:textId="2FA416B2"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897</w:t>
            </w:r>
          </w:p>
        </w:tc>
      </w:tr>
      <w:tr w:rsidR="00466BE0" w:rsidRPr="00D66410" w14:paraId="4063873A" w14:textId="77777777" w:rsidTr="00D66410">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095CDAD8" w14:textId="77777777" w:rsidR="00466BE0" w:rsidRPr="00D66410" w:rsidRDefault="00466BE0" w:rsidP="00466BE0">
            <w:pPr>
              <w:spacing w:line="240" w:lineRule="auto"/>
              <w:rPr>
                <w:rFonts w:eastAsia="Times New Roman"/>
                <w:color w:val="auto"/>
                <w:lang w:eastAsia="pl-PL"/>
              </w:rPr>
            </w:pPr>
          </w:p>
        </w:tc>
        <w:tc>
          <w:tcPr>
            <w:tcW w:w="3066" w:type="dxa"/>
          </w:tcPr>
          <w:p w14:paraId="4A444C43" w14:textId="77777777" w:rsidR="00466BE0" w:rsidRPr="007726D7" w:rsidRDefault="00466BE0" w:rsidP="007726D7">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Mieszkania chronione ogółem</w:t>
            </w:r>
          </w:p>
        </w:tc>
        <w:tc>
          <w:tcPr>
            <w:tcW w:w="2948" w:type="dxa"/>
            <w:gridSpan w:val="2"/>
          </w:tcPr>
          <w:p w14:paraId="392E7E3B" w14:textId="1630C3ED"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50</w:t>
            </w:r>
          </w:p>
        </w:tc>
        <w:tc>
          <w:tcPr>
            <w:tcW w:w="2948" w:type="dxa"/>
            <w:gridSpan w:val="2"/>
          </w:tcPr>
          <w:p w14:paraId="47AD79BF" w14:textId="0C983482"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49</w:t>
            </w:r>
          </w:p>
        </w:tc>
        <w:tc>
          <w:tcPr>
            <w:tcW w:w="2949" w:type="dxa"/>
          </w:tcPr>
          <w:p w14:paraId="652465D5" w14:textId="4D7133F4"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76</w:t>
            </w:r>
          </w:p>
        </w:tc>
      </w:tr>
      <w:tr w:rsidR="00466BE0" w:rsidRPr="00D66410" w14:paraId="767A7D8B" w14:textId="77777777" w:rsidTr="00D66410">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54796A9" w14:textId="77777777" w:rsidR="00466BE0" w:rsidRPr="00D66410" w:rsidRDefault="00466BE0" w:rsidP="00466BE0">
            <w:pPr>
              <w:spacing w:line="240" w:lineRule="auto"/>
              <w:rPr>
                <w:rFonts w:eastAsia="Times New Roman"/>
                <w:color w:val="auto"/>
                <w:lang w:eastAsia="pl-PL"/>
              </w:rPr>
            </w:pPr>
          </w:p>
        </w:tc>
        <w:tc>
          <w:tcPr>
            <w:tcW w:w="3066" w:type="dxa"/>
          </w:tcPr>
          <w:p w14:paraId="666B9C05" w14:textId="77777777" w:rsidR="00466BE0" w:rsidRPr="007726D7" w:rsidRDefault="00466BE0" w:rsidP="007726D7">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Ośrodki Interwencji Kryzysowej ogółem</w:t>
            </w:r>
          </w:p>
        </w:tc>
        <w:tc>
          <w:tcPr>
            <w:tcW w:w="2948" w:type="dxa"/>
            <w:gridSpan w:val="2"/>
          </w:tcPr>
          <w:p w14:paraId="494D68B9" w14:textId="460910EF"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8</w:t>
            </w:r>
          </w:p>
        </w:tc>
        <w:tc>
          <w:tcPr>
            <w:tcW w:w="2948" w:type="dxa"/>
            <w:gridSpan w:val="2"/>
          </w:tcPr>
          <w:p w14:paraId="39B7532E" w14:textId="53007D4D"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9</w:t>
            </w:r>
          </w:p>
        </w:tc>
        <w:tc>
          <w:tcPr>
            <w:tcW w:w="2949" w:type="dxa"/>
          </w:tcPr>
          <w:p w14:paraId="741576C6" w14:textId="123B5193"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0</w:t>
            </w:r>
          </w:p>
        </w:tc>
      </w:tr>
      <w:tr w:rsidR="00466BE0" w:rsidRPr="00D66410" w14:paraId="66CF882C" w14:textId="77777777" w:rsidTr="00D66410">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542F21D3" w14:textId="77777777" w:rsidR="00466BE0" w:rsidRPr="00D66410" w:rsidRDefault="00466BE0" w:rsidP="00466BE0">
            <w:pPr>
              <w:spacing w:line="240" w:lineRule="auto"/>
              <w:rPr>
                <w:rFonts w:eastAsia="Times New Roman"/>
                <w:color w:val="auto"/>
                <w:lang w:eastAsia="pl-PL"/>
              </w:rPr>
            </w:pPr>
          </w:p>
        </w:tc>
        <w:tc>
          <w:tcPr>
            <w:tcW w:w="3066" w:type="dxa"/>
          </w:tcPr>
          <w:p w14:paraId="2F317DE2" w14:textId="77777777" w:rsidR="00466BE0" w:rsidRPr="007726D7" w:rsidRDefault="00466BE0" w:rsidP="007726D7">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Jednostki specjalistycznego poradnictwa</w:t>
            </w:r>
          </w:p>
        </w:tc>
        <w:tc>
          <w:tcPr>
            <w:tcW w:w="2948" w:type="dxa"/>
            <w:gridSpan w:val="2"/>
          </w:tcPr>
          <w:p w14:paraId="18B725F7" w14:textId="01C15547"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34</w:t>
            </w:r>
          </w:p>
        </w:tc>
        <w:tc>
          <w:tcPr>
            <w:tcW w:w="2948" w:type="dxa"/>
            <w:gridSpan w:val="2"/>
          </w:tcPr>
          <w:p w14:paraId="4538268F" w14:textId="425D8912" w:rsidR="00466BE0" w:rsidRPr="007726D7" w:rsidRDefault="007726D7"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w:t>
            </w:r>
          </w:p>
        </w:tc>
        <w:tc>
          <w:tcPr>
            <w:tcW w:w="2949" w:type="dxa"/>
          </w:tcPr>
          <w:p w14:paraId="331925E5" w14:textId="0636BC0D"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138</w:t>
            </w:r>
          </w:p>
        </w:tc>
      </w:tr>
      <w:tr w:rsidR="00466BE0" w:rsidRPr="00D66410" w14:paraId="2D90CE30" w14:textId="77777777" w:rsidTr="00D66410">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3807A500" w14:textId="77777777" w:rsidR="00466BE0" w:rsidRPr="00D66410" w:rsidRDefault="00466BE0" w:rsidP="00466BE0">
            <w:pPr>
              <w:spacing w:line="240" w:lineRule="auto"/>
              <w:rPr>
                <w:rFonts w:eastAsia="Times New Roman"/>
                <w:lang w:eastAsia="pl-PL"/>
              </w:rPr>
            </w:pPr>
          </w:p>
        </w:tc>
        <w:tc>
          <w:tcPr>
            <w:tcW w:w="3066" w:type="dxa"/>
          </w:tcPr>
          <w:p w14:paraId="1851BEDA" w14:textId="2E6071E0" w:rsidR="00466BE0" w:rsidRPr="007726D7" w:rsidRDefault="00466BE0" w:rsidP="007726D7">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Placówki wsparcia dziennego</w:t>
            </w:r>
          </w:p>
        </w:tc>
        <w:tc>
          <w:tcPr>
            <w:tcW w:w="2948" w:type="dxa"/>
            <w:gridSpan w:val="2"/>
          </w:tcPr>
          <w:p w14:paraId="13138079" w14:textId="3F69E60D" w:rsidR="00466BE0" w:rsidRPr="007726D7" w:rsidRDefault="007726D7"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b.d.</w:t>
            </w:r>
          </w:p>
        </w:tc>
        <w:tc>
          <w:tcPr>
            <w:tcW w:w="2948" w:type="dxa"/>
            <w:gridSpan w:val="2"/>
          </w:tcPr>
          <w:p w14:paraId="6E345C2C" w14:textId="4900AB35" w:rsidR="00466BE0" w:rsidRPr="007726D7" w:rsidRDefault="007726D7"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b.d.</w:t>
            </w:r>
          </w:p>
        </w:tc>
        <w:tc>
          <w:tcPr>
            <w:tcW w:w="2949" w:type="dxa"/>
          </w:tcPr>
          <w:p w14:paraId="69C1095B" w14:textId="6BF892BA" w:rsidR="00466BE0" w:rsidRPr="007726D7" w:rsidRDefault="007726D7"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b.d.</w:t>
            </w:r>
          </w:p>
        </w:tc>
      </w:tr>
      <w:tr w:rsidR="00D66410" w:rsidRPr="00D66410" w14:paraId="001AF873" w14:textId="77777777" w:rsidTr="00D66410">
        <w:trPr>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42A7F2D9" w14:textId="77777777" w:rsidR="00F7614C" w:rsidRPr="00D66410" w:rsidRDefault="00F7614C" w:rsidP="00F7614C">
            <w:pPr>
              <w:spacing w:line="240" w:lineRule="auto"/>
              <w:rPr>
                <w:rFonts w:eastAsia="Times New Roman"/>
                <w:color w:val="auto"/>
                <w:lang w:eastAsia="pl-PL"/>
              </w:rPr>
            </w:pPr>
          </w:p>
        </w:tc>
        <w:tc>
          <w:tcPr>
            <w:tcW w:w="3066" w:type="dxa"/>
          </w:tcPr>
          <w:p w14:paraId="401C5A21" w14:textId="77777777" w:rsidR="00F7614C" w:rsidRPr="007726D7" w:rsidRDefault="00F7614C" w:rsidP="007726D7">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Placówki Senior+, w tym:</w:t>
            </w:r>
          </w:p>
        </w:tc>
        <w:tc>
          <w:tcPr>
            <w:tcW w:w="8845" w:type="dxa"/>
            <w:gridSpan w:val="5"/>
          </w:tcPr>
          <w:p w14:paraId="1ABA8207" w14:textId="77777777" w:rsidR="00F7614C" w:rsidRPr="007726D7" w:rsidRDefault="00F7614C" w:rsidP="00F7614C">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265423" w:rsidRPr="00D66410" w14:paraId="4904302F" w14:textId="77777777" w:rsidTr="0026542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830" w:type="dxa"/>
            <w:vMerge/>
          </w:tcPr>
          <w:p w14:paraId="25BA0635" w14:textId="77777777" w:rsidR="00265423" w:rsidRPr="00D66410" w:rsidRDefault="00265423" w:rsidP="00466BE0">
            <w:pPr>
              <w:spacing w:line="240" w:lineRule="auto"/>
              <w:rPr>
                <w:rFonts w:eastAsia="Times New Roman"/>
                <w:color w:val="auto"/>
                <w:lang w:eastAsia="pl-PL"/>
              </w:rPr>
            </w:pPr>
          </w:p>
        </w:tc>
        <w:tc>
          <w:tcPr>
            <w:tcW w:w="3066" w:type="dxa"/>
          </w:tcPr>
          <w:p w14:paraId="6C8CDC18" w14:textId="77777777" w:rsidR="00265423" w:rsidRPr="007726D7" w:rsidRDefault="00265423" w:rsidP="007726D7">
            <w:pPr>
              <w:spacing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Domy Dziennego Pobytu</w:t>
            </w:r>
          </w:p>
        </w:tc>
        <w:tc>
          <w:tcPr>
            <w:tcW w:w="2948" w:type="dxa"/>
            <w:gridSpan w:val="2"/>
          </w:tcPr>
          <w:p w14:paraId="72E47FD3" w14:textId="580A9DF5" w:rsidR="00265423" w:rsidRPr="007726D7" w:rsidRDefault="00265423" w:rsidP="00466BE0">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7726D7">
              <w:rPr>
                <w:sz w:val="20"/>
                <w:szCs w:val="20"/>
              </w:rPr>
              <w:t>12</w:t>
            </w:r>
          </w:p>
        </w:tc>
        <w:tc>
          <w:tcPr>
            <w:tcW w:w="2948" w:type="dxa"/>
            <w:gridSpan w:val="2"/>
          </w:tcPr>
          <w:p w14:paraId="4308AC47" w14:textId="45DB229A" w:rsidR="00265423" w:rsidRPr="007726D7" w:rsidRDefault="00265423" w:rsidP="00466BE0">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274</w:t>
            </w:r>
          </w:p>
        </w:tc>
        <w:tc>
          <w:tcPr>
            <w:tcW w:w="2949" w:type="dxa"/>
            <w:vMerge w:val="restart"/>
            <w:vAlign w:val="center"/>
          </w:tcPr>
          <w:p w14:paraId="3EC5E58D" w14:textId="71DE63B9" w:rsidR="00265423" w:rsidRPr="007726D7" w:rsidRDefault="00265423" w:rsidP="00265423">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1</w:t>
            </w:r>
            <w:r w:rsidR="00064E07">
              <w:rPr>
                <w:sz w:val="20"/>
                <w:szCs w:val="20"/>
              </w:rPr>
              <w:t xml:space="preserve"> </w:t>
            </w:r>
            <w:r>
              <w:rPr>
                <w:sz w:val="20"/>
                <w:szCs w:val="20"/>
              </w:rPr>
              <w:t>289</w:t>
            </w:r>
          </w:p>
        </w:tc>
      </w:tr>
      <w:tr w:rsidR="00265423" w:rsidRPr="00D66410" w14:paraId="46CD9E4E" w14:textId="77777777" w:rsidTr="00D66410">
        <w:trPr>
          <w:trHeight w:val="85"/>
        </w:trPr>
        <w:tc>
          <w:tcPr>
            <w:cnfStyle w:val="001000000000" w:firstRow="0" w:lastRow="0" w:firstColumn="1" w:lastColumn="0" w:oddVBand="0" w:evenVBand="0" w:oddHBand="0" w:evenHBand="0" w:firstRowFirstColumn="0" w:firstRowLastColumn="0" w:lastRowFirstColumn="0" w:lastRowLastColumn="0"/>
            <w:tcW w:w="2830" w:type="dxa"/>
            <w:vMerge/>
          </w:tcPr>
          <w:p w14:paraId="40B94C5F" w14:textId="77777777" w:rsidR="00265423" w:rsidRPr="00D66410" w:rsidRDefault="00265423" w:rsidP="00466BE0">
            <w:pPr>
              <w:spacing w:line="240" w:lineRule="auto"/>
              <w:rPr>
                <w:rFonts w:eastAsia="Times New Roman"/>
                <w:color w:val="auto"/>
                <w:lang w:eastAsia="pl-PL"/>
              </w:rPr>
            </w:pPr>
          </w:p>
        </w:tc>
        <w:tc>
          <w:tcPr>
            <w:tcW w:w="3066" w:type="dxa"/>
          </w:tcPr>
          <w:p w14:paraId="1FB3B56D" w14:textId="77777777" w:rsidR="00265423" w:rsidRPr="007726D7" w:rsidRDefault="00265423" w:rsidP="007726D7">
            <w:pPr>
              <w:spacing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Kluby Senior+</w:t>
            </w:r>
          </w:p>
        </w:tc>
        <w:tc>
          <w:tcPr>
            <w:tcW w:w="2948" w:type="dxa"/>
            <w:gridSpan w:val="2"/>
          </w:tcPr>
          <w:p w14:paraId="4C43D310" w14:textId="5825C596" w:rsidR="00265423" w:rsidRPr="007726D7" w:rsidRDefault="00265423" w:rsidP="00466BE0">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32</w:t>
            </w:r>
          </w:p>
        </w:tc>
        <w:tc>
          <w:tcPr>
            <w:tcW w:w="2948" w:type="dxa"/>
            <w:gridSpan w:val="2"/>
          </w:tcPr>
          <w:p w14:paraId="6104FD0E" w14:textId="6FF12264" w:rsidR="00265423" w:rsidRPr="007726D7" w:rsidRDefault="00265423" w:rsidP="00466BE0">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880</w:t>
            </w:r>
          </w:p>
        </w:tc>
        <w:tc>
          <w:tcPr>
            <w:tcW w:w="2949" w:type="dxa"/>
            <w:vMerge/>
          </w:tcPr>
          <w:p w14:paraId="176CDFAD" w14:textId="13C430D6" w:rsidR="00265423" w:rsidRPr="007726D7" w:rsidRDefault="00265423" w:rsidP="00466BE0">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D66410" w:rsidRPr="00D66410" w14:paraId="696BF920" w14:textId="77777777" w:rsidTr="00D66410">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6D9AEE5D" w14:textId="77777777" w:rsidR="00A40FBE" w:rsidRPr="00D66410" w:rsidRDefault="00A40FBE" w:rsidP="00A40FBE">
            <w:pPr>
              <w:spacing w:line="240" w:lineRule="auto"/>
              <w:rPr>
                <w:rFonts w:eastAsia="Times New Roman"/>
                <w:b w:val="0"/>
                <w:bCs w:val="0"/>
                <w:color w:val="auto"/>
                <w:lang w:eastAsia="pl-PL"/>
              </w:rPr>
            </w:pPr>
            <w:r w:rsidRPr="00D66410">
              <w:rPr>
                <w:rFonts w:eastAsia="Times New Roman"/>
                <w:color w:val="auto"/>
                <w:lang w:eastAsia="pl-PL"/>
              </w:rPr>
              <w:t>Usługi świadczone osobom starszym</w:t>
            </w:r>
          </w:p>
        </w:tc>
        <w:tc>
          <w:tcPr>
            <w:tcW w:w="3119" w:type="dxa"/>
            <w:gridSpan w:val="2"/>
          </w:tcPr>
          <w:p w14:paraId="6BB75F3E" w14:textId="77777777" w:rsidR="00A40FBE" w:rsidRPr="007726D7" w:rsidRDefault="00A40FBE" w:rsidP="00A40FBE">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7726D7">
              <w:rPr>
                <w:b/>
                <w:sz w:val="20"/>
                <w:szCs w:val="20"/>
              </w:rPr>
              <w:t>Rodzaj usług</w:t>
            </w:r>
          </w:p>
        </w:tc>
        <w:tc>
          <w:tcPr>
            <w:tcW w:w="3685" w:type="dxa"/>
            <w:gridSpan w:val="2"/>
          </w:tcPr>
          <w:p w14:paraId="74CDB84B" w14:textId="77777777" w:rsidR="00A40FBE" w:rsidRPr="007726D7" w:rsidRDefault="00A40FBE" w:rsidP="00A40FBE">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7726D7">
              <w:rPr>
                <w:b/>
                <w:sz w:val="20"/>
                <w:szCs w:val="20"/>
              </w:rPr>
              <w:t>Liczba osób starszych objętych pomocą</w:t>
            </w:r>
          </w:p>
        </w:tc>
        <w:tc>
          <w:tcPr>
            <w:tcW w:w="5107" w:type="dxa"/>
            <w:gridSpan w:val="2"/>
          </w:tcPr>
          <w:p w14:paraId="13240F4F" w14:textId="77777777" w:rsidR="00A40FBE" w:rsidRPr="007726D7" w:rsidRDefault="00A40FBE" w:rsidP="00A40FBE">
            <w:pPr>
              <w:spacing w:line="24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7726D7">
              <w:rPr>
                <w:b/>
                <w:sz w:val="20"/>
                <w:szCs w:val="20"/>
              </w:rPr>
              <w:t>Wysokość środków przeznaczonych na usługi</w:t>
            </w:r>
          </w:p>
        </w:tc>
      </w:tr>
      <w:tr w:rsidR="00466BE0" w:rsidRPr="00D66410" w14:paraId="6E8CB09B" w14:textId="77777777" w:rsidTr="00D66410">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6E414000" w14:textId="77777777" w:rsidR="00466BE0" w:rsidRPr="00D66410" w:rsidRDefault="00466BE0" w:rsidP="00466BE0">
            <w:pPr>
              <w:spacing w:line="240" w:lineRule="auto"/>
              <w:rPr>
                <w:rFonts w:eastAsia="Times New Roman"/>
                <w:b w:val="0"/>
                <w:bCs w:val="0"/>
                <w:color w:val="auto"/>
                <w:lang w:eastAsia="pl-PL"/>
              </w:rPr>
            </w:pPr>
          </w:p>
        </w:tc>
        <w:tc>
          <w:tcPr>
            <w:tcW w:w="3119" w:type="dxa"/>
            <w:gridSpan w:val="2"/>
          </w:tcPr>
          <w:p w14:paraId="5841381C" w14:textId="77777777" w:rsidR="00466BE0" w:rsidRPr="007726D7" w:rsidRDefault="00466BE0" w:rsidP="00466BE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Usługi opiekuńcze ogółem</w:t>
            </w:r>
          </w:p>
        </w:tc>
        <w:tc>
          <w:tcPr>
            <w:tcW w:w="3685" w:type="dxa"/>
            <w:gridSpan w:val="2"/>
          </w:tcPr>
          <w:p w14:paraId="59126A9A" w14:textId="37337CDE"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5</w:t>
            </w:r>
            <w:r w:rsidR="007726D7" w:rsidRPr="007726D7">
              <w:rPr>
                <w:sz w:val="20"/>
                <w:szCs w:val="20"/>
              </w:rPr>
              <w:t xml:space="preserve"> </w:t>
            </w:r>
            <w:r w:rsidRPr="007726D7">
              <w:rPr>
                <w:sz w:val="20"/>
                <w:szCs w:val="20"/>
              </w:rPr>
              <w:t>668</w:t>
            </w:r>
          </w:p>
        </w:tc>
        <w:tc>
          <w:tcPr>
            <w:tcW w:w="5107" w:type="dxa"/>
            <w:gridSpan w:val="2"/>
          </w:tcPr>
          <w:p w14:paraId="32908D62" w14:textId="4ED75DBA"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4 591 4672</w:t>
            </w:r>
            <w:r w:rsidR="007726D7" w:rsidRPr="007726D7">
              <w:rPr>
                <w:sz w:val="20"/>
                <w:szCs w:val="20"/>
              </w:rPr>
              <w:t xml:space="preserve"> zł</w:t>
            </w:r>
          </w:p>
        </w:tc>
      </w:tr>
      <w:tr w:rsidR="00D66410" w:rsidRPr="00D66410" w14:paraId="7505BF8C" w14:textId="77777777" w:rsidTr="00D66410">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26601981" w14:textId="77777777" w:rsidR="00A40FBE" w:rsidRPr="00D66410" w:rsidRDefault="00A40FBE" w:rsidP="00A40FBE">
            <w:pPr>
              <w:spacing w:line="240" w:lineRule="auto"/>
              <w:rPr>
                <w:rFonts w:eastAsia="Times New Roman"/>
                <w:b w:val="0"/>
                <w:bCs w:val="0"/>
                <w:color w:val="auto"/>
                <w:lang w:eastAsia="pl-PL"/>
              </w:rPr>
            </w:pPr>
          </w:p>
        </w:tc>
        <w:tc>
          <w:tcPr>
            <w:tcW w:w="11911" w:type="dxa"/>
            <w:gridSpan w:val="6"/>
          </w:tcPr>
          <w:p w14:paraId="4FBF329E" w14:textId="77777777" w:rsidR="00A40FBE" w:rsidRPr="007726D7" w:rsidRDefault="00A40FBE" w:rsidP="00A40FBE">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w tym:</w:t>
            </w:r>
          </w:p>
        </w:tc>
      </w:tr>
      <w:tr w:rsidR="00466BE0" w:rsidRPr="00D66410" w14:paraId="4C1E7BB3" w14:textId="77777777" w:rsidTr="00D66410">
        <w:trPr>
          <w:trHeight w:val="118"/>
        </w:trPr>
        <w:tc>
          <w:tcPr>
            <w:cnfStyle w:val="001000000000" w:firstRow="0" w:lastRow="0" w:firstColumn="1" w:lastColumn="0" w:oddVBand="0" w:evenVBand="0" w:oddHBand="0" w:evenHBand="0" w:firstRowFirstColumn="0" w:firstRowLastColumn="0" w:lastRowFirstColumn="0" w:lastRowLastColumn="0"/>
            <w:tcW w:w="2830" w:type="dxa"/>
            <w:vMerge/>
          </w:tcPr>
          <w:p w14:paraId="78924A21" w14:textId="77777777" w:rsidR="00466BE0" w:rsidRPr="00D66410" w:rsidRDefault="00466BE0" w:rsidP="00466BE0">
            <w:pPr>
              <w:spacing w:line="240" w:lineRule="auto"/>
              <w:rPr>
                <w:rFonts w:eastAsia="Times New Roman"/>
                <w:b w:val="0"/>
                <w:bCs w:val="0"/>
                <w:color w:val="auto"/>
                <w:lang w:eastAsia="pl-PL"/>
              </w:rPr>
            </w:pPr>
          </w:p>
        </w:tc>
        <w:tc>
          <w:tcPr>
            <w:tcW w:w="3119" w:type="dxa"/>
            <w:gridSpan w:val="2"/>
          </w:tcPr>
          <w:p w14:paraId="1F32BFF6" w14:textId="77777777" w:rsidR="00466BE0" w:rsidRPr="007726D7" w:rsidRDefault="00466BE0" w:rsidP="00466BE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Specjalistyczne usługi opiekuńcze</w:t>
            </w:r>
          </w:p>
        </w:tc>
        <w:tc>
          <w:tcPr>
            <w:tcW w:w="3685" w:type="dxa"/>
            <w:gridSpan w:val="2"/>
          </w:tcPr>
          <w:p w14:paraId="78FB1076" w14:textId="4F931C46"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204</w:t>
            </w:r>
          </w:p>
        </w:tc>
        <w:tc>
          <w:tcPr>
            <w:tcW w:w="5107" w:type="dxa"/>
            <w:gridSpan w:val="2"/>
          </w:tcPr>
          <w:p w14:paraId="52B385BD" w14:textId="7D5E8782"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2 378</w:t>
            </w:r>
            <w:r w:rsidR="007726D7" w:rsidRPr="007726D7">
              <w:rPr>
                <w:sz w:val="20"/>
                <w:szCs w:val="20"/>
              </w:rPr>
              <w:t> </w:t>
            </w:r>
            <w:r w:rsidRPr="007726D7">
              <w:rPr>
                <w:sz w:val="20"/>
                <w:szCs w:val="20"/>
              </w:rPr>
              <w:t>149</w:t>
            </w:r>
            <w:r w:rsidR="007726D7" w:rsidRPr="007726D7">
              <w:rPr>
                <w:sz w:val="20"/>
                <w:szCs w:val="20"/>
              </w:rPr>
              <w:t xml:space="preserve"> zł</w:t>
            </w:r>
          </w:p>
        </w:tc>
      </w:tr>
      <w:tr w:rsidR="00466BE0" w:rsidRPr="00D66410" w14:paraId="37B2C2C1" w14:textId="77777777" w:rsidTr="00D664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0" w:type="dxa"/>
            <w:vMerge/>
          </w:tcPr>
          <w:p w14:paraId="487C6C47" w14:textId="77777777" w:rsidR="00466BE0" w:rsidRPr="00D66410" w:rsidRDefault="00466BE0" w:rsidP="00466BE0">
            <w:pPr>
              <w:spacing w:line="240" w:lineRule="auto"/>
              <w:rPr>
                <w:rFonts w:eastAsia="Times New Roman"/>
                <w:b w:val="0"/>
                <w:bCs w:val="0"/>
                <w:color w:val="auto"/>
                <w:lang w:eastAsia="pl-PL"/>
              </w:rPr>
            </w:pPr>
          </w:p>
        </w:tc>
        <w:tc>
          <w:tcPr>
            <w:tcW w:w="3119" w:type="dxa"/>
            <w:gridSpan w:val="2"/>
          </w:tcPr>
          <w:p w14:paraId="6852A8FF" w14:textId="77777777" w:rsidR="00466BE0" w:rsidRPr="007726D7" w:rsidRDefault="00466BE0" w:rsidP="00466BE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specjalistyczne usługi opiekuńcze w miejscu zamieszkania dla osób z zaburzeniami psychicznymi</w:t>
            </w:r>
          </w:p>
        </w:tc>
        <w:tc>
          <w:tcPr>
            <w:tcW w:w="3685" w:type="dxa"/>
            <w:gridSpan w:val="2"/>
          </w:tcPr>
          <w:p w14:paraId="5AA31357" w14:textId="23E977F8"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141</w:t>
            </w:r>
          </w:p>
        </w:tc>
        <w:tc>
          <w:tcPr>
            <w:tcW w:w="5107" w:type="dxa"/>
            <w:gridSpan w:val="2"/>
          </w:tcPr>
          <w:p w14:paraId="0A53460B" w14:textId="110B8722"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1 454</w:t>
            </w:r>
            <w:r w:rsidR="007726D7" w:rsidRPr="007726D7">
              <w:rPr>
                <w:sz w:val="20"/>
                <w:szCs w:val="20"/>
              </w:rPr>
              <w:t> </w:t>
            </w:r>
            <w:r w:rsidRPr="007726D7">
              <w:rPr>
                <w:sz w:val="20"/>
                <w:szCs w:val="20"/>
              </w:rPr>
              <w:t>962</w:t>
            </w:r>
            <w:r w:rsidR="007726D7" w:rsidRPr="007726D7">
              <w:rPr>
                <w:sz w:val="20"/>
                <w:szCs w:val="20"/>
              </w:rPr>
              <w:t xml:space="preserve"> zł</w:t>
            </w:r>
          </w:p>
        </w:tc>
      </w:tr>
      <w:tr w:rsidR="00D66410" w:rsidRPr="00D66410" w14:paraId="346F04EB" w14:textId="77777777" w:rsidTr="00D66410">
        <w:trPr>
          <w:trHeight w:val="19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5FE626C6" w14:textId="77777777" w:rsidR="00A40FBE" w:rsidRPr="00D66410" w:rsidRDefault="00A40FBE" w:rsidP="00A40FBE">
            <w:pPr>
              <w:spacing w:line="240" w:lineRule="auto"/>
              <w:rPr>
                <w:rFonts w:eastAsia="Times New Roman"/>
                <w:b w:val="0"/>
                <w:bCs w:val="0"/>
                <w:color w:val="auto"/>
                <w:lang w:eastAsia="pl-PL"/>
              </w:rPr>
            </w:pPr>
            <w:r w:rsidRPr="00D66410">
              <w:rPr>
                <w:rFonts w:eastAsia="Times New Roman"/>
                <w:color w:val="auto"/>
                <w:lang w:eastAsia="pl-PL"/>
              </w:rPr>
              <w:t>Świadczenia pieniężne przyznane osobom starszym</w:t>
            </w:r>
          </w:p>
        </w:tc>
        <w:tc>
          <w:tcPr>
            <w:tcW w:w="3119" w:type="dxa"/>
            <w:gridSpan w:val="2"/>
          </w:tcPr>
          <w:p w14:paraId="1B6A70C5" w14:textId="77777777" w:rsidR="00A40FBE" w:rsidRPr="007726D7" w:rsidRDefault="00A40FBE" w:rsidP="00A40FBE">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7726D7">
              <w:rPr>
                <w:b/>
                <w:sz w:val="20"/>
                <w:szCs w:val="20"/>
              </w:rPr>
              <w:t>Nazwa świadczenia</w:t>
            </w:r>
          </w:p>
        </w:tc>
        <w:tc>
          <w:tcPr>
            <w:tcW w:w="3685" w:type="dxa"/>
            <w:gridSpan w:val="2"/>
          </w:tcPr>
          <w:p w14:paraId="5D74EC30" w14:textId="77777777" w:rsidR="00A40FBE" w:rsidRPr="007726D7" w:rsidRDefault="00A40FBE" w:rsidP="00A40FBE">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7726D7">
              <w:rPr>
                <w:b/>
                <w:sz w:val="20"/>
                <w:szCs w:val="20"/>
              </w:rPr>
              <w:t>Liczba osób starszych</w:t>
            </w:r>
          </w:p>
        </w:tc>
        <w:tc>
          <w:tcPr>
            <w:tcW w:w="5107" w:type="dxa"/>
            <w:gridSpan w:val="2"/>
          </w:tcPr>
          <w:p w14:paraId="6995D73C" w14:textId="77777777" w:rsidR="00A40FBE" w:rsidRPr="007726D7" w:rsidRDefault="00A40FBE" w:rsidP="00A40FBE">
            <w:pPr>
              <w:spacing w:line="24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7726D7">
              <w:rPr>
                <w:b/>
                <w:sz w:val="20"/>
                <w:szCs w:val="20"/>
              </w:rPr>
              <w:t>Kwota świadczenia</w:t>
            </w:r>
          </w:p>
        </w:tc>
      </w:tr>
      <w:tr w:rsidR="00466BE0" w:rsidRPr="00D66410" w14:paraId="31840F14" w14:textId="77777777" w:rsidTr="00D66410">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221C8955" w14:textId="77777777" w:rsidR="00466BE0" w:rsidRPr="00D66410" w:rsidRDefault="00466BE0" w:rsidP="00466BE0">
            <w:pPr>
              <w:spacing w:line="240" w:lineRule="auto"/>
              <w:rPr>
                <w:rFonts w:eastAsia="Times New Roman"/>
                <w:b w:val="0"/>
                <w:bCs w:val="0"/>
                <w:color w:val="auto"/>
                <w:lang w:eastAsia="pl-PL"/>
              </w:rPr>
            </w:pPr>
          </w:p>
        </w:tc>
        <w:tc>
          <w:tcPr>
            <w:tcW w:w="3119" w:type="dxa"/>
            <w:gridSpan w:val="2"/>
          </w:tcPr>
          <w:p w14:paraId="3BCD532D" w14:textId="77777777" w:rsidR="00466BE0" w:rsidRPr="007726D7" w:rsidRDefault="00466BE0" w:rsidP="00466BE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Zasiłek stały</w:t>
            </w:r>
          </w:p>
        </w:tc>
        <w:tc>
          <w:tcPr>
            <w:tcW w:w="3685" w:type="dxa"/>
            <w:gridSpan w:val="2"/>
          </w:tcPr>
          <w:p w14:paraId="4EFCC242" w14:textId="4D4A1163"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4</w:t>
            </w:r>
            <w:r w:rsidR="007726D7" w:rsidRPr="007726D7">
              <w:rPr>
                <w:sz w:val="20"/>
                <w:szCs w:val="20"/>
              </w:rPr>
              <w:t xml:space="preserve"> </w:t>
            </w:r>
            <w:r w:rsidRPr="007726D7">
              <w:rPr>
                <w:sz w:val="20"/>
                <w:szCs w:val="20"/>
              </w:rPr>
              <w:t>111</w:t>
            </w:r>
          </w:p>
        </w:tc>
        <w:tc>
          <w:tcPr>
            <w:tcW w:w="5107" w:type="dxa"/>
            <w:gridSpan w:val="2"/>
          </w:tcPr>
          <w:p w14:paraId="51B540CE" w14:textId="53DE8FE2"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22 461</w:t>
            </w:r>
            <w:r w:rsidR="007726D7" w:rsidRPr="007726D7">
              <w:rPr>
                <w:sz w:val="20"/>
                <w:szCs w:val="20"/>
              </w:rPr>
              <w:t> </w:t>
            </w:r>
            <w:r w:rsidRPr="007726D7">
              <w:rPr>
                <w:sz w:val="20"/>
                <w:szCs w:val="20"/>
              </w:rPr>
              <w:t>780</w:t>
            </w:r>
            <w:r w:rsidR="007726D7" w:rsidRPr="007726D7">
              <w:rPr>
                <w:sz w:val="20"/>
                <w:szCs w:val="20"/>
              </w:rPr>
              <w:t xml:space="preserve"> zł</w:t>
            </w:r>
          </w:p>
        </w:tc>
      </w:tr>
      <w:tr w:rsidR="00466BE0" w:rsidRPr="00D66410" w14:paraId="212E5E31" w14:textId="77777777" w:rsidTr="00D66410">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32434FDA" w14:textId="77777777" w:rsidR="00466BE0" w:rsidRPr="00D66410" w:rsidRDefault="00466BE0" w:rsidP="00466BE0">
            <w:pPr>
              <w:spacing w:line="240" w:lineRule="auto"/>
              <w:rPr>
                <w:rFonts w:eastAsia="Times New Roman"/>
                <w:b w:val="0"/>
                <w:bCs w:val="0"/>
                <w:color w:val="auto"/>
                <w:lang w:eastAsia="pl-PL"/>
              </w:rPr>
            </w:pPr>
          </w:p>
        </w:tc>
        <w:tc>
          <w:tcPr>
            <w:tcW w:w="3119" w:type="dxa"/>
            <w:gridSpan w:val="2"/>
          </w:tcPr>
          <w:p w14:paraId="5B5B3303" w14:textId="77777777" w:rsidR="00466BE0" w:rsidRPr="007726D7" w:rsidRDefault="00466BE0" w:rsidP="00466BE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Zasiłek okresowy</w:t>
            </w:r>
          </w:p>
        </w:tc>
        <w:tc>
          <w:tcPr>
            <w:tcW w:w="3685" w:type="dxa"/>
            <w:gridSpan w:val="2"/>
          </w:tcPr>
          <w:p w14:paraId="54C0EB9B" w14:textId="2D89DA68"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2</w:t>
            </w:r>
            <w:r w:rsidR="007726D7" w:rsidRPr="007726D7">
              <w:rPr>
                <w:sz w:val="20"/>
                <w:szCs w:val="20"/>
              </w:rPr>
              <w:t xml:space="preserve"> </w:t>
            </w:r>
            <w:r w:rsidRPr="007726D7">
              <w:rPr>
                <w:sz w:val="20"/>
                <w:szCs w:val="20"/>
              </w:rPr>
              <w:t>671</w:t>
            </w:r>
          </w:p>
        </w:tc>
        <w:tc>
          <w:tcPr>
            <w:tcW w:w="5107" w:type="dxa"/>
            <w:gridSpan w:val="2"/>
          </w:tcPr>
          <w:p w14:paraId="081B7A45" w14:textId="26D2B509"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4 791</w:t>
            </w:r>
            <w:r w:rsidR="007726D7" w:rsidRPr="007726D7">
              <w:rPr>
                <w:sz w:val="20"/>
                <w:szCs w:val="20"/>
              </w:rPr>
              <w:t> </w:t>
            </w:r>
            <w:r w:rsidRPr="007726D7">
              <w:rPr>
                <w:sz w:val="20"/>
                <w:szCs w:val="20"/>
              </w:rPr>
              <w:t>469</w:t>
            </w:r>
            <w:r w:rsidR="007726D7" w:rsidRPr="007726D7">
              <w:rPr>
                <w:sz w:val="20"/>
                <w:szCs w:val="20"/>
              </w:rPr>
              <w:t xml:space="preserve"> zł</w:t>
            </w:r>
          </w:p>
        </w:tc>
      </w:tr>
      <w:tr w:rsidR="00466BE0" w:rsidRPr="00D66410" w14:paraId="0B8175A2" w14:textId="77777777" w:rsidTr="00D66410">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0AE04F54" w14:textId="77777777" w:rsidR="00466BE0" w:rsidRPr="00D66410" w:rsidRDefault="00466BE0" w:rsidP="00466BE0">
            <w:pPr>
              <w:spacing w:line="240" w:lineRule="auto"/>
              <w:rPr>
                <w:rFonts w:eastAsia="Times New Roman"/>
                <w:b w:val="0"/>
                <w:bCs w:val="0"/>
                <w:color w:val="auto"/>
                <w:lang w:eastAsia="pl-PL"/>
              </w:rPr>
            </w:pPr>
          </w:p>
        </w:tc>
        <w:tc>
          <w:tcPr>
            <w:tcW w:w="3119" w:type="dxa"/>
            <w:gridSpan w:val="2"/>
          </w:tcPr>
          <w:p w14:paraId="5A4FEE9B" w14:textId="77777777" w:rsidR="00466BE0" w:rsidRPr="007726D7" w:rsidRDefault="00466BE0" w:rsidP="00466BE0">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Zasiłek celowy</w:t>
            </w:r>
          </w:p>
        </w:tc>
        <w:tc>
          <w:tcPr>
            <w:tcW w:w="3685" w:type="dxa"/>
            <w:gridSpan w:val="2"/>
          </w:tcPr>
          <w:p w14:paraId="478186C7" w14:textId="1C8CA0A6"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5</w:t>
            </w:r>
            <w:r w:rsidR="007726D7" w:rsidRPr="007726D7">
              <w:rPr>
                <w:sz w:val="20"/>
                <w:szCs w:val="20"/>
              </w:rPr>
              <w:t xml:space="preserve"> </w:t>
            </w:r>
            <w:r w:rsidRPr="007726D7">
              <w:rPr>
                <w:sz w:val="20"/>
                <w:szCs w:val="20"/>
              </w:rPr>
              <w:t>716</w:t>
            </w:r>
          </w:p>
        </w:tc>
        <w:tc>
          <w:tcPr>
            <w:tcW w:w="5107" w:type="dxa"/>
            <w:gridSpan w:val="2"/>
          </w:tcPr>
          <w:p w14:paraId="4F1C4B4C" w14:textId="17652299" w:rsidR="00466BE0" w:rsidRPr="007726D7" w:rsidRDefault="00466BE0" w:rsidP="00466BE0">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5 476</w:t>
            </w:r>
            <w:r w:rsidR="007726D7" w:rsidRPr="007726D7">
              <w:rPr>
                <w:sz w:val="20"/>
                <w:szCs w:val="20"/>
              </w:rPr>
              <w:t> </w:t>
            </w:r>
            <w:r w:rsidRPr="007726D7">
              <w:rPr>
                <w:sz w:val="20"/>
                <w:szCs w:val="20"/>
              </w:rPr>
              <w:t>246</w:t>
            </w:r>
            <w:r w:rsidR="007726D7" w:rsidRPr="007726D7">
              <w:rPr>
                <w:sz w:val="20"/>
                <w:szCs w:val="20"/>
              </w:rPr>
              <w:t xml:space="preserve"> zł </w:t>
            </w:r>
          </w:p>
        </w:tc>
      </w:tr>
      <w:tr w:rsidR="00466BE0" w:rsidRPr="00D66410" w14:paraId="2A28A333" w14:textId="77777777" w:rsidTr="00D66410">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008A8539" w14:textId="77777777" w:rsidR="00466BE0" w:rsidRPr="00D66410" w:rsidRDefault="00466BE0" w:rsidP="00466BE0">
            <w:pPr>
              <w:spacing w:line="240" w:lineRule="auto"/>
              <w:rPr>
                <w:rFonts w:eastAsia="Times New Roman"/>
                <w:b w:val="0"/>
                <w:bCs w:val="0"/>
                <w:color w:val="auto"/>
                <w:lang w:eastAsia="pl-PL"/>
              </w:rPr>
            </w:pPr>
          </w:p>
        </w:tc>
        <w:tc>
          <w:tcPr>
            <w:tcW w:w="3119" w:type="dxa"/>
            <w:gridSpan w:val="2"/>
          </w:tcPr>
          <w:p w14:paraId="5D25861D" w14:textId="77777777" w:rsidR="00466BE0" w:rsidRPr="007726D7" w:rsidRDefault="00466BE0" w:rsidP="00466BE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Specjalny zasiłek celowy</w:t>
            </w:r>
          </w:p>
        </w:tc>
        <w:tc>
          <w:tcPr>
            <w:tcW w:w="3685" w:type="dxa"/>
            <w:gridSpan w:val="2"/>
          </w:tcPr>
          <w:p w14:paraId="0396FF66" w14:textId="59FBC41D"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3</w:t>
            </w:r>
            <w:r w:rsidR="007726D7" w:rsidRPr="007726D7">
              <w:rPr>
                <w:sz w:val="20"/>
                <w:szCs w:val="20"/>
              </w:rPr>
              <w:t xml:space="preserve"> </w:t>
            </w:r>
            <w:r w:rsidRPr="007726D7">
              <w:rPr>
                <w:sz w:val="20"/>
                <w:szCs w:val="20"/>
              </w:rPr>
              <w:t>096</w:t>
            </w:r>
          </w:p>
        </w:tc>
        <w:tc>
          <w:tcPr>
            <w:tcW w:w="5107" w:type="dxa"/>
            <w:gridSpan w:val="2"/>
          </w:tcPr>
          <w:p w14:paraId="52D0AA78" w14:textId="30F03EFD" w:rsidR="00466BE0" w:rsidRPr="007726D7" w:rsidRDefault="00466BE0" w:rsidP="00466BE0">
            <w:pPr>
              <w:spacing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2 009</w:t>
            </w:r>
            <w:r w:rsidR="007726D7" w:rsidRPr="007726D7">
              <w:rPr>
                <w:sz w:val="20"/>
                <w:szCs w:val="20"/>
              </w:rPr>
              <w:t> </w:t>
            </w:r>
            <w:r w:rsidRPr="007726D7">
              <w:rPr>
                <w:sz w:val="20"/>
                <w:szCs w:val="20"/>
              </w:rPr>
              <w:t>735</w:t>
            </w:r>
            <w:r w:rsidR="007726D7" w:rsidRPr="007726D7">
              <w:rPr>
                <w:sz w:val="20"/>
                <w:szCs w:val="20"/>
              </w:rPr>
              <w:t xml:space="preserve"> zł</w:t>
            </w:r>
          </w:p>
        </w:tc>
      </w:tr>
      <w:tr w:rsidR="00D66410" w:rsidRPr="00D66410" w14:paraId="034F30B6" w14:textId="77777777" w:rsidTr="00D66410">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74099AB0" w14:textId="77777777" w:rsidR="00A40FBE" w:rsidRPr="00D66410" w:rsidRDefault="00A40FBE" w:rsidP="00A40FBE">
            <w:pPr>
              <w:spacing w:line="240" w:lineRule="auto"/>
              <w:rPr>
                <w:b w:val="0"/>
                <w:color w:val="auto"/>
                <w:lang w:eastAsia="pl-PL"/>
              </w:rPr>
            </w:pPr>
            <w:r w:rsidRPr="00D66410">
              <w:rPr>
                <w:color w:val="auto"/>
                <w:lang w:eastAsia="pl-PL"/>
              </w:rPr>
              <w:t>Największe problemy/niedogodności w świadczeniu opieki nad osobami starszymi (np. zasoby kadrowe, rzeczowe, finansowe itp.)</w:t>
            </w:r>
          </w:p>
        </w:tc>
        <w:tc>
          <w:tcPr>
            <w:tcW w:w="11911" w:type="dxa"/>
            <w:gridSpan w:val="6"/>
          </w:tcPr>
          <w:p w14:paraId="192D8B8C" w14:textId="32F2153B" w:rsidR="00A40FBE" w:rsidRPr="007726D7" w:rsidRDefault="00A40FBE" w:rsidP="00FE70E3">
            <w:pPr>
              <w:pStyle w:val="Akapitzlist"/>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Br</w:t>
            </w:r>
            <w:r w:rsidR="00466BE0" w:rsidRPr="007726D7">
              <w:rPr>
                <w:sz w:val="20"/>
                <w:szCs w:val="20"/>
              </w:rPr>
              <w:t>ak zainteresowania pracą w zawodzie opiekun, zwłaszcza ze strony młodych osób (poniżej 40-tego roku życia) -ok.85% kadry to osoby w wieku 50+, rozległy teren i problem z dojazdem opiekunów.</w:t>
            </w:r>
          </w:p>
        </w:tc>
      </w:tr>
      <w:tr w:rsidR="00D66410" w:rsidRPr="00D66410" w14:paraId="31D2D4D9" w14:textId="77777777" w:rsidTr="00D66410">
        <w:trPr>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100C6819" w14:textId="77777777" w:rsidR="00A40FBE" w:rsidRPr="00D66410" w:rsidRDefault="00A40FBE" w:rsidP="00A40FBE">
            <w:pPr>
              <w:spacing w:line="240" w:lineRule="auto"/>
              <w:rPr>
                <w:color w:val="auto"/>
                <w:lang w:eastAsia="pl-PL"/>
              </w:rPr>
            </w:pPr>
          </w:p>
        </w:tc>
        <w:tc>
          <w:tcPr>
            <w:tcW w:w="11911" w:type="dxa"/>
            <w:gridSpan w:val="6"/>
          </w:tcPr>
          <w:p w14:paraId="42AE3FD0" w14:textId="0C254431" w:rsidR="00A40FBE" w:rsidRPr="007726D7" w:rsidRDefault="00466BE0" w:rsidP="00FE70E3">
            <w:pPr>
              <w:pStyle w:val="Akapitzlist"/>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Niskie płace w porównaniu do obciążeń związanych z wykonywaniem pracy w zawodzie opiekun, zwłaszcza psychicznych ale i często fizycznych (osoby obłożnie leżące), brak przystosowania warunków mieszkaniowych do potrzeb podopiecznych.</w:t>
            </w:r>
          </w:p>
        </w:tc>
      </w:tr>
      <w:tr w:rsidR="00D66410" w:rsidRPr="00D66410" w14:paraId="2F3070F3" w14:textId="77777777" w:rsidTr="00D66410">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30" w:type="dxa"/>
            <w:vMerge/>
          </w:tcPr>
          <w:p w14:paraId="003C4AD9" w14:textId="77777777" w:rsidR="00A40FBE" w:rsidRPr="00D66410" w:rsidRDefault="00A40FBE" w:rsidP="00A40FBE">
            <w:pPr>
              <w:spacing w:line="240" w:lineRule="auto"/>
              <w:rPr>
                <w:color w:val="auto"/>
                <w:lang w:eastAsia="pl-PL"/>
              </w:rPr>
            </w:pPr>
          </w:p>
        </w:tc>
        <w:tc>
          <w:tcPr>
            <w:tcW w:w="11911" w:type="dxa"/>
            <w:gridSpan w:val="6"/>
          </w:tcPr>
          <w:p w14:paraId="4F69F6DE" w14:textId="18F4DCCB" w:rsidR="00A40FBE" w:rsidRPr="007726D7" w:rsidRDefault="00466BE0" w:rsidP="00FE70E3">
            <w:pPr>
              <w:pStyle w:val="Akapitzlist"/>
              <w:numPr>
                <w:ilvl w:val="0"/>
                <w:numId w:val="20"/>
              </w:num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726D7">
              <w:rPr>
                <w:sz w:val="20"/>
                <w:szCs w:val="20"/>
              </w:rPr>
              <w:t>Wysoka roszczeniowość klientów i ich rodzin, przerzucanie obowiązków wobec seniorów wynikających z więzi rodzinnych na ośrodek, nie wywiązywanie się rodzin z uzgodnień dokonanych w czasie wywiadów alimentacyjnych czy też zobowiązań wynikających z aktów notarialnych - majątek w zamian za dożywotną opiekę.</w:t>
            </w:r>
          </w:p>
        </w:tc>
      </w:tr>
      <w:tr w:rsidR="00D66410" w:rsidRPr="00D66410" w14:paraId="61CA0C42" w14:textId="77777777" w:rsidTr="00D66410">
        <w:trPr>
          <w:trHeight w:val="442"/>
        </w:trPr>
        <w:tc>
          <w:tcPr>
            <w:cnfStyle w:val="001000000000" w:firstRow="0" w:lastRow="0" w:firstColumn="1" w:lastColumn="0" w:oddVBand="0" w:evenVBand="0" w:oddHBand="0" w:evenHBand="0" w:firstRowFirstColumn="0" w:firstRowLastColumn="0" w:lastRowFirstColumn="0" w:lastRowLastColumn="0"/>
            <w:tcW w:w="2830" w:type="dxa"/>
          </w:tcPr>
          <w:p w14:paraId="5207C7DF" w14:textId="77777777" w:rsidR="00A40FBE" w:rsidRPr="00D66410" w:rsidRDefault="00A40FBE" w:rsidP="00A40FBE">
            <w:pPr>
              <w:spacing w:line="240" w:lineRule="auto"/>
              <w:rPr>
                <w:color w:val="auto"/>
                <w:lang w:eastAsia="pl-PL"/>
              </w:rPr>
            </w:pPr>
            <w:r w:rsidRPr="00D66410">
              <w:rPr>
                <w:color w:val="auto"/>
                <w:lang w:eastAsia="pl-PL"/>
              </w:rPr>
              <w:t>Stopień zaspokojenia potrzeb w zakresie usług opiekuńczych</w:t>
            </w:r>
          </w:p>
        </w:tc>
        <w:tc>
          <w:tcPr>
            <w:tcW w:w="11911" w:type="dxa"/>
            <w:gridSpan w:val="6"/>
          </w:tcPr>
          <w:p w14:paraId="1E8119D4" w14:textId="77777777" w:rsidR="00A40FBE" w:rsidRPr="007726D7" w:rsidRDefault="00D66410" w:rsidP="00D6641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726D7">
              <w:rPr>
                <w:sz w:val="20"/>
                <w:szCs w:val="20"/>
              </w:rPr>
              <w:t>Usługi opiekuńcze zaspokajane są w wystarczającym zakresie. Osoby potrzebujące tej formy pomocy mają ją zapewnioną.</w:t>
            </w:r>
          </w:p>
          <w:p w14:paraId="7DC66DFE" w14:textId="77777777" w:rsidR="00466BE0" w:rsidRPr="007726D7" w:rsidRDefault="00466BE0" w:rsidP="00D6641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24E8ACB4" w14:textId="77777777" w:rsidR="00466BE0" w:rsidRPr="007726D7" w:rsidRDefault="00466BE0" w:rsidP="00D6641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7E3C13A1" w14:textId="4076B41E" w:rsidR="00466BE0" w:rsidRPr="007726D7" w:rsidRDefault="00466BE0" w:rsidP="00D66410">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bl>
    <w:p w14:paraId="3E7E21AE" w14:textId="77777777" w:rsidR="005C6286" w:rsidRDefault="005C6286" w:rsidP="005C6286">
      <w:pPr>
        <w:tabs>
          <w:tab w:val="left" w:pos="5400"/>
        </w:tabs>
        <w:rPr>
          <w:rFonts w:eastAsia="Times New Roman" w:cs="Times New Roman"/>
          <w:b/>
          <w:szCs w:val="24"/>
          <w:lang w:eastAsia="pl-PL"/>
        </w:rPr>
      </w:pPr>
      <w:r w:rsidRPr="00432294">
        <w:rPr>
          <w:rFonts w:eastAsia="Times New Roman" w:cs="Times New Roman"/>
          <w:b/>
          <w:szCs w:val="24"/>
          <w:lang w:eastAsia="pl-PL"/>
        </w:rPr>
        <w:t xml:space="preserve">Źródło: </w:t>
      </w:r>
      <w:r>
        <w:rPr>
          <w:rFonts w:eastAsia="Times New Roman" w:cs="Times New Roman"/>
          <w:b/>
          <w:szCs w:val="24"/>
          <w:lang w:eastAsia="pl-PL"/>
        </w:rPr>
        <w:t>Dane Wojewody Zachodniopomorskiego</w:t>
      </w:r>
      <w:r w:rsidRPr="00432294">
        <w:rPr>
          <w:rFonts w:eastAsia="Times New Roman" w:cs="Times New Roman"/>
          <w:b/>
          <w:szCs w:val="24"/>
          <w:lang w:eastAsia="pl-PL"/>
        </w:rPr>
        <w:t xml:space="preserve">. </w:t>
      </w:r>
    </w:p>
    <w:p w14:paraId="07DEEDF3" w14:textId="77777777" w:rsidR="00C31643" w:rsidRPr="0092226B" w:rsidRDefault="00C31643" w:rsidP="005C6286">
      <w:pPr>
        <w:pStyle w:val="Nagwek1"/>
        <w:numPr>
          <w:ilvl w:val="0"/>
          <w:numId w:val="0"/>
        </w:numPr>
        <w:ind w:left="360" w:hanging="360"/>
        <w:rPr>
          <w:color w:val="FF0000"/>
          <w:lang w:eastAsia="ar-SA"/>
        </w:rPr>
        <w:sectPr w:rsidR="00C31643" w:rsidRPr="0092226B" w:rsidSect="00D75B65">
          <w:pgSz w:w="16840" w:h="11906" w:orient="landscape"/>
          <w:pgMar w:top="1418" w:right="1418" w:bottom="1418" w:left="1417" w:header="708" w:footer="708" w:gutter="0"/>
          <w:cols w:space="708"/>
          <w:docGrid w:linePitch="360"/>
        </w:sectPr>
      </w:pPr>
    </w:p>
    <w:p w14:paraId="0E5B3FAC" w14:textId="77777777" w:rsidR="009A1C19" w:rsidRPr="0091735C" w:rsidRDefault="005A7983" w:rsidP="00FE70E3">
      <w:pPr>
        <w:pStyle w:val="Nagwek1"/>
        <w:numPr>
          <w:ilvl w:val="0"/>
          <w:numId w:val="12"/>
        </w:numPr>
        <w:spacing w:after="240" w:line="240" w:lineRule="auto"/>
        <w:ind w:left="-142" w:hanging="284"/>
        <w:rPr>
          <w:rFonts w:cs="Times New Roman"/>
          <w:b w:val="0"/>
          <w:i/>
          <w:sz w:val="40"/>
          <w:lang w:eastAsia="ar-SA"/>
        </w:rPr>
      </w:pPr>
      <w:bookmarkStart w:id="338" w:name="_Toc80523211"/>
      <w:r w:rsidRPr="0091735C">
        <w:rPr>
          <w:rFonts w:cs="Times New Roman"/>
          <w:sz w:val="40"/>
          <w:lang w:eastAsia="ar-SA"/>
        </w:rPr>
        <w:lastRenderedPageBreak/>
        <w:t xml:space="preserve">Sprawozdanie z realizacji działań zaplanowanych </w:t>
      </w:r>
      <w:r w:rsidR="00835584" w:rsidRPr="0091735C">
        <w:rPr>
          <w:rFonts w:cs="Times New Roman"/>
          <w:sz w:val="40"/>
          <w:lang w:eastAsia="ar-SA"/>
        </w:rPr>
        <w:br/>
      </w:r>
      <w:r w:rsidRPr="0091735C">
        <w:rPr>
          <w:rFonts w:cs="Times New Roman"/>
          <w:sz w:val="40"/>
          <w:lang w:eastAsia="ar-SA"/>
        </w:rPr>
        <w:t xml:space="preserve">w dokumencie </w:t>
      </w:r>
      <w:r w:rsidRPr="0091735C">
        <w:rPr>
          <w:rFonts w:cs="Times New Roman"/>
          <w:i/>
          <w:sz w:val="40"/>
          <w:lang w:eastAsia="ar-SA"/>
        </w:rPr>
        <w:t xml:space="preserve">Polityka społeczna wobec osób starszych 2030. Bezpieczeństwo – Uczestnictwo </w:t>
      </w:r>
      <w:r w:rsidR="009A1C19" w:rsidRPr="0091735C">
        <w:rPr>
          <w:rFonts w:cs="Times New Roman"/>
          <w:i/>
          <w:sz w:val="40"/>
          <w:lang w:eastAsia="ar-SA"/>
        </w:rPr>
        <w:t>–</w:t>
      </w:r>
      <w:r w:rsidRPr="0091735C">
        <w:rPr>
          <w:rFonts w:cs="Times New Roman"/>
          <w:i/>
          <w:sz w:val="40"/>
          <w:lang w:eastAsia="ar-SA"/>
        </w:rPr>
        <w:t xml:space="preserve"> Solidarność</w:t>
      </w:r>
      <w:bookmarkEnd w:id="338"/>
    </w:p>
    <w:p w14:paraId="5DA66C65" w14:textId="77777777" w:rsidR="00C31643" w:rsidRPr="0092226B" w:rsidRDefault="00C31643" w:rsidP="003C1988">
      <w:pPr>
        <w:autoSpaceDE w:val="0"/>
        <w:autoSpaceDN w:val="0"/>
        <w:adjustRightInd w:val="0"/>
        <w:spacing w:before="120" w:after="120"/>
        <w:rPr>
          <w:rFonts w:cs="Times New Roman"/>
          <w:color w:val="FF0000"/>
          <w:spacing w:val="-5"/>
          <w:szCs w:val="24"/>
        </w:rPr>
      </w:pPr>
    </w:p>
    <w:p w14:paraId="54994066" w14:textId="1E2DEEF6" w:rsidR="00F819B8" w:rsidRPr="00E02A72" w:rsidRDefault="00F819B8" w:rsidP="00F819B8">
      <w:pPr>
        <w:spacing w:before="240" w:after="240"/>
        <w:rPr>
          <w:szCs w:val="24"/>
        </w:rPr>
      </w:pPr>
      <w:r w:rsidRPr="00E02A72">
        <w:rPr>
          <w:rFonts w:cs="Times New Roman"/>
          <w:spacing w:val="-5"/>
          <w:szCs w:val="24"/>
        </w:rPr>
        <w:t xml:space="preserve">Szczegółowe informacje dotyczące realizacji działań zaplanowanych w dokumencie </w:t>
      </w:r>
      <w:r w:rsidRPr="00E02A72">
        <w:rPr>
          <w:rFonts w:cs="Times New Roman"/>
          <w:i/>
          <w:spacing w:val="-5"/>
          <w:szCs w:val="24"/>
        </w:rPr>
        <w:t>Polityka społeczna wobec osób starszych 2030. Bezpieczeństwo – Uczestnictwo – Solidarność</w:t>
      </w:r>
      <w:r w:rsidRPr="00E02A72">
        <w:rPr>
          <w:rFonts w:cs="Times New Roman"/>
          <w:spacing w:val="-5"/>
          <w:szCs w:val="24"/>
        </w:rPr>
        <w:t xml:space="preserve"> po raz pierwszy zostały umieszczona </w:t>
      </w:r>
      <w:r w:rsidRPr="00E02A72">
        <w:rPr>
          <w:rFonts w:cs="Times New Roman"/>
          <w:i/>
          <w:szCs w:val="24"/>
        </w:rPr>
        <w:t xml:space="preserve">w Informacji o sytuacji osób starszych w Polsce za 2019 r. </w:t>
      </w:r>
      <w:r w:rsidR="009566E2">
        <w:rPr>
          <w:rFonts w:cs="Times New Roman"/>
          <w:szCs w:val="24"/>
        </w:rPr>
        <w:t>Od </w:t>
      </w:r>
      <w:r w:rsidRPr="00E02A72">
        <w:rPr>
          <w:rFonts w:cs="Times New Roman"/>
          <w:szCs w:val="24"/>
        </w:rPr>
        <w:t>2020 r</w:t>
      </w:r>
      <w:r w:rsidR="00C30527">
        <w:rPr>
          <w:rFonts w:cs="Times New Roman"/>
          <w:szCs w:val="24"/>
        </w:rPr>
        <w:t>.</w:t>
      </w:r>
      <w:r w:rsidRPr="00E02A72">
        <w:rPr>
          <w:rFonts w:cs="Times New Roman"/>
          <w:szCs w:val="24"/>
        </w:rPr>
        <w:t xml:space="preserve"> podmioty odpowiedzialne za realizację poszczegó</w:t>
      </w:r>
      <w:r w:rsidR="009566E2">
        <w:rPr>
          <w:rFonts w:cs="Times New Roman"/>
          <w:szCs w:val="24"/>
        </w:rPr>
        <w:t>lnych działań zobowiązane są do </w:t>
      </w:r>
      <w:r w:rsidRPr="00E02A72">
        <w:rPr>
          <w:rFonts w:cs="Times New Roman"/>
          <w:szCs w:val="24"/>
        </w:rPr>
        <w:t>corocznego zbierania oraz przedstawiania informacji na temat stanu ich realizacji. Dotyczą one zarówno obszarów skierowanych do ogółu osób starszych, do których należą:</w:t>
      </w:r>
    </w:p>
    <w:p w14:paraId="16485D80" w14:textId="77777777" w:rsidR="0037765D" w:rsidRPr="00E02A72" w:rsidRDefault="0037765D" w:rsidP="00FE70E3">
      <w:pPr>
        <w:numPr>
          <w:ilvl w:val="0"/>
          <w:numId w:val="21"/>
        </w:numPr>
        <w:spacing w:before="120" w:after="120"/>
        <w:ind w:left="360"/>
        <w:rPr>
          <w:rFonts w:cs="Times New Roman"/>
        </w:rPr>
      </w:pPr>
      <w:r w:rsidRPr="00E02A72">
        <w:rPr>
          <w:rFonts w:cs="Times New Roman"/>
        </w:rPr>
        <w:t>kształtowanie pozytywnego postrzegania starości w społeczeństwie,</w:t>
      </w:r>
    </w:p>
    <w:p w14:paraId="7137C62C" w14:textId="77777777" w:rsidR="0037765D" w:rsidRPr="00E02A72" w:rsidRDefault="0037765D" w:rsidP="00FE70E3">
      <w:pPr>
        <w:numPr>
          <w:ilvl w:val="0"/>
          <w:numId w:val="21"/>
        </w:numPr>
        <w:spacing w:before="120" w:after="120"/>
        <w:ind w:left="360"/>
        <w:rPr>
          <w:rFonts w:cs="Times New Roman"/>
        </w:rPr>
      </w:pPr>
      <w:r w:rsidRPr="00E02A72">
        <w:rPr>
          <w:rFonts w:cs="Times New Roman"/>
        </w:rPr>
        <w:t>uczestnictwo w życiu społecznym oraz wspieranie wszelkich form aktywności obywatelskiej, społecznej, kulturalnej, artystycznej, sportowej i religijnej,</w:t>
      </w:r>
    </w:p>
    <w:p w14:paraId="03BA7B8D" w14:textId="77777777" w:rsidR="0037765D" w:rsidRPr="00E02A72" w:rsidRDefault="0037765D" w:rsidP="00FE70E3">
      <w:pPr>
        <w:numPr>
          <w:ilvl w:val="0"/>
          <w:numId w:val="21"/>
        </w:numPr>
        <w:spacing w:before="120" w:after="120"/>
        <w:ind w:left="360"/>
        <w:rPr>
          <w:rFonts w:cs="Times New Roman"/>
        </w:rPr>
      </w:pPr>
      <w:r w:rsidRPr="00E02A72">
        <w:rPr>
          <w:rFonts w:cs="Times New Roman"/>
        </w:rPr>
        <w:t>tworzenie warunków umożliwiających wykorzystanie potencjału osób starszych jako aktywnych uczestników życia gospodarczego i rynku pracy, dostosowanych do ich możliwości psychofizycznych oraz sytuacji rodzinnej,</w:t>
      </w:r>
    </w:p>
    <w:p w14:paraId="2422838D" w14:textId="77777777" w:rsidR="0037765D" w:rsidRPr="00E02A72" w:rsidRDefault="0037765D" w:rsidP="00FE70E3">
      <w:pPr>
        <w:numPr>
          <w:ilvl w:val="0"/>
          <w:numId w:val="21"/>
        </w:numPr>
        <w:spacing w:before="120" w:after="120"/>
        <w:ind w:left="360"/>
        <w:rPr>
          <w:rFonts w:cs="Times New Roman"/>
        </w:rPr>
      </w:pPr>
      <w:r w:rsidRPr="00E02A72">
        <w:rPr>
          <w:rFonts w:cs="Times New Roman"/>
        </w:rPr>
        <w:t>promocja zdrowia, profilaktyka chorób, dostęp do diagnostyki, leczenia i rehabilitacji</w:t>
      </w:r>
    </w:p>
    <w:p w14:paraId="5B1D7BF5" w14:textId="77777777" w:rsidR="0037765D" w:rsidRPr="00E02A72" w:rsidRDefault="0037765D" w:rsidP="00FE70E3">
      <w:pPr>
        <w:numPr>
          <w:ilvl w:val="0"/>
          <w:numId w:val="21"/>
        </w:numPr>
        <w:spacing w:before="120" w:after="120"/>
        <w:ind w:left="360"/>
        <w:rPr>
          <w:rFonts w:cs="Times New Roman"/>
        </w:rPr>
      </w:pPr>
      <w:r w:rsidRPr="00E02A72">
        <w:rPr>
          <w:rFonts w:cs="Times New Roman"/>
        </w:rPr>
        <w:t>zwiększanie bezpieczeństwa fizycznego – przeciwdziałanie przemocy i zaniedbaniom wobec osób starszych,</w:t>
      </w:r>
    </w:p>
    <w:p w14:paraId="152947A3" w14:textId="77777777" w:rsidR="0037765D" w:rsidRPr="00E02A72" w:rsidRDefault="0037765D" w:rsidP="00FE70E3">
      <w:pPr>
        <w:numPr>
          <w:ilvl w:val="0"/>
          <w:numId w:val="21"/>
        </w:numPr>
        <w:spacing w:before="120" w:after="120"/>
        <w:ind w:left="360"/>
        <w:rPr>
          <w:rFonts w:cs="Times New Roman"/>
        </w:rPr>
      </w:pPr>
      <w:r w:rsidRPr="00E02A72">
        <w:rPr>
          <w:rFonts w:cs="Times New Roman"/>
        </w:rPr>
        <w:t>tworzenie warunków do solidarności i integracji międzypokoleniowej,</w:t>
      </w:r>
    </w:p>
    <w:p w14:paraId="6BAE05B0" w14:textId="77777777" w:rsidR="0037765D" w:rsidRPr="00E02A72" w:rsidRDefault="0037765D" w:rsidP="00FE70E3">
      <w:pPr>
        <w:numPr>
          <w:ilvl w:val="0"/>
          <w:numId w:val="21"/>
        </w:numPr>
        <w:spacing w:before="120" w:after="120"/>
        <w:ind w:left="360"/>
        <w:rPr>
          <w:rFonts w:cs="Times New Roman"/>
        </w:rPr>
      </w:pPr>
      <w:r w:rsidRPr="00E02A72">
        <w:rPr>
          <w:rFonts w:cs="Times New Roman"/>
        </w:rPr>
        <w:t>działania na rzecz edukacji dla starości (kadry opiekuńcze i medyczne), do starości (całe społeczeństwo), przez starość (od najmłodszego pokolenia) oraz edukacja w starości (osoby</w:t>
      </w:r>
      <w:r w:rsidR="00F819B8" w:rsidRPr="00E02A72">
        <w:rPr>
          <w:rFonts w:cs="Times New Roman"/>
        </w:rPr>
        <w:t xml:space="preserve"> starsze),</w:t>
      </w:r>
    </w:p>
    <w:p w14:paraId="0E1D2A1A" w14:textId="3DF6BEFB" w:rsidR="0037765D" w:rsidRPr="00E02A72" w:rsidRDefault="00F819B8" w:rsidP="0037765D">
      <w:pPr>
        <w:spacing w:before="120" w:after="120"/>
        <w:rPr>
          <w:rFonts w:cs="Times New Roman"/>
        </w:rPr>
      </w:pPr>
      <w:r w:rsidRPr="00E02A72">
        <w:rPr>
          <w:rFonts w:cs="Times New Roman"/>
        </w:rPr>
        <w:t>jak również tych, które są kierowane do niesamodzielnych osó</w:t>
      </w:r>
      <w:r w:rsidR="009566E2">
        <w:rPr>
          <w:rFonts w:cs="Times New Roman"/>
        </w:rPr>
        <w:t>b starszych i ich opiekunów, do </w:t>
      </w:r>
      <w:r w:rsidRPr="00E02A72">
        <w:rPr>
          <w:rFonts w:cs="Times New Roman"/>
        </w:rPr>
        <w:t>których zaliczają się następujące działania:</w:t>
      </w:r>
    </w:p>
    <w:p w14:paraId="0FE4CFFC" w14:textId="002C50CA" w:rsidR="0037765D" w:rsidRPr="00E02A72" w:rsidRDefault="0037765D" w:rsidP="00FE70E3">
      <w:pPr>
        <w:numPr>
          <w:ilvl w:val="0"/>
          <w:numId w:val="21"/>
        </w:numPr>
        <w:spacing w:before="120" w:after="120"/>
        <w:ind w:left="360"/>
        <w:rPr>
          <w:rFonts w:cs="Times New Roman"/>
        </w:rPr>
      </w:pPr>
      <w:r w:rsidRPr="00E02A72">
        <w:rPr>
          <w:rFonts w:cs="Times New Roman"/>
        </w:rPr>
        <w:t>zmniejszanie skali zależności od innych poprzez ułatwienie dostępu do usług wzmacniających samodzielność oraz dostosow</w:t>
      </w:r>
      <w:r w:rsidR="009566E2">
        <w:rPr>
          <w:rFonts w:cs="Times New Roman"/>
        </w:rPr>
        <w:t>anie środowiska zamieszkania do </w:t>
      </w:r>
      <w:r w:rsidRPr="00E02A72">
        <w:rPr>
          <w:rFonts w:cs="Times New Roman"/>
        </w:rPr>
        <w:t>możliwości funkcjonalnych niesamodzielnych osób starszych,</w:t>
      </w:r>
    </w:p>
    <w:p w14:paraId="580BB449" w14:textId="77777777" w:rsidR="0037765D" w:rsidRPr="00E02A72" w:rsidRDefault="0037765D" w:rsidP="00FE70E3">
      <w:pPr>
        <w:numPr>
          <w:ilvl w:val="0"/>
          <w:numId w:val="21"/>
        </w:numPr>
        <w:spacing w:before="120" w:after="120"/>
        <w:ind w:left="360"/>
        <w:rPr>
          <w:rFonts w:cs="Times New Roman"/>
        </w:rPr>
      </w:pPr>
      <w:r w:rsidRPr="00E02A72">
        <w:rPr>
          <w:rFonts w:cs="Times New Roman"/>
        </w:rPr>
        <w:t>zapewnienie optymalnego dostępu do usług zdrowotnych, rehabilitacyjnych i opiekuńczo-pielęgnacyjnych, dostosowanych do potrzeb niesamodzielnych osób starszych,</w:t>
      </w:r>
    </w:p>
    <w:p w14:paraId="54104822" w14:textId="77777777" w:rsidR="0037765D" w:rsidRPr="00E02A72" w:rsidRDefault="0037765D" w:rsidP="00FE70E3">
      <w:pPr>
        <w:numPr>
          <w:ilvl w:val="0"/>
          <w:numId w:val="21"/>
        </w:numPr>
        <w:spacing w:before="120" w:after="120"/>
        <w:ind w:left="360"/>
        <w:rPr>
          <w:rFonts w:cs="Times New Roman"/>
        </w:rPr>
      </w:pPr>
      <w:r w:rsidRPr="00E02A72">
        <w:rPr>
          <w:rFonts w:cs="Times New Roman"/>
        </w:rPr>
        <w:t>sieć usług środowiskowych i instytucjonalnych udzielanych niesamodzielnym osobom starszym,</w:t>
      </w:r>
    </w:p>
    <w:p w14:paraId="0FAC249C" w14:textId="77777777" w:rsidR="0037765D" w:rsidRPr="00E02A72" w:rsidRDefault="0037765D" w:rsidP="00FE70E3">
      <w:pPr>
        <w:numPr>
          <w:ilvl w:val="0"/>
          <w:numId w:val="21"/>
        </w:numPr>
        <w:spacing w:before="120" w:after="120"/>
        <w:ind w:left="360"/>
        <w:rPr>
          <w:rFonts w:cs="Times New Roman"/>
        </w:rPr>
      </w:pPr>
      <w:r w:rsidRPr="00E02A72">
        <w:rPr>
          <w:rFonts w:cs="Times New Roman"/>
        </w:rPr>
        <w:t>system wsparcia nieformalnych opiekunów niesamodzielnych osób starszych przez instytucje publiczne.</w:t>
      </w:r>
    </w:p>
    <w:p w14:paraId="5A05297F" w14:textId="1D7EDDA6" w:rsidR="000A74B3" w:rsidRPr="00E02A72" w:rsidRDefault="00D50313" w:rsidP="00EE3921">
      <w:pPr>
        <w:autoSpaceDE w:val="0"/>
        <w:autoSpaceDN w:val="0"/>
        <w:adjustRightInd w:val="0"/>
        <w:spacing w:before="120" w:after="120"/>
        <w:rPr>
          <w:rFonts w:cs="Times New Roman"/>
          <w:szCs w:val="24"/>
        </w:rPr>
      </w:pPr>
      <w:r w:rsidRPr="00E02A72">
        <w:rPr>
          <w:rFonts w:cs="Times New Roman"/>
          <w:spacing w:val="-5"/>
          <w:szCs w:val="24"/>
        </w:rPr>
        <w:lastRenderedPageBreak/>
        <w:t xml:space="preserve">Dokument pt. </w:t>
      </w:r>
      <w:r w:rsidR="009A1C19" w:rsidRPr="00E02A72">
        <w:rPr>
          <w:rFonts w:cs="Times New Roman"/>
          <w:i/>
          <w:spacing w:val="-5"/>
          <w:szCs w:val="24"/>
        </w:rPr>
        <w:t>Polityka społeczna wobec osób starszych 2030. Bezpieczeńst</w:t>
      </w:r>
      <w:r w:rsidRPr="00E02A72">
        <w:rPr>
          <w:rFonts w:cs="Times New Roman"/>
          <w:i/>
          <w:spacing w:val="-5"/>
          <w:szCs w:val="24"/>
        </w:rPr>
        <w:t>wo – Uczestnictwo – Solidarność</w:t>
      </w:r>
      <w:r w:rsidR="009A1C19" w:rsidRPr="00E02A72">
        <w:rPr>
          <w:rFonts w:cs="Times New Roman"/>
          <w:i/>
          <w:spacing w:val="-5"/>
          <w:szCs w:val="24"/>
        </w:rPr>
        <w:t xml:space="preserve"> </w:t>
      </w:r>
      <w:r w:rsidR="009A1C19" w:rsidRPr="00E02A72">
        <w:rPr>
          <w:rFonts w:cs="Times New Roman"/>
          <w:spacing w:val="-5"/>
          <w:szCs w:val="24"/>
        </w:rPr>
        <w:t>został przyjęty przez Radę Ministrów w dniu 26 października 2018 r. (uchwała nr 161 Rady Ministrów z dnia 26 października 2018 r. w sprawie przyjęcia dokumentu pt. „Polityka społeczna wobec osób starszych 2030. Bezpieczeństwo – Uczestnictwo – Solidarność”).</w:t>
      </w:r>
      <w:r w:rsidR="00F819B8" w:rsidRPr="00E02A72">
        <w:rPr>
          <w:rFonts w:cs="Times New Roman"/>
          <w:spacing w:val="-5"/>
          <w:szCs w:val="24"/>
        </w:rPr>
        <w:t xml:space="preserve"> </w:t>
      </w:r>
      <w:r w:rsidR="00F819B8" w:rsidRPr="00E02A72">
        <w:rPr>
          <w:rFonts w:cs="Times New Roman"/>
          <w:szCs w:val="24"/>
        </w:rPr>
        <w:t>W </w:t>
      </w:r>
      <w:r w:rsidR="00311D18" w:rsidRPr="00E02A72">
        <w:rPr>
          <w:rFonts w:cs="Times New Roman"/>
          <w:szCs w:val="24"/>
        </w:rPr>
        <w:t xml:space="preserve">związku z </w:t>
      </w:r>
      <w:r w:rsidR="00F819B8" w:rsidRPr="00E02A72">
        <w:rPr>
          <w:rFonts w:cs="Times New Roman"/>
          <w:szCs w:val="24"/>
        </w:rPr>
        <w:t xml:space="preserve">powyższym </w:t>
      </w:r>
      <w:r w:rsidR="00311D18" w:rsidRPr="00E02A72">
        <w:rPr>
          <w:rFonts w:cs="Times New Roman"/>
          <w:szCs w:val="24"/>
        </w:rPr>
        <w:t>podmioty nie miały szansy wdrożyć większości działań w tamtym okresie. Pierwsze zrealizowane działania b</w:t>
      </w:r>
      <w:r w:rsidR="000A74B3" w:rsidRPr="00E02A72">
        <w:rPr>
          <w:rFonts w:cs="Times New Roman"/>
          <w:szCs w:val="24"/>
        </w:rPr>
        <w:t>yły</w:t>
      </w:r>
      <w:r w:rsidR="00311D18" w:rsidRPr="00E02A72">
        <w:rPr>
          <w:rFonts w:cs="Times New Roman"/>
          <w:szCs w:val="24"/>
        </w:rPr>
        <w:t xml:space="preserve"> możliwe do sprawozdania w ramach</w:t>
      </w:r>
      <w:r w:rsidR="00311D18" w:rsidRPr="00E02A72">
        <w:rPr>
          <w:rFonts w:cs="Times New Roman"/>
          <w:i/>
          <w:iCs/>
          <w:szCs w:val="24"/>
        </w:rPr>
        <w:t xml:space="preserve"> Informacji o sytuacji osób starszych za 2019 r</w:t>
      </w:r>
      <w:r w:rsidR="00494B9D">
        <w:rPr>
          <w:rStyle w:val="Odwoanieprzypisudolnego"/>
          <w:rFonts w:cs="Times New Roman"/>
          <w:i/>
          <w:iCs/>
          <w:szCs w:val="24"/>
        </w:rPr>
        <w:footnoteReference w:id="54"/>
      </w:r>
      <w:r w:rsidR="00311D18" w:rsidRPr="00E02A72">
        <w:rPr>
          <w:rFonts w:cs="Times New Roman"/>
          <w:i/>
          <w:iCs/>
          <w:szCs w:val="24"/>
        </w:rPr>
        <w:t>.</w:t>
      </w:r>
      <w:r w:rsidR="00311D18" w:rsidRPr="00E02A72">
        <w:rPr>
          <w:rFonts w:cs="Times New Roman"/>
          <w:szCs w:val="24"/>
        </w:rPr>
        <w:t xml:space="preserve"> </w:t>
      </w:r>
    </w:p>
    <w:p w14:paraId="2DADC2AE" w14:textId="0205B42E" w:rsidR="005556D4" w:rsidRDefault="00F819B8" w:rsidP="00EE3921">
      <w:pPr>
        <w:autoSpaceDE w:val="0"/>
        <w:autoSpaceDN w:val="0"/>
        <w:adjustRightInd w:val="0"/>
        <w:spacing w:before="120" w:after="120"/>
        <w:rPr>
          <w:rFonts w:cs="Times New Roman"/>
          <w:szCs w:val="24"/>
        </w:rPr>
      </w:pPr>
      <w:r w:rsidRPr="00E02A72">
        <w:rPr>
          <w:rFonts w:cs="Times New Roman"/>
          <w:szCs w:val="24"/>
        </w:rPr>
        <w:t xml:space="preserve">Z kolei w 2020 </w:t>
      </w:r>
      <w:r w:rsidR="00C30527">
        <w:rPr>
          <w:rFonts w:cs="Times New Roman"/>
          <w:szCs w:val="24"/>
        </w:rPr>
        <w:t>r.</w:t>
      </w:r>
      <w:r w:rsidRPr="00E02A72">
        <w:rPr>
          <w:rFonts w:cs="Times New Roman"/>
          <w:szCs w:val="24"/>
        </w:rPr>
        <w:t xml:space="preserve"> realizacja dotychczasowych działań oraz podejmowanie nowych inicjatyw zostało znacząco utrudnione ze względu na panującą pandemię COVID – 19. Na skutek panującej w kraju </w:t>
      </w:r>
      <w:r w:rsidR="00E02A72" w:rsidRPr="00E02A72">
        <w:rPr>
          <w:rFonts w:cs="Times New Roman"/>
          <w:szCs w:val="24"/>
        </w:rPr>
        <w:t>sytuacji epidemiologicznej organy państwowe oraz jednostki samorządu terytori</w:t>
      </w:r>
      <w:r w:rsidR="009566E2">
        <w:rPr>
          <w:rFonts w:cs="Times New Roman"/>
          <w:szCs w:val="24"/>
        </w:rPr>
        <w:t>alnego skupiły się na inicjatywach</w:t>
      </w:r>
      <w:r w:rsidR="00E02A72" w:rsidRPr="00E02A72">
        <w:rPr>
          <w:rFonts w:cs="Times New Roman"/>
          <w:szCs w:val="24"/>
        </w:rPr>
        <w:t xml:space="preserve"> mających na celu zapewnienie bezpieczeństwa obywatelom Rzeczypospolitej Polskiej, w tym w szczególności osobom po 60. roku życia. Wprowadzane obostrzenia, a także ograniczenia związane z funkcjonowaniem instytucji publicznych oraz konieczność podjęcia dodatkowych działań wynikających z trwającej pandemii wpłynęło na stopień wykonania </w:t>
      </w:r>
      <w:r w:rsidR="00E02A72" w:rsidRPr="00E02A72">
        <w:rPr>
          <w:rFonts w:cs="Times New Roman"/>
          <w:i/>
          <w:spacing w:val="-5"/>
          <w:szCs w:val="24"/>
        </w:rPr>
        <w:t>Polityki społecznej wobec osób starszych 2030. Bezpieczeństwo – Uczestnictwo – Solidarność.</w:t>
      </w:r>
      <w:r w:rsidR="00E02A72" w:rsidRPr="00E02A72">
        <w:rPr>
          <w:rFonts w:cs="Times New Roman"/>
          <w:szCs w:val="24"/>
        </w:rPr>
        <w:t xml:space="preserve"> </w:t>
      </w:r>
    </w:p>
    <w:p w14:paraId="2D68DC9B" w14:textId="68D65114" w:rsidR="004A5934" w:rsidRDefault="00D90887" w:rsidP="00EE3921">
      <w:pPr>
        <w:autoSpaceDE w:val="0"/>
        <w:autoSpaceDN w:val="0"/>
        <w:adjustRightInd w:val="0"/>
        <w:spacing w:before="120" w:after="120"/>
        <w:rPr>
          <w:rFonts w:cs="Times New Roman"/>
          <w:szCs w:val="24"/>
        </w:rPr>
      </w:pPr>
      <w:r>
        <w:rPr>
          <w:rFonts w:cs="Times New Roman"/>
          <w:szCs w:val="24"/>
        </w:rPr>
        <w:t>Pomimo trwającej pandemii udało się zrealizować działania w każdym z obszarów wyszczególnionych w przedmiotowym dokumencie. W szczególności należy wspomnieć o</w:t>
      </w:r>
      <w:r w:rsidR="00845F30">
        <w:rPr>
          <w:rFonts w:cs="Times New Roman"/>
          <w:szCs w:val="24"/>
        </w:rPr>
        <w:t> </w:t>
      </w:r>
      <w:r>
        <w:rPr>
          <w:rFonts w:cs="Times New Roman"/>
          <w:szCs w:val="24"/>
        </w:rPr>
        <w:t>następujących inicjatywach:</w:t>
      </w:r>
    </w:p>
    <w:p w14:paraId="5F8BF583" w14:textId="10B5AFD4" w:rsidR="00845F30" w:rsidRPr="00845F30" w:rsidRDefault="00D90887" w:rsidP="00845F30">
      <w:pPr>
        <w:pStyle w:val="Akapitzlist"/>
        <w:numPr>
          <w:ilvl w:val="0"/>
          <w:numId w:val="221"/>
        </w:numPr>
        <w:autoSpaceDE w:val="0"/>
        <w:autoSpaceDN w:val="0"/>
        <w:adjustRightInd w:val="0"/>
        <w:spacing w:before="120" w:after="120"/>
        <w:rPr>
          <w:rFonts w:cs="Times New Roman"/>
          <w:szCs w:val="24"/>
        </w:rPr>
      </w:pPr>
      <w:r>
        <w:rPr>
          <w:rFonts w:cs="Times New Roman"/>
          <w:szCs w:val="24"/>
        </w:rPr>
        <w:t>w obszarze I</w:t>
      </w:r>
      <w:r w:rsidR="00845F30">
        <w:rPr>
          <w:rFonts w:cs="Times New Roman"/>
          <w:szCs w:val="24"/>
        </w:rPr>
        <w:t xml:space="preserve"> – prowadzenie </w:t>
      </w:r>
      <w:r w:rsidR="00845F30" w:rsidRPr="00845F30">
        <w:rPr>
          <w:rFonts w:cs="Times New Roman"/>
          <w:szCs w:val="24"/>
        </w:rPr>
        <w:t>kalkulatora emerytalnego zmieszczonego na portalu Platforma Usług Elektronicznych</w:t>
      </w:r>
      <w:r w:rsidR="00845F30">
        <w:rPr>
          <w:rFonts w:cs="Times New Roman"/>
          <w:szCs w:val="24"/>
        </w:rPr>
        <w:t xml:space="preserve"> Zakładu Ubezpieczeń Społecznych;</w:t>
      </w:r>
    </w:p>
    <w:p w14:paraId="2E8F1DF7" w14:textId="17C1DB46" w:rsidR="00845F30" w:rsidRPr="00845F30" w:rsidRDefault="00D90887" w:rsidP="00845F30">
      <w:pPr>
        <w:pStyle w:val="Akapitzlist"/>
        <w:numPr>
          <w:ilvl w:val="0"/>
          <w:numId w:val="221"/>
        </w:numPr>
        <w:autoSpaceDE w:val="0"/>
        <w:autoSpaceDN w:val="0"/>
        <w:adjustRightInd w:val="0"/>
        <w:spacing w:before="120" w:after="120"/>
        <w:rPr>
          <w:rFonts w:cs="Times New Roman"/>
          <w:szCs w:val="24"/>
        </w:rPr>
      </w:pPr>
      <w:r>
        <w:rPr>
          <w:rFonts w:cs="Times New Roman"/>
          <w:szCs w:val="24"/>
        </w:rPr>
        <w:t>w obszarze II</w:t>
      </w:r>
      <w:r w:rsidR="00845F30">
        <w:rPr>
          <w:rFonts w:cs="Times New Roman"/>
          <w:szCs w:val="24"/>
        </w:rPr>
        <w:t xml:space="preserve"> – zachęcanie seniorów do korzystania z Internetu i nowych technologii przez Ministerstwo Cyfryzacji poprzez kampanie edukacyjno-informacyjne;</w:t>
      </w:r>
    </w:p>
    <w:p w14:paraId="408905D7" w14:textId="4722A21F" w:rsidR="00845F30" w:rsidRPr="00845F30" w:rsidRDefault="00D90887" w:rsidP="00845F30">
      <w:pPr>
        <w:pStyle w:val="Akapitzlist"/>
        <w:numPr>
          <w:ilvl w:val="0"/>
          <w:numId w:val="221"/>
        </w:numPr>
        <w:autoSpaceDE w:val="0"/>
        <w:autoSpaceDN w:val="0"/>
        <w:adjustRightInd w:val="0"/>
        <w:spacing w:before="120" w:after="120"/>
        <w:rPr>
          <w:rFonts w:cs="Times New Roman"/>
          <w:szCs w:val="24"/>
        </w:rPr>
      </w:pPr>
      <w:r>
        <w:rPr>
          <w:rFonts w:cs="Times New Roman"/>
          <w:szCs w:val="24"/>
        </w:rPr>
        <w:t>w obszarze III</w:t>
      </w:r>
      <w:r w:rsidR="00845F30">
        <w:rPr>
          <w:rFonts w:cs="Times New Roman"/>
          <w:szCs w:val="24"/>
        </w:rPr>
        <w:t xml:space="preserve"> – </w:t>
      </w:r>
      <w:r w:rsidR="00845F30" w:rsidRPr="00845F30">
        <w:rPr>
          <w:rFonts w:cs="Times New Roman"/>
          <w:szCs w:val="24"/>
        </w:rPr>
        <w:t>wdrażanie przez Ministerstwo Rozwoju nowego sposobu promowania przedsiębiorczości</w:t>
      </w:r>
      <w:r w:rsidR="00845F30">
        <w:rPr>
          <w:rFonts w:cs="Times New Roman"/>
          <w:szCs w:val="24"/>
        </w:rPr>
        <w:t xml:space="preserve"> wśród seniorów oraz realizacja działań analitycznych mających na celu identyfikację barier w zatrudnianiu osób starszych;</w:t>
      </w:r>
    </w:p>
    <w:p w14:paraId="6B8062EB" w14:textId="4D04C137" w:rsidR="00D90887" w:rsidRDefault="00D90887" w:rsidP="00D90887">
      <w:pPr>
        <w:pStyle w:val="Akapitzlist"/>
        <w:numPr>
          <w:ilvl w:val="0"/>
          <w:numId w:val="221"/>
        </w:numPr>
        <w:autoSpaceDE w:val="0"/>
        <w:autoSpaceDN w:val="0"/>
        <w:adjustRightInd w:val="0"/>
        <w:spacing w:before="120" w:after="120"/>
        <w:rPr>
          <w:rFonts w:cs="Times New Roman"/>
          <w:szCs w:val="24"/>
        </w:rPr>
      </w:pPr>
      <w:r>
        <w:rPr>
          <w:rFonts w:cs="Times New Roman"/>
          <w:szCs w:val="24"/>
        </w:rPr>
        <w:t>w obszarze IV</w:t>
      </w:r>
      <w:r w:rsidR="00845F30">
        <w:rPr>
          <w:rFonts w:cs="Times New Roman"/>
          <w:szCs w:val="24"/>
        </w:rPr>
        <w:t xml:space="preserve"> – wspieranie organizacji pozarządowych działających na rzecz osób starszych w ramach konkursów dotacyjnych realizowanych przez Narodowy Instytut Wolności – Centrum Rozwoju Społeczeństwa Obywatelskiego;</w:t>
      </w:r>
    </w:p>
    <w:p w14:paraId="3D894C22" w14:textId="1C56ABF0" w:rsidR="00D90887" w:rsidRDefault="00D90887" w:rsidP="00D90887">
      <w:pPr>
        <w:pStyle w:val="Akapitzlist"/>
        <w:numPr>
          <w:ilvl w:val="0"/>
          <w:numId w:val="221"/>
        </w:numPr>
        <w:autoSpaceDE w:val="0"/>
        <w:autoSpaceDN w:val="0"/>
        <w:adjustRightInd w:val="0"/>
        <w:spacing w:before="120" w:after="120"/>
        <w:rPr>
          <w:rFonts w:cs="Times New Roman"/>
          <w:szCs w:val="24"/>
        </w:rPr>
      </w:pPr>
      <w:r>
        <w:rPr>
          <w:rFonts w:cs="Times New Roman"/>
          <w:szCs w:val="24"/>
        </w:rPr>
        <w:t>w obszarze V</w:t>
      </w:r>
      <w:r w:rsidR="00A7600A">
        <w:rPr>
          <w:rFonts w:cs="Times New Roman"/>
          <w:szCs w:val="24"/>
        </w:rPr>
        <w:t xml:space="preserve"> – prowadzenie przez Ministerstwo Sprawiedliwości </w:t>
      </w:r>
      <w:r w:rsidR="00A7600A" w:rsidRPr="00A7600A">
        <w:rPr>
          <w:rFonts w:cs="Times New Roman"/>
          <w:szCs w:val="24"/>
        </w:rPr>
        <w:t>szkoleń, mających na celu podniesienie świadomości społecznej w zakresie przemocy w rodzinie i zwiększenia kompetencji osób ud</w:t>
      </w:r>
      <w:r w:rsidR="009566E2">
        <w:rPr>
          <w:rFonts w:cs="Times New Roman"/>
          <w:szCs w:val="24"/>
        </w:rPr>
        <w:t>zielających pomoc</w:t>
      </w:r>
      <w:r w:rsidR="00A7600A" w:rsidRPr="00A7600A">
        <w:rPr>
          <w:rFonts w:cs="Times New Roman"/>
          <w:szCs w:val="24"/>
        </w:rPr>
        <w:t xml:space="preserve"> w ramach ogólnopolskiej Sieci Pomocy Osobom Pokrzywdzonym Przestępstwem</w:t>
      </w:r>
      <w:r w:rsidR="00845F30">
        <w:rPr>
          <w:rFonts w:cs="Times New Roman"/>
          <w:szCs w:val="24"/>
        </w:rPr>
        <w:t>;</w:t>
      </w:r>
    </w:p>
    <w:p w14:paraId="77D5A989" w14:textId="0534FF81" w:rsidR="00D90887" w:rsidRDefault="00D90887" w:rsidP="00D90887">
      <w:pPr>
        <w:pStyle w:val="Akapitzlist"/>
        <w:numPr>
          <w:ilvl w:val="0"/>
          <w:numId w:val="221"/>
        </w:numPr>
        <w:autoSpaceDE w:val="0"/>
        <w:autoSpaceDN w:val="0"/>
        <w:adjustRightInd w:val="0"/>
        <w:spacing w:before="120" w:after="120"/>
        <w:rPr>
          <w:rFonts w:cs="Times New Roman"/>
          <w:szCs w:val="24"/>
        </w:rPr>
      </w:pPr>
      <w:r>
        <w:rPr>
          <w:rFonts w:cs="Times New Roman"/>
          <w:szCs w:val="24"/>
        </w:rPr>
        <w:t>w obszarze VI</w:t>
      </w:r>
      <w:r w:rsidR="00A7600A">
        <w:rPr>
          <w:rFonts w:cs="Times New Roman"/>
          <w:szCs w:val="24"/>
        </w:rPr>
        <w:t xml:space="preserve"> – wspieranie współpracy międzypokoleniowej przez media publiczne prowadzące działania informacyjne dotyczące Solidarnościowego Korpusu Wsparcia Seniorów</w:t>
      </w:r>
      <w:r w:rsidR="00845F30">
        <w:rPr>
          <w:rFonts w:cs="Times New Roman"/>
          <w:szCs w:val="24"/>
        </w:rPr>
        <w:t>;</w:t>
      </w:r>
    </w:p>
    <w:p w14:paraId="001F9C72" w14:textId="08A3A38D" w:rsidR="00D90887" w:rsidRDefault="00D90887" w:rsidP="00D90887">
      <w:pPr>
        <w:pStyle w:val="Akapitzlist"/>
        <w:numPr>
          <w:ilvl w:val="0"/>
          <w:numId w:val="221"/>
        </w:numPr>
        <w:autoSpaceDE w:val="0"/>
        <w:autoSpaceDN w:val="0"/>
        <w:adjustRightInd w:val="0"/>
        <w:spacing w:before="120" w:after="120"/>
        <w:rPr>
          <w:rFonts w:cs="Times New Roman"/>
          <w:szCs w:val="24"/>
        </w:rPr>
      </w:pPr>
      <w:r>
        <w:rPr>
          <w:rFonts w:cs="Times New Roman"/>
          <w:szCs w:val="24"/>
        </w:rPr>
        <w:t>w obszarze VII</w:t>
      </w:r>
      <w:r w:rsidR="00575359">
        <w:rPr>
          <w:rFonts w:cs="Times New Roman"/>
          <w:szCs w:val="24"/>
        </w:rPr>
        <w:t xml:space="preserve"> – upowszechnianie przez Ministerstwo Edukacji </w:t>
      </w:r>
      <w:r w:rsidR="009566E2">
        <w:rPr>
          <w:rFonts w:cs="Times New Roman"/>
          <w:szCs w:val="24"/>
        </w:rPr>
        <w:t>informacji związanych z </w:t>
      </w:r>
      <w:r w:rsidR="00575359" w:rsidRPr="00575359">
        <w:rPr>
          <w:rFonts w:cs="Times New Roman"/>
          <w:szCs w:val="24"/>
        </w:rPr>
        <w:t>edukacją nieformalną</w:t>
      </w:r>
      <w:r w:rsidR="00575359">
        <w:rPr>
          <w:rFonts w:cs="Times New Roman"/>
          <w:szCs w:val="24"/>
        </w:rPr>
        <w:t xml:space="preserve"> </w:t>
      </w:r>
      <w:r w:rsidR="00575359" w:rsidRPr="00575359">
        <w:rPr>
          <w:rFonts w:cs="Times New Roman"/>
          <w:szCs w:val="24"/>
        </w:rPr>
        <w:t>w ramach  projektu dotyczącego rozwoju  Lokalnych Ośrodków Wiedzy i Edukacji</w:t>
      </w:r>
      <w:r w:rsidR="00575359">
        <w:rPr>
          <w:rFonts w:cs="Times New Roman"/>
          <w:szCs w:val="24"/>
        </w:rPr>
        <w:t>.</w:t>
      </w:r>
    </w:p>
    <w:p w14:paraId="6F5EEDBE" w14:textId="7CC5B8C0" w:rsidR="00D90887" w:rsidRDefault="00D90887" w:rsidP="00D90887">
      <w:pPr>
        <w:autoSpaceDE w:val="0"/>
        <w:autoSpaceDN w:val="0"/>
        <w:adjustRightInd w:val="0"/>
        <w:spacing w:before="120" w:after="120"/>
        <w:rPr>
          <w:rFonts w:cs="Times New Roman"/>
          <w:szCs w:val="24"/>
        </w:rPr>
      </w:pPr>
      <w:r>
        <w:rPr>
          <w:rFonts w:cs="Times New Roman"/>
          <w:szCs w:val="24"/>
        </w:rPr>
        <w:lastRenderedPageBreak/>
        <w:t>W 2020 r. były również realizowane działania adresowane do osób niesamodzielnych, przykładowo:</w:t>
      </w:r>
    </w:p>
    <w:p w14:paraId="0C8E38D9" w14:textId="0D03FAB9" w:rsidR="006B3182" w:rsidRPr="006B3182" w:rsidRDefault="00D90887" w:rsidP="006B3182">
      <w:pPr>
        <w:pStyle w:val="Akapitzlist"/>
        <w:numPr>
          <w:ilvl w:val="0"/>
          <w:numId w:val="222"/>
        </w:numPr>
        <w:autoSpaceDE w:val="0"/>
        <w:autoSpaceDN w:val="0"/>
        <w:adjustRightInd w:val="0"/>
        <w:spacing w:before="120" w:after="120"/>
        <w:rPr>
          <w:rFonts w:cs="Times New Roman"/>
          <w:szCs w:val="24"/>
        </w:rPr>
      </w:pPr>
      <w:r>
        <w:rPr>
          <w:rFonts w:cs="Times New Roman"/>
          <w:szCs w:val="24"/>
        </w:rPr>
        <w:t>w obszarze I</w:t>
      </w:r>
      <w:r w:rsidR="006B3182">
        <w:rPr>
          <w:rFonts w:cs="Times New Roman"/>
          <w:szCs w:val="24"/>
        </w:rPr>
        <w:t xml:space="preserve"> – zapewnianie </w:t>
      </w:r>
      <w:r w:rsidR="009566E2">
        <w:rPr>
          <w:rFonts w:cs="Times New Roman"/>
          <w:szCs w:val="24"/>
        </w:rPr>
        <w:t>osobom starszym</w:t>
      </w:r>
      <w:r w:rsidR="006B3182" w:rsidRPr="006B3182">
        <w:rPr>
          <w:rFonts w:cs="Times New Roman"/>
          <w:szCs w:val="24"/>
        </w:rPr>
        <w:t xml:space="preserve"> możliwości korzystania z</w:t>
      </w:r>
      <w:r w:rsidR="006B3182">
        <w:rPr>
          <w:rFonts w:cs="Times New Roman"/>
          <w:szCs w:val="24"/>
        </w:rPr>
        <w:t> </w:t>
      </w:r>
      <w:r w:rsidR="006B3182" w:rsidRPr="006B3182">
        <w:rPr>
          <w:rFonts w:cs="Times New Roman"/>
          <w:szCs w:val="24"/>
        </w:rPr>
        <w:t xml:space="preserve">systemów IT </w:t>
      </w:r>
      <w:r w:rsidR="006B3182">
        <w:rPr>
          <w:rFonts w:cs="Times New Roman"/>
          <w:szCs w:val="24"/>
        </w:rPr>
        <w:t>dzięki</w:t>
      </w:r>
      <w:r w:rsidR="006B3182" w:rsidRPr="006B3182">
        <w:rPr>
          <w:rFonts w:cs="Times New Roman"/>
          <w:szCs w:val="24"/>
        </w:rPr>
        <w:t xml:space="preserve"> wdrożeni</w:t>
      </w:r>
      <w:r w:rsidR="006B3182">
        <w:rPr>
          <w:rFonts w:cs="Times New Roman"/>
          <w:szCs w:val="24"/>
        </w:rPr>
        <w:t>u</w:t>
      </w:r>
      <w:r w:rsidR="006B3182" w:rsidRPr="006B3182">
        <w:rPr>
          <w:rFonts w:cs="Times New Roman"/>
          <w:szCs w:val="24"/>
        </w:rPr>
        <w:t xml:space="preserve"> programu Domowej Opieki Medycznej (DOM), czyli systemu zdalnego monitoringu pacjentów z COVID-19</w:t>
      </w:r>
      <w:r w:rsidR="006B3182">
        <w:rPr>
          <w:rFonts w:cs="Times New Roman"/>
          <w:szCs w:val="24"/>
        </w:rPr>
        <w:t>;</w:t>
      </w:r>
    </w:p>
    <w:p w14:paraId="67CDC622" w14:textId="055843D1" w:rsidR="006B3182" w:rsidRPr="006B3182" w:rsidRDefault="00D90887" w:rsidP="006B3182">
      <w:pPr>
        <w:pStyle w:val="Akapitzlist"/>
        <w:numPr>
          <w:ilvl w:val="0"/>
          <w:numId w:val="222"/>
        </w:numPr>
        <w:autoSpaceDE w:val="0"/>
        <w:autoSpaceDN w:val="0"/>
        <w:adjustRightInd w:val="0"/>
        <w:spacing w:before="120" w:after="120"/>
        <w:rPr>
          <w:rFonts w:cs="Times New Roman"/>
          <w:szCs w:val="24"/>
        </w:rPr>
      </w:pPr>
      <w:r>
        <w:rPr>
          <w:rFonts w:cs="Times New Roman"/>
          <w:szCs w:val="24"/>
        </w:rPr>
        <w:t>w obszarze II</w:t>
      </w:r>
      <w:r w:rsidR="006B3182">
        <w:rPr>
          <w:rFonts w:cs="Times New Roman"/>
          <w:szCs w:val="24"/>
        </w:rPr>
        <w:t xml:space="preserve"> – prowadzenie przez Ministerstwo Zdrowia w ramach Narodowego Programu Zdrowia </w:t>
      </w:r>
      <w:r w:rsidR="006B3182" w:rsidRPr="006B3182">
        <w:rPr>
          <w:rFonts w:cs="Times New Roman"/>
          <w:szCs w:val="24"/>
        </w:rPr>
        <w:t>kampanii  informacyjno-edukacyjnej, kierowanej do ogółu społeczeństwa, mającej na celu zwiększenie świadomości na temat demencji</w:t>
      </w:r>
      <w:r w:rsidR="006B3182">
        <w:rPr>
          <w:rFonts w:cs="Times New Roman"/>
          <w:szCs w:val="24"/>
        </w:rPr>
        <w:t>;</w:t>
      </w:r>
    </w:p>
    <w:p w14:paraId="3F91BBE7" w14:textId="2C291061" w:rsidR="00D90887" w:rsidRDefault="00D90887" w:rsidP="00D90887">
      <w:pPr>
        <w:pStyle w:val="Akapitzlist"/>
        <w:numPr>
          <w:ilvl w:val="0"/>
          <w:numId w:val="222"/>
        </w:numPr>
        <w:autoSpaceDE w:val="0"/>
        <w:autoSpaceDN w:val="0"/>
        <w:adjustRightInd w:val="0"/>
        <w:spacing w:before="120" w:after="120"/>
        <w:rPr>
          <w:rFonts w:cs="Times New Roman"/>
          <w:szCs w:val="24"/>
        </w:rPr>
      </w:pPr>
      <w:r>
        <w:rPr>
          <w:rFonts w:cs="Times New Roman"/>
          <w:szCs w:val="24"/>
        </w:rPr>
        <w:t>w obszarze III</w:t>
      </w:r>
      <w:r w:rsidR="006B3182">
        <w:rPr>
          <w:rFonts w:cs="Times New Roman"/>
          <w:szCs w:val="24"/>
        </w:rPr>
        <w:t xml:space="preserve"> – tworzenie Dziennych Domów Opieki Medycznej, których funkcjonowanie</w:t>
      </w:r>
      <w:r w:rsidR="006B3182" w:rsidRPr="006B3182">
        <w:rPr>
          <w:rFonts w:cs="Times New Roman"/>
          <w:szCs w:val="24"/>
        </w:rPr>
        <w:t xml:space="preserve"> jest obecnie finansowane ze środków Europejskiego Funduszu Społecznego w ramach Regionalnych Programów Operacyjnych</w:t>
      </w:r>
      <w:r w:rsidR="006B3182">
        <w:rPr>
          <w:rFonts w:cs="Times New Roman"/>
          <w:szCs w:val="24"/>
        </w:rPr>
        <w:t>;</w:t>
      </w:r>
    </w:p>
    <w:p w14:paraId="594A126D" w14:textId="27A3497E" w:rsidR="00D90887" w:rsidRPr="006B3182" w:rsidRDefault="00D90887" w:rsidP="006B3182">
      <w:pPr>
        <w:pStyle w:val="Akapitzlist"/>
        <w:numPr>
          <w:ilvl w:val="0"/>
          <w:numId w:val="222"/>
        </w:numPr>
        <w:autoSpaceDE w:val="0"/>
        <w:autoSpaceDN w:val="0"/>
        <w:adjustRightInd w:val="0"/>
        <w:spacing w:before="120" w:after="120"/>
        <w:rPr>
          <w:rFonts w:cs="Times New Roman"/>
          <w:szCs w:val="24"/>
        </w:rPr>
      </w:pPr>
      <w:r>
        <w:rPr>
          <w:rFonts w:cs="Times New Roman"/>
          <w:szCs w:val="24"/>
        </w:rPr>
        <w:t>w obszarze IV</w:t>
      </w:r>
      <w:r w:rsidR="006B3182">
        <w:rPr>
          <w:rFonts w:cs="Times New Roman"/>
          <w:szCs w:val="24"/>
        </w:rPr>
        <w:t xml:space="preserve"> – </w:t>
      </w:r>
      <w:r w:rsidR="006B3182" w:rsidRPr="006B3182">
        <w:rPr>
          <w:rFonts w:cs="Times New Roman"/>
          <w:szCs w:val="24"/>
        </w:rPr>
        <w:t>wspieranie organizowania opieki krótkoterminowej nad osobami niesamodzielnymi poprzez rozwijanie usług społecznych świadczonych w społeczności lokalnej.</w:t>
      </w:r>
    </w:p>
    <w:p w14:paraId="1315C927" w14:textId="41DD3778" w:rsidR="000A74B3" w:rsidRPr="00E02A72" w:rsidRDefault="00845F30" w:rsidP="00EE3921">
      <w:pPr>
        <w:autoSpaceDE w:val="0"/>
        <w:autoSpaceDN w:val="0"/>
        <w:adjustRightInd w:val="0"/>
        <w:spacing w:before="120" w:after="120"/>
        <w:rPr>
          <w:rFonts w:cs="Times New Roman"/>
          <w:szCs w:val="24"/>
        </w:rPr>
      </w:pPr>
      <w:r>
        <w:rPr>
          <w:rFonts w:cs="Times New Roman"/>
          <w:szCs w:val="24"/>
        </w:rPr>
        <w:t xml:space="preserve">Powyższe </w:t>
      </w:r>
      <w:r w:rsidR="006A38A8">
        <w:rPr>
          <w:rFonts w:cs="Times New Roman"/>
          <w:szCs w:val="24"/>
        </w:rPr>
        <w:t>aktywności</w:t>
      </w:r>
      <w:r>
        <w:rPr>
          <w:rFonts w:cs="Times New Roman"/>
          <w:szCs w:val="24"/>
        </w:rPr>
        <w:t xml:space="preserve"> stanowią jedynie przykłady </w:t>
      </w:r>
      <w:r w:rsidR="006A38A8">
        <w:rPr>
          <w:rFonts w:cs="Times New Roman"/>
          <w:szCs w:val="24"/>
        </w:rPr>
        <w:t xml:space="preserve">inicjatyw zrealizowanych na rzecz osób starszych w 2020 r. Szczegółowe zestawienie działań adresowanych do seniorów w ramach </w:t>
      </w:r>
      <w:r w:rsidR="006A38A8" w:rsidRPr="006A38A8">
        <w:rPr>
          <w:rFonts w:cs="Times New Roman"/>
          <w:i/>
          <w:iCs/>
          <w:szCs w:val="24"/>
        </w:rPr>
        <w:t>Polityki społecznej wobec osób starszych 2030. Bezpieczeństwo – Uczestnictwo – Solidarność</w:t>
      </w:r>
      <w:r w:rsidR="006A38A8">
        <w:rPr>
          <w:rFonts w:cs="Times New Roman"/>
          <w:szCs w:val="24"/>
        </w:rPr>
        <w:t xml:space="preserve"> </w:t>
      </w:r>
      <w:r w:rsidR="00E02A72" w:rsidRPr="00E02A72">
        <w:rPr>
          <w:rFonts w:cs="Times New Roman"/>
          <w:szCs w:val="24"/>
        </w:rPr>
        <w:t>został</w:t>
      </w:r>
      <w:r w:rsidR="006A38A8">
        <w:rPr>
          <w:rFonts w:cs="Times New Roman"/>
          <w:szCs w:val="24"/>
        </w:rPr>
        <w:t>y</w:t>
      </w:r>
      <w:r w:rsidR="00E02A72" w:rsidRPr="00E02A72">
        <w:rPr>
          <w:rFonts w:cs="Times New Roman"/>
          <w:szCs w:val="24"/>
        </w:rPr>
        <w:t xml:space="preserve"> zamieszczone </w:t>
      </w:r>
      <w:r w:rsidR="00255CE2" w:rsidRPr="00E02A72">
        <w:rPr>
          <w:rFonts w:cs="Times New Roman"/>
          <w:szCs w:val="24"/>
        </w:rPr>
        <w:t>w poni</w:t>
      </w:r>
      <w:r w:rsidR="00E02A72" w:rsidRPr="00E02A72">
        <w:rPr>
          <w:rFonts w:cs="Times New Roman"/>
          <w:szCs w:val="24"/>
        </w:rPr>
        <w:t>ższej tabeli</w:t>
      </w:r>
      <w:r w:rsidR="00255CE2" w:rsidRPr="00E02A72">
        <w:rPr>
          <w:rFonts w:cs="Times New Roman"/>
          <w:szCs w:val="24"/>
        </w:rPr>
        <w:t>.</w:t>
      </w:r>
    </w:p>
    <w:p w14:paraId="45D292BE" w14:textId="77777777" w:rsidR="00255CE2" w:rsidRPr="0092226B" w:rsidRDefault="00255CE2" w:rsidP="00EE3921">
      <w:pPr>
        <w:autoSpaceDE w:val="0"/>
        <w:autoSpaceDN w:val="0"/>
        <w:adjustRightInd w:val="0"/>
        <w:spacing w:before="120" w:after="120"/>
        <w:rPr>
          <w:rFonts w:cs="Times New Roman"/>
          <w:bCs/>
          <w:color w:val="FF0000"/>
          <w:szCs w:val="24"/>
        </w:rPr>
      </w:pPr>
    </w:p>
    <w:p w14:paraId="3A5457FE" w14:textId="77777777" w:rsidR="00311D18" w:rsidRPr="0092226B" w:rsidRDefault="00311D18" w:rsidP="003C1988">
      <w:pPr>
        <w:autoSpaceDE w:val="0"/>
        <w:autoSpaceDN w:val="0"/>
        <w:adjustRightInd w:val="0"/>
        <w:spacing w:before="120" w:after="120"/>
        <w:rPr>
          <w:rFonts w:cs="Times New Roman"/>
          <w:bCs/>
          <w:color w:val="FF0000"/>
          <w:szCs w:val="24"/>
        </w:rPr>
      </w:pPr>
    </w:p>
    <w:p w14:paraId="50C0845D" w14:textId="77777777" w:rsidR="00311D18" w:rsidRPr="0092226B" w:rsidRDefault="00311D18" w:rsidP="003C1988">
      <w:pPr>
        <w:autoSpaceDE w:val="0"/>
        <w:autoSpaceDN w:val="0"/>
        <w:adjustRightInd w:val="0"/>
        <w:spacing w:before="120" w:after="120"/>
        <w:rPr>
          <w:rFonts w:cs="Times New Roman"/>
          <w:bCs/>
          <w:color w:val="FF0000"/>
          <w:szCs w:val="24"/>
        </w:rPr>
      </w:pPr>
    </w:p>
    <w:p w14:paraId="04A2BC81" w14:textId="77777777" w:rsidR="00311D18" w:rsidRPr="0092226B" w:rsidRDefault="00311D18" w:rsidP="003C1988">
      <w:pPr>
        <w:autoSpaceDE w:val="0"/>
        <w:autoSpaceDN w:val="0"/>
        <w:adjustRightInd w:val="0"/>
        <w:spacing w:before="120" w:after="120"/>
        <w:rPr>
          <w:rFonts w:cs="Times New Roman"/>
          <w:bCs/>
          <w:color w:val="FF0000"/>
          <w:szCs w:val="24"/>
        </w:rPr>
      </w:pPr>
    </w:p>
    <w:p w14:paraId="722656BC" w14:textId="77777777" w:rsidR="00311D18" w:rsidRPr="0092226B" w:rsidRDefault="00311D18" w:rsidP="003C1988">
      <w:pPr>
        <w:autoSpaceDE w:val="0"/>
        <w:autoSpaceDN w:val="0"/>
        <w:adjustRightInd w:val="0"/>
        <w:spacing w:before="120" w:after="120"/>
        <w:rPr>
          <w:rFonts w:cs="Times New Roman"/>
          <w:bCs/>
          <w:color w:val="FF0000"/>
          <w:szCs w:val="24"/>
        </w:rPr>
      </w:pPr>
    </w:p>
    <w:p w14:paraId="43DA5B24" w14:textId="77777777" w:rsidR="00311D18" w:rsidRPr="0092226B" w:rsidRDefault="00311D18" w:rsidP="003C1988">
      <w:pPr>
        <w:autoSpaceDE w:val="0"/>
        <w:autoSpaceDN w:val="0"/>
        <w:adjustRightInd w:val="0"/>
        <w:spacing w:before="120" w:after="120"/>
        <w:rPr>
          <w:rFonts w:cs="Times New Roman"/>
          <w:bCs/>
          <w:color w:val="FF0000"/>
          <w:szCs w:val="24"/>
        </w:rPr>
      </w:pPr>
    </w:p>
    <w:p w14:paraId="2AE73CD6" w14:textId="77777777" w:rsidR="00311D18" w:rsidRPr="0092226B" w:rsidRDefault="00311D18" w:rsidP="003C1988">
      <w:pPr>
        <w:autoSpaceDE w:val="0"/>
        <w:autoSpaceDN w:val="0"/>
        <w:adjustRightInd w:val="0"/>
        <w:spacing w:before="120" w:after="120"/>
        <w:rPr>
          <w:rFonts w:cs="Times New Roman"/>
          <w:bCs/>
          <w:color w:val="FF0000"/>
          <w:szCs w:val="24"/>
        </w:rPr>
      </w:pPr>
    </w:p>
    <w:p w14:paraId="04159F89" w14:textId="77777777" w:rsidR="00311D18" w:rsidRPr="0092226B" w:rsidRDefault="00311D18" w:rsidP="003C1988">
      <w:pPr>
        <w:autoSpaceDE w:val="0"/>
        <w:autoSpaceDN w:val="0"/>
        <w:adjustRightInd w:val="0"/>
        <w:spacing w:before="120" w:after="120"/>
        <w:rPr>
          <w:rFonts w:cs="Times New Roman"/>
          <w:bCs/>
          <w:color w:val="FF0000"/>
          <w:szCs w:val="24"/>
        </w:rPr>
      </w:pPr>
    </w:p>
    <w:p w14:paraId="4C95EA50" w14:textId="77777777" w:rsidR="00311D18" w:rsidRPr="0092226B" w:rsidRDefault="00311D18" w:rsidP="003C1988">
      <w:pPr>
        <w:autoSpaceDE w:val="0"/>
        <w:autoSpaceDN w:val="0"/>
        <w:adjustRightInd w:val="0"/>
        <w:spacing w:before="120" w:after="120"/>
        <w:rPr>
          <w:rFonts w:cs="Times New Roman"/>
          <w:bCs/>
          <w:color w:val="FF0000"/>
          <w:szCs w:val="24"/>
        </w:rPr>
      </w:pPr>
    </w:p>
    <w:p w14:paraId="2E4AEAF6" w14:textId="77777777" w:rsidR="00311D18" w:rsidRPr="0092226B" w:rsidRDefault="00311D18" w:rsidP="003C1988">
      <w:pPr>
        <w:autoSpaceDE w:val="0"/>
        <w:autoSpaceDN w:val="0"/>
        <w:adjustRightInd w:val="0"/>
        <w:spacing w:before="120" w:after="120"/>
        <w:rPr>
          <w:rFonts w:cs="Times New Roman"/>
          <w:bCs/>
          <w:color w:val="FF0000"/>
          <w:szCs w:val="24"/>
        </w:rPr>
      </w:pPr>
    </w:p>
    <w:p w14:paraId="0B24A86D" w14:textId="77777777" w:rsidR="00311D18" w:rsidRPr="0092226B" w:rsidRDefault="00311D18" w:rsidP="003C1988">
      <w:pPr>
        <w:autoSpaceDE w:val="0"/>
        <w:autoSpaceDN w:val="0"/>
        <w:adjustRightInd w:val="0"/>
        <w:spacing w:before="120" w:after="120"/>
        <w:rPr>
          <w:rFonts w:cs="Times New Roman"/>
          <w:bCs/>
          <w:color w:val="FF0000"/>
          <w:szCs w:val="24"/>
        </w:rPr>
      </w:pPr>
    </w:p>
    <w:p w14:paraId="185E14E6" w14:textId="77777777" w:rsidR="00311D18" w:rsidRPr="0092226B" w:rsidRDefault="00311D18" w:rsidP="003C1988">
      <w:pPr>
        <w:autoSpaceDE w:val="0"/>
        <w:autoSpaceDN w:val="0"/>
        <w:adjustRightInd w:val="0"/>
        <w:spacing w:before="120" w:after="120"/>
        <w:rPr>
          <w:rFonts w:cs="Times New Roman"/>
          <w:bCs/>
          <w:color w:val="FF0000"/>
          <w:szCs w:val="24"/>
        </w:rPr>
      </w:pPr>
    </w:p>
    <w:p w14:paraId="6C5470FA" w14:textId="77777777" w:rsidR="00311D18" w:rsidRPr="0092226B" w:rsidRDefault="00311D18" w:rsidP="003C1988">
      <w:pPr>
        <w:autoSpaceDE w:val="0"/>
        <w:autoSpaceDN w:val="0"/>
        <w:adjustRightInd w:val="0"/>
        <w:spacing w:before="120" w:after="120"/>
        <w:rPr>
          <w:rFonts w:cs="Times New Roman"/>
          <w:bCs/>
          <w:color w:val="FF0000"/>
          <w:szCs w:val="24"/>
        </w:rPr>
        <w:sectPr w:rsidR="00311D18" w:rsidRPr="0092226B" w:rsidSect="00FC210F">
          <w:pgSz w:w="11906" w:h="16840"/>
          <w:pgMar w:top="1418" w:right="1418" w:bottom="1417" w:left="1418" w:header="708" w:footer="708" w:gutter="0"/>
          <w:cols w:space="708"/>
          <w:docGrid w:linePitch="360"/>
        </w:sectPr>
      </w:pPr>
    </w:p>
    <w:p w14:paraId="7E7F1436" w14:textId="0A6EDA88" w:rsidR="004D48DD" w:rsidRPr="00A871AD" w:rsidRDefault="004D48DD" w:rsidP="004D48DD">
      <w:pPr>
        <w:pStyle w:val="Legenda"/>
        <w:keepNext/>
        <w:rPr>
          <w:rFonts w:cs="Times New Roman"/>
          <w:b/>
          <w:i w:val="0"/>
          <w:color w:val="auto"/>
          <w:sz w:val="24"/>
        </w:rPr>
      </w:pPr>
      <w:bookmarkStart w:id="339" w:name="_Toc49171446"/>
      <w:r w:rsidRPr="00A871AD">
        <w:rPr>
          <w:rFonts w:cs="Times New Roman"/>
          <w:b/>
          <w:i w:val="0"/>
          <w:color w:val="auto"/>
          <w:sz w:val="24"/>
        </w:rPr>
        <w:lastRenderedPageBreak/>
        <w:t xml:space="preserve">Tabela </w:t>
      </w:r>
      <w:r w:rsidR="00A871AD" w:rsidRPr="00A871AD">
        <w:rPr>
          <w:rFonts w:cs="Times New Roman"/>
          <w:b/>
          <w:i w:val="0"/>
          <w:color w:val="auto"/>
          <w:sz w:val="24"/>
        </w:rPr>
        <w:t>81</w:t>
      </w:r>
      <w:r w:rsidR="000C7777">
        <w:rPr>
          <w:rFonts w:cs="Times New Roman"/>
          <w:b/>
          <w:i w:val="0"/>
          <w:color w:val="auto"/>
          <w:sz w:val="24"/>
        </w:rPr>
        <w:t>.</w:t>
      </w:r>
      <w:r w:rsidRPr="00A871AD">
        <w:rPr>
          <w:rFonts w:cs="Times New Roman"/>
          <w:b/>
          <w:i w:val="0"/>
          <w:color w:val="auto"/>
          <w:sz w:val="24"/>
        </w:rPr>
        <w:t xml:space="preserve"> Sprawozdanie z realizacji działań ujętych w Polityce społecznej wobec osób starszych 2030. Bezpieczeństwo - Uczestnictwo </w:t>
      </w:r>
      <w:r w:rsidR="005556D4">
        <w:rPr>
          <w:rFonts w:cs="Times New Roman"/>
          <w:b/>
          <w:i w:val="0"/>
          <w:color w:val="auto"/>
          <w:sz w:val="24"/>
        </w:rPr>
        <w:t>–</w:t>
      </w:r>
      <w:r w:rsidRPr="00A871AD">
        <w:rPr>
          <w:rFonts w:cs="Times New Roman"/>
          <w:b/>
          <w:i w:val="0"/>
          <w:color w:val="auto"/>
          <w:sz w:val="24"/>
        </w:rPr>
        <w:t xml:space="preserve"> Solidarność</w:t>
      </w:r>
      <w:bookmarkEnd w:id="339"/>
      <w:r w:rsidR="005556D4">
        <w:rPr>
          <w:rFonts w:cs="Times New Roman"/>
          <w:b/>
          <w:i w:val="0"/>
          <w:color w:val="auto"/>
          <w:sz w:val="24"/>
        </w:rPr>
        <w:t xml:space="preserve"> (M.P. poz. 1169)</w:t>
      </w:r>
    </w:p>
    <w:tbl>
      <w:tblPr>
        <w:tblStyle w:val="Tabelasiatki6kolorowaakcent23"/>
        <w:tblpPr w:leftFromText="142" w:rightFromText="142" w:vertAnchor="text" w:tblpXSpec="center" w:tblpY="1"/>
        <w:tblW w:w="13996" w:type="dxa"/>
        <w:tblLayout w:type="fixed"/>
        <w:tblLook w:val="04A0" w:firstRow="1" w:lastRow="0" w:firstColumn="1" w:lastColumn="0" w:noHBand="0" w:noVBand="1"/>
      </w:tblPr>
      <w:tblGrid>
        <w:gridCol w:w="1232"/>
        <w:gridCol w:w="3594"/>
        <w:gridCol w:w="2032"/>
        <w:gridCol w:w="1500"/>
        <w:gridCol w:w="5638"/>
      </w:tblGrid>
      <w:tr w:rsidR="0092226B" w:rsidRPr="0092226B" w14:paraId="23E9CC1B" w14:textId="77777777" w:rsidTr="005321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6" w:type="dxa"/>
            <w:gridSpan w:val="5"/>
          </w:tcPr>
          <w:p w14:paraId="6C37634F" w14:textId="77777777" w:rsidR="00311D18" w:rsidRPr="00532128" w:rsidRDefault="00311D18" w:rsidP="00764758">
            <w:pPr>
              <w:jc w:val="center"/>
              <w:rPr>
                <w:rFonts w:cs="Times New Roman"/>
                <w:color w:val="auto"/>
                <w:sz w:val="20"/>
              </w:rPr>
            </w:pPr>
            <w:r w:rsidRPr="00532128">
              <w:rPr>
                <w:rFonts w:cs="Times New Roman"/>
                <w:color w:val="auto"/>
                <w:sz w:val="20"/>
              </w:rPr>
              <w:t>POLITYKA SPOŁECZNA WOBEC OSÓB STARSZYCH 2030. BEZPIECZEŃŚTWO-UCZESTNICTWO-SOLIDARNOŚĆ</w:t>
            </w:r>
          </w:p>
        </w:tc>
      </w:tr>
      <w:tr w:rsidR="0092226B" w:rsidRPr="0092226B" w14:paraId="712CB4BD" w14:textId="77777777" w:rsidTr="00532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6" w:type="dxa"/>
            <w:gridSpan w:val="5"/>
          </w:tcPr>
          <w:p w14:paraId="5B47EBC4" w14:textId="2281B22A" w:rsidR="00311D18" w:rsidRPr="00532128" w:rsidRDefault="00311D18" w:rsidP="00764758">
            <w:pPr>
              <w:jc w:val="center"/>
              <w:rPr>
                <w:rFonts w:cs="Times New Roman"/>
                <w:color w:val="auto"/>
                <w:sz w:val="20"/>
              </w:rPr>
            </w:pPr>
            <w:r w:rsidRPr="00532128">
              <w:rPr>
                <w:rFonts w:cs="Times New Roman"/>
                <w:color w:val="auto"/>
                <w:sz w:val="20"/>
              </w:rPr>
              <w:t>SPRAWOZDANIE Z REALIZACJI DZIAŁAŃ W 20</w:t>
            </w:r>
            <w:r w:rsidR="00532128">
              <w:rPr>
                <w:rFonts w:cs="Times New Roman"/>
                <w:color w:val="auto"/>
                <w:sz w:val="20"/>
              </w:rPr>
              <w:t>20</w:t>
            </w:r>
            <w:r w:rsidRPr="00532128">
              <w:rPr>
                <w:rFonts w:cs="Times New Roman"/>
                <w:color w:val="auto"/>
                <w:sz w:val="20"/>
              </w:rPr>
              <w:t xml:space="preserve"> R.</w:t>
            </w:r>
          </w:p>
        </w:tc>
      </w:tr>
      <w:tr w:rsidR="0092226B" w:rsidRPr="0092226B" w14:paraId="611A23D8" w14:textId="77777777" w:rsidTr="009566E2">
        <w:tc>
          <w:tcPr>
            <w:cnfStyle w:val="001000000000" w:firstRow="0" w:lastRow="0" w:firstColumn="1" w:lastColumn="0" w:oddVBand="0" w:evenVBand="0" w:oddHBand="0" w:evenHBand="0" w:firstRowFirstColumn="0" w:firstRowLastColumn="0" w:lastRowFirstColumn="0" w:lastRowLastColumn="0"/>
            <w:tcW w:w="1232" w:type="dxa"/>
          </w:tcPr>
          <w:p w14:paraId="5B1E9E23" w14:textId="77777777" w:rsidR="00311D18" w:rsidRPr="00532128" w:rsidRDefault="00311D18" w:rsidP="003C1988">
            <w:pPr>
              <w:rPr>
                <w:rFonts w:cs="Times New Roman"/>
                <w:color w:val="auto"/>
                <w:sz w:val="20"/>
              </w:rPr>
            </w:pPr>
            <w:r w:rsidRPr="00532128">
              <w:rPr>
                <w:rFonts w:cs="Times New Roman"/>
                <w:color w:val="auto"/>
                <w:sz w:val="20"/>
              </w:rPr>
              <w:t>Obszar działań</w:t>
            </w:r>
          </w:p>
        </w:tc>
        <w:tc>
          <w:tcPr>
            <w:tcW w:w="3594" w:type="dxa"/>
          </w:tcPr>
          <w:p w14:paraId="40A578B6"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cs="Times New Roman"/>
                <w:b/>
                <w:color w:val="auto"/>
                <w:sz w:val="20"/>
              </w:rPr>
            </w:pPr>
            <w:r w:rsidRPr="00532128">
              <w:rPr>
                <w:rFonts w:cs="Times New Roman"/>
                <w:b/>
                <w:color w:val="auto"/>
                <w:sz w:val="20"/>
              </w:rPr>
              <w:t>Działanie szczegółowe</w:t>
            </w:r>
          </w:p>
        </w:tc>
        <w:tc>
          <w:tcPr>
            <w:tcW w:w="2032" w:type="dxa"/>
            <w:vAlign w:val="center"/>
          </w:tcPr>
          <w:p w14:paraId="2714A959" w14:textId="77777777" w:rsidR="00311D18" w:rsidRPr="00532128" w:rsidRDefault="00311D18" w:rsidP="009566E2">
            <w:pPr>
              <w:jc w:val="left"/>
              <w:cnfStyle w:val="000000000000" w:firstRow="0" w:lastRow="0" w:firstColumn="0" w:lastColumn="0" w:oddVBand="0" w:evenVBand="0" w:oddHBand="0" w:evenHBand="0" w:firstRowFirstColumn="0" w:firstRowLastColumn="0" w:lastRowFirstColumn="0" w:lastRowLastColumn="0"/>
              <w:rPr>
                <w:rFonts w:cs="Times New Roman"/>
                <w:b/>
                <w:color w:val="auto"/>
                <w:sz w:val="20"/>
              </w:rPr>
            </w:pPr>
            <w:r w:rsidRPr="00532128">
              <w:rPr>
                <w:rFonts w:cs="Times New Roman"/>
                <w:b/>
                <w:color w:val="auto"/>
                <w:sz w:val="20"/>
              </w:rPr>
              <w:t xml:space="preserve">Podmiot Koordynujący </w:t>
            </w:r>
            <w:r w:rsidRPr="00532128">
              <w:rPr>
                <w:rFonts w:cs="Times New Roman"/>
                <w:b/>
                <w:color w:val="auto"/>
                <w:sz w:val="20"/>
              </w:rPr>
              <w:br/>
              <w:t>(w porozumieniu</w:t>
            </w:r>
            <w:r w:rsidRPr="00532128">
              <w:rPr>
                <w:rFonts w:cs="Times New Roman"/>
                <w:b/>
                <w:color w:val="auto"/>
                <w:sz w:val="20"/>
              </w:rPr>
              <w:br/>
              <w:t xml:space="preserve"> z podmiotami współpracującymi)</w:t>
            </w:r>
          </w:p>
        </w:tc>
        <w:tc>
          <w:tcPr>
            <w:tcW w:w="1500" w:type="dxa"/>
          </w:tcPr>
          <w:p w14:paraId="5EB17CE5"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cs="Times New Roman"/>
                <w:b/>
                <w:color w:val="auto"/>
                <w:sz w:val="20"/>
              </w:rPr>
            </w:pPr>
            <w:r w:rsidRPr="00532128">
              <w:rPr>
                <w:rFonts w:cs="Times New Roman"/>
                <w:b/>
                <w:color w:val="auto"/>
                <w:sz w:val="20"/>
              </w:rPr>
              <w:t>Zaplanowany termin realizacji</w:t>
            </w:r>
          </w:p>
        </w:tc>
        <w:tc>
          <w:tcPr>
            <w:tcW w:w="5638" w:type="dxa"/>
          </w:tcPr>
          <w:p w14:paraId="5A11348E" w14:textId="77777777" w:rsidR="00311D18" w:rsidRPr="00532128" w:rsidRDefault="00D24DF9" w:rsidP="003C1988">
            <w:pPr>
              <w:cnfStyle w:val="000000000000" w:firstRow="0" w:lastRow="0" w:firstColumn="0" w:lastColumn="0" w:oddVBand="0" w:evenVBand="0" w:oddHBand="0" w:evenHBand="0" w:firstRowFirstColumn="0" w:firstRowLastColumn="0" w:lastRowFirstColumn="0" w:lastRowLastColumn="0"/>
              <w:rPr>
                <w:rFonts w:cs="Times New Roman"/>
                <w:b/>
                <w:color w:val="auto"/>
                <w:sz w:val="20"/>
              </w:rPr>
            </w:pPr>
            <w:r w:rsidRPr="00532128">
              <w:rPr>
                <w:rFonts w:cs="Times New Roman"/>
                <w:b/>
                <w:color w:val="auto"/>
                <w:sz w:val="20"/>
              </w:rPr>
              <w:t xml:space="preserve">Efekt  działań w odniesieniu </w:t>
            </w:r>
            <w:r w:rsidR="00311D18" w:rsidRPr="00532128">
              <w:rPr>
                <w:rFonts w:cs="Times New Roman"/>
                <w:b/>
                <w:color w:val="auto"/>
                <w:sz w:val="20"/>
              </w:rPr>
              <w:t>do sposobu monitorowania</w:t>
            </w:r>
          </w:p>
        </w:tc>
      </w:tr>
      <w:tr w:rsidR="0092226B" w:rsidRPr="0092226B" w14:paraId="5A433810" w14:textId="77777777" w:rsidTr="005321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6" w:type="dxa"/>
            <w:gridSpan w:val="5"/>
          </w:tcPr>
          <w:p w14:paraId="42DE03C3" w14:textId="77777777" w:rsidR="00311D18" w:rsidRPr="00532128" w:rsidRDefault="00311D18" w:rsidP="003C1988">
            <w:pPr>
              <w:rPr>
                <w:rFonts w:cs="Times New Roman"/>
                <w:color w:val="auto"/>
                <w:sz w:val="20"/>
              </w:rPr>
            </w:pPr>
            <w:r w:rsidRPr="00532128">
              <w:rPr>
                <w:rFonts w:cs="Times New Roman"/>
                <w:color w:val="auto"/>
                <w:sz w:val="20"/>
              </w:rPr>
              <w:t>OBSZARY SKIEROWANE DO OGÓŁU OSÓB STARSZYCH</w:t>
            </w:r>
          </w:p>
        </w:tc>
      </w:tr>
      <w:tr w:rsidR="0092226B" w:rsidRPr="0092226B" w14:paraId="2D3597E5" w14:textId="77777777" w:rsidTr="002D4784">
        <w:trPr>
          <w:trHeight w:val="950"/>
        </w:trPr>
        <w:tc>
          <w:tcPr>
            <w:cnfStyle w:val="001000000000" w:firstRow="0" w:lastRow="0" w:firstColumn="1" w:lastColumn="0" w:oddVBand="0" w:evenVBand="0" w:oddHBand="0" w:evenHBand="0" w:firstRowFirstColumn="0" w:firstRowLastColumn="0" w:lastRowFirstColumn="0" w:lastRowLastColumn="0"/>
            <w:tcW w:w="1232" w:type="dxa"/>
            <w:vMerge w:val="restart"/>
            <w:textDirection w:val="btLr"/>
          </w:tcPr>
          <w:p w14:paraId="5FCAB10D" w14:textId="77777777" w:rsidR="00311D18" w:rsidRPr="00532128" w:rsidRDefault="000B7165" w:rsidP="00532128">
            <w:pPr>
              <w:ind w:left="113" w:right="113"/>
              <w:rPr>
                <w:rFonts w:cs="Times New Roman"/>
                <w:color w:val="auto"/>
                <w:sz w:val="20"/>
              </w:rPr>
            </w:pPr>
            <w:r w:rsidRPr="00532128">
              <w:rPr>
                <w:rFonts w:cs="Times New Roman"/>
                <w:color w:val="auto"/>
                <w:sz w:val="20"/>
              </w:rPr>
              <w:t>Obszar I</w:t>
            </w:r>
          </w:p>
        </w:tc>
        <w:tc>
          <w:tcPr>
            <w:tcW w:w="3594" w:type="dxa"/>
            <w:vMerge w:val="restart"/>
          </w:tcPr>
          <w:p w14:paraId="7DF7277F" w14:textId="77777777" w:rsidR="00311D18" w:rsidRPr="00532128" w:rsidRDefault="00311D18" w:rsidP="002D4784">
            <w:pPr>
              <w:pStyle w:val="Akapitzlist"/>
              <w:ind w:left="0"/>
              <w:jc w:val="left"/>
              <w:cnfStyle w:val="000000000000" w:firstRow="0" w:lastRow="0" w:firstColumn="0" w:lastColumn="0" w:oddVBand="0" w:evenVBand="0" w:oddHBand="0" w:evenHBand="0" w:firstRowFirstColumn="0" w:firstRowLastColumn="0" w:lastRowFirstColumn="0" w:lastRowLastColumn="0"/>
              <w:rPr>
                <w:rFonts w:cs="Times New Roman"/>
                <w:iCs/>
                <w:color w:val="auto"/>
                <w:sz w:val="20"/>
                <w:shd w:val="clear" w:color="auto" w:fill="FFFFFF"/>
              </w:rPr>
            </w:pPr>
            <w:r w:rsidRPr="00532128">
              <w:rPr>
                <w:rFonts w:eastAsia="MS Mincho" w:cs="Times New Roman"/>
                <w:color w:val="auto"/>
                <w:sz w:val="20"/>
              </w:rPr>
              <w:t>Realizacja w podstawie programowej kwestii związanych z przygotowaniem do starości i integracją międzypokoleniową</w:t>
            </w:r>
          </w:p>
        </w:tc>
        <w:tc>
          <w:tcPr>
            <w:tcW w:w="2032" w:type="dxa"/>
            <w:vMerge w:val="restart"/>
          </w:tcPr>
          <w:p w14:paraId="0DB322EF"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532128">
              <w:rPr>
                <w:rFonts w:eastAsia="MS Mincho" w:cs="Times New Roman"/>
                <w:color w:val="auto"/>
                <w:sz w:val="20"/>
              </w:rPr>
              <w:t xml:space="preserve">Ministerstwo Edukacji </w:t>
            </w:r>
            <w:r w:rsidR="00A54F0F" w:rsidRPr="00532128">
              <w:rPr>
                <w:rFonts w:eastAsia="MS Mincho" w:cs="Times New Roman"/>
                <w:color w:val="auto"/>
                <w:sz w:val="20"/>
              </w:rPr>
              <w:t>i Nauki</w:t>
            </w:r>
          </w:p>
        </w:tc>
        <w:tc>
          <w:tcPr>
            <w:tcW w:w="1500" w:type="dxa"/>
            <w:vMerge w:val="restart"/>
          </w:tcPr>
          <w:p w14:paraId="2C4FDE9A"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532128">
              <w:rPr>
                <w:rFonts w:cs="Times New Roman"/>
                <w:color w:val="auto"/>
                <w:sz w:val="20"/>
              </w:rPr>
              <w:t>Działanie ciągłe*</w:t>
            </w:r>
          </w:p>
        </w:tc>
        <w:tc>
          <w:tcPr>
            <w:tcW w:w="5638" w:type="dxa"/>
          </w:tcPr>
          <w:p w14:paraId="0F1B8121"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cs="Times New Roman"/>
                <w:i/>
                <w:color w:val="auto"/>
                <w:sz w:val="20"/>
              </w:rPr>
              <w:t>Realizacja podstawy programowej poszczególnych przedmiotów</w:t>
            </w:r>
          </w:p>
        </w:tc>
      </w:tr>
      <w:tr w:rsidR="0092226B" w:rsidRPr="0092226B" w14:paraId="62240D07" w14:textId="77777777" w:rsidTr="002D4784">
        <w:trPr>
          <w:cnfStyle w:val="000000100000" w:firstRow="0" w:lastRow="0" w:firstColumn="0" w:lastColumn="0" w:oddVBand="0" w:evenVBand="0" w:oddHBand="1" w:evenHBand="0" w:firstRowFirstColumn="0" w:firstRowLastColumn="0" w:lastRowFirstColumn="0" w:lastRowLastColumn="0"/>
          <w:trHeight w:val="1298"/>
        </w:trPr>
        <w:tc>
          <w:tcPr>
            <w:cnfStyle w:val="001000000000" w:firstRow="0" w:lastRow="0" w:firstColumn="1" w:lastColumn="0" w:oddVBand="0" w:evenVBand="0" w:oddHBand="0" w:evenHBand="0" w:firstRowFirstColumn="0" w:firstRowLastColumn="0" w:lastRowFirstColumn="0" w:lastRowLastColumn="0"/>
            <w:tcW w:w="1232" w:type="dxa"/>
            <w:vMerge/>
          </w:tcPr>
          <w:p w14:paraId="7C10FBE9" w14:textId="77777777" w:rsidR="00311D18" w:rsidRPr="00532128" w:rsidRDefault="00311D18" w:rsidP="003C1988">
            <w:pPr>
              <w:rPr>
                <w:rFonts w:cs="Times New Roman"/>
                <w:color w:val="auto"/>
                <w:sz w:val="20"/>
              </w:rPr>
            </w:pPr>
          </w:p>
        </w:tc>
        <w:tc>
          <w:tcPr>
            <w:tcW w:w="3594" w:type="dxa"/>
            <w:vMerge/>
          </w:tcPr>
          <w:p w14:paraId="329D240A" w14:textId="77777777" w:rsidR="00311D18" w:rsidRPr="00532128" w:rsidRDefault="00311D18" w:rsidP="002D4784">
            <w:pPr>
              <w:pStyle w:val="Akapitzlist"/>
              <w:ind w:left="0"/>
              <w:jc w:val="left"/>
              <w:cnfStyle w:val="000000100000" w:firstRow="0" w:lastRow="0" w:firstColumn="0" w:lastColumn="0" w:oddVBand="0" w:evenVBand="0" w:oddHBand="1" w:evenHBand="0" w:firstRowFirstColumn="0" w:firstRowLastColumn="0" w:lastRowFirstColumn="0" w:lastRowLastColumn="0"/>
              <w:rPr>
                <w:rStyle w:val="Teksttreci5"/>
                <w:rFonts w:cs="Times New Roman"/>
                <w:color w:val="auto"/>
                <w:sz w:val="20"/>
                <w:szCs w:val="22"/>
              </w:rPr>
            </w:pPr>
          </w:p>
        </w:tc>
        <w:tc>
          <w:tcPr>
            <w:tcW w:w="2032" w:type="dxa"/>
            <w:vMerge/>
          </w:tcPr>
          <w:p w14:paraId="517C59FD"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1500" w:type="dxa"/>
            <w:vMerge/>
          </w:tcPr>
          <w:p w14:paraId="2A952E41"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cs="Times New Roman"/>
                <w:color w:val="auto"/>
                <w:sz w:val="20"/>
              </w:rPr>
            </w:pPr>
          </w:p>
        </w:tc>
        <w:tc>
          <w:tcPr>
            <w:tcW w:w="5638" w:type="dxa"/>
          </w:tcPr>
          <w:p w14:paraId="381C4A4E" w14:textId="627F1F9B" w:rsidR="00EE050D" w:rsidRPr="00532128" w:rsidRDefault="00EE050D"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Na wszystkich etapach edukacyjnych zgodnie ze stosowanymi podstawami programowymi uczniowie realizują obowiązkowe treści nauczania wprowadzające w tematykę starości, procesu starzenia się oraz integracji międzypokoleniowej.</w:t>
            </w:r>
          </w:p>
          <w:p w14:paraId="305B723F" w14:textId="553DD6CC" w:rsidR="00EE050D" w:rsidRPr="00532128" w:rsidRDefault="00EE050D"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Tematyka powyższa w określonych aspektach znajduje odzwierciedlenie  w nast</w:t>
            </w:r>
            <w:r w:rsidR="009566E2">
              <w:rPr>
                <w:rFonts w:eastAsia="MS Mincho" w:cs="Times New Roman"/>
                <w:color w:val="auto"/>
                <w:sz w:val="20"/>
              </w:rPr>
              <w:t>ępujących obszarach nauczania i </w:t>
            </w:r>
            <w:r w:rsidRPr="00532128">
              <w:rPr>
                <w:rFonts w:eastAsia="MS Mincho" w:cs="Times New Roman"/>
                <w:color w:val="auto"/>
                <w:sz w:val="20"/>
              </w:rPr>
              <w:t>przedmiotach, jak np.:</w:t>
            </w:r>
          </w:p>
          <w:p w14:paraId="3F3AA18B" w14:textId="28BAABB5" w:rsidR="00EE050D" w:rsidRPr="00532128" w:rsidRDefault="00532128"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1. </w:t>
            </w:r>
            <w:r w:rsidR="00EE050D" w:rsidRPr="00532128">
              <w:rPr>
                <w:rFonts w:eastAsia="MS Mincho" w:cs="Times New Roman"/>
                <w:color w:val="auto"/>
                <w:sz w:val="20"/>
              </w:rPr>
              <w:t>biologicznym – P</w:t>
            </w:r>
            <w:r w:rsidR="009566E2">
              <w:rPr>
                <w:rFonts w:eastAsia="MS Mincho" w:cs="Times New Roman"/>
                <w:color w:val="auto"/>
                <w:sz w:val="20"/>
              </w:rPr>
              <w:t>rzyroda, Biologia, Edukacja dla </w:t>
            </w:r>
            <w:r w:rsidR="00EE050D" w:rsidRPr="00532128">
              <w:rPr>
                <w:rFonts w:eastAsia="MS Mincho" w:cs="Times New Roman"/>
                <w:color w:val="auto"/>
                <w:sz w:val="20"/>
              </w:rPr>
              <w:t>Bezpieczeństwa, Wychowanie Fizyczne, Wychowanie do życia w rodzinie,</w:t>
            </w:r>
          </w:p>
          <w:p w14:paraId="47543659" w14:textId="117F6132" w:rsidR="00EE050D" w:rsidRPr="00532128" w:rsidRDefault="00EE050D"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2</w:t>
            </w:r>
            <w:r w:rsidR="00532128">
              <w:rPr>
                <w:rFonts w:eastAsia="MS Mincho" w:cs="Times New Roman"/>
                <w:color w:val="auto"/>
                <w:sz w:val="20"/>
              </w:rPr>
              <w:t>. </w:t>
            </w:r>
            <w:r w:rsidRPr="00532128">
              <w:rPr>
                <w:rFonts w:eastAsia="MS Mincho" w:cs="Times New Roman"/>
                <w:color w:val="auto"/>
                <w:sz w:val="20"/>
              </w:rPr>
              <w:t>społecznym – Społeczny obszar rozwoju dziecka, Edukacja społeczna, Język polski, Geo</w:t>
            </w:r>
            <w:r w:rsidR="009566E2">
              <w:rPr>
                <w:rFonts w:eastAsia="MS Mincho" w:cs="Times New Roman"/>
                <w:color w:val="auto"/>
                <w:sz w:val="20"/>
              </w:rPr>
              <w:t>grafia, Wiedza o społeczeństwie</w:t>
            </w:r>
            <w:r w:rsidRPr="00532128">
              <w:rPr>
                <w:rFonts w:eastAsia="MS Mincho" w:cs="Times New Roman"/>
                <w:color w:val="auto"/>
                <w:sz w:val="20"/>
              </w:rPr>
              <w:t>, Wychowanie do życia w rodzinie,</w:t>
            </w:r>
          </w:p>
          <w:p w14:paraId="04B5E0E8" w14:textId="26D7D569" w:rsidR="00EE050D" w:rsidRPr="00532128" w:rsidRDefault="00EE050D"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3</w:t>
            </w:r>
            <w:r w:rsidR="00532128">
              <w:rPr>
                <w:rFonts w:eastAsia="MS Mincho" w:cs="Times New Roman"/>
                <w:color w:val="auto"/>
                <w:sz w:val="20"/>
              </w:rPr>
              <w:t>. </w:t>
            </w:r>
            <w:r w:rsidRPr="00532128">
              <w:rPr>
                <w:rFonts w:eastAsia="MS Mincho" w:cs="Times New Roman"/>
                <w:color w:val="auto"/>
                <w:sz w:val="20"/>
              </w:rPr>
              <w:t>kulturowym – Społeczny obszar rozwoju dziecka, Język polski, Język obcy, Historia, Wychowanie</w:t>
            </w:r>
            <w:r w:rsidR="009566E2">
              <w:rPr>
                <w:rFonts w:eastAsia="MS Mincho" w:cs="Times New Roman"/>
                <w:color w:val="auto"/>
                <w:sz w:val="20"/>
              </w:rPr>
              <w:t xml:space="preserve"> do życia w rodzinie, Wiedza o  s</w:t>
            </w:r>
            <w:r w:rsidRPr="00532128">
              <w:rPr>
                <w:rFonts w:eastAsia="MS Mincho" w:cs="Times New Roman"/>
                <w:color w:val="auto"/>
                <w:sz w:val="20"/>
              </w:rPr>
              <w:t>połeczeństwie, Geografia, Filozofia, przedmioty artystyczne.</w:t>
            </w:r>
          </w:p>
          <w:p w14:paraId="5081DF53" w14:textId="77777777" w:rsidR="00EE050D" w:rsidRPr="00532128" w:rsidRDefault="00EE050D"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21615217" w14:textId="77777777" w:rsidR="00EE050D" w:rsidRPr="00532128" w:rsidRDefault="00EE050D"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Przykłady zapisów zawartych w podstawach programowych:</w:t>
            </w:r>
          </w:p>
          <w:p w14:paraId="2D96F527" w14:textId="77777777" w:rsidR="00EE050D" w:rsidRPr="00532128" w:rsidRDefault="00EE050D"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Wychowanie przedszkolne</w:t>
            </w:r>
          </w:p>
          <w:p w14:paraId="1347A6DF" w14:textId="74568344" w:rsidR="00EE050D" w:rsidRPr="00532128" w:rsidRDefault="00EE050D"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lastRenderedPageBreak/>
              <w:t>Zadaniem przedszkola jest m.in. kreowanie sytuacji prowadzących do poznania przez dziecko wartości i norm społecznych, których źródłem jest rodzina, grupa w prz</w:t>
            </w:r>
            <w:r w:rsidR="009566E2">
              <w:rPr>
                <w:rFonts w:eastAsia="MS Mincho" w:cs="Times New Roman"/>
                <w:color w:val="auto"/>
                <w:sz w:val="20"/>
              </w:rPr>
              <w:t>edszkolu, inne dorosłe osoby, w </w:t>
            </w:r>
            <w:r w:rsidRPr="00532128">
              <w:rPr>
                <w:rFonts w:eastAsia="MS Mincho" w:cs="Times New Roman"/>
                <w:color w:val="auto"/>
                <w:sz w:val="20"/>
              </w:rPr>
              <w:t>tym osoby starsze, oraz roz</w:t>
            </w:r>
            <w:r w:rsidR="009566E2">
              <w:rPr>
                <w:rFonts w:eastAsia="MS Mincho" w:cs="Times New Roman"/>
                <w:color w:val="auto"/>
                <w:sz w:val="20"/>
              </w:rPr>
              <w:t xml:space="preserve">wijania </w:t>
            </w:r>
            <w:proofErr w:type="spellStart"/>
            <w:r w:rsidR="009566E2">
              <w:rPr>
                <w:rFonts w:eastAsia="MS Mincho" w:cs="Times New Roman"/>
                <w:color w:val="auto"/>
                <w:sz w:val="20"/>
              </w:rPr>
              <w:t>zachowań</w:t>
            </w:r>
            <w:proofErr w:type="spellEnd"/>
            <w:r w:rsidR="009566E2">
              <w:rPr>
                <w:rFonts w:eastAsia="MS Mincho" w:cs="Times New Roman"/>
                <w:color w:val="auto"/>
                <w:sz w:val="20"/>
              </w:rPr>
              <w:t xml:space="preserve"> wynikających z </w:t>
            </w:r>
            <w:r w:rsidRPr="00532128">
              <w:rPr>
                <w:rFonts w:eastAsia="MS Mincho" w:cs="Times New Roman"/>
                <w:color w:val="auto"/>
                <w:sz w:val="20"/>
              </w:rPr>
              <w:t>wartości możliwych do zrozumienia na tym etapie rozwoju.</w:t>
            </w:r>
          </w:p>
          <w:p w14:paraId="3ED97A59" w14:textId="77777777" w:rsidR="00EE050D" w:rsidRPr="00532128" w:rsidRDefault="00EE050D"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Edukacja wczesnoszkolna</w:t>
            </w:r>
          </w:p>
          <w:p w14:paraId="38379128" w14:textId="77777777" w:rsidR="00EE050D" w:rsidRPr="00532128" w:rsidRDefault="00EE050D"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 zakresie społecznego obszaru rozwoju uczeń osiąga umiejętność obdarzania szacunkiem koleżanek, kolegów i osoby dorosłe, w tym starsze oraz okazywania go za pomocą prostych form wyrazu oraz stosownego zachowania.</w:t>
            </w:r>
          </w:p>
          <w:p w14:paraId="46C889CA" w14:textId="77777777" w:rsidR="00EE050D" w:rsidRPr="00532128" w:rsidRDefault="00EE050D"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Wiedza o społeczeństwie</w:t>
            </w:r>
          </w:p>
          <w:p w14:paraId="165AF78E" w14:textId="77777777" w:rsidR="00EE050D" w:rsidRPr="00532128" w:rsidRDefault="00EE050D"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Rodzina. Uczeń  charakteryzuje rodzinę jako grupę społeczną; przedstawia rolę rodziców i osób starszych w rodzinie.</w:t>
            </w:r>
          </w:p>
          <w:p w14:paraId="3AD7CF03" w14:textId="77777777" w:rsidR="00EE050D" w:rsidRPr="00532128" w:rsidRDefault="00EE050D"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Wychowanie fizyczne</w:t>
            </w:r>
          </w:p>
          <w:p w14:paraId="042D8A6C" w14:textId="5CCA1C98" w:rsidR="00311D18" w:rsidRPr="00532128" w:rsidRDefault="00EE050D" w:rsidP="002D4784">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rPr>
            </w:pPr>
            <w:r w:rsidRPr="00532128">
              <w:rPr>
                <w:rFonts w:eastAsia="MS Mincho" w:cs="Times New Roman"/>
                <w:color w:val="auto"/>
                <w:sz w:val="20"/>
              </w:rPr>
              <w:t>Kompetencje społeczne. Ucz</w:t>
            </w:r>
            <w:r w:rsidR="009566E2">
              <w:rPr>
                <w:rFonts w:eastAsia="MS Mincho" w:cs="Times New Roman"/>
                <w:color w:val="auto"/>
                <w:sz w:val="20"/>
              </w:rPr>
              <w:t>eń motywuje innych do udziału w </w:t>
            </w:r>
            <w:r w:rsidRPr="00532128">
              <w:rPr>
                <w:rFonts w:eastAsia="MS Mincho" w:cs="Times New Roman"/>
                <w:color w:val="auto"/>
                <w:sz w:val="20"/>
              </w:rPr>
              <w:t>aktywności fizycznej, ze sz</w:t>
            </w:r>
            <w:r w:rsidR="009566E2">
              <w:rPr>
                <w:rFonts w:eastAsia="MS Mincho" w:cs="Times New Roman"/>
                <w:color w:val="auto"/>
                <w:sz w:val="20"/>
              </w:rPr>
              <w:t>czególnym uwzględnieniem osób o </w:t>
            </w:r>
            <w:r w:rsidRPr="00532128">
              <w:rPr>
                <w:rFonts w:eastAsia="MS Mincho" w:cs="Times New Roman"/>
                <w:color w:val="auto"/>
                <w:sz w:val="20"/>
              </w:rPr>
              <w:t>niższej sprawności fizycznej i specjalnych potrzebach edukacyjnych (np. osoby niepełnosprawne, osoby starsze).</w:t>
            </w:r>
          </w:p>
        </w:tc>
      </w:tr>
      <w:tr w:rsidR="0092226B" w:rsidRPr="0092226B" w14:paraId="5DB8AF2A"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1C149D70" w14:textId="77777777" w:rsidR="00311D18" w:rsidRPr="00532128" w:rsidRDefault="00311D18" w:rsidP="003C1988">
            <w:pPr>
              <w:rPr>
                <w:rFonts w:cs="Times New Roman"/>
                <w:color w:val="auto"/>
                <w:sz w:val="20"/>
              </w:rPr>
            </w:pPr>
          </w:p>
        </w:tc>
        <w:tc>
          <w:tcPr>
            <w:tcW w:w="3594" w:type="dxa"/>
            <w:vMerge w:val="restart"/>
          </w:tcPr>
          <w:p w14:paraId="5DE887A2" w14:textId="77777777" w:rsidR="00311D18" w:rsidRPr="00532128" w:rsidRDefault="00311D18" w:rsidP="002D4784">
            <w:pPr>
              <w:pStyle w:val="Akapitzlist"/>
              <w:ind w:left="0"/>
              <w:jc w:val="left"/>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532128">
              <w:rPr>
                <w:rFonts w:cs="Times New Roman"/>
                <w:color w:val="auto"/>
                <w:sz w:val="20"/>
              </w:rPr>
              <w:t>Promowanie w realizowanych przez podmioty publiczne otwartych konkursów ofert, dotyczących rozwoju społeczeństwa obywatelskiego, tematyki senioralnej i wspierania projektów międzypokoleniowych</w:t>
            </w:r>
          </w:p>
        </w:tc>
        <w:tc>
          <w:tcPr>
            <w:tcW w:w="2032" w:type="dxa"/>
            <w:vMerge w:val="restart"/>
          </w:tcPr>
          <w:p w14:paraId="3CA849AA"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Komitet do spraw Pożytku Publicznego</w:t>
            </w:r>
          </w:p>
        </w:tc>
        <w:tc>
          <w:tcPr>
            <w:tcW w:w="1500" w:type="dxa"/>
            <w:vMerge w:val="restart"/>
          </w:tcPr>
          <w:p w14:paraId="1F1EC33F"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532128">
              <w:rPr>
                <w:rFonts w:cs="Times New Roman"/>
                <w:color w:val="auto"/>
                <w:sz w:val="20"/>
              </w:rPr>
              <w:t>Działanie ciągłe*</w:t>
            </w:r>
          </w:p>
        </w:tc>
        <w:tc>
          <w:tcPr>
            <w:tcW w:w="5638" w:type="dxa"/>
          </w:tcPr>
          <w:p w14:paraId="7A34FC1C" w14:textId="77777777" w:rsidR="00311D18" w:rsidRPr="00532128" w:rsidRDefault="00311D18" w:rsidP="002D4784">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hAnsi="Times New Roman"/>
                <w:i/>
                <w:color w:val="auto"/>
                <w:sz w:val="20"/>
              </w:rPr>
            </w:pPr>
            <w:r w:rsidRPr="00532128">
              <w:rPr>
                <w:rFonts w:ascii="Times New Roman" w:eastAsia="MS Mincho" w:hAnsi="Times New Roman"/>
                <w:i/>
                <w:color w:val="auto"/>
                <w:sz w:val="20"/>
              </w:rPr>
              <w:t xml:space="preserve">Liczba </w:t>
            </w:r>
            <w:r w:rsidRPr="00532128">
              <w:rPr>
                <w:rFonts w:ascii="Times New Roman" w:hAnsi="Times New Roman"/>
                <w:i/>
                <w:color w:val="auto"/>
                <w:sz w:val="20"/>
              </w:rPr>
              <w:t>realizowanych przez podmioty publiczne otwartych konkursów ofert w obszarze rozwoju społeczeństwa obywatelskiego uwzględniających tematykę senioralną oraz wspieranie projektów międzypokoleniowych</w:t>
            </w:r>
          </w:p>
        </w:tc>
      </w:tr>
      <w:tr w:rsidR="0092226B" w:rsidRPr="0092226B" w14:paraId="6FC69C5C"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1124B4CE" w14:textId="77777777" w:rsidR="00311D18" w:rsidRPr="00532128" w:rsidRDefault="00311D18" w:rsidP="003C1988">
            <w:pPr>
              <w:rPr>
                <w:rFonts w:cs="Times New Roman"/>
                <w:color w:val="auto"/>
                <w:sz w:val="20"/>
              </w:rPr>
            </w:pPr>
          </w:p>
        </w:tc>
        <w:tc>
          <w:tcPr>
            <w:tcW w:w="3594" w:type="dxa"/>
            <w:vMerge/>
          </w:tcPr>
          <w:p w14:paraId="4838EE72" w14:textId="77777777" w:rsidR="00311D18" w:rsidRPr="00532128" w:rsidRDefault="00311D18" w:rsidP="002D4784">
            <w:pPr>
              <w:pStyle w:val="Akapitzlist"/>
              <w:ind w:left="0"/>
              <w:jc w:val="left"/>
              <w:cnfStyle w:val="000000100000" w:firstRow="0" w:lastRow="0" w:firstColumn="0" w:lastColumn="0" w:oddVBand="0" w:evenVBand="0" w:oddHBand="1" w:evenHBand="0" w:firstRowFirstColumn="0" w:firstRowLastColumn="0" w:lastRowFirstColumn="0" w:lastRowLastColumn="0"/>
              <w:rPr>
                <w:rFonts w:cs="Times New Roman"/>
                <w:color w:val="auto"/>
                <w:sz w:val="20"/>
              </w:rPr>
            </w:pPr>
          </w:p>
        </w:tc>
        <w:tc>
          <w:tcPr>
            <w:tcW w:w="2032" w:type="dxa"/>
            <w:vMerge/>
          </w:tcPr>
          <w:p w14:paraId="4B205A50"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1500" w:type="dxa"/>
            <w:vMerge/>
          </w:tcPr>
          <w:p w14:paraId="3335932B"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cs="Times New Roman"/>
                <w:color w:val="auto"/>
                <w:sz w:val="20"/>
              </w:rPr>
            </w:pPr>
          </w:p>
        </w:tc>
        <w:tc>
          <w:tcPr>
            <w:tcW w:w="5638" w:type="dxa"/>
          </w:tcPr>
          <w:p w14:paraId="295BA5E0" w14:textId="77777777" w:rsidR="00295F7A" w:rsidRPr="00532128" w:rsidRDefault="00295F7A" w:rsidP="002D4784">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Zrealizowano 4 konkursy ofert, w których zrealizowano projekty wspierające seniorów:</w:t>
            </w:r>
          </w:p>
          <w:p w14:paraId="3BF74044" w14:textId="41EC57D2" w:rsidR="00295F7A" w:rsidRPr="00532128" w:rsidRDefault="00295F7A" w:rsidP="002D4784">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1.Program Fundusz Inicjatyw Obywatelskich na lata 2014-2020 - edycja 2020.</w:t>
            </w:r>
          </w:p>
          <w:p w14:paraId="3D9145D7" w14:textId="77D0265E" w:rsidR="00295F7A" w:rsidRPr="00532128" w:rsidRDefault="00295F7A" w:rsidP="002D4784">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2.Program Rozwoju Organi</w:t>
            </w:r>
            <w:r w:rsidR="00081C36">
              <w:rPr>
                <w:rFonts w:ascii="Times New Roman" w:eastAsia="MS Mincho" w:hAnsi="Times New Roman"/>
                <w:color w:val="auto"/>
                <w:sz w:val="20"/>
              </w:rPr>
              <w:t>zacji Obywatelskich – Priorytet </w:t>
            </w:r>
            <w:r w:rsidRPr="00532128">
              <w:rPr>
                <w:rFonts w:ascii="Times New Roman" w:eastAsia="MS Mincho" w:hAnsi="Times New Roman"/>
                <w:color w:val="auto"/>
                <w:sz w:val="20"/>
              </w:rPr>
              <w:t>1A - Zrównoważony rozwój organizacyjny - wsparcie działań misyjnych i rozwoju instytucjonalnego.</w:t>
            </w:r>
          </w:p>
          <w:p w14:paraId="0931250C" w14:textId="77777777" w:rsidR="00295F7A" w:rsidRPr="00532128" w:rsidRDefault="00295F7A" w:rsidP="002D4784">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3.Program Rozwoju Organizacji Obywatelskich na lata 2018-2030 — Priorytet 5 - Wsparcie doraźne.</w:t>
            </w:r>
          </w:p>
          <w:p w14:paraId="3D66EBF7" w14:textId="278D1865" w:rsidR="00295F7A" w:rsidRPr="00532128" w:rsidRDefault="00295F7A" w:rsidP="002D4784">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4.Program Wsparcia Doraźn</w:t>
            </w:r>
            <w:r w:rsidR="00081C36">
              <w:rPr>
                <w:rFonts w:ascii="Times New Roman" w:eastAsia="MS Mincho" w:hAnsi="Times New Roman"/>
                <w:color w:val="auto"/>
                <w:sz w:val="20"/>
              </w:rPr>
              <w:t>ego Organizacji Pozarządowych w </w:t>
            </w:r>
            <w:r w:rsidRPr="00532128">
              <w:rPr>
                <w:rFonts w:ascii="Times New Roman" w:eastAsia="MS Mincho" w:hAnsi="Times New Roman"/>
                <w:color w:val="auto"/>
                <w:sz w:val="20"/>
              </w:rPr>
              <w:t>zakresie przeciwdziałania skutkom COVID-19.</w:t>
            </w:r>
          </w:p>
          <w:p w14:paraId="30773BD2" w14:textId="77777777" w:rsidR="00295F7A" w:rsidRPr="00532128" w:rsidRDefault="00295F7A" w:rsidP="002D4784">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p w14:paraId="693EC001" w14:textId="34FFF295" w:rsidR="00295F7A" w:rsidRPr="00532128" w:rsidRDefault="00295F7A" w:rsidP="002D4784">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lastRenderedPageBreak/>
              <w:t>W 2020 r. NIW-CRSO prowadziło następujące konkursy ofert w obszarze rozwoju społeczeństwa obywatelskiego uwzględniające tematykę senioralną oraz wspieranie projektów międzypokoleniowych:</w:t>
            </w:r>
          </w:p>
          <w:p w14:paraId="2758C29A" w14:textId="0FCE1D71" w:rsidR="00295F7A" w:rsidRPr="00532128" w:rsidRDefault="00295F7A" w:rsidP="002D4784">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I.</w:t>
            </w:r>
            <w:r w:rsidRPr="00532128">
              <w:rPr>
                <w:rFonts w:ascii="Times New Roman" w:eastAsia="MS Mincho" w:hAnsi="Times New Roman"/>
                <w:color w:val="auto"/>
                <w:sz w:val="20"/>
              </w:rPr>
              <w:tab/>
              <w:t xml:space="preserve">Program Fundusz Inicjatyw Obywatelskich na lata 2014-2020. Jest to rządowy Program dotacyjny dla organizacji pozarządowych, w ramach którego realizowane są działania mające na celu zwiększenie zaangażowania obywateli i organizacji pozarządowych w życie publiczne. W ramach Programu, corocznie przeprowadzany jest otwarty konkurs ofert zgodnie z przepisami </w:t>
            </w:r>
            <w:r w:rsidR="00C30527">
              <w:rPr>
                <w:rFonts w:ascii="Times New Roman" w:eastAsia="MS Mincho" w:hAnsi="Times New Roman"/>
                <w:color w:val="auto"/>
                <w:sz w:val="20"/>
              </w:rPr>
              <w:t>u</w:t>
            </w:r>
            <w:r w:rsidRPr="00532128">
              <w:rPr>
                <w:rFonts w:ascii="Times New Roman" w:eastAsia="MS Mincho" w:hAnsi="Times New Roman"/>
                <w:color w:val="auto"/>
                <w:sz w:val="20"/>
              </w:rPr>
              <w:t xml:space="preserve">stawy z dnia 24 kwietnia 2003 r. o działalności pożytku publicznego i o wolontariacie oraz </w:t>
            </w:r>
            <w:r w:rsidR="00C30527">
              <w:rPr>
                <w:rFonts w:ascii="Times New Roman" w:eastAsia="MS Mincho" w:hAnsi="Times New Roman"/>
                <w:color w:val="auto"/>
                <w:sz w:val="20"/>
              </w:rPr>
              <w:t>u</w:t>
            </w:r>
            <w:r w:rsidR="00081C36">
              <w:rPr>
                <w:rFonts w:ascii="Times New Roman" w:eastAsia="MS Mincho" w:hAnsi="Times New Roman"/>
                <w:color w:val="auto"/>
                <w:sz w:val="20"/>
              </w:rPr>
              <w:t>stawy z dnia 15 września 2017 </w:t>
            </w:r>
            <w:r w:rsidRPr="00532128">
              <w:rPr>
                <w:rFonts w:ascii="Times New Roman" w:eastAsia="MS Mincho" w:hAnsi="Times New Roman"/>
                <w:color w:val="auto"/>
                <w:sz w:val="20"/>
              </w:rPr>
              <w:t>r</w:t>
            </w:r>
            <w:r w:rsidR="00C30527">
              <w:rPr>
                <w:rFonts w:ascii="Times New Roman" w:eastAsia="MS Mincho" w:hAnsi="Times New Roman"/>
                <w:color w:val="auto"/>
                <w:sz w:val="20"/>
              </w:rPr>
              <w:t>.</w:t>
            </w:r>
            <w:r w:rsidRPr="00532128">
              <w:rPr>
                <w:rFonts w:ascii="Times New Roman" w:eastAsia="MS Mincho" w:hAnsi="Times New Roman"/>
                <w:color w:val="auto"/>
                <w:sz w:val="20"/>
              </w:rPr>
              <w:t xml:space="preserve"> o Narodowym Instytucie Wolności - Centrum Rozwoju Społeczeństwa Obywatelskiego (Dz. U. z 20</w:t>
            </w:r>
            <w:r w:rsidR="00C30527">
              <w:rPr>
                <w:rFonts w:ascii="Times New Roman" w:eastAsia="MS Mincho" w:hAnsi="Times New Roman"/>
                <w:color w:val="auto"/>
                <w:sz w:val="20"/>
              </w:rPr>
              <w:t>21</w:t>
            </w:r>
            <w:r w:rsidRPr="00532128">
              <w:rPr>
                <w:rFonts w:ascii="Times New Roman" w:eastAsia="MS Mincho" w:hAnsi="Times New Roman"/>
                <w:color w:val="auto"/>
                <w:sz w:val="20"/>
              </w:rPr>
              <w:t xml:space="preserve"> r. poz. 1</w:t>
            </w:r>
            <w:r w:rsidR="00C30527">
              <w:rPr>
                <w:rFonts w:ascii="Times New Roman" w:eastAsia="MS Mincho" w:hAnsi="Times New Roman"/>
                <w:color w:val="auto"/>
                <w:sz w:val="20"/>
              </w:rPr>
              <w:t>284</w:t>
            </w:r>
            <w:r w:rsidRPr="00532128">
              <w:rPr>
                <w:rFonts w:ascii="Times New Roman" w:eastAsia="MS Mincho" w:hAnsi="Times New Roman"/>
                <w:color w:val="auto"/>
                <w:sz w:val="20"/>
              </w:rPr>
              <w:t>).</w:t>
            </w:r>
          </w:p>
          <w:p w14:paraId="132E586D" w14:textId="12FC304E" w:rsidR="00295F7A" w:rsidRPr="00532128" w:rsidRDefault="00295F7A" w:rsidP="002D4784">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Wsparcie zadań dotyczących seniorów we wspomnianej edycji Programu Fundusz Inicjatyw Obywatelskich udzielanie było głównie w ramach następujących sfer pożytku publicznego: </w:t>
            </w:r>
            <w:r w:rsidR="00081C36">
              <w:rPr>
                <w:rFonts w:ascii="Times New Roman" w:eastAsia="MS Mincho" w:hAnsi="Times New Roman"/>
                <w:color w:val="auto"/>
                <w:sz w:val="20"/>
              </w:rPr>
              <w:t xml:space="preserve">                     </w:t>
            </w:r>
            <w:r w:rsidRPr="00532128">
              <w:rPr>
                <w:rFonts w:ascii="Times New Roman" w:eastAsia="MS Mincho" w:hAnsi="Times New Roman"/>
                <w:color w:val="auto"/>
                <w:sz w:val="20"/>
              </w:rPr>
              <w:t>1) pomocy społecznej, w tym pomocy rodzinom i osobom w trudnej sytuacji życiowej oraz wyrównywania szans tych rodzin i osób;</w:t>
            </w:r>
          </w:p>
          <w:p w14:paraId="74031633" w14:textId="77777777" w:rsidR="00295F7A" w:rsidRPr="00532128" w:rsidRDefault="00295F7A" w:rsidP="002D4784">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10) działalności na rzecz osób w wieku emerytalnym;</w:t>
            </w:r>
          </w:p>
          <w:p w14:paraId="3577A31B" w14:textId="77777777" w:rsidR="00295F7A" w:rsidRPr="00532128" w:rsidRDefault="00295F7A" w:rsidP="002D4784">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13) działalności wspomagającej rozwój wspólnot i społeczności lokalnych</w:t>
            </w:r>
          </w:p>
          <w:p w14:paraId="49B910F5" w14:textId="034EF3B3" w:rsidR="00295F7A" w:rsidRPr="00532128" w:rsidRDefault="00295F7A" w:rsidP="002D4784">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II.</w:t>
            </w:r>
            <w:r w:rsidRPr="00532128">
              <w:rPr>
                <w:rFonts w:ascii="Times New Roman" w:eastAsia="MS Mincho" w:hAnsi="Times New Roman"/>
                <w:color w:val="auto"/>
                <w:sz w:val="20"/>
              </w:rPr>
              <w:tab/>
              <w:t>Program Rozwoju Organizacji Obywatelskich na lata 2018-2030. Jest on adresowany do organizacji pozarządowych, którego głównym celem jest wsparcie rozwoju instytucjonalnego organizacji społeczeństwa obywatelskiego oraz zwiększenie udziału tych organizacji w życiu publicznym i upowszechnianiu demokratycznych norm obywate</w:t>
            </w:r>
            <w:r w:rsidR="00081C36">
              <w:rPr>
                <w:rFonts w:ascii="Times New Roman" w:eastAsia="MS Mincho" w:hAnsi="Times New Roman"/>
                <w:color w:val="auto"/>
                <w:sz w:val="20"/>
              </w:rPr>
              <w:t>lskości. Program składa się z 5 </w:t>
            </w:r>
            <w:r w:rsidRPr="00532128">
              <w:rPr>
                <w:rFonts w:ascii="Times New Roman" w:eastAsia="MS Mincho" w:hAnsi="Times New Roman"/>
                <w:color w:val="auto"/>
                <w:sz w:val="20"/>
              </w:rPr>
              <w:t xml:space="preserve">Priorytetów. Przedmiotowe wsparcie zrealizowane zostało poprzez Priorytet 1 — Zrównoważony rozwój organizacyjny — wsparcie działań misyjnych i rozwoju instytucjonalnego oraz Priorytet 5 </w:t>
            </w:r>
            <w:r w:rsidR="00081C36">
              <w:rPr>
                <w:rFonts w:ascii="Times New Roman" w:eastAsia="MS Mincho" w:hAnsi="Times New Roman"/>
                <w:color w:val="auto"/>
                <w:sz w:val="20"/>
              </w:rPr>
              <w:t>–</w:t>
            </w:r>
            <w:r w:rsidRPr="00532128">
              <w:rPr>
                <w:rFonts w:ascii="Times New Roman" w:eastAsia="MS Mincho" w:hAnsi="Times New Roman"/>
                <w:color w:val="auto"/>
                <w:sz w:val="20"/>
              </w:rPr>
              <w:t xml:space="preserve"> Wparcie doraźne</w:t>
            </w:r>
            <w:r w:rsidR="00081C36">
              <w:rPr>
                <w:rFonts w:ascii="Times New Roman" w:eastAsia="MS Mincho" w:hAnsi="Times New Roman"/>
                <w:color w:val="auto"/>
                <w:sz w:val="20"/>
              </w:rPr>
              <w:t>. Istotnym założeniem Programu j</w:t>
            </w:r>
            <w:r w:rsidRPr="00532128">
              <w:rPr>
                <w:rFonts w:ascii="Times New Roman" w:eastAsia="MS Mincho" w:hAnsi="Times New Roman"/>
                <w:color w:val="auto"/>
                <w:sz w:val="20"/>
              </w:rPr>
              <w:t xml:space="preserve">est wsparcie budowy silnego, sprawnego sektora obywatelskiego, który, zachowując swoją różnorodność i niezależność, będzie </w:t>
            </w:r>
            <w:r w:rsidRPr="00532128">
              <w:rPr>
                <w:rFonts w:ascii="Times New Roman" w:eastAsia="MS Mincho" w:hAnsi="Times New Roman"/>
                <w:color w:val="auto"/>
                <w:sz w:val="20"/>
              </w:rPr>
              <w:lastRenderedPageBreak/>
              <w:t>równocześnie realnym, równoprawnym partnerem w życiu publicznym i społecznym dla znacznie silniejszych instytucji władzy politycznej, ekonomicznej, medialnej czy samorządowej. Program realizuje następujące cele szczegółowe:</w:t>
            </w:r>
          </w:p>
          <w:p w14:paraId="5BCC7226" w14:textId="1473BA22" w:rsidR="00295F7A" w:rsidRPr="00532128" w:rsidRDefault="00081C36" w:rsidP="002D4784">
            <w:pPr>
              <w:pStyle w:val="Kolorowalistaakcent11"/>
              <w:ind w:left="315" w:hanging="315"/>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Pr>
                <w:rFonts w:ascii="Times New Roman" w:eastAsia="MS Mincho" w:hAnsi="Times New Roman"/>
                <w:color w:val="auto"/>
                <w:sz w:val="20"/>
              </w:rPr>
              <w:t xml:space="preserve">•   </w:t>
            </w:r>
            <w:r w:rsidR="00295F7A" w:rsidRPr="00532128">
              <w:rPr>
                <w:rFonts w:ascii="Times New Roman" w:eastAsia="MS Mincho" w:hAnsi="Times New Roman"/>
                <w:color w:val="auto"/>
                <w:sz w:val="20"/>
              </w:rPr>
              <w:t>Wzrost zaangażowania obywatel</w:t>
            </w:r>
            <w:r>
              <w:rPr>
                <w:rFonts w:ascii="Times New Roman" w:eastAsia="MS Mincho" w:hAnsi="Times New Roman"/>
                <w:color w:val="auto"/>
                <w:sz w:val="20"/>
              </w:rPr>
              <w:t>i i organizacji obywatelskich w </w:t>
            </w:r>
            <w:r w:rsidR="00295F7A" w:rsidRPr="00532128">
              <w:rPr>
                <w:rFonts w:ascii="Times New Roman" w:eastAsia="MS Mincho" w:hAnsi="Times New Roman"/>
                <w:color w:val="auto"/>
                <w:sz w:val="20"/>
              </w:rPr>
              <w:t>życie publiczne</w:t>
            </w:r>
          </w:p>
          <w:p w14:paraId="4D441244" w14:textId="61EE9F8C" w:rsidR="00295F7A" w:rsidRPr="00532128" w:rsidRDefault="00081C36" w:rsidP="002D4784">
            <w:pPr>
              <w:pStyle w:val="Kolorowalistaakcent11"/>
              <w:ind w:left="315" w:hanging="315"/>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Pr>
                <w:rFonts w:ascii="Times New Roman" w:eastAsia="MS Mincho" w:hAnsi="Times New Roman"/>
                <w:color w:val="auto"/>
                <w:sz w:val="20"/>
              </w:rPr>
              <w:t xml:space="preserve">• </w:t>
            </w:r>
            <w:r w:rsidR="00295F7A" w:rsidRPr="00532128">
              <w:rPr>
                <w:rFonts w:ascii="Times New Roman" w:eastAsia="MS Mincho" w:hAnsi="Times New Roman"/>
                <w:color w:val="auto"/>
                <w:sz w:val="20"/>
              </w:rPr>
              <w:t>Wzmocnienie organizacji obywatelskich w wymiarze strategicznym</w:t>
            </w:r>
          </w:p>
          <w:p w14:paraId="477D9B36" w14:textId="6165DBF7" w:rsidR="00295F7A" w:rsidRPr="00532128" w:rsidRDefault="00081C36" w:rsidP="002D4784">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Pr>
                <w:rFonts w:ascii="Times New Roman" w:eastAsia="MS Mincho" w:hAnsi="Times New Roman"/>
                <w:color w:val="auto"/>
                <w:sz w:val="20"/>
              </w:rPr>
              <w:t xml:space="preserve">•     </w:t>
            </w:r>
            <w:r w:rsidR="00295F7A" w:rsidRPr="00532128">
              <w:rPr>
                <w:rFonts w:ascii="Times New Roman" w:eastAsia="MS Mincho" w:hAnsi="Times New Roman"/>
                <w:color w:val="auto"/>
                <w:sz w:val="20"/>
              </w:rPr>
              <w:t>Poprawa stabilności finansowej organizacji obywatelskich.</w:t>
            </w:r>
          </w:p>
          <w:p w14:paraId="38B83EA9" w14:textId="79A82FF6" w:rsidR="00295F7A" w:rsidRPr="00532128" w:rsidRDefault="00295F7A" w:rsidP="002D4784">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III.</w:t>
            </w:r>
            <w:r w:rsidRPr="00532128">
              <w:rPr>
                <w:rFonts w:ascii="Times New Roman" w:eastAsia="MS Mincho" w:hAnsi="Times New Roman"/>
                <w:color w:val="auto"/>
                <w:sz w:val="20"/>
              </w:rPr>
              <w:tab/>
              <w:t>Program Wsparcia Doraźnego Organizacji Pozarządowych w zakresie przeciwdziałania skutkom COVID-19. Była to rządowa pomoc dla organizacji obywatelskich, którego celem jest wsparcie bytu instytucjonalnego organizacji społeczeństwa obywatelskiego, zagrożonego w wyniku wystąpien</w:t>
            </w:r>
            <w:r w:rsidR="00081C36">
              <w:rPr>
                <w:rFonts w:ascii="Times New Roman" w:eastAsia="MS Mincho" w:hAnsi="Times New Roman"/>
                <w:color w:val="auto"/>
                <w:sz w:val="20"/>
              </w:rPr>
              <w:t>ia nieprzewidzianych sytuacji i </w:t>
            </w:r>
            <w:r w:rsidRPr="00532128">
              <w:rPr>
                <w:rFonts w:ascii="Times New Roman" w:eastAsia="MS Mincho" w:hAnsi="Times New Roman"/>
                <w:color w:val="auto"/>
                <w:sz w:val="20"/>
              </w:rPr>
              <w:t xml:space="preserve">zdarzeń związanych z bieżącą sytuacją epidemiczną, oraz wsparcie ich działań dotyczących przeciwdziałania pandemii </w:t>
            </w:r>
            <w:proofErr w:type="spellStart"/>
            <w:r w:rsidRPr="00532128">
              <w:rPr>
                <w:rFonts w:ascii="Times New Roman" w:eastAsia="MS Mincho" w:hAnsi="Times New Roman"/>
                <w:color w:val="auto"/>
                <w:sz w:val="20"/>
              </w:rPr>
              <w:t>koronawirusa</w:t>
            </w:r>
            <w:proofErr w:type="spellEnd"/>
            <w:r w:rsidRPr="00532128">
              <w:rPr>
                <w:rFonts w:ascii="Times New Roman" w:eastAsia="MS Mincho" w:hAnsi="Times New Roman"/>
                <w:color w:val="auto"/>
                <w:sz w:val="20"/>
              </w:rPr>
              <w:t xml:space="preserve">. Jednym z Priorytetów Programu był Priorytet 1. Działania wspierające, który zakładał zadania publiczne/projekty realizowane w społeczności lokalnej lub na jej rzecz, które mają na celu poprawę sytuacji obywateli w związku ze stanem epidemii. W tym obszarze organizacje składał oferty na dofinansowania takich działań jak zaopatrywanie społeczności </w:t>
            </w:r>
            <w:r w:rsidR="00081C36">
              <w:rPr>
                <w:rFonts w:ascii="Times New Roman" w:eastAsia="MS Mincho" w:hAnsi="Times New Roman"/>
                <w:color w:val="auto"/>
                <w:sz w:val="20"/>
              </w:rPr>
              <w:t>lokalnej w materiały związane z </w:t>
            </w:r>
            <w:r w:rsidRPr="00532128">
              <w:rPr>
                <w:rFonts w:ascii="Times New Roman" w:eastAsia="MS Mincho" w:hAnsi="Times New Roman"/>
                <w:color w:val="auto"/>
                <w:sz w:val="20"/>
              </w:rPr>
              <w:t>zapobieganiem zarażeniom (np. szycie i dystrybucja masek, przygotowanie materiałów informacyjnych), organizacja wolontariatu w społeczności lokalnej - w tym w szczególności dla osób szczególnie narażonych, seniorów i osób niepełnosprawnych.</w:t>
            </w:r>
          </w:p>
          <w:p w14:paraId="0F489D48" w14:textId="77777777" w:rsidR="00311D18" w:rsidRPr="00532128" w:rsidRDefault="00311D18" w:rsidP="002D4784">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p>
        </w:tc>
      </w:tr>
      <w:tr w:rsidR="0092226B" w:rsidRPr="0092226B" w14:paraId="5B457ADB" w14:textId="77777777" w:rsidTr="002D4784">
        <w:trPr>
          <w:trHeight w:val="571"/>
        </w:trPr>
        <w:tc>
          <w:tcPr>
            <w:cnfStyle w:val="001000000000" w:firstRow="0" w:lastRow="0" w:firstColumn="1" w:lastColumn="0" w:oddVBand="0" w:evenVBand="0" w:oddHBand="0" w:evenHBand="0" w:firstRowFirstColumn="0" w:firstRowLastColumn="0" w:lastRowFirstColumn="0" w:lastRowLastColumn="0"/>
            <w:tcW w:w="1232" w:type="dxa"/>
            <w:vMerge/>
          </w:tcPr>
          <w:p w14:paraId="31696105" w14:textId="77777777" w:rsidR="00311D18" w:rsidRPr="00532128" w:rsidRDefault="00311D18" w:rsidP="003C1988">
            <w:pPr>
              <w:rPr>
                <w:rFonts w:cs="Times New Roman"/>
                <w:color w:val="auto"/>
                <w:sz w:val="20"/>
              </w:rPr>
            </w:pPr>
          </w:p>
        </w:tc>
        <w:tc>
          <w:tcPr>
            <w:tcW w:w="3594" w:type="dxa"/>
            <w:vMerge w:val="restart"/>
          </w:tcPr>
          <w:p w14:paraId="32BBD05D" w14:textId="77777777" w:rsidR="00311D18" w:rsidRPr="00532128" w:rsidRDefault="00311D18" w:rsidP="002D4784">
            <w:pPr>
              <w:pStyle w:val="Akapitzlist"/>
              <w:ind w:left="0"/>
              <w:jc w:val="left"/>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532128">
              <w:rPr>
                <w:rFonts w:cs="Times New Roman"/>
                <w:color w:val="auto"/>
                <w:sz w:val="20"/>
              </w:rPr>
              <w:t xml:space="preserve">Prowadzenie współpracy z mediami </w:t>
            </w:r>
            <w:r w:rsidRPr="00532128">
              <w:rPr>
                <w:rFonts w:cs="Times New Roman"/>
                <w:color w:val="auto"/>
                <w:sz w:val="20"/>
              </w:rPr>
              <w:br/>
              <w:t>w celu udostępniania informacji o osobach starszych i propagowania wzorców aktywnej starości</w:t>
            </w:r>
          </w:p>
        </w:tc>
        <w:tc>
          <w:tcPr>
            <w:tcW w:w="2032" w:type="dxa"/>
            <w:vMerge w:val="restart"/>
          </w:tcPr>
          <w:p w14:paraId="6A354790" w14:textId="0B6C12EE"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Ministerst</w:t>
            </w:r>
            <w:r w:rsidR="00081C36">
              <w:rPr>
                <w:rFonts w:eastAsia="MS Mincho" w:cs="Times New Roman"/>
                <w:color w:val="auto"/>
                <w:sz w:val="20"/>
              </w:rPr>
              <w:t xml:space="preserve">wo Rodziny </w:t>
            </w:r>
            <w:r w:rsidRPr="00532128">
              <w:rPr>
                <w:rFonts w:eastAsia="MS Mincho" w:cs="Times New Roman"/>
                <w:color w:val="auto"/>
                <w:sz w:val="20"/>
              </w:rPr>
              <w:t>i Polityki Społecznej</w:t>
            </w:r>
          </w:p>
        </w:tc>
        <w:tc>
          <w:tcPr>
            <w:tcW w:w="1500" w:type="dxa"/>
            <w:vMerge w:val="restart"/>
          </w:tcPr>
          <w:p w14:paraId="19075FF8"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532128">
              <w:rPr>
                <w:rFonts w:cs="Times New Roman"/>
                <w:color w:val="auto"/>
                <w:sz w:val="20"/>
              </w:rPr>
              <w:t>Działanie ciągłe*</w:t>
            </w:r>
          </w:p>
        </w:tc>
        <w:tc>
          <w:tcPr>
            <w:tcW w:w="5638" w:type="dxa"/>
          </w:tcPr>
          <w:p w14:paraId="4AF95BD9" w14:textId="77777777" w:rsidR="00311D18" w:rsidRPr="00532128" w:rsidRDefault="00311D18" w:rsidP="002D4784">
            <w:pPr>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 xml:space="preserve">Liczba </w:t>
            </w:r>
            <w:r w:rsidRPr="00532128">
              <w:rPr>
                <w:rFonts w:cs="Times New Roman"/>
                <w:i/>
                <w:color w:val="auto"/>
                <w:sz w:val="20"/>
              </w:rPr>
              <w:t>inicjatyw prowadzonych we współpracy z mediami publicznymi w obszarze udostępniania informacji o osobach starszych i propagowania wzorców aktywnej starości</w:t>
            </w:r>
          </w:p>
        </w:tc>
      </w:tr>
      <w:tr w:rsidR="0092226B" w:rsidRPr="0092226B" w14:paraId="38A4BB77" w14:textId="77777777" w:rsidTr="002D4784">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232" w:type="dxa"/>
            <w:vMerge/>
          </w:tcPr>
          <w:p w14:paraId="13871A66" w14:textId="77777777" w:rsidR="00311D18" w:rsidRPr="00532128" w:rsidRDefault="00311D18" w:rsidP="003C1988">
            <w:pPr>
              <w:rPr>
                <w:rFonts w:cs="Times New Roman"/>
                <w:color w:val="auto"/>
                <w:sz w:val="20"/>
              </w:rPr>
            </w:pPr>
          </w:p>
        </w:tc>
        <w:tc>
          <w:tcPr>
            <w:tcW w:w="3594" w:type="dxa"/>
            <w:vMerge/>
          </w:tcPr>
          <w:p w14:paraId="410C71AD" w14:textId="77777777" w:rsidR="00311D18" w:rsidRPr="00532128" w:rsidRDefault="00311D18" w:rsidP="002D4784">
            <w:pPr>
              <w:pStyle w:val="Akapitzlist"/>
              <w:ind w:left="0"/>
              <w:jc w:val="left"/>
              <w:cnfStyle w:val="000000100000" w:firstRow="0" w:lastRow="0" w:firstColumn="0" w:lastColumn="0" w:oddVBand="0" w:evenVBand="0" w:oddHBand="1" w:evenHBand="0" w:firstRowFirstColumn="0" w:firstRowLastColumn="0" w:lastRowFirstColumn="0" w:lastRowLastColumn="0"/>
              <w:rPr>
                <w:rFonts w:cs="Times New Roman"/>
                <w:color w:val="auto"/>
                <w:sz w:val="20"/>
              </w:rPr>
            </w:pPr>
          </w:p>
        </w:tc>
        <w:tc>
          <w:tcPr>
            <w:tcW w:w="2032" w:type="dxa"/>
            <w:vMerge/>
          </w:tcPr>
          <w:p w14:paraId="1571E3A6"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1500" w:type="dxa"/>
            <w:vMerge/>
          </w:tcPr>
          <w:p w14:paraId="4D371D10"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cs="Times New Roman"/>
                <w:color w:val="auto"/>
                <w:sz w:val="20"/>
              </w:rPr>
            </w:pPr>
          </w:p>
        </w:tc>
        <w:tc>
          <w:tcPr>
            <w:tcW w:w="5638" w:type="dxa"/>
          </w:tcPr>
          <w:p w14:paraId="5662CCC6" w14:textId="77777777" w:rsidR="00E211B9" w:rsidRPr="00532128" w:rsidRDefault="00E211B9"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 środkach masowego przekazu takich jak radio, telewizja, prasa, Internet zostały przeprowadzone następujące kampanie informacyjne:</w:t>
            </w:r>
          </w:p>
          <w:p w14:paraId="2756993B" w14:textId="2592281F" w:rsidR="00E211B9" w:rsidRPr="00532128" w:rsidRDefault="00081C3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lastRenderedPageBreak/>
              <w:t xml:space="preserve">• </w:t>
            </w:r>
            <w:r w:rsidR="00E211B9" w:rsidRPr="00532128">
              <w:rPr>
                <w:rFonts w:eastAsia="MS Mincho" w:cs="Times New Roman"/>
                <w:color w:val="auto"/>
                <w:sz w:val="20"/>
              </w:rPr>
              <w:t>„Emerytura+ 2020”, dotycząca rozwiązań tzw. 13. Emerytury oraz programów Senior+, ASOS, Opieka 75+,</w:t>
            </w:r>
          </w:p>
          <w:p w14:paraId="404122FB" w14:textId="5A0A05AF" w:rsidR="00E211B9" w:rsidRPr="00532128" w:rsidRDefault="00081C3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E211B9" w:rsidRPr="00532128">
              <w:rPr>
                <w:rFonts w:eastAsia="MS Mincho" w:cs="Times New Roman"/>
                <w:color w:val="auto"/>
                <w:sz w:val="20"/>
              </w:rPr>
              <w:t>„Bezpieczny Senior”, mająca na celu przybliżenie osobom starszym zasad bezpieczeństwa w czasie pandemii COVID-19,</w:t>
            </w:r>
          </w:p>
          <w:p w14:paraId="62A39555" w14:textId="3723B592" w:rsidR="00311D18" w:rsidRPr="00081C36" w:rsidRDefault="00E211B9"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t>
            </w:r>
            <w:r w:rsidR="00081C36">
              <w:rPr>
                <w:rFonts w:eastAsia="MS Mincho" w:cs="Times New Roman"/>
                <w:color w:val="auto"/>
                <w:sz w:val="20"/>
              </w:rPr>
              <w:t xml:space="preserve"> </w:t>
            </w:r>
            <w:r w:rsidRPr="00532128">
              <w:rPr>
                <w:rFonts w:eastAsia="MS Mincho" w:cs="Times New Roman"/>
                <w:color w:val="auto"/>
                <w:sz w:val="20"/>
              </w:rPr>
              <w:t xml:space="preserve">„Wspieraj Seniora”, dotycząca uruchomienia Solidarnościowego Korpus Wsparcia Seniorów-pomocy seniorom w okresie pandemii </w:t>
            </w:r>
            <w:proofErr w:type="spellStart"/>
            <w:r w:rsidRPr="00532128">
              <w:rPr>
                <w:rFonts w:eastAsia="MS Mincho" w:cs="Times New Roman"/>
                <w:color w:val="auto"/>
                <w:sz w:val="20"/>
              </w:rPr>
              <w:t>korona</w:t>
            </w:r>
            <w:r w:rsidR="00081C36">
              <w:rPr>
                <w:rFonts w:eastAsia="MS Mincho" w:cs="Times New Roman"/>
                <w:color w:val="auto"/>
                <w:sz w:val="20"/>
              </w:rPr>
              <w:t>wirusa</w:t>
            </w:r>
            <w:proofErr w:type="spellEnd"/>
            <w:r w:rsidR="00081C36">
              <w:rPr>
                <w:rFonts w:eastAsia="MS Mincho" w:cs="Times New Roman"/>
                <w:color w:val="auto"/>
                <w:sz w:val="20"/>
              </w:rPr>
              <w:t xml:space="preserve"> i działań podejmowanych </w:t>
            </w:r>
            <w:r w:rsidRPr="00532128">
              <w:rPr>
                <w:rFonts w:eastAsia="MS Mincho" w:cs="Times New Roman"/>
                <w:color w:val="auto"/>
                <w:sz w:val="20"/>
              </w:rPr>
              <w:t>w tym zakresie przez rząd, samorządy, ośrodki pomocy społecznej i wolontariuszy.</w:t>
            </w:r>
          </w:p>
        </w:tc>
      </w:tr>
      <w:tr w:rsidR="0092226B" w:rsidRPr="0092226B" w14:paraId="25D400F1" w14:textId="77777777" w:rsidTr="002D4784">
        <w:trPr>
          <w:trHeight w:val="281"/>
        </w:trPr>
        <w:tc>
          <w:tcPr>
            <w:cnfStyle w:val="001000000000" w:firstRow="0" w:lastRow="0" w:firstColumn="1" w:lastColumn="0" w:oddVBand="0" w:evenVBand="0" w:oddHBand="0" w:evenHBand="0" w:firstRowFirstColumn="0" w:firstRowLastColumn="0" w:lastRowFirstColumn="0" w:lastRowLastColumn="0"/>
            <w:tcW w:w="1232" w:type="dxa"/>
            <w:vMerge/>
          </w:tcPr>
          <w:p w14:paraId="22B8990D" w14:textId="77777777" w:rsidR="00311D18" w:rsidRPr="00532128" w:rsidRDefault="00311D18" w:rsidP="003C1988">
            <w:pPr>
              <w:rPr>
                <w:rFonts w:cs="Times New Roman"/>
                <w:color w:val="auto"/>
                <w:sz w:val="20"/>
              </w:rPr>
            </w:pPr>
          </w:p>
        </w:tc>
        <w:tc>
          <w:tcPr>
            <w:tcW w:w="3594" w:type="dxa"/>
            <w:vMerge w:val="restart"/>
          </w:tcPr>
          <w:p w14:paraId="1ED452E1"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color w:val="auto"/>
                <w:sz w:val="20"/>
              </w:rPr>
              <w:t>Prowadzenie portalu kalkulatora emerytalnego, pozwalającego na symulację wysokości własnej emerytury w różnych wariantach</w:t>
            </w:r>
          </w:p>
        </w:tc>
        <w:tc>
          <w:tcPr>
            <w:tcW w:w="2032" w:type="dxa"/>
            <w:vMerge w:val="restart"/>
          </w:tcPr>
          <w:p w14:paraId="527C3C55"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Zakład Ubezpieczeń Społecznych</w:t>
            </w:r>
          </w:p>
        </w:tc>
        <w:tc>
          <w:tcPr>
            <w:tcW w:w="1500" w:type="dxa"/>
            <w:vMerge w:val="restart"/>
          </w:tcPr>
          <w:p w14:paraId="0323645F"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532128">
              <w:rPr>
                <w:rFonts w:cs="Times New Roman"/>
                <w:color w:val="auto"/>
                <w:sz w:val="20"/>
              </w:rPr>
              <w:t>Działanie ciągłe*</w:t>
            </w:r>
          </w:p>
        </w:tc>
        <w:tc>
          <w:tcPr>
            <w:tcW w:w="5638" w:type="dxa"/>
          </w:tcPr>
          <w:p w14:paraId="7FCE3BAB" w14:textId="77777777" w:rsidR="00311D18" w:rsidRPr="00532128" w:rsidRDefault="00311D18" w:rsidP="002D4784">
            <w:pPr>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Funkcjonowanie aktualnego portalu kalkulatora emerytalnego</w:t>
            </w:r>
          </w:p>
        </w:tc>
      </w:tr>
      <w:tr w:rsidR="0092226B" w:rsidRPr="0092226B" w14:paraId="2E9991CF" w14:textId="77777777" w:rsidTr="002D478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232" w:type="dxa"/>
            <w:vMerge/>
          </w:tcPr>
          <w:p w14:paraId="5134E4A8" w14:textId="77777777" w:rsidR="00311D18" w:rsidRPr="00532128" w:rsidRDefault="00311D18" w:rsidP="003C1988">
            <w:pPr>
              <w:rPr>
                <w:rFonts w:cs="Times New Roman"/>
                <w:color w:val="auto"/>
                <w:sz w:val="20"/>
              </w:rPr>
            </w:pPr>
          </w:p>
        </w:tc>
        <w:tc>
          <w:tcPr>
            <w:tcW w:w="3594" w:type="dxa"/>
            <w:vMerge/>
          </w:tcPr>
          <w:p w14:paraId="7534E954" w14:textId="77777777" w:rsidR="00311D18" w:rsidRPr="00532128" w:rsidRDefault="00311D18" w:rsidP="002D4784">
            <w:pPr>
              <w:pStyle w:val="Akapitzlist"/>
              <w:ind w:left="0"/>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2032" w:type="dxa"/>
            <w:vMerge/>
          </w:tcPr>
          <w:p w14:paraId="09E835BA"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1500" w:type="dxa"/>
            <w:vMerge/>
          </w:tcPr>
          <w:p w14:paraId="2C61DDF0"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cs="Times New Roman"/>
                <w:color w:val="auto"/>
                <w:sz w:val="20"/>
              </w:rPr>
            </w:pPr>
          </w:p>
        </w:tc>
        <w:tc>
          <w:tcPr>
            <w:tcW w:w="5638" w:type="dxa"/>
          </w:tcPr>
          <w:p w14:paraId="418C10F6" w14:textId="77777777" w:rsidR="00A54F0F" w:rsidRPr="00532128" w:rsidRDefault="00A54F0F"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Doradcy emerytalni wyliczali przy pomocy kalkulatora emerytalnego prognozowaną kwotę emerytury powszechnej, nauczycielskiego świadczenia kompensacyjnego oraz emerytury pomostowej. Przyszli świadczeniobiorcy mogli także skorzystać z kalkulatora emerytalnego zmieszczonego na portalu Platforma Usług Elektronicznych (PUE ZUS), jak również na stronie www.zus.pl.</w:t>
            </w:r>
          </w:p>
          <w:p w14:paraId="35737FDD" w14:textId="77777777" w:rsidR="00A54F0F" w:rsidRPr="00532128" w:rsidRDefault="00A54F0F"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Doradcy emerytalni w 2020 r. wykonali ponad 494 tys. wyliczeń prognozowanej emerytury, natomiast klienci, którzy korzystali               z narzędzi udostępnionych przez ZUS na portalu PUE ZUS i stronie www.zus.pl wykonali w 2020 r.:</w:t>
            </w:r>
          </w:p>
          <w:p w14:paraId="2AFD1A9A" w14:textId="02D2B345" w:rsidR="00A54F0F" w:rsidRPr="00532128" w:rsidRDefault="00081C3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xml:space="preserve">• </w:t>
            </w:r>
            <w:r w:rsidR="00A54F0F" w:rsidRPr="00532128">
              <w:rPr>
                <w:rFonts w:eastAsia="MS Mincho" w:cs="Times New Roman"/>
                <w:color w:val="auto"/>
                <w:sz w:val="20"/>
              </w:rPr>
              <w:t>ponad 1,3 min obliczeń w kalkulatorze na portalu PUE,</w:t>
            </w:r>
          </w:p>
          <w:p w14:paraId="4AF24D34" w14:textId="486EAFD6" w:rsidR="00A54F0F" w:rsidRPr="00532128" w:rsidRDefault="00081C36" w:rsidP="002D4784">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Pr>
                <w:rFonts w:eastAsia="MS Mincho" w:cs="Times New Roman"/>
                <w:color w:val="auto"/>
                <w:sz w:val="20"/>
              </w:rPr>
              <w:t xml:space="preserve">• </w:t>
            </w:r>
            <w:r w:rsidR="00A54F0F" w:rsidRPr="00532128">
              <w:rPr>
                <w:rFonts w:eastAsia="MS Mincho" w:cs="Times New Roman"/>
                <w:color w:val="auto"/>
                <w:sz w:val="20"/>
              </w:rPr>
              <w:t>ponad 145 tys. wyliczeń w kalkulatorze na www.zus.pl.</w:t>
            </w:r>
          </w:p>
          <w:p w14:paraId="4C8893C4" w14:textId="77777777" w:rsidR="00311D18" w:rsidRPr="00532128" w:rsidRDefault="00311D18" w:rsidP="002D4784">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p>
        </w:tc>
      </w:tr>
      <w:tr w:rsidR="0092226B" w:rsidRPr="0092226B" w14:paraId="1B2CFBFA" w14:textId="77777777" w:rsidTr="002D4784">
        <w:trPr>
          <w:trHeight w:val="178"/>
        </w:trPr>
        <w:tc>
          <w:tcPr>
            <w:cnfStyle w:val="001000000000" w:firstRow="0" w:lastRow="0" w:firstColumn="1" w:lastColumn="0" w:oddVBand="0" w:evenVBand="0" w:oddHBand="0" w:evenHBand="0" w:firstRowFirstColumn="0" w:firstRowLastColumn="0" w:lastRowFirstColumn="0" w:lastRowLastColumn="0"/>
            <w:tcW w:w="1232" w:type="dxa"/>
            <w:vMerge w:val="restart"/>
            <w:textDirection w:val="btLr"/>
          </w:tcPr>
          <w:p w14:paraId="547B703D" w14:textId="77777777" w:rsidR="00311D18" w:rsidRPr="00532128" w:rsidRDefault="00311D18" w:rsidP="003C1988">
            <w:pPr>
              <w:ind w:left="113" w:right="113"/>
              <w:rPr>
                <w:rFonts w:cs="Times New Roman"/>
                <w:color w:val="auto"/>
                <w:sz w:val="20"/>
              </w:rPr>
            </w:pPr>
            <w:r w:rsidRPr="00532128">
              <w:rPr>
                <w:rFonts w:cs="Times New Roman"/>
                <w:color w:val="auto"/>
                <w:sz w:val="20"/>
              </w:rPr>
              <w:t>Obszar II</w:t>
            </w:r>
          </w:p>
        </w:tc>
        <w:tc>
          <w:tcPr>
            <w:tcW w:w="3594" w:type="dxa"/>
            <w:vMerge w:val="restart"/>
          </w:tcPr>
          <w:p w14:paraId="1E8DBD49" w14:textId="2D2FC303" w:rsidR="00311D18" w:rsidRPr="00532128" w:rsidRDefault="00311D18" w:rsidP="002D4784">
            <w:pPr>
              <w:pStyle w:val="Akapitzlist"/>
              <w:ind w:left="0"/>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cs="Times New Roman"/>
                <w:color w:val="auto"/>
                <w:sz w:val="20"/>
              </w:rPr>
              <w:t xml:space="preserve">Reforma procesu </w:t>
            </w:r>
            <w:proofErr w:type="spellStart"/>
            <w:r w:rsidRPr="00532128">
              <w:rPr>
                <w:rFonts w:cs="Times New Roman"/>
                <w:color w:val="auto"/>
                <w:sz w:val="20"/>
              </w:rPr>
              <w:t>inwestycyjno</w:t>
            </w:r>
            <w:proofErr w:type="spellEnd"/>
            <w:r w:rsidRPr="00532128">
              <w:rPr>
                <w:rFonts w:cs="Times New Roman"/>
                <w:color w:val="auto"/>
                <w:sz w:val="20"/>
              </w:rPr>
              <w:t>–budowl</w:t>
            </w:r>
            <w:r w:rsidR="002D4784">
              <w:rPr>
                <w:rFonts w:cs="Times New Roman"/>
                <w:color w:val="auto"/>
                <w:sz w:val="20"/>
              </w:rPr>
              <w:t>anego oraz systemu planowania i </w:t>
            </w:r>
            <w:r w:rsidRPr="00532128">
              <w:rPr>
                <w:rFonts w:cs="Times New Roman"/>
                <w:color w:val="auto"/>
                <w:sz w:val="20"/>
              </w:rPr>
              <w:t>zagospodarowania przestrzennego</w:t>
            </w:r>
          </w:p>
        </w:tc>
        <w:tc>
          <w:tcPr>
            <w:tcW w:w="2032" w:type="dxa"/>
            <w:vMerge w:val="restart"/>
          </w:tcPr>
          <w:p w14:paraId="3EA36D4A" w14:textId="2FC35999" w:rsidR="00311D18" w:rsidRPr="00532128" w:rsidRDefault="002D4784"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2D4784">
              <w:rPr>
                <w:rFonts w:eastAsia="MS Mincho" w:cs="Times New Roman"/>
                <w:color w:val="auto"/>
                <w:sz w:val="20"/>
              </w:rPr>
              <w:t>Ministerstwo Rozwoju i Technologii</w:t>
            </w:r>
          </w:p>
        </w:tc>
        <w:tc>
          <w:tcPr>
            <w:tcW w:w="1500" w:type="dxa"/>
            <w:vMerge w:val="restart"/>
          </w:tcPr>
          <w:p w14:paraId="1EA48C92"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532128">
              <w:rPr>
                <w:rFonts w:cs="Times New Roman"/>
                <w:color w:val="auto"/>
                <w:sz w:val="20"/>
              </w:rPr>
              <w:t>2018-2020</w:t>
            </w:r>
          </w:p>
        </w:tc>
        <w:tc>
          <w:tcPr>
            <w:tcW w:w="5638" w:type="dxa"/>
          </w:tcPr>
          <w:p w14:paraId="29B18AF7" w14:textId="77777777" w:rsidR="00311D18" w:rsidRPr="00532128" w:rsidRDefault="00311D18" w:rsidP="002D4784">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 xml:space="preserve">Opracowanie projektu przepisów regulujących proces </w:t>
            </w:r>
            <w:proofErr w:type="spellStart"/>
            <w:r w:rsidRPr="00532128">
              <w:rPr>
                <w:rFonts w:ascii="Times New Roman" w:eastAsia="MS Mincho" w:hAnsi="Times New Roman"/>
                <w:i/>
                <w:color w:val="auto"/>
                <w:sz w:val="20"/>
              </w:rPr>
              <w:t>inwestycyjno</w:t>
            </w:r>
            <w:proofErr w:type="spellEnd"/>
            <w:r w:rsidRPr="00532128">
              <w:rPr>
                <w:rFonts w:ascii="Times New Roman" w:eastAsia="MS Mincho" w:hAnsi="Times New Roman"/>
                <w:i/>
                <w:color w:val="auto"/>
                <w:sz w:val="20"/>
              </w:rPr>
              <w:t xml:space="preserve"> – budowlany oraz system planowania i zagospodarowania przestrzennego</w:t>
            </w:r>
          </w:p>
        </w:tc>
      </w:tr>
      <w:tr w:rsidR="0092226B" w:rsidRPr="0092226B" w14:paraId="2E307EC8" w14:textId="77777777" w:rsidTr="002D4784">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232" w:type="dxa"/>
            <w:vMerge/>
          </w:tcPr>
          <w:p w14:paraId="27CB5BEC" w14:textId="77777777" w:rsidR="00311D18" w:rsidRPr="00532128" w:rsidRDefault="00311D18" w:rsidP="003C1988">
            <w:pPr>
              <w:rPr>
                <w:rFonts w:cs="Times New Roman"/>
                <w:color w:val="auto"/>
                <w:sz w:val="20"/>
              </w:rPr>
            </w:pPr>
          </w:p>
        </w:tc>
        <w:tc>
          <w:tcPr>
            <w:tcW w:w="3594" w:type="dxa"/>
            <w:vMerge/>
          </w:tcPr>
          <w:p w14:paraId="3F9225C1" w14:textId="77777777" w:rsidR="00311D18" w:rsidRPr="00532128" w:rsidRDefault="00311D18" w:rsidP="002D4784">
            <w:pPr>
              <w:pStyle w:val="Akapitzlist"/>
              <w:ind w:left="0"/>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2032" w:type="dxa"/>
            <w:vMerge/>
          </w:tcPr>
          <w:p w14:paraId="64BF3FB8"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1500" w:type="dxa"/>
            <w:vMerge/>
          </w:tcPr>
          <w:p w14:paraId="17FC512F"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cs="Times New Roman"/>
                <w:color w:val="auto"/>
                <w:sz w:val="20"/>
              </w:rPr>
            </w:pPr>
          </w:p>
        </w:tc>
        <w:tc>
          <w:tcPr>
            <w:tcW w:w="5638" w:type="dxa"/>
          </w:tcPr>
          <w:p w14:paraId="45C33BA9" w14:textId="441E18A6" w:rsidR="0021088E" w:rsidRPr="00532128" w:rsidRDefault="0021088E"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W związku ze zmianami w ustawie z dnia 7 lipca 1994 r. – Prawo budowlane (Dz. U. z 2020 r. poz. 1333, z </w:t>
            </w:r>
            <w:proofErr w:type="spellStart"/>
            <w:r w:rsidRPr="00532128">
              <w:rPr>
                <w:rFonts w:eastAsia="MS Mincho" w:cs="Times New Roman"/>
                <w:color w:val="auto"/>
                <w:sz w:val="20"/>
              </w:rPr>
              <w:t>późn</w:t>
            </w:r>
            <w:proofErr w:type="spellEnd"/>
            <w:r w:rsidRPr="00532128">
              <w:rPr>
                <w:rFonts w:eastAsia="MS Mincho" w:cs="Times New Roman"/>
                <w:color w:val="auto"/>
                <w:sz w:val="20"/>
              </w:rPr>
              <w:t xml:space="preserve">. zm.), zwanej dalej ustawą Pb, wprowadzonymi na mocy ustawy z dnia 5 lipca 2018 r. o ułatwieniach w przygotowaniu i realizacji inwestycji mieszkaniowych (Dz. U. poz. 1495) oraz ustawy z dnia 19 lipca 2019 r. o zapewnianiu dostępności osobom ze szczególnymi potrzebami, zwanej dalej ustawą o zapewnieniu dostępności, </w:t>
            </w:r>
            <w:r w:rsidRPr="00532128">
              <w:rPr>
                <w:rFonts w:eastAsia="MS Mincho" w:cs="Times New Roman"/>
                <w:color w:val="auto"/>
                <w:sz w:val="20"/>
              </w:rPr>
              <w:lastRenderedPageBreak/>
              <w:t>zachodzi konieczność wydania nowego rozporządzenia określającego warunki techniczne dla budynków.</w:t>
            </w:r>
          </w:p>
          <w:p w14:paraId="6DD49616" w14:textId="5B427F20" w:rsidR="0021088E" w:rsidRPr="00532128" w:rsidRDefault="0021088E"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Zgodnie z art. 66 ustawy o zapewnianiu dostępności nowe rozporządzenie powinno zostać w</w:t>
            </w:r>
            <w:r w:rsidR="002D4784">
              <w:rPr>
                <w:rFonts w:eastAsia="MS Mincho" w:cs="Times New Roman"/>
                <w:color w:val="auto"/>
                <w:sz w:val="20"/>
              </w:rPr>
              <w:t>ydane w terminie 36 miesięcy od </w:t>
            </w:r>
            <w:r w:rsidRPr="00532128">
              <w:rPr>
                <w:rFonts w:eastAsia="MS Mincho" w:cs="Times New Roman"/>
                <w:color w:val="auto"/>
                <w:sz w:val="20"/>
              </w:rPr>
              <w:t>dnia wejścia w życie ustawy o</w:t>
            </w:r>
            <w:r w:rsidR="002D4784">
              <w:rPr>
                <w:rFonts w:eastAsia="MS Mincho" w:cs="Times New Roman"/>
                <w:color w:val="auto"/>
                <w:sz w:val="20"/>
              </w:rPr>
              <w:t xml:space="preserve"> zapewnianiu dostępności tj. od </w:t>
            </w:r>
            <w:r w:rsidRPr="00532128">
              <w:rPr>
                <w:rFonts w:eastAsia="MS Mincho" w:cs="Times New Roman"/>
                <w:color w:val="auto"/>
                <w:sz w:val="20"/>
              </w:rPr>
              <w:t>dnia 20 września 2019 r.</w:t>
            </w:r>
          </w:p>
          <w:p w14:paraId="0F8EC614" w14:textId="4D88F652" w:rsidR="0021088E" w:rsidRPr="00532128" w:rsidRDefault="0021088E"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W związku z powyższym w listopadzie 2019 r. ówczesne Ministerstwo Inwestycji i </w:t>
            </w:r>
            <w:r w:rsidR="002D4784">
              <w:rPr>
                <w:rFonts w:eastAsia="MS Mincho" w:cs="Times New Roman"/>
                <w:color w:val="auto"/>
                <w:sz w:val="20"/>
              </w:rPr>
              <w:t>Rozwoju wystosowało pismo do 38 </w:t>
            </w:r>
            <w:r w:rsidRPr="00532128">
              <w:rPr>
                <w:rFonts w:eastAsia="MS Mincho" w:cs="Times New Roman"/>
                <w:color w:val="auto"/>
                <w:sz w:val="20"/>
              </w:rPr>
              <w:t xml:space="preserve">instytucji, w tym organizacji zajmujących się problemami osób z niepełnosprawnościami, o analizę przepisów rozporządzenia Ministra Infrastruktury z dnia 12 kwietnia 2002 r. w sprawie warunków technicznych, jakim powinny odpowiadać budynki i ich usytuowanie (Dz. U. z 2019 r. poz. 1065), dalej „rozporządzenie </w:t>
            </w:r>
            <w:proofErr w:type="spellStart"/>
            <w:r w:rsidRPr="00532128">
              <w:rPr>
                <w:rFonts w:eastAsia="MS Mincho" w:cs="Times New Roman"/>
                <w:color w:val="auto"/>
                <w:sz w:val="20"/>
              </w:rPr>
              <w:t>Wt</w:t>
            </w:r>
            <w:proofErr w:type="spellEnd"/>
            <w:r w:rsidRPr="00532128">
              <w:rPr>
                <w:rFonts w:eastAsia="MS Mincho" w:cs="Times New Roman"/>
                <w:color w:val="auto"/>
                <w:sz w:val="20"/>
              </w:rPr>
              <w:t>” . Spłynęło szereg uwag i opinii. W obecnej chwili trwają prace w zakresie opracowywania projektu nowych warunków techniczno-budowlanych dla budynków.</w:t>
            </w:r>
          </w:p>
          <w:p w14:paraId="735198F2" w14:textId="67CD23FD" w:rsidR="0021088E" w:rsidRPr="00532128" w:rsidRDefault="0021088E"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Zaznaczyć należy, iż nowe przepisy techniczno-budowlane będą miały na celu m.in.  ułatwienie d</w:t>
            </w:r>
            <w:r w:rsidR="002D4784">
              <w:rPr>
                <w:rFonts w:eastAsia="MS Mincho" w:cs="Times New Roman"/>
                <w:color w:val="auto"/>
                <w:sz w:val="20"/>
              </w:rPr>
              <w:t>ostępu do budynków i urządzeń z </w:t>
            </w:r>
            <w:r w:rsidRPr="00532128">
              <w:rPr>
                <w:rFonts w:eastAsia="MS Mincho" w:cs="Times New Roman"/>
                <w:color w:val="auto"/>
                <w:sz w:val="20"/>
              </w:rPr>
              <w:t>nimi związanych osobom z różnym rodzajem niepełnosprawności, co z pewnością będzie miało pozytywny wpływ również na inne grupy społeczne jak osoby starsze, opiekunowie z małymi dziećmi czy osoby z czasowymi dysfunkcjami ruchowymi.</w:t>
            </w:r>
          </w:p>
          <w:p w14:paraId="1C657826" w14:textId="1A5E8946" w:rsidR="0021088E" w:rsidRPr="00532128" w:rsidRDefault="0021088E"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Wraz ze starzeniem się społeczeńs</w:t>
            </w:r>
            <w:r w:rsidR="002D4784">
              <w:rPr>
                <w:rFonts w:eastAsia="MS Mincho" w:cs="Times New Roman"/>
                <w:color w:val="auto"/>
                <w:sz w:val="20"/>
              </w:rPr>
              <w:t>twa problem braku dostępności w </w:t>
            </w:r>
            <w:r w:rsidRPr="00532128">
              <w:rPr>
                <w:rFonts w:eastAsia="MS Mincho" w:cs="Times New Roman"/>
                <w:color w:val="auto"/>
                <w:sz w:val="20"/>
              </w:rPr>
              <w:t xml:space="preserve">przestrzeni publicznej staje się </w:t>
            </w:r>
            <w:r w:rsidR="002D4784">
              <w:rPr>
                <w:rFonts w:eastAsia="MS Mincho" w:cs="Times New Roman"/>
                <w:color w:val="auto"/>
                <w:sz w:val="20"/>
              </w:rPr>
              <w:t>coraz poważniejszy. Przyjęte na </w:t>
            </w:r>
            <w:r w:rsidRPr="00532128">
              <w:rPr>
                <w:rFonts w:eastAsia="MS Mincho" w:cs="Times New Roman"/>
                <w:color w:val="auto"/>
                <w:sz w:val="20"/>
              </w:rPr>
              <w:t>podstawie rozporządzenia r</w:t>
            </w:r>
            <w:r w:rsidR="002D4784">
              <w:rPr>
                <w:rFonts w:eastAsia="MS Mincho" w:cs="Times New Roman"/>
                <w:color w:val="auto"/>
                <w:sz w:val="20"/>
              </w:rPr>
              <w:t>ozwiązania architektoniczne czy </w:t>
            </w:r>
            <w:r w:rsidRPr="00532128">
              <w:rPr>
                <w:rFonts w:eastAsia="MS Mincho" w:cs="Times New Roman"/>
                <w:color w:val="auto"/>
                <w:sz w:val="20"/>
              </w:rPr>
              <w:t>komunikacyjne będą wyc</w:t>
            </w:r>
            <w:r w:rsidR="002D4784">
              <w:rPr>
                <w:rFonts w:eastAsia="MS Mincho" w:cs="Times New Roman"/>
                <w:color w:val="auto"/>
                <w:sz w:val="20"/>
              </w:rPr>
              <w:t>hodzić naprzeciw oczekiwaniom i </w:t>
            </w:r>
            <w:r w:rsidRPr="00532128">
              <w:rPr>
                <w:rFonts w:eastAsia="MS Mincho" w:cs="Times New Roman"/>
                <w:color w:val="auto"/>
                <w:sz w:val="20"/>
              </w:rPr>
              <w:t>potrzebom zarówno seniorów jak i</w:t>
            </w:r>
            <w:r w:rsidR="002D4784">
              <w:rPr>
                <w:rFonts w:eastAsia="MS Mincho" w:cs="Times New Roman"/>
                <w:color w:val="auto"/>
                <w:sz w:val="20"/>
              </w:rPr>
              <w:t xml:space="preserve"> osób nie w pełni sprawnych. Ze </w:t>
            </w:r>
            <w:r w:rsidRPr="00532128">
              <w:rPr>
                <w:rFonts w:eastAsia="MS Mincho" w:cs="Times New Roman"/>
                <w:color w:val="auto"/>
                <w:sz w:val="20"/>
              </w:rPr>
              <w:t>względu jednak na uniwersalny charakter planowanych rozwiązań, będą one służyły także</w:t>
            </w:r>
            <w:r w:rsidR="002D4784">
              <w:rPr>
                <w:rFonts w:eastAsia="MS Mincho" w:cs="Times New Roman"/>
                <w:color w:val="auto"/>
                <w:sz w:val="20"/>
              </w:rPr>
              <w:t xml:space="preserve"> ludziom w pełni sprawnym (np. </w:t>
            </w:r>
            <w:r w:rsidRPr="00532128">
              <w:rPr>
                <w:rFonts w:eastAsia="MS Mincho" w:cs="Times New Roman"/>
                <w:color w:val="auto"/>
                <w:sz w:val="20"/>
              </w:rPr>
              <w:t>windy, podjazdy). To co jest dostępne dla osób ze szczególnymi potrzebami jest najczęściej także przyjazne i bezpieczne dla ogółu społeczeństwa. Z powyższych względów można ocenić, że poza walorem normatywnym wydane rozporządzenie będzie miało korzystny wpływ, tak w kategorii społecznej, jak i indywidualnej.</w:t>
            </w:r>
          </w:p>
          <w:p w14:paraId="7BBF0392" w14:textId="37C501F8" w:rsidR="0021088E" w:rsidRPr="00532128" w:rsidRDefault="0021088E"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lastRenderedPageBreak/>
              <w:t xml:space="preserve">Dodatkowo należy wskazać, że w </w:t>
            </w:r>
            <w:r w:rsidR="002D4784">
              <w:t xml:space="preserve"> </w:t>
            </w:r>
            <w:r w:rsidR="002D4784">
              <w:rPr>
                <w:rFonts w:eastAsia="MS Mincho" w:cs="Times New Roman"/>
                <w:color w:val="auto"/>
                <w:sz w:val="20"/>
              </w:rPr>
              <w:t>Ministerstwo Rozwoju i </w:t>
            </w:r>
            <w:r w:rsidR="002D4784" w:rsidRPr="002D4784">
              <w:rPr>
                <w:rFonts w:eastAsia="MS Mincho" w:cs="Times New Roman"/>
                <w:color w:val="auto"/>
                <w:sz w:val="20"/>
              </w:rPr>
              <w:t xml:space="preserve">Technologii </w:t>
            </w:r>
            <w:r w:rsidRPr="00532128">
              <w:rPr>
                <w:rFonts w:eastAsia="MS Mincho" w:cs="Times New Roman"/>
                <w:color w:val="auto"/>
                <w:sz w:val="20"/>
              </w:rPr>
              <w:t>zakończono również prace nad nowym rozporządzeniem w sprawie zakresu i formy projektu budowlanego, które weszło w życie 19 września 2020 r.  Przedmiotowy projekt wprowadził regulacje zgodnie z którymi część opisowa projektu architektoniczno-budowlanego powinna zawierać:</w:t>
            </w:r>
          </w:p>
          <w:p w14:paraId="69F8F9F6" w14:textId="100617ED" w:rsidR="0021088E" w:rsidRPr="00532128" w:rsidRDefault="0021088E"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w przypadku zamierzenia budowlanego dotyczącego budynku mieszkalnego wielorodzinnego – liczbę lokali mieszkalnych dostępnych dla osób niepełnosprawnych, o których mowa w art. 1 Konwencji o prawach osób ni</w:t>
            </w:r>
            <w:r w:rsidR="002D4784">
              <w:rPr>
                <w:rFonts w:eastAsia="MS Mincho" w:cs="Times New Roman"/>
                <w:color w:val="auto"/>
                <w:sz w:val="20"/>
              </w:rPr>
              <w:t>epełnosprawnych, sporządzonej w </w:t>
            </w:r>
            <w:r w:rsidRPr="00532128">
              <w:rPr>
                <w:rFonts w:eastAsia="MS Mincho" w:cs="Times New Roman"/>
                <w:color w:val="auto"/>
                <w:sz w:val="20"/>
              </w:rPr>
              <w:t>Nowym Jorku dnia 13 grudnia 2006 r. (Dz. U. z 2012 r. poz. 1169 oraz z 2018 r. poz. 1217), w tym osób starszych;</w:t>
            </w:r>
          </w:p>
          <w:p w14:paraId="0F9A5160" w14:textId="6CDEE414" w:rsidR="00311D18" w:rsidRPr="00532128" w:rsidRDefault="0021088E" w:rsidP="002D4784">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r w:rsidRPr="00532128">
              <w:rPr>
                <w:rFonts w:eastAsia="MS Mincho" w:cs="Times New Roman"/>
                <w:color w:val="auto"/>
                <w:sz w:val="20"/>
              </w:rPr>
              <w:t>- opis zapewnienia niezbę</w:t>
            </w:r>
            <w:r w:rsidR="002D4784">
              <w:rPr>
                <w:rFonts w:eastAsia="MS Mincho" w:cs="Times New Roman"/>
                <w:color w:val="auto"/>
                <w:sz w:val="20"/>
              </w:rPr>
              <w:t>dnych warunków do korzystania z </w:t>
            </w:r>
            <w:r w:rsidRPr="00532128">
              <w:rPr>
                <w:rFonts w:eastAsia="MS Mincho" w:cs="Times New Roman"/>
                <w:color w:val="auto"/>
                <w:sz w:val="20"/>
              </w:rPr>
              <w:t>obiektów użyteczności publicznej i mieszkaniowego budownictwa wielorodzinnego przez osoby ni</w:t>
            </w:r>
            <w:r w:rsidR="002D4784">
              <w:rPr>
                <w:rFonts w:eastAsia="MS Mincho" w:cs="Times New Roman"/>
                <w:color w:val="auto"/>
                <w:sz w:val="20"/>
              </w:rPr>
              <w:t>epełnosprawne, o których mowa w </w:t>
            </w:r>
            <w:r w:rsidRPr="00532128">
              <w:rPr>
                <w:rFonts w:eastAsia="MS Mincho" w:cs="Times New Roman"/>
                <w:color w:val="auto"/>
                <w:sz w:val="20"/>
              </w:rPr>
              <w:t>art. 1 Konwencji o prawach osób niepełno-sprawnych, sporządzonej w Nowym Jorku dnia 13 grudnia 2006 r., w tym osoby starsze.</w:t>
            </w:r>
          </w:p>
        </w:tc>
      </w:tr>
      <w:tr w:rsidR="0092226B" w:rsidRPr="0092226B" w14:paraId="48C1351E" w14:textId="77777777" w:rsidTr="002D4784">
        <w:trPr>
          <w:trHeight w:val="1123"/>
        </w:trPr>
        <w:tc>
          <w:tcPr>
            <w:cnfStyle w:val="001000000000" w:firstRow="0" w:lastRow="0" w:firstColumn="1" w:lastColumn="0" w:oddVBand="0" w:evenVBand="0" w:oddHBand="0" w:evenHBand="0" w:firstRowFirstColumn="0" w:firstRowLastColumn="0" w:lastRowFirstColumn="0" w:lastRowLastColumn="0"/>
            <w:tcW w:w="1232" w:type="dxa"/>
            <w:vMerge/>
          </w:tcPr>
          <w:p w14:paraId="157C8D42" w14:textId="77777777" w:rsidR="00311D18" w:rsidRPr="00532128" w:rsidRDefault="00311D18" w:rsidP="003C1988">
            <w:pPr>
              <w:rPr>
                <w:rFonts w:cs="Times New Roman"/>
                <w:color w:val="auto"/>
                <w:sz w:val="20"/>
              </w:rPr>
            </w:pPr>
          </w:p>
        </w:tc>
        <w:tc>
          <w:tcPr>
            <w:tcW w:w="3594" w:type="dxa"/>
            <w:vMerge w:val="restart"/>
          </w:tcPr>
          <w:p w14:paraId="6643E535"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532128">
              <w:rPr>
                <w:rFonts w:ascii="Times New Roman" w:hAnsi="Times New Roman"/>
                <w:color w:val="auto"/>
                <w:sz w:val="20"/>
              </w:rPr>
              <w:t xml:space="preserve">Minimalizowanie istniejących </w:t>
            </w:r>
            <w:r w:rsidRPr="00C16B6F">
              <w:rPr>
                <w:rFonts w:ascii="Times New Roman" w:hAnsi="Times New Roman"/>
                <w:color w:val="auto"/>
                <w:sz w:val="20"/>
              </w:rPr>
              <w:t xml:space="preserve">barier </w:t>
            </w:r>
            <w:r w:rsidRPr="00532128">
              <w:rPr>
                <w:rFonts w:ascii="Times New Roman" w:hAnsi="Times New Roman"/>
                <w:color w:val="auto"/>
                <w:sz w:val="20"/>
              </w:rPr>
              <w:t>architektonicznych uniemożliwiających aktywność osobom starszym poprzez:</w:t>
            </w:r>
          </w:p>
          <w:p w14:paraId="55BCFFFD" w14:textId="77777777" w:rsidR="00311D18" w:rsidRPr="00532128" w:rsidRDefault="00311D18" w:rsidP="002D4784">
            <w:pPr>
              <w:pStyle w:val="Kolorowalistaakcent11"/>
              <w:numPr>
                <w:ilvl w:val="0"/>
                <w:numId w:val="5"/>
              </w:numPr>
              <w:ind w:left="36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532128">
              <w:rPr>
                <w:rFonts w:ascii="Times New Roman" w:hAnsi="Times New Roman"/>
                <w:color w:val="auto"/>
                <w:sz w:val="20"/>
              </w:rPr>
              <w:t xml:space="preserve">dostosowywanie przestrzeni publicznej i infrastruktury </w:t>
            </w:r>
            <w:r w:rsidRPr="00532128">
              <w:rPr>
                <w:rFonts w:ascii="Times New Roman" w:hAnsi="Times New Roman"/>
                <w:color w:val="auto"/>
                <w:sz w:val="20"/>
              </w:rPr>
              <w:br/>
              <w:t>do potrzeb osób z różnymi rodzajami niepełnosprawności;</w:t>
            </w:r>
          </w:p>
          <w:p w14:paraId="4EB56FAA" w14:textId="77777777" w:rsidR="00311D18" w:rsidRPr="00532128" w:rsidRDefault="00311D18" w:rsidP="002D4784">
            <w:pPr>
              <w:pStyle w:val="Kolorowalistaakcent11"/>
              <w:numPr>
                <w:ilvl w:val="0"/>
                <w:numId w:val="5"/>
              </w:numPr>
              <w:ind w:left="36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532128">
              <w:rPr>
                <w:rFonts w:ascii="Times New Roman" w:hAnsi="Times New Roman"/>
                <w:color w:val="auto"/>
                <w:sz w:val="20"/>
              </w:rPr>
              <w:t>zwiększanie świadomości mieszkańców i inwestorów działających w przestrzeni publicznej;</w:t>
            </w:r>
          </w:p>
          <w:p w14:paraId="2189B609" w14:textId="77777777" w:rsidR="00311D18" w:rsidRPr="00532128" w:rsidRDefault="00311D18" w:rsidP="002D4784">
            <w:pPr>
              <w:pStyle w:val="Kolorowalistaakcent11"/>
              <w:numPr>
                <w:ilvl w:val="0"/>
                <w:numId w:val="5"/>
              </w:numPr>
              <w:ind w:left="36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532128">
              <w:rPr>
                <w:rFonts w:ascii="Times New Roman" w:hAnsi="Times New Roman"/>
                <w:color w:val="auto"/>
                <w:sz w:val="20"/>
              </w:rPr>
              <w:t>prowadzenie sukcesywnej oceny dostępności przestrzeni publicznych przez jednostki samorządu terytorialnego;</w:t>
            </w:r>
          </w:p>
          <w:p w14:paraId="3B19329D" w14:textId="77777777" w:rsidR="00311D18" w:rsidRPr="00532128" w:rsidRDefault="00311D18" w:rsidP="002D4784">
            <w:pPr>
              <w:pStyle w:val="Kolorowalistaakcent11"/>
              <w:numPr>
                <w:ilvl w:val="0"/>
                <w:numId w:val="5"/>
              </w:numPr>
              <w:ind w:left="36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532128">
              <w:rPr>
                <w:rFonts w:ascii="Times New Roman" w:hAnsi="Times New Roman"/>
                <w:color w:val="auto"/>
                <w:sz w:val="20"/>
              </w:rPr>
              <w:lastRenderedPageBreak/>
              <w:t xml:space="preserve">włączanie osób starszych </w:t>
            </w:r>
            <w:r w:rsidRPr="00532128">
              <w:rPr>
                <w:rFonts w:ascii="Times New Roman" w:hAnsi="Times New Roman"/>
                <w:color w:val="auto"/>
                <w:sz w:val="20"/>
              </w:rPr>
              <w:br/>
              <w:t xml:space="preserve">oraz organizacji senioralnych </w:t>
            </w:r>
            <w:r w:rsidRPr="00532128">
              <w:rPr>
                <w:rFonts w:ascii="Times New Roman" w:hAnsi="Times New Roman"/>
                <w:color w:val="auto"/>
                <w:sz w:val="20"/>
              </w:rPr>
              <w:br/>
              <w:t>w procesy decyzyjne mające w celu diagnozowanie istniejących ograniczeń i ich rozwiązywanie;</w:t>
            </w:r>
          </w:p>
          <w:p w14:paraId="50B7857B" w14:textId="77777777" w:rsidR="00311D18" w:rsidRPr="00532128" w:rsidRDefault="00311D18" w:rsidP="002D4784">
            <w:pPr>
              <w:pStyle w:val="Kolorowalistaakcent11"/>
              <w:numPr>
                <w:ilvl w:val="0"/>
                <w:numId w:val="5"/>
              </w:numPr>
              <w:ind w:left="36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532128">
              <w:rPr>
                <w:rFonts w:ascii="Times New Roman" w:hAnsi="Times New Roman"/>
                <w:color w:val="auto"/>
                <w:sz w:val="20"/>
              </w:rPr>
              <w:t xml:space="preserve">likwidację barier architektonicznych </w:t>
            </w:r>
            <w:r w:rsidRPr="00532128">
              <w:rPr>
                <w:rFonts w:ascii="Times New Roman" w:hAnsi="Times New Roman"/>
                <w:color w:val="auto"/>
                <w:sz w:val="20"/>
              </w:rPr>
              <w:br/>
              <w:t>w instytucjach publicznych</w:t>
            </w:r>
          </w:p>
        </w:tc>
        <w:tc>
          <w:tcPr>
            <w:tcW w:w="2032" w:type="dxa"/>
            <w:vMerge w:val="restart"/>
          </w:tcPr>
          <w:p w14:paraId="2B888E5C" w14:textId="721754BE" w:rsidR="00311D18" w:rsidRPr="00532128" w:rsidRDefault="002D4784"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2D4784">
              <w:rPr>
                <w:rFonts w:eastAsia="MS Mincho" w:cs="Times New Roman"/>
                <w:color w:val="auto"/>
                <w:sz w:val="20"/>
              </w:rPr>
              <w:lastRenderedPageBreak/>
              <w:t>Ministerstwo Rozwoju i Technologii</w:t>
            </w:r>
            <w:r w:rsidR="00311D18" w:rsidRPr="00532128">
              <w:rPr>
                <w:rFonts w:eastAsia="MS Mincho" w:cs="Times New Roman"/>
                <w:color w:val="auto"/>
                <w:sz w:val="20"/>
              </w:rPr>
              <w:t>, Ministerstwo Infrastruktury</w:t>
            </w:r>
          </w:p>
          <w:p w14:paraId="30CA2E9F"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1500" w:type="dxa"/>
            <w:vMerge w:val="restart"/>
          </w:tcPr>
          <w:p w14:paraId="576B6360"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532128">
              <w:rPr>
                <w:rFonts w:cs="Times New Roman"/>
                <w:color w:val="auto"/>
                <w:sz w:val="20"/>
              </w:rPr>
              <w:t>Działanie ciągłe*</w:t>
            </w:r>
          </w:p>
        </w:tc>
        <w:tc>
          <w:tcPr>
            <w:tcW w:w="5638" w:type="dxa"/>
          </w:tcPr>
          <w:p w14:paraId="4DD03D01"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działań podjętych przez jednostki samorządu terytorialnego</w:t>
            </w:r>
            <w:r w:rsidRPr="00532128">
              <w:rPr>
                <w:rFonts w:cs="Times New Roman"/>
                <w:i/>
                <w:color w:val="auto"/>
                <w:sz w:val="20"/>
              </w:rPr>
              <w:t xml:space="preserve"> w obszarze minimalizowania istniejących barier architektonicznych uniemożliwiających aktywność osobom starszym</w:t>
            </w:r>
          </w:p>
        </w:tc>
      </w:tr>
      <w:tr w:rsidR="0092226B" w:rsidRPr="0092226B" w14:paraId="667D1B0E" w14:textId="77777777" w:rsidTr="002D4784">
        <w:trPr>
          <w:cnfStyle w:val="000000100000" w:firstRow="0" w:lastRow="0" w:firstColumn="0" w:lastColumn="0" w:oddVBand="0" w:evenVBand="0" w:oddHBand="1" w:evenHBand="0" w:firstRowFirstColumn="0" w:firstRowLastColumn="0" w:lastRowFirstColumn="0" w:lastRowLastColumn="0"/>
          <w:trHeight w:val="1399"/>
        </w:trPr>
        <w:tc>
          <w:tcPr>
            <w:cnfStyle w:val="001000000000" w:firstRow="0" w:lastRow="0" w:firstColumn="1" w:lastColumn="0" w:oddVBand="0" w:evenVBand="0" w:oddHBand="0" w:evenHBand="0" w:firstRowFirstColumn="0" w:firstRowLastColumn="0" w:lastRowFirstColumn="0" w:lastRowLastColumn="0"/>
            <w:tcW w:w="1232" w:type="dxa"/>
            <w:vMerge/>
          </w:tcPr>
          <w:p w14:paraId="371F8D00" w14:textId="77777777" w:rsidR="00311D18" w:rsidRPr="00532128" w:rsidRDefault="00311D18" w:rsidP="003C1988">
            <w:pPr>
              <w:rPr>
                <w:rFonts w:cs="Times New Roman"/>
                <w:color w:val="auto"/>
                <w:sz w:val="20"/>
              </w:rPr>
            </w:pPr>
          </w:p>
        </w:tc>
        <w:tc>
          <w:tcPr>
            <w:tcW w:w="3594" w:type="dxa"/>
            <w:vMerge/>
          </w:tcPr>
          <w:p w14:paraId="50710F51"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p>
        </w:tc>
        <w:tc>
          <w:tcPr>
            <w:tcW w:w="2032" w:type="dxa"/>
            <w:vMerge/>
          </w:tcPr>
          <w:p w14:paraId="1C6579DC"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1500" w:type="dxa"/>
            <w:vMerge/>
          </w:tcPr>
          <w:p w14:paraId="7C00A1D1"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cs="Times New Roman"/>
                <w:color w:val="auto"/>
                <w:sz w:val="20"/>
              </w:rPr>
            </w:pPr>
          </w:p>
        </w:tc>
        <w:tc>
          <w:tcPr>
            <w:tcW w:w="5638" w:type="dxa"/>
          </w:tcPr>
          <w:p w14:paraId="0211A6F6" w14:textId="5825E424" w:rsidR="00E302EC" w:rsidRPr="00532128" w:rsidRDefault="00E302EC" w:rsidP="002D4784">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32128">
              <w:rPr>
                <w:rFonts w:cs="Times New Roman"/>
                <w:color w:val="auto"/>
                <w:sz w:val="20"/>
                <w:szCs w:val="20"/>
              </w:rPr>
              <w:t>W ramach Programu Operacyjnego Wiedza Edukacja Rozwój 2014-2020 (PO WER) w Działaniu 2.8 „Rozwój usług społecznych świadczonych w środowisku lokalnym”, w 2020 r</w:t>
            </w:r>
            <w:r w:rsidR="00C30527">
              <w:rPr>
                <w:rFonts w:cs="Times New Roman"/>
                <w:color w:val="auto"/>
                <w:sz w:val="20"/>
                <w:szCs w:val="20"/>
              </w:rPr>
              <w:t>.</w:t>
            </w:r>
            <w:r w:rsidRPr="00532128">
              <w:rPr>
                <w:rFonts w:cs="Times New Roman"/>
                <w:color w:val="auto"/>
                <w:sz w:val="20"/>
                <w:szCs w:val="20"/>
              </w:rPr>
              <w:t xml:space="preserve"> trwała realizacja 6 </w:t>
            </w:r>
            <w:r w:rsidR="002D4784">
              <w:rPr>
                <w:rFonts w:cs="Times New Roman"/>
                <w:color w:val="auto"/>
                <w:sz w:val="20"/>
                <w:szCs w:val="20"/>
              </w:rPr>
              <w:t xml:space="preserve">inicjatyw w ramach projektu: ,,Wypracowanie standardów i przeprowadzenie pilotaży </w:t>
            </w:r>
            <w:r w:rsidRPr="00532128">
              <w:rPr>
                <w:rFonts w:cs="Times New Roman"/>
                <w:color w:val="auto"/>
                <w:sz w:val="20"/>
                <w:szCs w:val="20"/>
              </w:rPr>
              <w:t>w zakresie usług mieszk</w:t>
            </w:r>
            <w:r w:rsidR="002D4784">
              <w:rPr>
                <w:rFonts w:cs="Times New Roman"/>
                <w:color w:val="auto"/>
                <w:sz w:val="20"/>
                <w:szCs w:val="20"/>
              </w:rPr>
              <w:t>alnictwa wspomaganego dla osób o specyficznych potrzebach, z </w:t>
            </w:r>
            <w:r w:rsidRPr="00532128">
              <w:rPr>
                <w:rFonts w:cs="Times New Roman"/>
                <w:color w:val="auto"/>
                <w:sz w:val="20"/>
                <w:szCs w:val="20"/>
              </w:rPr>
              <w:t>uwzględnieniem możliwości finansowania tych rozwiązań</w:t>
            </w:r>
            <w:r w:rsidR="002D4784">
              <w:rPr>
                <w:rFonts w:cs="Times New Roman"/>
                <w:color w:val="auto"/>
                <w:sz w:val="20"/>
                <w:szCs w:val="20"/>
              </w:rPr>
              <w:t>”,</w:t>
            </w:r>
            <w:r w:rsidRPr="00532128">
              <w:rPr>
                <w:rFonts w:cs="Times New Roman"/>
                <w:color w:val="auto"/>
                <w:sz w:val="20"/>
                <w:szCs w:val="20"/>
              </w:rPr>
              <w:t xml:space="preserve"> dotyczącego wsparcia procesu </w:t>
            </w:r>
            <w:proofErr w:type="spellStart"/>
            <w:r w:rsidRPr="00532128">
              <w:rPr>
                <w:rFonts w:cs="Times New Roman"/>
                <w:color w:val="auto"/>
                <w:sz w:val="20"/>
                <w:szCs w:val="20"/>
              </w:rPr>
              <w:t>deinstytucjonalizacji</w:t>
            </w:r>
            <w:proofErr w:type="spellEnd"/>
            <w:r w:rsidRPr="00532128">
              <w:rPr>
                <w:rFonts w:cs="Times New Roman"/>
                <w:color w:val="auto"/>
                <w:sz w:val="20"/>
                <w:szCs w:val="20"/>
              </w:rPr>
              <w:t xml:space="preserve"> usług społecznych w Polsce (rozumianego jako przejście od opieki instytucjonalnej do opieki środowiskowej). </w:t>
            </w:r>
          </w:p>
          <w:p w14:paraId="7A3EE150" w14:textId="3D18227C" w:rsidR="00E302EC" w:rsidRPr="00532128" w:rsidRDefault="00E302EC" w:rsidP="002D4784">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32128">
              <w:rPr>
                <w:rFonts w:cs="Times New Roman"/>
                <w:color w:val="auto"/>
                <w:sz w:val="20"/>
                <w:szCs w:val="20"/>
              </w:rPr>
              <w:lastRenderedPageBreak/>
              <w:t xml:space="preserve">Projekty realizowane są przez 6 Regionalnych Ośrodków Polityki Społecznej i zakończą się do marca  2023 r. Projekty obejmują działania zgodne z ideą </w:t>
            </w:r>
            <w:proofErr w:type="spellStart"/>
            <w:r w:rsidRPr="00532128">
              <w:rPr>
                <w:rFonts w:cs="Times New Roman"/>
                <w:color w:val="auto"/>
                <w:sz w:val="20"/>
                <w:szCs w:val="20"/>
              </w:rPr>
              <w:t>deinstytucjonalizacji</w:t>
            </w:r>
            <w:proofErr w:type="spellEnd"/>
            <w:r w:rsidRPr="00532128">
              <w:rPr>
                <w:rFonts w:cs="Times New Roman"/>
                <w:color w:val="auto"/>
                <w:sz w:val="20"/>
                <w:szCs w:val="20"/>
              </w:rPr>
              <w:t xml:space="preserve"> usług, tj. działania zmierzające do przejścia od świadczenia usług w formach instytucjonalnych (stacjon</w:t>
            </w:r>
            <w:r w:rsidR="002D4784">
              <w:rPr>
                <w:rFonts w:cs="Times New Roman"/>
                <w:color w:val="auto"/>
                <w:sz w:val="20"/>
                <w:szCs w:val="20"/>
              </w:rPr>
              <w:t>arnych) do usług świadczonych w </w:t>
            </w:r>
            <w:r w:rsidRPr="00532128">
              <w:rPr>
                <w:rFonts w:cs="Times New Roman"/>
                <w:color w:val="auto"/>
                <w:sz w:val="20"/>
                <w:szCs w:val="20"/>
              </w:rPr>
              <w:t>środowisku lokalnym. Celem konkursu jest wypracowanie takich rozwiązań, które umożliwią osobom starszym, niepełnosprawnym oraz zaburzonym psychicznie „niezależne życie”.</w:t>
            </w:r>
          </w:p>
          <w:p w14:paraId="5956B1E0" w14:textId="77777777" w:rsidR="00E302EC" w:rsidRPr="00532128" w:rsidRDefault="00E302EC" w:rsidP="002D4784">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32128">
              <w:rPr>
                <w:rFonts w:cs="Times New Roman"/>
                <w:color w:val="auto"/>
                <w:sz w:val="20"/>
                <w:szCs w:val="20"/>
              </w:rPr>
              <w:t>Projekty zakładają sfinansowanie opracowanych rozwiązań, dlatego też standardy usług zostaną przetestowane w mieszkaniach wspomaganych w ramach pilotażu na obszarze samorządowych jednostek organizacyjnych – 30 gmin. Po przeprowadzeniu pilotaży oraz weryfikacji rezultatów z nich wynikających opracowane standardy będą rekomendowane do stosowania.</w:t>
            </w:r>
          </w:p>
          <w:p w14:paraId="6DF2B9DC" w14:textId="00C1DB6F" w:rsidR="00E302EC" w:rsidRPr="00532128" w:rsidRDefault="00E302EC" w:rsidP="002D4784">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32128">
              <w:rPr>
                <w:rFonts w:cs="Times New Roman"/>
                <w:color w:val="auto"/>
                <w:sz w:val="20"/>
                <w:szCs w:val="20"/>
              </w:rPr>
              <w:t>W 2020 r. trwała realizacja II ka</w:t>
            </w:r>
            <w:r w:rsidR="002D4784">
              <w:rPr>
                <w:rFonts w:cs="Times New Roman"/>
                <w:color w:val="auto"/>
                <w:sz w:val="20"/>
                <w:szCs w:val="20"/>
              </w:rPr>
              <w:t>mienia milowego polegającego na </w:t>
            </w:r>
            <w:r w:rsidRPr="00532128">
              <w:rPr>
                <w:rFonts w:cs="Times New Roman"/>
                <w:color w:val="auto"/>
                <w:sz w:val="20"/>
                <w:szCs w:val="20"/>
              </w:rPr>
              <w:t xml:space="preserve">wdrożeniu opracowanego modelu/standardu na rzecz </w:t>
            </w:r>
            <w:proofErr w:type="spellStart"/>
            <w:r w:rsidRPr="00532128">
              <w:rPr>
                <w:rFonts w:cs="Times New Roman"/>
                <w:color w:val="auto"/>
                <w:sz w:val="20"/>
                <w:szCs w:val="20"/>
              </w:rPr>
              <w:t>deinstytucjonalizacji</w:t>
            </w:r>
            <w:proofErr w:type="spellEnd"/>
            <w:r w:rsidRPr="00532128">
              <w:rPr>
                <w:rFonts w:cs="Times New Roman"/>
                <w:color w:val="auto"/>
                <w:sz w:val="20"/>
                <w:szCs w:val="20"/>
              </w:rPr>
              <w:t xml:space="preserve"> usług na terenie gminnych jednostek samorządu terytorialnego poprzez m.in. finalizację prac remontowych i adaptacyjnych prowadzonych w mieszkaniach wspomaganych zgodnie z wypracowanym standardem, kwalifikowanie pracowników do mieszkań wspomaganych, przeprowadzanie szkoleń tematy</w:t>
            </w:r>
            <w:r w:rsidR="002D4784">
              <w:rPr>
                <w:rFonts w:cs="Times New Roman"/>
                <w:color w:val="auto"/>
                <w:sz w:val="20"/>
                <w:szCs w:val="20"/>
              </w:rPr>
              <w:t>cznych dla kadry zatrudnionej w </w:t>
            </w:r>
            <w:r w:rsidRPr="00532128">
              <w:rPr>
                <w:rFonts w:cs="Times New Roman"/>
                <w:color w:val="auto"/>
                <w:sz w:val="20"/>
                <w:szCs w:val="20"/>
              </w:rPr>
              <w:t>mieszkaniach wspomaganych.</w:t>
            </w:r>
          </w:p>
          <w:p w14:paraId="13D124CF" w14:textId="77777777" w:rsidR="00E302EC" w:rsidRPr="00532128" w:rsidRDefault="00E302EC" w:rsidP="002D4784">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szCs w:val="20"/>
                <w:u w:val="single"/>
              </w:rPr>
            </w:pPr>
            <w:r w:rsidRPr="00532128">
              <w:rPr>
                <w:rFonts w:cs="Times New Roman"/>
                <w:color w:val="auto"/>
                <w:sz w:val="20"/>
                <w:szCs w:val="20"/>
              </w:rPr>
              <w:t>Według stanu na dzień 31 grudnia 2020 r., funkcjonowały 22 mieszkania dla 106 osób.</w:t>
            </w:r>
          </w:p>
          <w:p w14:paraId="597DE4A7" w14:textId="77777777"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szCs w:val="20"/>
                <w:u w:val="single"/>
              </w:rPr>
            </w:pPr>
          </w:p>
          <w:p w14:paraId="3A8F3904" w14:textId="6FE29545" w:rsidR="00C45806" w:rsidRPr="00532128" w:rsidRDefault="002D4784"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Pr>
                <w:rFonts w:eastAsia="MS Mincho" w:cs="Times New Roman"/>
                <w:color w:val="auto"/>
                <w:sz w:val="20"/>
                <w:szCs w:val="20"/>
              </w:rPr>
              <w:t>Działanie pn. „</w:t>
            </w:r>
            <w:r w:rsidR="00C45806" w:rsidRPr="00532128">
              <w:rPr>
                <w:rFonts w:eastAsia="MS Mincho" w:cs="Times New Roman"/>
                <w:color w:val="auto"/>
                <w:sz w:val="20"/>
                <w:szCs w:val="20"/>
              </w:rPr>
              <w:t>Dostosow</w:t>
            </w:r>
            <w:r>
              <w:rPr>
                <w:rFonts w:eastAsia="MS Mincho" w:cs="Times New Roman"/>
                <w:color w:val="auto"/>
                <w:sz w:val="20"/>
                <w:szCs w:val="20"/>
              </w:rPr>
              <w:t>ywanie przestrzeni publicznej i </w:t>
            </w:r>
            <w:r w:rsidR="00C45806" w:rsidRPr="00532128">
              <w:rPr>
                <w:rFonts w:eastAsia="MS Mincho" w:cs="Times New Roman"/>
                <w:color w:val="auto"/>
                <w:sz w:val="20"/>
                <w:szCs w:val="20"/>
              </w:rPr>
              <w:t>infrastruktury do p</w:t>
            </w:r>
            <w:r>
              <w:rPr>
                <w:rFonts w:eastAsia="MS Mincho" w:cs="Times New Roman"/>
                <w:color w:val="auto"/>
                <w:sz w:val="20"/>
                <w:szCs w:val="20"/>
              </w:rPr>
              <w:t xml:space="preserve">otrzeb osób z różnymi rodzajami </w:t>
            </w:r>
            <w:r w:rsidR="00C45806" w:rsidRPr="00532128">
              <w:rPr>
                <w:rFonts w:eastAsia="MS Mincho" w:cs="Times New Roman"/>
                <w:color w:val="auto"/>
                <w:sz w:val="20"/>
                <w:szCs w:val="20"/>
              </w:rPr>
              <w:t xml:space="preserve">niepełnosprawności” </w:t>
            </w:r>
            <w:r>
              <w:rPr>
                <w:rFonts w:eastAsia="MS Mincho" w:cs="Times New Roman"/>
                <w:color w:val="auto"/>
                <w:sz w:val="20"/>
                <w:szCs w:val="20"/>
              </w:rPr>
              <w:t xml:space="preserve">to działanie ciągłe wynikające </w:t>
            </w:r>
            <w:r w:rsidR="00C45806" w:rsidRPr="00532128">
              <w:rPr>
                <w:rFonts w:eastAsia="MS Mincho" w:cs="Times New Roman"/>
                <w:color w:val="auto"/>
                <w:sz w:val="20"/>
                <w:szCs w:val="20"/>
              </w:rPr>
              <w:t>z konieczności dostosowania infrastruktury kolejowej do wymogów prawa unijnego, zgodnie z rozporzą</w:t>
            </w:r>
            <w:r>
              <w:rPr>
                <w:rFonts w:eastAsia="MS Mincho" w:cs="Times New Roman"/>
                <w:color w:val="auto"/>
                <w:sz w:val="20"/>
                <w:szCs w:val="20"/>
              </w:rPr>
              <w:t>dzeniem Komisji Europejskiej nr </w:t>
            </w:r>
            <w:r w:rsidR="00C45806" w:rsidRPr="00532128">
              <w:rPr>
                <w:rFonts w:eastAsia="MS Mincho" w:cs="Times New Roman"/>
                <w:color w:val="auto"/>
                <w:sz w:val="20"/>
                <w:szCs w:val="20"/>
              </w:rPr>
              <w:t xml:space="preserve">1300/2014 z dnia 18 listopada 2014 r. w sprawie technicznych specyfikacji interoperacyjności odnoszących się do dostępności systemu kolei Unii dla osób niepełnosprawnych i osób </w:t>
            </w:r>
            <w:r w:rsidR="00C45806" w:rsidRPr="00532128">
              <w:rPr>
                <w:rFonts w:eastAsia="MS Mincho" w:cs="Times New Roman"/>
                <w:color w:val="auto"/>
                <w:sz w:val="20"/>
                <w:szCs w:val="20"/>
              </w:rPr>
              <w:lastRenderedPageBreak/>
              <w:t>o</w:t>
            </w:r>
            <w:r>
              <w:rPr>
                <w:rFonts w:eastAsia="MS Mincho" w:cs="Times New Roman"/>
                <w:color w:val="auto"/>
                <w:sz w:val="20"/>
                <w:szCs w:val="20"/>
              </w:rPr>
              <w:t> </w:t>
            </w:r>
            <w:r w:rsidR="00C45806" w:rsidRPr="00532128">
              <w:rPr>
                <w:rFonts w:eastAsia="MS Mincho" w:cs="Times New Roman"/>
                <w:color w:val="auto"/>
                <w:sz w:val="20"/>
                <w:szCs w:val="20"/>
              </w:rPr>
              <w:t>ograniczonej możliwości porusza</w:t>
            </w:r>
            <w:r>
              <w:rPr>
                <w:rFonts w:eastAsia="MS Mincho" w:cs="Times New Roman"/>
                <w:color w:val="auto"/>
                <w:sz w:val="20"/>
                <w:szCs w:val="20"/>
              </w:rPr>
              <w:t>nia się (Dz. Urz. UE L Nr 356 z </w:t>
            </w:r>
            <w:r w:rsidR="00C45806" w:rsidRPr="00532128">
              <w:rPr>
                <w:rFonts w:eastAsia="MS Mincho" w:cs="Times New Roman"/>
                <w:color w:val="auto"/>
                <w:sz w:val="20"/>
                <w:szCs w:val="20"/>
              </w:rPr>
              <w:t>12 grudnia 2014 r., str. 110</w:t>
            </w:r>
            <w:r>
              <w:rPr>
                <w:rFonts w:eastAsia="MS Mincho" w:cs="Times New Roman"/>
                <w:color w:val="auto"/>
                <w:sz w:val="20"/>
                <w:szCs w:val="20"/>
              </w:rPr>
              <w:t xml:space="preserve"> ze zmianami) (dalej zwanym TSI </w:t>
            </w:r>
            <w:r w:rsidR="00C45806" w:rsidRPr="00532128">
              <w:rPr>
                <w:rFonts w:eastAsia="MS Mincho" w:cs="Times New Roman"/>
                <w:color w:val="auto"/>
                <w:sz w:val="20"/>
                <w:szCs w:val="20"/>
              </w:rPr>
              <w:t>PRM). TSI PRM jako akt prawny w randze rozporządzenia Komisji Europejskiej jest bezpoś</w:t>
            </w:r>
            <w:r>
              <w:rPr>
                <w:rFonts w:eastAsia="MS Mincho" w:cs="Times New Roman"/>
                <w:color w:val="auto"/>
                <w:sz w:val="20"/>
                <w:szCs w:val="20"/>
              </w:rPr>
              <w:t>rednio stosowany, co oznacza że </w:t>
            </w:r>
            <w:r w:rsidR="00C45806" w:rsidRPr="00532128">
              <w:rPr>
                <w:rFonts w:eastAsia="MS Mincho" w:cs="Times New Roman"/>
                <w:color w:val="auto"/>
                <w:sz w:val="20"/>
                <w:szCs w:val="20"/>
              </w:rPr>
              <w:t>nie istnieje konieczność wydawania przez polskiego ustawodawcę dodatkowych aktów prawnych (ustaw, rozporządzeń) wdrażających regulacje już zawarte w TSI PRM. Budowa nowych dworców kolejowych oraz modernizacja i odnowienie już istniejących, wymaga zatem zastosowania TSI PRM. Powyższe zapewnia na polskiej sieci kolejowej swobodną podróży koleją osobą o ograniczonej możliwości poruszania się, a  pełna funkcjonalność infrastruktury d</w:t>
            </w:r>
            <w:r>
              <w:rPr>
                <w:rFonts w:eastAsia="MS Mincho" w:cs="Times New Roman"/>
                <w:color w:val="auto"/>
                <w:sz w:val="20"/>
                <w:szCs w:val="20"/>
              </w:rPr>
              <w:t>worcowej i peronowej dla osób o </w:t>
            </w:r>
            <w:r w:rsidR="00C45806" w:rsidRPr="00532128">
              <w:rPr>
                <w:rFonts w:eastAsia="MS Mincho" w:cs="Times New Roman"/>
                <w:color w:val="auto"/>
                <w:sz w:val="20"/>
                <w:szCs w:val="20"/>
              </w:rPr>
              <w:t xml:space="preserve">ograniczonej możliwości poruszania się, priorytetowo jest traktowana poprzez </w:t>
            </w:r>
            <w:r w:rsidR="00F7772E">
              <w:rPr>
                <w:rFonts w:eastAsia="MS Mincho" w:cs="Times New Roman"/>
                <w:color w:val="auto"/>
                <w:sz w:val="20"/>
                <w:szCs w:val="20"/>
              </w:rPr>
              <w:t xml:space="preserve">odpowiednie wdrożenie TSI PRM. </w:t>
            </w:r>
          </w:p>
          <w:p w14:paraId="238B1F3A" w14:textId="77777777"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 xml:space="preserve">Realizacja inwestycji na dworcach PKP S.A. </w:t>
            </w:r>
          </w:p>
          <w:p w14:paraId="2B39C691" w14:textId="2D257DF0"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Zapewnienie pełnej zgodności infrastruktury i taboru ze standardami Technicznych specyfikacj</w:t>
            </w:r>
            <w:r w:rsidR="00F7772E">
              <w:rPr>
                <w:rFonts w:eastAsia="MS Mincho" w:cs="Times New Roman"/>
                <w:color w:val="auto"/>
                <w:sz w:val="20"/>
                <w:szCs w:val="20"/>
              </w:rPr>
              <w:t>i interoperacyjności dla osób z </w:t>
            </w:r>
            <w:r w:rsidRPr="00532128">
              <w:rPr>
                <w:rFonts w:eastAsia="MS Mincho" w:cs="Times New Roman"/>
                <w:color w:val="auto"/>
                <w:sz w:val="20"/>
                <w:szCs w:val="20"/>
              </w:rPr>
              <w:t xml:space="preserve">niepełnosprawnościami i o ograniczonej możliwości poruszania się  (TSI PRM) jest celem strategicznym PKP S.A. i Grupy PKP. Jako zarządca dworców kolejowych PKP S.A. wdrażają systemowo </w:t>
            </w:r>
          </w:p>
          <w:p w14:paraId="6A1EB487" w14:textId="2BA663EE"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 xml:space="preserve">w ramach modernizacji zasady dostępności i projektowania uniwersalnego. </w:t>
            </w:r>
          </w:p>
          <w:p w14:paraId="2C6BB6C3" w14:textId="62995CDD"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Realizacja inwestycji dworcowych w zakresie potrzeb osób starszych zakł</w:t>
            </w:r>
            <w:r w:rsidR="00F7772E">
              <w:rPr>
                <w:rFonts w:eastAsia="MS Mincho" w:cs="Times New Roman"/>
                <w:color w:val="auto"/>
                <w:sz w:val="20"/>
                <w:szCs w:val="20"/>
              </w:rPr>
              <w:t xml:space="preserve">ada m.in. zwiększenie komfortu </w:t>
            </w:r>
            <w:r w:rsidRPr="00532128">
              <w:rPr>
                <w:rFonts w:eastAsia="MS Mincho" w:cs="Times New Roman"/>
                <w:color w:val="auto"/>
                <w:sz w:val="20"/>
                <w:szCs w:val="20"/>
              </w:rPr>
              <w:t>i standardu obsługi podróżnych, polepszenie dostępności obiektów dla osób o ograniczonej sprawności ruchowej, poprawę bezpieczeństwa poprzez implementację systemów bezpieczeństwa i lokowa</w:t>
            </w:r>
            <w:r w:rsidR="00F7772E">
              <w:rPr>
                <w:rFonts w:eastAsia="MS Mincho" w:cs="Times New Roman"/>
                <w:color w:val="auto"/>
                <w:sz w:val="20"/>
                <w:szCs w:val="20"/>
              </w:rPr>
              <w:t>nie na </w:t>
            </w:r>
            <w:r w:rsidRPr="00532128">
              <w:rPr>
                <w:rFonts w:eastAsia="MS Mincho" w:cs="Times New Roman"/>
                <w:color w:val="auto"/>
                <w:sz w:val="20"/>
                <w:szCs w:val="20"/>
              </w:rPr>
              <w:t xml:space="preserve">dworcach posterunków Policji i SOK. </w:t>
            </w:r>
          </w:p>
          <w:p w14:paraId="63E0E4DC" w14:textId="56FA2360"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Atutem zmodernizowanych dworców jest również system dynamicznej informacji pasażer</w:t>
            </w:r>
            <w:r w:rsidR="00F7772E">
              <w:rPr>
                <w:rFonts w:eastAsia="MS Mincho" w:cs="Times New Roman"/>
                <w:color w:val="auto"/>
                <w:sz w:val="20"/>
                <w:szCs w:val="20"/>
              </w:rPr>
              <w:t>skiej (SDIP). Rozkłady jazdy na </w:t>
            </w:r>
            <w:r w:rsidRPr="00532128">
              <w:rPr>
                <w:rFonts w:eastAsia="MS Mincho" w:cs="Times New Roman"/>
                <w:color w:val="auto"/>
                <w:sz w:val="20"/>
                <w:szCs w:val="20"/>
              </w:rPr>
              <w:t>tablicach elektr</w:t>
            </w:r>
            <w:r w:rsidR="00F7772E">
              <w:rPr>
                <w:rFonts w:eastAsia="MS Mincho" w:cs="Times New Roman"/>
                <w:color w:val="auto"/>
                <w:sz w:val="20"/>
                <w:szCs w:val="20"/>
              </w:rPr>
              <w:t xml:space="preserve">onicznych są bardziej czytelne </w:t>
            </w:r>
            <w:r w:rsidRPr="00532128">
              <w:rPr>
                <w:rFonts w:eastAsia="MS Mincho" w:cs="Times New Roman"/>
                <w:color w:val="auto"/>
                <w:sz w:val="20"/>
                <w:szCs w:val="20"/>
              </w:rPr>
              <w:t>i dostosowane m.in. potrzeb do osób starszych, które miały problem z odczytaniem treści na drukowanych plakatach.</w:t>
            </w:r>
          </w:p>
          <w:p w14:paraId="45B8C60E" w14:textId="77777777"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lastRenderedPageBreak/>
              <w:t xml:space="preserve">Podejmowane działania wpływają na zwiększenie dostępności dworców szczególnie w miejscowościach, gdzie obiekty dworcowe były w złym stanie technicznym, bądź nie istniały w ogóle i zostały zbudowane od podstaw. </w:t>
            </w:r>
          </w:p>
          <w:p w14:paraId="5C92E3C5" w14:textId="77777777"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 xml:space="preserve">Według stanu na 31 grudnia 2020 roku, w ramach Programu Inwestycji Dworcowych na lata 2016-2023 („PID”): </w:t>
            </w:r>
          </w:p>
          <w:p w14:paraId="457CD7CD" w14:textId="32117998"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- 23 inwestycje dworcow</w:t>
            </w:r>
            <w:r w:rsidR="00F7772E">
              <w:rPr>
                <w:rFonts w:eastAsia="MS Mincho" w:cs="Times New Roman"/>
                <w:color w:val="auto"/>
                <w:sz w:val="20"/>
                <w:szCs w:val="20"/>
              </w:rPr>
              <w:t xml:space="preserve">e zostały zakończone (z tego 9 </w:t>
            </w:r>
            <w:r w:rsidRPr="00532128">
              <w:rPr>
                <w:rFonts w:eastAsia="MS Mincho" w:cs="Times New Roman"/>
                <w:color w:val="auto"/>
                <w:sz w:val="20"/>
                <w:szCs w:val="20"/>
              </w:rPr>
              <w:t xml:space="preserve">w 2020 r.); </w:t>
            </w:r>
          </w:p>
          <w:p w14:paraId="616FAFEF" w14:textId="424EE210"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- 71 inwestycji było na etapie realizacji robót budowlanych lub</w:t>
            </w:r>
            <w:r w:rsidR="00F7772E">
              <w:rPr>
                <w:rFonts w:eastAsia="MS Mincho" w:cs="Times New Roman"/>
                <w:color w:val="auto"/>
                <w:sz w:val="20"/>
                <w:szCs w:val="20"/>
              </w:rPr>
              <w:t xml:space="preserve"> </w:t>
            </w:r>
            <w:r w:rsidRPr="00532128">
              <w:rPr>
                <w:rFonts w:eastAsia="MS Mincho" w:cs="Times New Roman"/>
                <w:color w:val="auto"/>
                <w:sz w:val="20"/>
                <w:szCs w:val="20"/>
              </w:rPr>
              <w:t>umowy projektuj i buduj (</w:t>
            </w:r>
            <w:proofErr w:type="spellStart"/>
            <w:r w:rsidRPr="00532128">
              <w:rPr>
                <w:rFonts w:eastAsia="MS Mincho" w:cs="Times New Roman"/>
                <w:color w:val="auto"/>
                <w:sz w:val="20"/>
                <w:szCs w:val="20"/>
              </w:rPr>
              <w:t>PiB</w:t>
            </w:r>
            <w:proofErr w:type="spellEnd"/>
            <w:r w:rsidRPr="00532128">
              <w:rPr>
                <w:rFonts w:eastAsia="MS Mincho" w:cs="Times New Roman"/>
                <w:color w:val="auto"/>
                <w:sz w:val="20"/>
                <w:szCs w:val="20"/>
              </w:rPr>
              <w:t xml:space="preserve">); </w:t>
            </w:r>
          </w:p>
          <w:p w14:paraId="14BD4336" w14:textId="77777777"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 xml:space="preserve">- 15 inwestycji było na etapie projektowania lub przetargu na roboty budowlane/umowę </w:t>
            </w:r>
            <w:proofErr w:type="spellStart"/>
            <w:r w:rsidRPr="00532128">
              <w:rPr>
                <w:rFonts w:eastAsia="MS Mincho" w:cs="Times New Roman"/>
                <w:color w:val="auto"/>
                <w:sz w:val="20"/>
                <w:szCs w:val="20"/>
              </w:rPr>
              <w:t>PiB</w:t>
            </w:r>
            <w:proofErr w:type="spellEnd"/>
            <w:r w:rsidRPr="00532128">
              <w:rPr>
                <w:rFonts w:eastAsia="MS Mincho" w:cs="Times New Roman"/>
                <w:color w:val="auto"/>
                <w:sz w:val="20"/>
                <w:szCs w:val="20"/>
              </w:rPr>
              <w:t xml:space="preserve">; </w:t>
            </w:r>
          </w:p>
          <w:p w14:paraId="3BC82ADC" w14:textId="337A3A55"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- 79 inwestycji było na etapie</w:t>
            </w:r>
            <w:r w:rsidR="00F7772E">
              <w:rPr>
                <w:rFonts w:eastAsia="MS Mincho" w:cs="Times New Roman"/>
                <w:color w:val="auto"/>
                <w:sz w:val="20"/>
                <w:szCs w:val="20"/>
              </w:rPr>
              <w:t xml:space="preserve"> przygotowania lub przetargu na </w:t>
            </w:r>
            <w:r w:rsidRPr="00532128">
              <w:rPr>
                <w:rFonts w:eastAsia="MS Mincho" w:cs="Times New Roman"/>
                <w:color w:val="auto"/>
                <w:sz w:val="20"/>
                <w:szCs w:val="20"/>
              </w:rPr>
              <w:t xml:space="preserve">projektowanie. </w:t>
            </w:r>
          </w:p>
          <w:p w14:paraId="55396EED" w14:textId="636D6A67"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W 2020 r</w:t>
            </w:r>
            <w:r w:rsidR="005670C1">
              <w:rPr>
                <w:rFonts w:eastAsia="MS Mincho" w:cs="Times New Roman"/>
                <w:color w:val="auto"/>
                <w:sz w:val="20"/>
                <w:szCs w:val="20"/>
              </w:rPr>
              <w:t>.</w:t>
            </w:r>
            <w:r w:rsidRPr="00532128">
              <w:rPr>
                <w:rFonts w:eastAsia="MS Mincho" w:cs="Times New Roman"/>
                <w:color w:val="auto"/>
                <w:sz w:val="20"/>
                <w:szCs w:val="20"/>
              </w:rPr>
              <w:t xml:space="preserve"> rozpoczęły się także prace analityczne mające na celu przygotowanie listy lokalizacji w ramach kontynuacji PID w perspektywie finansowej UE na lata 2021-2027 (około 150 kolejnych lokalizacji).</w:t>
            </w:r>
          </w:p>
          <w:p w14:paraId="17614DCC" w14:textId="77777777"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p>
          <w:p w14:paraId="0AF23A78" w14:textId="77777777"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 xml:space="preserve">Świadczenie usług asysty przy przemieszczaniu się po dworcach kolejowych. </w:t>
            </w:r>
          </w:p>
          <w:p w14:paraId="48797BDD" w14:textId="01FC22C5"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W PKP S.A. obowiązuje Procedura udzielania pomocy osobom niepełnosprawnym i osobom o ograniczonej sprawności ruchowej na dworcach kolejowych i obszarach stacji. PKP S.A. zapewniają usługę asysty dla osób z niepełnosprawnością i osób o ograniczonej sprawności ruchowej podczas przemieszczania się po terenie dworca kolejowego, peronów, przejść podziemnych, kładek i innych ciągów komunikacyjnych, na których dozwolone jest poruszanie się pieszych. Natomiast asystę związa</w:t>
            </w:r>
            <w:r w:rsidR="00F7772E">
              <w:rPr>
                <w:rFonts w:eastAsia="MS Mincho" w:cs="Times New Roman"/>
                <w:color w:val="auto"/>
                <w:sz w:val="20"/>
                <w:szCs w:val="20"/>
              </w:rPr>
              <w:t>ną z wejściem i wyjściem do i z </w:t>
            </w:r>
            <w:r w:rsidRPr="00532128">
              <w:rPr>
                <w:rFonts w:eastAsia="MS Mincho" w:cs="Times New Roman"/>
                <w:color w:val="auto"/>
                <w:sz w:val="20"/>
                <w:szCs w:val="20"/>
              </w:rPr>
              <w:t xml:space="preserve">pociągu realizuje z kolei drużyna konduktorska. Usługa asysty jest świadczona na 59 dworcach. </w:t>
            </w:r>
          </w:p>
          <w:p w14:paraId="7791AE04" w14:textId="77777777"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 xml:space="preserve">W 2020 r. PKP zrealizowało 9 157 zgłoszeń  na obsługę osób </w:t>
            </w:r>
          </w:p>
          <w:p w14:paraId="2ACDBC67" w14:textId="77777777"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z niepełnosprawnością i osób o ograniczonej sprawności, które dotyczyły:</w:t>
            </w:r>
          </w:p>
          <w:p w14:paraId="31C17317" w14:textId="57D1C1BF" w:rsidR="00C45806" w:rsidRPr="00532128" w:rsidRDefault="00F7772E"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Pr>
                <w:rFonts w:eastAsia="MS Mincho" w:cs="Times New Roman"/>
                <w:color w:val="auto"/>
                <w:sz w:val="20"/>
                <w:szCs w:val="20"/>
              </w:rPr>
              <w:t xml:space="preserve">• </w:t>
            </w:r>
            <w:r w:rsidR="00C45806" w:rsidRPr="00532128">
              <w:rPr>
                <w:rFonts w:eastAsia="MS Mincho" w:cs="Times New Roman"/>
                <w:color w:val="auto"/>
                <w:sz w:val="20"/>
                <w:szCs w:val="20"/>
              </w:rPr>
              <w:t>osób niewidomych – 2991 zgłoszeń;</w:t>
            </w:r>
          </w:p>
          <w:p w14:paraId="6569119E" w14:textId="093F5971" w:rsidR="00C45806" w:rsidRPr="00532128" w:rsidRDefault="00F7772E"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Pr>
                <w:rFonts w:eastAsia="MS Mincho" w:cs="Times New Roman"/>
                <w:color w:val="auto"/>
                <w:sz w:val="20"/>
                <w:szCs w:val="20"/>
              </w:rPr>
              <w:lastRenderedPageBreak/>
              <w:t xml:space="preserve">• </w:t>
            </w:r>
            <w:r w:rsidR="00C45806" w:rsidRPr="00532128">
              <w:rPr>
                <w:rFonts w:eastAsia="MS Mincho" w:cs="Times New Roman"/>
                <w:color w:val="auto"/>
                <w:sz w:val="20"/>
                <w:szCs w:val="20"/>
              </w:rPr>
              <w:t>osób o kulach – 537 zgłoszeń;</w:t>
            </w:r>
          </w:p>
          <w:p w14:paraId="0AD5D98E" w14:textId="3DA4980C" w:rsidR="00C45806" w:rsidRPr="00532128" w:rsidRDefault="00F7772E"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Pr>
                <w:rFonts w:eastAsia="MS Mincho" w:cs="Times New Roman"/>
                <w:color w:val="auto"/>
                <w:sz w:val="20"/>
                <w:szCs w:val="20"/>
              </w:rPr>
              <w:t xml:space="preserve">• </w:t>
            </w:r>
            <w:r w:rsidR="00C45806" w:rsidRPr="00532128">
              <w:rPr>
                <w:rFonts w:eastAsia="MS Mincho" w:cs="Times New Roman"/>
                <w:color w:val="auto"/>
                <w:sz w:val="20"/>
                <w:szCs w:val="20"/>
              </w:rPr>
              <w:t>osób o lasce – 32 zgłoszenia;</w:t>
            </w:r>
          </w:p>
          <w:p w14:paraId="4907D96D" w14:textId="5122E773" w:rsidR="00C45806" w:rsidRPr="00532128" w:rsidRDefault="00F7772E"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Pr>
                <w:rFonts w:eastAsia="MS Mincho" w:cs="Times New Roman"/>
                <w:color w:val="auto"/>
                <w:sz w:val="20"/>
                <w:szCs w:val="20"/>
              </w:rPr>
              <w:t xml:space="preserve">• </w:t>
            </w:r>
            <w:r w:rsidR="00C45806" w:rsidRPr="00532128">
              <w:rPr>
                <w:rFonts w:eastAsia="MS Mincho" w:cs="Times New Roman"/>
                <w:color w:val="auto"/>
                <w:sz w:val="20"/>
                <w:szCs w:val="20"/>
              </w:rPr>
              <w:t>osób starszych – 146 zgłoszeń;</w:t>
            </w:r>
          </w:p>
          <w:p w14:paraId="4D2D1751" w14:textId="0C658549" w:rsidR="00C45806" w:rsidRPr="00532128" w:rsidRDefault="00F7772E"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Pr>
                <w:rFonts w:eastAsia="MS Mincho" w:cs="Times New Roman"/>
                <w:color w:val="auto"/>
                <w:sz w:val="20"/>
                <w:szCs w:val="20"/>
              </w:rPr>
              <w:t xml:space="preserve">• </w:t>
            </w:r>
            <w:r w:rsidR="00C45806" w:rsidRPr="00532128">
              <w:rPr>
                <w:rFonts w:eastAsia="MS Mincho" w:cs="Times New Roman"/>
                <w:color w:val="auto"/>
                <w:sz w:val="20"/>
                <w:szCs w:val="20"/>
              </w:rPr>
              <w:t>osób z chodzikiem – 231 zgłoszeń;</w:t>
            </w:r>
          </w:p>
          <w:p w14:paraId="55E46DC5" w14:textId="7F746791" w:rsidR="00C45806" w:rsidRPr="00532128" w:rsidRDefault="00F7772E"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Pr>
                <w:rFonts w:eastAsia="MS Mincho" w:cs="Times New Roman"/>
                <w:color w:val="auto"/>
                <w:sz w:val="20"/>
                <w:szCs w:val="20"/>
              </w:rPr>
              <w:t xml:space="preserve">• </w:t>
            </w:r>
            <w:r w:rsidR="00C45806" w:rsidRPr="00532128">
              <w:rPr>
                <w:rFonts w:eastAsia="MS Mincho" w:cs="Times New Roman"/>
                <w:color w:val="auto"/>
                <w:sz w:val="20"/>
                <w:szCs w:val="20"/>
              </w:rPr>
              <w:t xml:space="preserve">osób  poruszających się na wózku elektrycznym – 554 zgłoszenia; </w:t>
            </w:r>
          </w:p>
          <w:p w14:paraId="3753F542" w14:textId="48865600" w:rsidR="00C45806" w:rsidRPr="00532128" w:rsidRDefault="00F7772E"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Pr>
                <w:rFonts w:eastAsia="MS Mincho" w:cs="Times New Roman"/>
                <w:color w:val="auto"/>
                <w:sz w:val="20"/>
                <w:szCs w:val="20"/>
              </w:rPr>
              <w:t xml:space="preserve">• </w:t>
            </w:r>
            <w:r w:rsidR="00C45806" w:rsidRPr="00532128">
              <w:rPr>
                <w:rFonts w:eastAsia="MS Mincho" w:cs="Times New Roman"/>
                <w:color w:val="auto"/>
                <w:sz w:val="20"/>
                <w:szCs w:val="20"/>
              </w:rPr>
              <w:t>osób  poruszających się na wózku manualnym – 3951 zgłoszeń;</w:t>
            </w:r>
          </w:p>
          <w:p w14:paraId="2AF4C4E3" w14:textId="013ADEEB" w:rsidR="00C45806" w:rsidRPr="00532128" w:rsidRDefault="00F7772E"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Pr>
                <w:rFonts w:eastAsia="MS Mincho" w:cs="Times New Roman"/>
                <w:color w:val="auto"/>
                <w:sz w:val="20"/>
                <w:szCs w:val="20"/>
              </w:rPr>
              <w:t xml:space="preserve">• </w:t>
            </w:r>
            <w:r w:rsidR="00C45806" w:rsidRPr="00532128">
              <w:rPr>
                <w:rFonts w:eastAsia="MS Mincho" w:cs="Times New Roman"/>
                <w:color w:val="auto"/>
                <w:sz w:val="20"/>
                <w:szCs w:val="20"/>
              </w:rPr>
              <w:t>zorganizowana grupa – 55 zgłoszeń</w:t>
            </w:r>
            <w:r>
              <w:rPr>
                <w:rFonts w:eastAsia="MS Mincho" w:cs="Times New Roman"/>
                <w:color w:val="auto"/>
                <w:sz w:val="20"/>
                <w:szCs w:val="20"/>
              </w:rPr>
              <w:t>;</w:t>
            </w:r>
          </w:p>
          <w:p w14:paraId="0B31FF20" w14:textId="28BEA067" w:rsidR="00C45806" w:rsidRPr="00532128" w:rsidRDefault="00F7772E"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Pr>
                <w:rFonts w:eastAsia="MS Mincho" w:cs="Times New Roman"/>
                <w:color w:val="auto"/>
                <w:sz w:val="20"/>
                <w:szCs w:val="20"/>
              </w:rPr>
              <w:t xml:space="preserve">• </w:t>
            </w:r>
            <w:r w:rsidR="00C45806" w:rsidRPr="00532128">
              <w:rPr>
                <w:rFonts w:eastAsia="MS Mincho" w:cs="Times New Roman"/>
                <w:color w:val="auto"/>
                <w:sz w:val="20"/>
                <w:szCs w:val="20"/>
              </w:rPr>
              <w:t>oraz innych ograniczeń niż ww. – 660 zgłoszeń</w:t>
            </w:r>
            <w:r>
              <w:rPr>
                <w:rFonts w:eastAsia="MS Mincho" w:cs="Times New Roman"/>
                <w:color w:val="auto"/>
                <w:sz w:val="20"/>
                <w:szCs w:val="20"/>
              </w:rPr>
              <w:t>.</w:t>
            </w:r>
            <w:r w:rsidR="00C45806" w:rsidRPr="00532128">
              <w:rPr>
                <w:rFonts w:eastAsia="MS Mincho" w:cs="Times New Roman"/>
                <w:color w:val="auto"/>
                <w:sz w:val="20"/>
                <w:szCs w:val="20"/>
              </w:rPr>
              <w:t xml:space="preserve"> </w:t>
            </w:r>
          </w:p>
          <w:p w14:paraId="58E9472A" w14:textId="3950DE07" w:rsidR="00C45806" w:rsidRPr="00532128"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Ze względu na pandemię i niższą frekwencję podróżnych, liczba zrealizowanych zgłoszeń asysty w 2020 r. spadła znacząco względem 2019</w:t>
            </w:r>
            <w:r w:rsidR="005670C1">
              <w:rPr>
                <w:rFonts w:eastAsia="MS Mincho" w:cs="Times New Roman"/>
                <w:color w:val="auto"/>
                <w:sz w:val="20"/>
                <w:szCs w:val="20"/>
              </w:rPr>
              <w:t xml:space="preserve"> r.</w:t>
            </w:r>
            <w:r w:rsidR="00F7772E">
              <w:rPr>
                <w:rFonts w:eastAsia="MS Mincho" w:cs="Times New Roman"/>
                <w:color w:val="auto"/>
                <w:sz w:val="20"/>
                <w:szCs w:val="20"/>
              </w:rPr>
              <w:t xml:space="preserve">, </w:t>
            </w:r>
            <w:r w:rsidRPr="00532128">
              <w:rPr>
                <w:rFonts w:eastAsia="MS Mincho" w:cs="Times New Roman"/>
                <w:color w:val="auto"/>
                <w:sz w:val="20"/>
                <w:szCs w:val="20"/>
              </w:rPr>
              <w:t>w którym wyniosła 16 046.</w:t>
            </w:r>
          </w:p>
          <w:p w14:paraId="2A324B3D" w14:textId="387F11E3" w:rsidR="000A2B61" w:rsidRPr="00F7772E" w:rsidRDefault="00C45806" w:rsidP="002D4784">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Na stronie internetowej https://www.pkp.pl/pl/bez-barier znajduje się wyszukiwarka umożliwiająca sprawdzenie dostępności urządzeń i usług dla osób o ograniczonej mobilności, w tym osób starszy</w:t>
            </w:r>
            <w:r w:rsidR="00F7772E">
              <w:rPr>
                <w:rFonts w:eastAsia="MS Mincho" w:cs="Times New Roman"/>
                <w:color w:val="auto"/>
                <w:sz w:val="20"/>
                <w:szCs w:val="20"/>
              </w:rPr>
              <w:t>ch, na każdym dworcu kolejowym.</w:t>
            </w:r>
          </w:p>
        </w:tc>
      </w:tr>
      <w:tr w:rsidR="0092226B" w:rsidRPr="0092226B" w14:paraId="54E5F747" w14:textId="77777777" w:rsidTr="002D4784">
        <w:trPr>
          <w:trHeight w:val="754"/>
        </w:trPr>
        <w:tc>
          <w:tcPr>
            <w:cnfStyle w:val="001000000000" w:firstRow="0" w:lastRow="0" w:firstColumn="1" w:lastColumn="0" w:oddVBand="0" w:evenVBand="0" w:oddHBand="0" w:evenHBand="0" w:firstRowFirstColumn="0" w:firstRowLastColumn="0" w:lastRowFirstColumn="0" w:lastRowLastColumn="0"/>
            <w:tcW w:w="1232" w:type="dxa"/>
            <w:vMerge/>
          </w:tcPr>
          <w:p w14:paraId="6883D541" w14:textId="77777777" w:rsidR="00311D18" w:rsidRPr="0092226B" w:rsidRDefault="00311D18" w:rsidP="003C1988">
            <w:pPr>
              <w:rPr>
                <w:rFonts w:cs="Times New Roman"/>
                <w:color w:val="FF0000"/>
                <w:sz w:val="20"/>
              </w:rPr>
            </w:pPr>
          </w:p>
        </w:tc>
        <w:tc>
          <w:tcPr>
            <w:tcW w:w="3594" w:type="dxa"/>
            <w:vMerge w:val="restart"/>
          </w:tcPr>
          <w:p w14:paraId="24991168"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532128">
              <w:rPr>
                <w:rFonts w:ascii="Times New Roman" w:hAnsi="Times New Roman"/>
                <w:color w:val="auto"/>
                <w:sz w:val="20"/>
              </w:rPr>
              <w:t xml:space="preserve">Poszerzenie zestawu działań </w:t>
            </w:r>
            <w:r w:rsidRPr="00532128">
              <w:rPr>
                <w:rFonts w:ascii="Times New Roman" w:hAnsi="Times New Roman"/>
                <w:color w:val="auto"/>
                <w:sz w:val="20"/>
              </w:rPr>
              <w:br/>
              <w:t xml:space="preserve">i instrumentów wsparcia w ramach polityki mieszkaniowej o nowe rozwiązania uwzględniające </w:t>
            </w:r>
            <w:r w:rsidRPr="00532128">
              <w:rPr>
                <w:rFonts w:ascii="Times New Roman" w:hAnsi="Times New Roman"/>
                <w:color w:val="auto"/>
                <w:sz w:val="20"/>
              </w:rPr>
              <w:br/>
              <w:t xml:space="preserve">w większym, niż obecnie zakresie specyfikę potrzeb i problemów mieszkaniowych osób starszych, </w:t>
            </w:r>
            <w:r w:rsidRPr="00532128">
              <w:rPr>
                <w:rFonts w:ascii="Times New Roman" w:hAnsi="Times New Roman"/>
                <w:color w:val="auto"/>
                <w:sz w:val="20"/>
              </w:rPr>
              <w:br/>
              <w:t>zgodnie z Narodowym Programem Mieszkaniowym</w:t>
            </w:r>
          </w:p>
        </w:tc>
        <w:tc>
          <w:tcPr>
            <w:tcW w:w="2032" w:type="dxa"/>
            <w:vMerge w:val="restart"/>
          </w:tcPr>
          <w:p w14:paraId="1F3D80C0" w14:textId="735F0BAE" w:rsidR="00311D18" w:rsidRPr="00532128" w:rsidRDefault="002D4784"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2D4784">
              <w:rPr>
                <w:rFonts w:eastAsia="MS Mincho" w:cs="Times New Roman"/>
                <w:color w:val="auto"/>
                <w:sz w:val="20"/>
              </w:rPr>
              <w:t>Ministerstwo Rozwoju i Technologii</w:t>
            </w:r>
          </w:p>
        </w:tc>
        <w:tc>
          <w:tcPr>
            <w:tcW w:w="1500" w:type="dxa"/>
            <w:vMerge w:val="restart"/>
          </w:tcPr>
          <w:p w14:paraId="1581018C"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532128">
              <w:rPr>
                <w:rFonts w:eastAsia="MS Mincho" w:cs="Times New Roman"/>
                <w:color w:val="auto"/>
                <w:sz w:val="20"/>
              </w:rPr>
              <w:t>2018-2019</w:t>
            </w:r>
          </w:p>
        </w:tc>
        <w:tc>
          <w:tcPr>
            <w:tcW w:w="5638" w:type="dxa"/>
          </w:tcPr>
          <w:p w14:paraId="11250964"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Sformułowanie propozycji nowych działań i instrumentów dotyczących mieszkalnictwa w powiązaniu z polityką państwa wobec osób starszych</w:t>
            </w:r>
          </w:p>
        </w:tc>
      </w:tr>
      <w:tr w:rsidR="0092226B" w:rsidRPr="0092226B" w14:paraId="1459AA46" w14:textId="77777777" w:rsidTr="002D4784">
        <w:trPr>
          <w:cnfStyle w:val="000000100000" w:firstRow="0" w:lastRow="0" w:firstColumn="0" w:lastColumn="0" w:oddVBand="0" w:evenVBand="0" w:oddHBand="1" w:evenHBand="0" w:firstRowFirstColumn="0" w:firstRowLastColumn="0" w:lastRowFirstColumn="0" w:lastRowLastColumn="0"/>
          <w:trHeight w:val="1447"/>
        </w:trPr>
        <w:tc>
          <w:tcPr>
            <w:cnfStyle w:val="001000000000" w:firstRow="0" w:lastRow="0" w:firstColumn="1" w:lastColumn="0" w:oddVBand="0" w:evenVBand="0" w:oddHBand="0" w:evenHBand="0" w:firstRowFirstColumn="0" w:firstRowLastColumn="0" w:lastRowFirstColumn="0" w:lastRowLastColumn="0"/>
            <w:tcW w:w="1232" w:type="dxa"/>
            <w:vMerge/>
          </w:tcPr>
          <w:p w14:paraId="154C303E" w14:textId="77777777" w:rsidR="00311D18" w:rsidRPr="0092226B" w:rsidRDefault="00311D18" w:rsidP="003C1988">
            <w:pPr>
              <w:rPr>
                <w:rFonts w:cs="Times New Roman"/>
                <w:color w:val="FF0000"/>
                <w:sz w:val="20"/>
              </w:rPr>
            </w:pPr>
          </w:p>
        </w:tc>
        <w:tc>
          <w:tcPr>
            <w:tcW w:w="3594" w:type="dxa"/>
            <w:vMerge/>
          </w:tcPr>
          <w:p w14:paraId="26E37F02"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p>
        </w:tc>
        <w:tc>
          <w:tcPr>
            <w:tcW w:w="2032" w:type="dxa"/>
            <w:vMerge/>
          </w:tcPr>
          <w:p w14:paraId="008C4A52"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1500" w:type="dxa"/>
            <w:vMerge/>
          </w:tcPr>
          <w:p w14:paraId="210BD00E"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5D397FA1" w14:textId="5358C346" w:rsidR="00B00789" w:rsidRPr="00F7772E" w:rsidRDefault="00B00789" w:rsidP="004E662C">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F7772E">
              <w:rPr>
                <w:rFonts w:cs="Times New Roman"/>
                <w:color w:val="auto"/>
                <w:sz w:val="20"/>
                <w:szCs w:val="20"/>
              </w:rPr>
              <w:t>Zintegrowany program wsparcia społecznego budownictwa czynszowego, stanowiący jedno z działań Narodowego Programu Mieszkaniowego, w ramach któ</w:t>
            </w:r>
            <w:r w:rsidR="004E662C">
              <w:rPr>
                <w:rFonts w:cs="Times New Roman"/>
                <w:color w:val="auto"/>
                <w:sz w:val="20"/>
                <w:szCs w:val="20"/>
              </w:rPr>
              <w:t>rego udzielane jest wsparcie na </w:t>
            </w:r>
            <w:r w:rsidRPr="00F7772E">
              <w:rPr>
                <w:rFonts w:cs="Times New Roman"/>
                <w:color w:val="auto"/>
                <w:sz w:val="20"/>
                <w:szCs w:val="20"/>
              </w:rPr>
              <w:t>przedsięwzięcia, w wyniku których powstają lokale mieszkalne na wynajem o umiarkowanym czynszu, uwzględnia potrzeby osób starszych w ramach:</w:t>
            </w:r>
          </w:p>
          <w:p w14:paraId="5B175AE0" w14:textId="510BA26F" w:rsidR="00B00789" w:rsidRPr="00F7772E" w:rsidRDefault="00B00789" w:rsidP="004E66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F7772E">
              <w:rPr>
                <w:rFonts w:cs="Times New Roman"/>
                <w:color w:val="auto"/>
                <w:sz w:val="20"/>
                <w:szCs w:val="20"/>
              </w:rPr>
              <w:t>– programu preferencyjnego finansowania zwrotn</w:t>
            </w:r>
            <w:r w:rsidR="004E662C">
              <w:rPr>
                <w:rFonts w:cs="Times New Roman"/>
                <w:color w:val="auto"/>
                <w:sz w:val="20"/>
                <w:szCs w:val="20"/>
              </w:rPr>
              <w:t xml:space="preserve">ego skierowanego do społecznych </w:t>
            </w:r>
            <w:r w:rsidRPr="00F7772E">
              <w:rPr>
                <w:rFonts w:cs="Times New Roman"/>
                <w:color w:val="auto"/>
                <w:sz w:val="20"/>
                <w:szCs w:val="20"/>
              </w:rPr>
              <w:t>inicjatyw mieszkaniowy</w:t>
            </w:r>
            <w:r w:rsidR="004E662C">
              <w:rPr>
                <w:rFonts w:cs="Times New Roman"/>
                <w:color w:val="auto"/>
                <w:sz w:val="20"/>
                <w:szCs w:val="20"/>
              </w:rPr>
              <w:t xml:space="preserve">ch, spółdzielni mieszkaniowych </w:t>
            </w:r>
            <w:r w:rsidRPr="00F7772E">
              <w:rPr>
                <w:rFonts w:cs="Times New Roman"/>
                <w:color w:val="auto"/>
                <w:sz w:val="20"/>
                <w:szCs w:val="20"/>
              </w:rPr>
              <w:t xml:space="preserve">i spółek gminnych realizujących mieszkania dla </w:t>
            </w:r>
            <w:r w:rsidR="004E662C">
              <w:rPr>
                <w:rFonts w:cs="Times New Roman"/>
                <w:color w:val="auto"/>
                <w:sz w:val="20"/>
                <w:szCs w:val="20"/>
              </w:rPr>
              <w:t xml:space="preserve">osób </w:t>
            </w:r>
            <w:r w:rsidRPr="00F7772E">
              <w:rPr>
                <w:rFonts w:cs="Times New Roman"/>
                <w:color w:val="auto"/>
                <w:sz w:val="20"/>
                <w:szCs w:val="20"/>
              </w:rPr>
              <w:t>o średnich dochodach;</w:t>
            </w:r>
          </w:p>
          <w:p w14:paraId="2A063798" w14:textId="31B9428D" w:rsidR="00B00789" w:rsidRPr="00F7772E" w:rsidRDefault="00B00789" w:rsidP="004E66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F7772E">
              <w:rPr>
                <w:rFonts w:cs="Times New Roman"/>
                <w:color w:val="auto"/>
                <w:sz w:val="20"/>
                <w:szCs w:val="20"/>
              </w:rPr>
              <w:t>– programu bezzwrotnego dofina</w:t>
            </w:r>
            <w:r w:rsidR="004E662C">
              <w:rPr>
                <w:rFonts w:cs="Times New Roman"/>
                <w:color w:val="auto"/>
                <w:sz w:val="20"/>
                <w:szCs w:val="20"/>
              </w:rPr>
              <w:t xml:space="preserve">nsowania budownictwa socjalnego </w:t>
            </w:r>
            <w:r w:rsidRPr="00F7772E">
              <w:rPr>
                <w:rFonts w:cs="Times New Roman"/>
                <w:color w:val="auto"/>
                <w:sz w:val="20"/>
                <w:szCs w:val="20"/>
              </w:rPr>
              <w:t>i komunalnego skierowanego do samorządów gminnych.</w:t>
            </w:r>
          </w:p>
          <w:p w14:paraId="4B8F8222" w14:textId="24F3B527" w:rsidR="00B00789" w:rsidRPr="00F7772E" w:rsidRDefault="00B00789" w:rsidP="004E662C">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F7772E">
              <w:rPr>
                <w:rFonts w:cs="Times New Roman"/>
                <w:color w:val="auto"/>
                <w:sz w:val="20"/>
                <w:szCs w:val="20"/>
              </w:rPr>
              <w:t xml:space="preserve">W ramach rozwiązań, które funkcjonują od 2017 r. w ramach rządowego programu popierania budownictwa mieszkaniowego realizowanego na gruncie przepisów </w:t>
            </w:r>
            <w:r w:rsidRPr="00F7772E">
              <w:rPr>
                <w:color w:val="auto"/>
                <w:sz w:val="20"/>
              </w:rPr>
              <w:t xml:space="preserve">ustawy z dnia 26 października 1995 r. o niektórych formach popierania budownictwa </w:t>
            </w:r>
            <w:r w:rsidRPr="00F7772E">
              <w:rPr>
                <w:color w:val="auto"/>
                <w:sz w:val="20"/>
              </w:rPr>
              <w:lastRenderedPageBreak/>
              <w:t>mieszkaniowego</w:t>
            </w:r>
            <w:r w:rsidRPr="00F7772E">
              <w:rPr>
                <w:rFonts w:cs="Times New Roman"/>
                <w:color w:val="auto"/>
                <w:sz w:val="20"/>
                <w:szCs w:val="20"/>
              </w:rPr>
              <w:t xml:space="preserve"> </w:t>
            </w:r>
            <w:r w:rsidRPr="00F7772E">
              <w:rPr>
                <w:color w:val="auto"/>
                <w:sz w:val="20"/>
              </w:rPr>
              <w:t>(Dz. U. z 2019 r. poz. 2195 oraz z 2021 r. poz. 11)</w:t>
            </w:r>
            <w:r w:rsidRPr="00F7772E">
              <w:rPr>
                <w:rFonts w:cs="Times New Roman"/>
                <w:i/>
                <w:color w:val="auto"/>
                <w:sz w:val="20"/>
                <w:szCs w:val="20"/>
              </w:rPr>
              <w:t xml:space="preserve"> </w:t>
            </w:r>
            <w:r w:rsidRPr="00F7772E">
              <w:rPr>
                <w:rFonts w:cs="Times New Roman"/>
                <w:color w:val="auto"/>
                <w:sz w:val="20"/>
                <w:szCs w:val="20"/>
              </w:rPr>
              <w:t>istnieje możliwość uzyskania finansowania zwrotnego na budowę mieszkań na wynajem wraz z dodatkowymi powierzchniami użytkowym (</w:t>
            </w:r>
            <w:r w:rsidR="004E662C">
              <w:rPr>
                <w:rFonts w:cs="Times New Roman"/>
                <w:color w:val="auto"/>
                <w:sz w:val="20"/>
                <w:szCs w:val="20"/>
              </w:rPr>
              <w:t>np. pomieszczenia ambulatoryjne/</w:t>
            </w:r>
            <w:r w:rsidRPr="00F7772E">
              <w:rPr>
                <w:rFonts w:cs="Times New Roman"/>
                <w:color w:val="auto"/>
                <w:sz w:val="20"/>
                <w:szCs w:val="20"/>
              </w:rPr>
              <w:t xml:space="preserve">rekreacyjnie), służącymi zaspokajaniu potrzeb osób starszych. </w:t>
            </w:r>
          </w:p>
          <w:p w14:paraId="5B8029DE" w14:textId="05EA39C2" w:rsidR="00B00789" w:rsidRPr="00F7772E" w:rsidRDefault="00B00789" w:rsidP="004E662C">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F7772E">
              <w:rPr>
                <w:rFonts w:cs="Times New Roman"/>
                <w:color w:val="auto"/>
                <w:sz w:val="20"/>
                <w:szCs w:val="20"/>
              </w:rPr>
              <w:t>Ponadto jednym z kryteriów pu</w:t>
            </w:r>
            <w:r w:rsidR="004E662C">
              <w:rPr>
                <w:rFonts w:cs="Times New Roman"/>
                <w:color w:val="auto"/>
                <w:sz w:val="20"/>
                <w:szCs w:val="20"/>
              </w:rPr>
              <w:t>nktowych w akcie wykonawczym do </w:t>
            </w:r>
            <w:r w:rsidRPr="00F7772E">
              <w:rPr>
                <w:rFonts w:cs="Times New Roman"/>
                <w:color w:val="auto"/>
                <w:sz w:val="20"/>
                <w:szCs w:val="20"/>
              </w:rPr>
              <w:t xml:space="preserve">ww. ustawy, w oparciu o które Bank Gospodarstwa Krajowego dokonuje oceny punktowej wniosków, w sytuacji gdy w ramach danej edycji zapotrzebowanie na finansowanie zwrotne wynikające ze złożonych przez kredytobiorców wniosków, które uzyskały pozytywną ocenę wiarygodności kredytowej przekracza wysokość kwoty przeznaczonej na udzielenie finansowania zwrotnego w danej edycji, jest: </w:t>
            </w:r>
            <w:r w:rsidRPr="00F7772E">
              <w:rPr>
                <w:rFonts w:cs="Times New Roman"/>
                <w:i/>
                <w:color w:val="auto"/>
                <w:sz w:val="20"/>
                <w:szCs w:val="20"/>
              </w:rPr>
              <w:t>„Adresowanie nowych mieszkań do osób starszych”</w:t>
            </w:r>
            <w:r w:rsidRPr="00F7772E">
              <w:rPr>
                <w:rFonts w:cs="Times New Roman"/>
                <w:color w:val="auto"/>
                <w:sz w:val="20"/>
                <w:szCs w:val="20"/>
              </w:rPr>
              <w:t xml:space="preserve">. Natomiast w przypadku wniosków o finansowanie o równej ogólnej liczbie punktów, dzięki kryterium punktowemu: </w:t>
            </w:r>
            <w:r w:rsidRPr="00F7772E">
              <w:rPr>
                <w:rFonts w:cs="Times New Roman"/>
                <w:i/>
                <w:color w:val="auto"/>
                <w:sz w:val="20"/>
                <w:szCs w:val="20"/>
              </w:rPr>
              <w:t>„Adresowanie nowych mieszkań do osób starszych”</w:t>
            </w:r>
            <w:r w:rsidRPr="00F7772E">
              <w:rPr>
                <w:rFonts w:cs="Times New Roman"/>
                <w:color w:val="auto"/>
                <w:sz w:val="20"/>
                <w:szCs w:val="20"/>
              </w:rPr>
              <w:t xml:space="preserve"> – premiowane mogą być przedsięwzięcia dedykowane osobom starszym. </w:t>
            </w:r>
          </w:p>
          <w:p w14:paraId="5ED3097B" w14:textId="043EA610" w:rsidR="00B00789" w:rsidRPr="00F7772E" w:rsidRDefault="00B00789" w:rsidP="004E662C">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F7772E">
              <w:rPr>
                <w:rFonts w:cs="Times New Roman"/>
                <w:color w:val="auto"/>
                <w:sz w:val="20"/>
                <w:szCs w:val="20"/>
              </w:rPr>
              <w:t>W ramach wniosków zakwalifikowanych przez Bank Gospodarstwa Krajowego do uzyskania preferencyjnego kredytu w 2020 r., zakłada się budowę 179 lokali mieszkalny</w:t>
            </w:r>
            <w:r w:rsidR="004E662C">
              <w:rPr>
                <w:rFonts w:cs="Times New Roman"/>
                <w:color w:val="auto"/>
                <w:sz w:val="20"/>
                <w:szCs w:val="20"/>
              </w:rPr>
              <w:t>ch dla seniorów wraz z </w:t>
            </w:r>
            <w:r w:rsidRPr="00F7772E">
              <w:rPr>
                <w:rFonts w:cs="Times New Roman"/>
                <w:color w:val="auto"/>
                <w:sz w:val="20"/>
                <w:szCs w:val="20"/>
              </w:rPr>
              <w:t xml:space="preserve">pomieszczeniami dodatkowymi (w tym 137 mieszkań w ramach VIII – </w:t>
            </w:r>
            <w:r w:rsidRPr="00F7772E">
              <w:rPr>
                <w:rFonts w:cs="Times New Roman"/>
                <w:i/>
                <w:color w:val="auto"/>
                <w:sz w:val="20"/>
                <w:szCs w:val="20"/>
              </w:rPr>
              <w:t>„wiosennej edycji”</w:t>
            </w:r>
            <w:r w:rsidRPr="00F7772E">
              <w:rPr>
                <w:rFonts w:cs="Times New Roman"/>
                <w:color w:val="auto"/>
                <w:sz w:val="20"/>
                <w:szCs w:val="20"/>
              </w:rPr>
              <w:t xml:space="preserve"> i 42 mieszkania w ramach IX – </w:t>
            </w:r>
            <w:r w:rsidRPr="00F7772E">
              <w:rPr>
                <w:rFonts w:cs="Times New Roman"/>
                <w:i/>
                <w:color w:val="auto"/>
                <w:sz w:val="20"/>
                <w:szCs w:val="20"/>
              </w:rPr>
              <w:t>„jesiennej edycji”</w:t>
            </w:r>
            <w:r w:rsidRPr="00F7772E">
              <w:rPr>
                <w:rFonts w:cs="Times New Roman"/>
                <w:color w:val="auto"/>
                <w:sz w:val="20"/>
                <w:szCs w:val="20"/>
              </w:rPr>
              <w:t>). Realizację rządowego programu popierania budownictwa mieszkaniowego przewiduje się do 2025 r.</w:t>
            </w:r>
          </w:p>
          <w:p w14:paraId="611F99BC" w14:textId="20BBB93C" w:rsidR="00311D18" w:rsidRPr="00F7772E" w:rsidRDefault="00B00789" w:rsidP="004E662C">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F7772E">
              <w:rPr>
                <w:rFonts w:cs="Times New Roman"/>
                <w:color w:val="auto"/>
                <w:sz w:val="20"/>
                <w:szCs w:val="20"/>
              </w:rPr>
              <w:t>Natomiast w ramach programu bezzwrotnego dofinansowania budownictwa socjalnego</w:t>
            </w:r>
            <w:r w:rsidR="004E662C">
              <w:rPr>
                <w:rFonts w:cs="Times New Roman"/>
                <w:color w:val="auto"/>
                <w:sz w:val="20"/>
                <w:szCs w:val="20"/>
              </w:rPr>
              <w:t xml:space="preserve"> i komunalnego realizowanego na </w:t>
            </w:r>
            <w:r w:rsidRPr="00F7772E">
              <w:rPr>
                <w:rFonts w:cs="Times New Roman"/>
                <w:color w:val="auto"/>
                <w:sz w:val="20"/>
                <w:szCs w:val="20"/>
              </w:rPr>
              <w:t>podstawie</w:t>
            </w:r>
            <w:r w:rsidRPr="00F7772E">
              <w:rPr>
                <w:rFonts w:cs="Times New Roman"/>
                <w:i/>
                <w:color w:val="auto"/>
                <w:sz w:val="20"/>
                <w:szCs w:val="20"/>
              </w:rPr>
              <w:t xml:space="preserve"> </w:t>
            </w:r>
            <w:r w:rsidRPr="00F7772E">
              <w:rPr>
                <w:color w:val="auto"/>
                <w:sz w:val="20"/>
              </w:rPr>
              <w:t xml:space="preserve">ustawy z dnia 8 grudnia 2006 r. o finansowym wsparciu tworzenia lokali mieszkalnych na wynajem, mieszkań chronionych, noclegowni, schronisk dla osób bezdomnych, ogrzewalni i tymczasowych pomieszczeń (Dz. U. z 2020 r. poz. 508 oraz z 2021 r. poz. 11 i 223), </w:t>
            </w:r>
            <w:r w:rsidRPr="00F7772E">
              <w:rPr>
                <w:rFonts w:cs="Times New Roman"/>
                <w:color w:val="auto"/>
                <w:sz w:val="20"/>
                <w:szCs w:val="20"/>
              </w:rPr>
              <w:t xml:space="preserve">  w ramach nowelizacji przepisów, </w:t>
            </w:r>
            <w:r w:rsidRPr="00F7772E">
              <w:rPr>
                <w:color w:val="auto"/>
                <w:sz w:val="20"/>
              </w:rPr>
              <w:t>ustawą z dnia 10 grudnia 2020 r.</w:t>
            </w:r>
            <w:r w:rsidRPr="00F7772E">
              <w:rPr>
                <w:rFonts w:cs="Times New Roman"/>
                <w:color w:val="auto"/>
                <w:sz w:val="20"/>
                <w:szCs w:val="20"/>
              </w:rPr>
              <w:t xml:space="preserve"> </w:t>
            </w:r>
            <w:r w:rsidRPr="00F7772E">
              <w:rPr>
                <w:color w:val="auto"/>
                <w:sz w:val="20"/>
              </w:rPr>
              <w:t>o zmianie niektórych ustaw wspierających rozwój mieszkalnictwa</w:t>
            </w:r>
            <w:r w:rsidRPr="00F7772E">
              <w:rPr>
                <w:rFonts w:cs="Times New Roman"/>
                <w:color w:val="auto"/>
                <w:sz w:val="20"/>
                <w:szCs w:val="20"/>
              </w:rPr>
              <w:t xml:space="preserve"> </w:t>
            </w:r>
            <w:r w:rsidRPr="00F7772E">
              <w:rPr>
                <w:color w:val="auto"/>
                <w:sz w:val="20"/>
              </w:rPr>
              <w:t>(Dz.U. z 2021 r. poz. 11)</w:t>
            </w:r>
            <w:r w:rsidRPr="00F7772E">
              <w:rPr>
                <w:rFonts w:cs="Times New Roman"/>
                <w:color w:val="auto"/>
                <w:sz w:val="20"/>
                <w:szCs w:val="20"/>
              </w:rPr>
              <w:t xml:space="preserve">, wprowadzono możliwość dofinansowania budowy mieszkań </w:t>
            </w:r>
            <w:r w:rsidRPr="00F7772E">
              <w:rPr>
                <w:rFonts w:cs="Times New Roman"/>
                <w:color w:val="auto"/>
                <w:sz w:val="20"/>
                <w:szCs w:val="20"/>
              </w:rPr>
              <w:lastRenderedPageBreak/>
              <w:t>na</w:t>
            </w:r>
            <w:r w:rsidR="004E662C">
              <w:rPr>
                <w:rFonts w:cs="Times New Roman"/>
                <w:color w:val="auto"/>
                <w:sz w:val="20"/>
                <w:szCs w:val="20"/>
              </w:rPr>
              <w:t> </w:t>
            </w:r>
            <w:r w:rsidRPr="00F7772E">
              <w:rPr>
                <w:rFonts w:cs="Times New Roman"/>
                <w:color w:val="auto"/>
                <w:sz w:val="20"/>
                <w:szCs w:val="20"/>
              </w:rPr>
              <w:t>wynajem wraz z dodatkowymi powierzchniami użytkowym (np. pomieszczenia ambulatoryjne/ rekreacyjnie, świetlice), służącymi zaspokajaniu potrzeb osób starszych. Z uwagi na krótki okres obowiązyw</w:t>
            </w:r>
            <w:r w:rsidR="004E662C">
              <w:rPr>
                <w:rFonts w:cs="Times New Roman"/>
                <w:color w:val="auto"/>
                <w:sz w:val="20"/>
                <w:szCs w:val="20"/>
              </w:rPr>
              <w:t xml:space="preserve">ania przepisów brak informacji </w:t>
            </w:r>
            <w:r w:rsidRPr="00F7772E">
              <w:rPr>
                <w:rFonts w:cs="Times New Roman"/>
                <w:color w:val="auto"/>
                <w:sz w:val="20"/>
                <w:szCs w:val="20"/>
              </w:rPr>
              <w:t xml:space="preserve">o efektach rzeczowych nowych rozwiązań. </w:t>
            </w:r>
          </w:p>
        </w:tc>
      </w:tr>
      <w:tr w:rsidR="0092226B" w:rsidRPr="0092226B" w14:paraId="3AC61078" w14:textId="77777777" w:rsidTr="002D4784">
        <w:trPr>
          <w:trHeight w:val="985"/>
        </w:trPr>
        <w:tc>
          <w:tcPr>
            <w:cnfStyle w:val="001000000000" w:firstRow="0" w:lastRow="0" w:firstColumn="1" w:lastColumn="0" w:oddVBand="0" w:evenVBand="0" w:oddHBand="0" w:evenHBand="0" w:firstRowFirstColumn="0" w:firstRowLastColumn="0" w:lastRowFirstColumn="0" w:lastRowLastColumn="0"/>
            <w:tcW w:w="1232" w:type="dxa"/>
            <w:vMerge/>
          </w:tcPr>
          <w:p w14:paraId="4EE60543" w14:textId="77777777" w:rsidR="00311D18" w:rsidRPr="0092226B" w:rsidRDefault="00311D18" w:rsidP="003C1988">
            <w:pPr>
              <w:rPr>
                <w:rFonts w:cs="Times New Roman"/>
                <w:color w:val="FF0000"/>
                <w:sz w:val="20"/>
              </w:rPr>
            </w:pPr>
          </w:p>
        </w:tc>
        <w:tc>
          <w:tcPr>
            <w:tcW w:w="3594" w:type="dxa"/>
            <w:vMerge w:val="restart"/>
          </w:tcPr>
          <w:p w14:paraId="6964C044" w14:textId="77777777" w:rsidR="00311D18" w:rsidRPr="00532128" w:rsidRDefault="00311D18" w:rsidP="002D4784">
            <w:pPr>
              <w:pStyle w:val="Kolorowalistaakcent11"/>
              <w:ind w:left="-57"/>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Poprawa komunikacji z osobami starszymi w instytucjach publicznych, poprzez:</w:t>
            </w:r>
          </w:p>
          <w:p w14:paraId="5930E43E" w14:textId="77777777" w:rsidR="00311D18" w:rsidRPr="00532128" w:rsidRDefault="00311D18" w:rsidP="002D4784">
            <w:pPr>
              <w:pStyle w:val="Kolorowalistaakcent11"/>
              <w:numPr>
                <w:ilvl w:val="0"/>
                <w:numId w:val="6"/>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stosowanie tzw. prostego modelu komunikacji, w którym jasno określone jest, kto jest nadawcą, </w:t>
            </w:r>
            <w:r w:rsidRPr="00532128">
              <w:rPr>
                <w:rFonts w:ascii="Times New Roman" w:eastAsia="MS Mincho" w:hAnsi="Times New Roman"/>
                <w:color w:val="auto"/>
                <w:sz w:val="20"/>
              </w:rPr>
              <w:br/>
              <w:t xml:space="preserve">a kto odbiorcą, natomiast wiadomość przekazywana </w:t>
            </w:r>
            <w:r w:rsidRPr="00532128">
              <w:rPr>
                <w:rFonts w:ascii="Times New Roman" w:eastAsia="MS Mincho" w:hAnsi="Times New Roman"/>
                <w:color w:val="auto"/>
                <w:sz w:val="20"/>
              </w:rPr>
              <w:br/>
              <w:t>jest w sposób prosty, bezpośredni, jasny i zrozumiały;</w:t>
            </w:r>
          </w:p>
          <w:p w14:paraId="43B0FBCF" w14:textId="0665180E" w:rsidR="00311D18" w:rsidRPr="00532128" w:rsidRDefault="00311D18" w:rsidP="002D4784">
            <w:pPr>
              <w:pStyle w:val="Kolorowalistaakcent11"/>
              <w:numPr>
                <w:ilvl w:val="0"/>
                <w:numId w:val="6"/>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opracowanie dokumentu wyznaczającego zasady profesjonalnej </w:t>
            </w:r>
            <w:proofErr w:type="spellStart"/>
            <w:r w:rsidRPr="00532128">
              <w:rPr>
                <w:rFonts w:ascii="Times New Roman" w:eastAsia="MS Mincho" w:hAnsi="Times New Roman"/>
                <w:color w:val="auto"/>
                <w:sz w:val="20"/>
              </w:rPr>
              <w:t>komunikacjiz</w:t>
            </w:r>
            <w:proofErr w:type="spellEnd"/>
            <w:r w:rsidRPr="00532128">
              <w:rPr>
                <w:rFonts w:ascii="Times New Roman" w:eastAsia="MS Mincho" w:hAnsi="Times New Roman"/>
                <w:color w:val="auto"/>
                <w:sz w:val="20"/>
              </w:rPr>
              <w:t xml:space="preserve"> osobą starszą</w:t>
            </w:r>
          </w:p>
        </w:tc>
        <w:tc>
          <w:tcPr>
            <w:tcW w:w="2032" w:type="dxa"/>
            <w:vMerge w:val="restart"/>
          </w:tcPr>
          <w:p w14:paraId="77B91381" w14:textId="2BE59541" w:rsidR="00311D18" w:rsidRPr="00532128" w:rsidRDefault="002D4784"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2D4784">
              <w:rPr>
                <w:rFonts w:eastAsia="MS Mincho" w:cs="Times New Roman"/>
                <w:color w:val="auto"/>
                <w:sz w:val="20"/>
              </w:rPr>
              <w:t>Ministerstwo Kultury, Dziedzictwa Narodowego i Sportu</w:t>
            </w:r>
          </w:p>
        </w:tc>
        <w:tc>
          <w:tcPr>
            <w:tcW w:w="1500" w:type="dxa"/>
            <w:vMerge w:val="restart"/>
          </w:tcPr>
          <w:p w14:paraId="122E3DDE"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2018-2020</w:t>
            </w:r>
          </w:p>
        </w:tc>
        <w:tc>
          <w:tcPr>
            <w:tcW w:w="5638" w:type="dxa"/>
          </w:tcPr>
          <w:p w14:paraId="130826D2"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Publikacja  dokumentu wyznaczającego zasady profesjonalnej komunikacji z osobą starszą</w:t>
            </w:r>
          </w:p>
        </w:tc>
      </w:tr>
      <w:tr w:rsidR="0092226B" w:rsidRPr="0092226B" w14:paraId="326C5909" w14:textId="77777777" w:rsidTr="002D4784">
        <w:trPr>
          <w:cnfStyle w:val="000000100000" w:firstRow="0" w:lastRow="0" w:firstColumn="0" w:lastColumn="0" w:oddVBand="0" w:evenVBand="0" w:oddHBand="1" w:evenHBand="0" w:firstRowFirstColumn="0" w:firstRowLastColumn="0" w:lastRowFirstColumn="0" w:lastRowLastColumn="0"/>
          <w:trHeight w:val="1128"/>
        </w:trPr>
        <w:tc>
          <w:tcPr>
            <w:cnfStyle w:val="001000000000" w:firstRow="0" w:lastRow="0" w:firstColumn="1" w:lastColumn="0" w:oddVBand="0" w:evenVBand="0" w:oddHBand="0" w:evenHBand="0" w:firstRowFirstColumn="0" w:firstRowLastColumn="0" w:lastRowFirstColumn="0" w:lastRowLastColumn="0"/>
            <w:tcW w:w="1232" w:type="dxa"/>
            <w:vMerge/>
          </w:tcPr>
          <w:p w14:paraId="5B729EB0" w14:textId="77777777" w:rsidR="00311D18" w:rsidRPr="0092226B" w:rsidRDefault="00311D18" w:rsidP="003C1988">
            <w:pPr>
              <w:rPr>
                <w:rFonts w:cs="Times New Roman"/>
                <w:color w:val="FF0000"/>
                <w:sz w:val="20"/>
              </w:rPr>
            </w:pPr>
          </w:p>
        </w:tc>
        <w:tc>
          <w:tcPr>
            <w:tcW w:w="3594" w:type="dxa"/>
            <w:vMerge/>
          </w:tcPr>
          <w:p w14:paraId="573EB0A2" w14:textId="77777777" w:rsidR="00311D18" w:rsidRPr="00532128" w:rsidRDefault="00311D18" w:rsidP="002D4784">
            <w:pPr>
              <w:pStyle w:val="Kolorowalistaakcent11"/>
              <w:ind w:left="-57"/>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1B0B29DE"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1500" w:type="dxa"/>
            <w:vMerge/>
          </w:tcPr>
          <w:p w14:paraId="1651FC86"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6251501C" w14:textId="64F7D256" w:rsidR="00D07429" w:rsidRPr="00532128" w:rsidRDefault="00D07429" w:rsidP="004E662C">
            <w:pP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532128">
              <w:rPr>
                <w:rFonts w:cs="Times New Roman"/>
                <w:bCs/>
                <w:color w:val="auto"/>
                <w:sz w:val="20"/>
              </w:rPr>
              <w:t xml:space="preserve">Dokumenty zawierające standardy, wytyczne i rekomendacje dla instytucji kultury w </w:t>
            </w:r>
            <w:r w:rsidR="004E662C">
              <w:rPr>
                <w:rFonts w:cs="Times New Roman"/>
                <w:bCs/>
                <w:color w:val="auto"/>
                <w:sz w:val="20"/>
              </w:rPr>
              <w:t>zakresie obsługi osób starszych</w:t>
            </w:r>
            <w:r w:rsidRPr="00532128">
              <w:rPr>
                <w:rFonts w:cs="Times New Roman"/>
                <w:bCs/>
                <w:color w:val="auto"/>
                <w:sz w:val="20"/>
              </w:rPr>
              <w:t>, wspierania uczestnictwa seniorów w kulturze i odpowiadania na ich potrzeby kulturalne:</w:t>
            </w:r>
          </w:p>
          <w:p w14:paraId="647B1B2F" w14:textId="08CD70FD" w:rsidR="00D07429" w:rsidRPr="00532128" w:rsidRDefault="004E662C" w:rsidP="004E662C">
            <w:pP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Pr>
                <w:rFonts w:cs="Times New Roman"/>
                <w:bCs/>
                <w:color w:val="auto"/>
                <w:sz w:val="20"/>
              </w:rPr>
              <w:t>1. </w:t>
            </w:r>
            <w:r w:rsidR="00D07429" w:rsidRPr="00532128">
              <w:rPr>
                <w:rFonts w:cs="Times New Roman"/>
                <w:bCs/>
                <w:color w:val="auto"/>
                <w:sz w:val="20"/>
              </w:rPr>
              <w:t xml:space="preserve">Ankieta badająca pomysły i oferty programowe dla seniorów - przygotowanie nowej </w:t>
            </w:r>
            <w:r>
              <w:rPr>
                <w:rFonts w:cs="Times New Roman"/>
                <w:bCs/>
                <w:color w:val="auto"/>
                <w:sz w:val="20"/>
              </w:rPr>
              <w:t>oferty edukacyjno-kulturalnej w </w:t>
            </w:r>
            <w:r w:rsidR="00D07429" w:rsidRPr="00532128">
              <w:rPr>
                <w:rFonts w:cs="Times New Roman"/>
                <w:bCs/>
                <w:color w:val="auto"/>
                <w:sz w:val="20"/>
              </w:rPr>
              <w:t>odbudowanych w ramach</w:t>
            </w:r>
            <w:r>
              <w:rPr>
                <w:rFonts w:cs="Times New Roman"/>
                <w:bCs/>
                <w:color w:val="auto"/>
                <w:sz w:val="20"/>
              </w:rPr>
              <w:t xml:space="preserve"> programu EOG przestrzeniach na </w:t>
            </w:r>
            <w:r w:rsidR="00D07429" w:rsidRPr="00532128">
              <w:rPr>
                <w:rFonts w:cs="Times New Roman"/>
                <w:bCs/>
                <w:color w:val="auto"/>
                <w:sz w:val="20"/>
              </w:rPr>
              <w:t>Przedzamczu północnym, Oferta będzie skierowana przede wszystkim do społeczności lo</w:t>
            </w:r>
            <w:r>
              <w:rPr>
                <w:rFonts w:cs="Times New Roman"/>
                <w:bCs/>
                <w:color w:val="auto"/>
                <w:sz w:val="20"/>
              </w:rPr>
              <w:t>kalnej – mieszkańców Malborka i </w:t>
            </w:r>
            <w:r w:rsidR="00D07429" w:rsidRPr="00532128">
              <w:rPr>
                <w:rFonts w:cs="Times New Roman"/>
                <w:bCs/>
                <w:color w:val="auto"/>
                <w:sz w:val="20"/>
              </w:rPr>
              <w:t>okolic oraz seniorów po zakończeniu prac w 2024</w:t>
            </w:r>
            <w:r w:rsidR="005670C1">
              <w:rPr>
                <w:rFonts w:cs="Times New Roman"/>
                <w:bCs/>
                <w:color w:val="auto"/>
                <w:sz w:val="20"/>
              </w:rPr>
              <w:t xml:space="preserve"> </w:t>
            </w:r>
            <w:r w:rsidR="00D07429" w:rsidRPr="00532128">
              <w:rPr>
                <w:rFonts w:cs="Times New Roman"/>
                <w:bCs/>
                <w:color w:val="auto"/>
                <w:sz w:val="20"/>
              </w:rPr>
              <w:t>r. (Muzeum Zamkowe w Malborku)</w:t>
            </w:r>
            <w:r>
              <w:rPr>
                <w:rFonts w:cs="Times New Roman"/>
                <w:bCs/>
                <w:color w:val="auto"/>
                <w:sz w:val="20"/>
              </w:rPr>
              <w:t>;</w:t>
            </w:r>
          </w:p>
          <w:p w14:paraId="61CED22F" w14:textId="57872CE5" w:rsidR="00D07429" w:rsidRPr="00532128" w:rsidRDefault="004E662C" w:rsidP="004E662C">
            <w:pP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Pr>
                <w:rFonts w:cs="Times New Roman"/>
                <w:bCs/>
                <w:color w:val="auto"/>
                <w:sz w:val="20"/>
              </w:rPr>
              <w:t>2. </w:t>
            </w:r>
            <w:r w:rsidR="00D07429" w:rsidRPr="00532128">
              <w:rPr>
                <w:rFonts w:cs="Times New Roman"/>
                <w:bCs/>
                <w:color w:val="auto"/>
                <w:sz w:val="20"/>
              </w:rPr>
              <w:t>Badanie fokusowe publiczności dotyczące Kolekcji CSW: opracowano część specjalną badania, adresowaną do osób starszych. (Centrum Sztuki Współczesnej)</w:t>
            </w:r>
            <w:r>
              <w:rPr>
                <w:rFonts w:cs="Times New Roman"/>
                <w:bCs/>
                <w:color w:val="auto"/>
                <w:sz w:val="20"/>
              </w:rPr>
              <w:t>;</w:t>
            </w:r>
          </w:p>
          <w:p w14:paraId="5662356E" w14:textId="70B950B8" w:rsidR="00D07429" w:rsidRPr="00532128" w:rsidRDefault="004E662C" w:rsidP="004E662C">
            <w:pP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Pr>
                <w:rFonts w:cs="Times New Roman"/>
                <w:bCs/>
                <w:color w:val="auto"/>
                <w:sz w:val="20"/>
              </w:rPr>
              <w:t>3. </w:t>
            </w:r>
            <w:r w:rsidR="00D07429" w:rsidRPr="00532128">
              <w:rPr>
                <w:rFonts w:cs="Times New Roman"/>
                <w:bCs/>
                <w:color w:val="auto"/>
                <w:sz w:val="20"/>
              </w:rPr>
              <w:t>Badanie satysfakcji widzów i</w:t>
            </w:r>
            <w:r>
              <w:rPr>
                <w:rFonts w:cs="Times New Roman"/>
                <w:bCs/>
                <w:color w:val="auto"/>
                <w:sz w:val="20"/>
              </w:rPr>
              <w:t>nstytucji sztuki współczesnej w </w:t>
            </w:r>
            <w:r w:rsidR="00D07429" w:rsidRPr="00532128">
              <w:rPr>
                <w:rFonts w:cs="Times New Roman"/>
                <w:bCs/>
                <w:color w:val="auto"/>
                <w:sz w:val="20"/>
              </w:rPr>
              <w:t>ramach projektu „Poznajmy się!” – badaniem objęto 3 instytucje warszawskie: Zachętę - NGS, Muzeum Sztuki Nowoczesnej i CSW - Zamek Ujazdowski - pozyskano szczegółową wiedzę na temat potrzeb osób starszych w zakresie sztuki współczesnej - zrealizowano 200 ankiet, z czego około 10% osób wypełniających to osoby w wieku powyżej 60 roku życia. (Centrum Sztuki Współczesnej)</w:t>
            </w:r>
            <w:r>
              <w:rPr>
                <w:rFonts w:cs="Times New Roman"/>
                <w:bCs/>
                <w:color w:val="auto"/>
                <w:sz w:val="20"/>
              </w:rPr>
              <w:t>;</w:t>
            </w:r>
          </w:p>
          <w:p w14:paraId="10A8AD6E" w14:textId="132F1558" w:rsidR="00D07429" w:rsidRPr="00532128" w:rsidRDefault="004E662C" w:rsidP="004E662C">
            <w:pP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Pr>
                <w:rFonts w:cs="Times New Roman"/>
                <w:bCs/>
                <w:color w:val="auto"/>
                <w:sz w:val="20"/>
              </w:rPr>
              <w:t>4. </w:t>
            </w:r>
            <w:r w:rsidR="00D07429" w:rsidRPr="00532128">
              <w:rPr>
                <w:rFonts w:cs="Times New Roman"/>
                <w:bCs/>
                <w:color w:val="auto"/>
                <w:sz w:val="20"/>
              </w:rPr>
              <w:t xml:space="preserve">Dofinansowania udzielane przez </w:t>
            </w:r>
            <w:proofErr w:type="spellStart"/>
            <w:r w:rsidR="00D07429" w:rsidRPr="00532128">
              <w:rPr>
                <w:rFonts w:cs="Times New Roman"/>
                <w:bCs/>
                <w:color w:val="auto"/>
                <w:sz w:val="20"/>
              </w:rPr>
              <w:t>MKDNiS</w:t>
            </w:r>
            <w:proofErr w:type="spellEnd"/>
            <w:r w:rsidR="00D07429" w:rsidRPr="00532128">
              <w:rPr>
                <w:rFonts w:cs="Times New Roman"/>
                <w:bCs/>
                <w:color w:val="auto"/>
                <w:sz w:val="20"/>
              </w:rPr>
              <w:t xml:space="preserve"> w ramach Narodowego Programu </w:t>
            </w:r>
            <w:r>
              <w:rPr>
                <w:rFonts w:cs="Times New Roman"/>
                <w:bCs/>
                <w:color w:val="auto"/>
                <w:sz w:val="20"/>
              </w:rPr>
              <w:t xml:space="preserve">Rozwoju Czytelnictwa (Priorytet </w:t>
            </w:r>
            <w:r w:rsidR="00D07429" w:rsidRPr="00532128">
              <w:rPr>
                <w:rFonts w:cs="Times New Roman"/>
                <w:bCs/>
                <w:color w:val="auto"/>
                <w:sz w:val="20"/>
              </w:rPr>
              <w:t xml:space="preserve">2 </w:t>
            </w:r>
            <w:r w:rsidR="00D07429" w:rsidRPr="00532128">
              <w:rPr>
                <w:rFonts w:cs="Times New Roman"/>
                <w:bCs/>
                <w:color w:val="auto"/>
                <w:sz w:val="20"/>
              </w:rPr>
              <w:lastRenderedPageBreak/>
              <w:t>„Infrastruktura Bibliotek 2016-2020”) nakładają na dofinansowane biblioteki obowiązek zape</w:t>
            </w:r>
            <w:r>
              <w:rPr>
                <w:rFonts w:cs="Times New Roman"/>
                <w:bCs/>
                <w:color w:val="auto"/>
                <w:sz w:val="20"/>
              </w:rPr>
              <w:t>wnienia dostępności dla osób ze </w:t>
            </w:r>
            <w:r w:rsidR="00D07429" w:rsidRPr="00532128">
              <w:rPr>
                <w:rFonts w:cs="Times New Roman"/>
                <w:bCs/>
                <w:color w:val="auto"/>
                <w:sz w:val="20"/>
              </w:rPr>
              <w:t>specjalnymi potrzebami, w tym seniorów. W standardach Certyfikatu „Biblioteka+” koniecznych do spełnienia na dzień zakończenia zadania (i utrzymania przez 5 kolejnych lat kalendarzowych) znalazły się m.in. następujące elementy:</w:t>
            </w:r>
          </w:p>
          <w:p w14:paraId="32122117" w14:textId="67F88C36" w:rsidR="00D07429" w:rsidRPr="00532128" w:rsidRDefault="00D07429" w:rsidP="004E662C">
            <w:pP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532128">
              <w:rPr>
                <w:rFonts w:cs="Times New Roman"/>
                <w:bCs/>
                <w:color w:val="auto"/>
                <w:sz w:val="20"/>
              </w:rPr>
              <w:t>• standard nr 6, który mówi o dostępie do biblioteki, a jeden z jego wskaźników informuje: „biblioteka przystosowana do obsługi osób niepełnosprawnych z ró</w:t>
            </w:r>
            <w:r w:rsidR="004E662C">
              <w:rPr>
                <w:rFonts w:cs="Times New Roman"/>
                <w:bCs/>
                <w:color w:val="auto"/>
                <w:sz w:val="20"/>
              </w:rPr>
              <w:t xml:space="preserve">żnymi dysfunkcjami, z wyjątkiem </w:t>
            </w:r>
            <w:r w:rsidRPr="00532128">
              <w:rPr>
                <w:rFonts w:cs="Times New Roman"/>
                <w:bCs/>
                <w:color w:val="auto"/>
                <w:sz w:val="20"/>
              </w:rPr>
              <w:t>przypadków, gdy nie będzie to możliwe z przyczyn techniczno-budowlanych”,</w:t>
            </w:r>
          </w:p>
          <w:p w14:paraId="7C8C37CF" w14:textId="77777777" w:rsidR="00D07429" w:rsidRPr="00532128" w:rsidRDefault="00D07429" w:rsidP="004E662C">
            <w:pP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532128">
              <w:rPr>
                <w:rFonts w:cs="Times New Roman"/>
                <w:bCs/>
                <w:color w:val="auto"/>
                <w:sz w:val="20"/>
              </w:rPr>
              <w:t>• standard nr 7, który wśród wymogów stawia m.in. wyposażenie biblioteki w ergonomiczne meble dostosowane do m.in. potrzeb osób starszych,</w:t>
            </w:r>
          </w:p>
          <w:p w14:paraId="2A45F2D7" w14:textId="1352CF50" w:rsidR="00D07429" w:rsidRPr="00532128" w:rsidRDefault="00D07429" w:rsidP="004E662C">
            <w:pP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532128">
              <w:rPr>
                <w:rFonts w:cs="Times New Roman"/>
                <w:bCs/>
                <w:color w:val="auto"/>
                <w:sz w:val="20"/>
              </w:rPr>
              <w:t xml:space="preserve">• standard nr 31, który wymaga zapewnienia dostarczania materiałów bibliotecznych do </w:t>
            </w:r>
            <w:r w:rsidR="004E662C">
              <w:rPr>
                <w:rFonts w:cs="Times New Roman"/>
                <w:bCs/>
                <w:color w:val="auto"/>
                <w:sz w:val="20"/>
              </w:rPr>
              <w:t>domu (dla czytelników chorych i </w:t>
            </w:r>
            <w:r w:rsidRPr="00532128">
              <w:rPr>
                <w:rFonts w:cs="Times New Roman"/>
                <w:bCs/>
                <w:color w:val="auto"/>
                <w:sz w:val="20"/>
              </w:rPr>
              <w:t>niepełnosprawnych) i pomoc w korzystaniu z usług e-administracji – praktyka pokazuje, że z tych udogodnień korzystają głównie seniorzy.</w:t>
            </w:r>
          </w:p>
          <w:p w14:paraId="0D2CCA48" w14:textId="4387C721" w:rsidR="00D07429" w:rsidRPr="00532128" w:rsidRDefault="00D07429" w:rsidP="004E662C">
            <w:pP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532128">
              <w:rPr>
                <w:rFonts w:cs="Times New Roman"/>
                <w:bCs/>
                <w:color w:val="auto"/>
                <w:sz w:val="20"/>
              </w:rPr>
              <w:t>Dodatkowo, wśród kryteriów punktowanych znajduje się kryterium nr 4, w którym b</w:t>
            </w:r>
            <w:r w:rsidR="004E662C">
              <w:rPr>
                <w:rFonts w:cs="Times New Roman"/>
                <w:bCs/>
                <w:color w:val="auto"/>
                <w:sz w:val="20"/>
              </w:rPr>
              <w:t>eneficjent zobowiązuje się, że: „p</w:t>
            </w:r>
            <w:r w:rsidRPr="00532128">
              <w:rPr>
                <w:rFonts w:cs="Times New Roman"/>
                <w:bCs/>
                <w:color w:val="auto"/>
                <w:sz w:val="20"/>
              </w:rPr>
              <w:t>o zakończeniu zadania biblioteka będzie realizowała działania służące podnoszeniu kompetencji informatycznych (cyfrowych) lokalnej społeczności, przy jednoczesnym właściwym zaplanowaniu wyposażenia dla tak definiowanej funkcji”.</w:t>
            </w:r>
          </w:p>
          <w:p w14:paraId="0CE46E69" w14:textId="1D9F4494" w:rsidR="00311D18" w:rsidRPr="004E662C" w:rsidRDefault="00D07429" w:rsidP="004E662C">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cs="Times New Roman"/>
                <w:bCs/>
                <w:color w:val="auto"/>
                <w:sz w:val="20"/>
              </w:rPr>
              <w:t>Kryterium nr 4 najczęściej realizowane jest przez organizację kursów komputerowych dla seniorów lub bieżące wsparcie tej grupy wiekowej w zakresie obsługi komputera i e-administracji</w:t>
            </w:r>
            <w:r w:rsidR="00DE07A0" w:rsidRPr="004E662C">
              <w:rPr>
                <w:rFonts w:eastAsia="MS Mincho" w:cs="Times New Roman"/>
                <w:bCs/>
                <w:sz w:val="20"/>
                <w:szCs w:val="20"/>
              </w:rPr>
              <w:t>.</w:t>
            </w:r>
          </w:p>
        </w:tc>
      </w:tr>
      <w:tr w:rsidR="0092226B" w:rsidRPr="0092226B" w14:paraId="00BD10DC" w14:textId="77777777" w:rsidTr="002D4784">
        <w:trPr>
          <w:trHeight w:val="426"/>
        </w:trPr>
        <w:tc>
          <w:tcPr>
            <w:cnfStyle w:val="001000000000" w:firstRow="0" w:lastRow="0" w:firstColumn="1" w:lastColumn="0" w:oddVBand="0" w:evenVBand="0" w:oddHBand="0" w:evenHBand="0" w:firstRowFirstColumn="0" w:firstRowLastColumn="0" w:lastRowFirstColumn="0" w:lastRowLastColumn="0"/>
            <w:tcW w:w="1232" w:type="dxa"/>
            <w:vMerge/>
          </w:tcPr>
          <w:p w14:paraId="01A06C2A" w14:textId="77777777" w:rsidR="00311D18" w:rsidRPr="0092226B" w:rsidRDefault="00311D18" w:rsidP="003C1988">
            <w:pPr>
              <w:rPr>
                <w:rFonts w:cs="Times New Roman"/>
                <w:color w:val="FF0000"/>
                <w:sz w:val="20"/>
              </w:rPr>
            </w:pPr>
          </w:p>
        </w:tc>
        <w:tc>
          <w:tcPr>
            <w:tcW w:w="3594" w:type="dxa"/>
            <w:vMerge w:val="restart"/>
          </w:tcPr>
          <w:p w14:paraId="02623C16"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Osiągnięcie dostępności publicznych </w:t>
            </w:r>
            <w:r w:rsidRPr="00532128">
              <w:rPr>
                <w:rFonts w:ascii="Times New Roman" w:eastAsia="MS Mincho" w:hAnsi="Times New Roman"/>
                <w:color w:val="auto"/>
                <w:sz w:val="20"/>
              </w:rPr>
              <w:br/>
              <w:t xml:space="preserve">stron internetowych administracji publicznej i usług elektronicznych </w:t>
            </w:r>
            <w:r w:rsidRPr="00532128">
              <w:rPr>
                <w:rFonts w:ascii="Times New Roman" w:eastAsia="MS Mincho" w:hAnsi="Times New Roman"/>
                <w:color w:val="auto"/>
                <w:sz w:val="20"/>
              </w:rPr>
              <w:br/>
              <w:t>oraz propagowanie projektowania zorientowanego na użytkownika</w:t>
            </w:r>
          </w:p>
        </w:tc>
        <w:tc>
          <w:tcPr>
            <w:tcW w:w="2032" w:type="dxa"/>
            <w:vMerge w:val="restart"/>
          </w:tcPr>
          <w:p w14:paraId="0DA7CDA5"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Ministerstwo Cyfryzacji</w:t>
            </w:r>
          </w:p>
        </w:tc>
        <w:tc>
          <w:tcPr>
            <w:tcW w:w="1500" w:type="dxa"/>
            <w:vMerge w:val="restart"/>
          </w:tcPr>
          <w:p w14:paraId="7988F403"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2018-2022</w:t>
            </w:r>
          </w:p>
        </w:tc>
        <w:tc>
          <w:tcPr>
            <w:tcW w:w="5638" w:type="dxa"/>
          </w:tcPr>
          <w:p w14:paraId="16060A12"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Odsetek urzędów, których strona internetowa spełnia rekomendacje WCAG 2.0. na poziomie AA</w:t>
            </w:r>
          </w:p>
        </w:tc>
      </w:tr>
      <w:tr w:rsidR="0092226B" w:rsidRPr="0092226B" w14:paraId="673E8F9D" w14:textId="77777777" w:rsidTr="002D4784">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232" w:type="dxa"/>
            <w:vMerge/>
          </w:tcPr>
          <w:p w14:paraId="703C83DD" w14:textId="77777777" w:rsidR="00311D18" w:rsidRPr="0092226B" w:rsidRDefault="00311D18" w:rsidP="003C1988">
            <w:pPr>
              <w:rPr>
                <w:rFonts w:cs="Times New Roman"/>
                <w:color w:val="FF0000"/>
                <w:sz w:val="20"/>
              </w:rPr>
            </w:pPr>
          </w:p>
        </w:tc>
        <w:tc>
          <w:tcPr>
            <w:tcW w:w="3594" w:type="dxa"/>
            <w:vMerge/>
          </w:tcPr>
          <w:p w14:paraId="5C9B9B1D"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589A8738"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1500" w:type="dxa"/>
            <w:vMerge/>
          </w:tcPr>
          <w:p w14:paraId="3B424776"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78BC44B8" w14:textId="77777777" w:rsidR="00E02A72" w:rsidRPr="00532128" w:rsidRDefault="00E02A72"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Od 4 kwietnia 2019 r. obowiązkowy dla podmiotów publicznych poziom dostępności cyfrowej określa ustawa o dostępności cyfrowej stron internetowych i aplikacji mobilnych podmiotów publicznych. </w:t>
            </w:r>
          </w:p>
          <w:p w14:paraId="69A5324A" w14:textId="77777777" w:rsidR="00E02A72" w:rsidRPr="00532128" w:rsidRDefault="00E02A72"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lastRenderedPageBreak/>
              <w:t>Wykonany w listopadzie 2020 r. automatyczny monitoring stanu dostępności cyfrowej stron internetowych podmiotów publicznych wykazał, że żadna z 835 badanych stron internetowych nie spełnia wszystkich wymagań WCAG 2.1 na poziomie AA.</w:t>
            </w:r>
          </w:p>
          <w:p w14:paraId="01872D02" w14:textId="454D7F7A" w:rsidR="00E02A72" w:rsidRPr="00532128" w:rsidRDefault="00E02A72"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Monitoring szczegółowy 52 stron internetowych podmiotów publicznych wskazał podobne wyniki. Żadna z badanych stron nie spełniła wszystkich wytycznych WCAG 2.1 na poziomie AA określonych w ustawie o dostępności cyfrowej. Jednocześnie wszystkie z nich zostały uznane</w:t>
            </w:r>
            <w:r w:rsidR="004E662C">
              <w:rPr>
                <w:rFonts w:eastAsia="MS Mincho" w:cs="Times New Roman"/>
                <w:color w:val="auto"/>
                <w:sz w:val="20"/>
              </w:rPr>
              <w:t xml:space="preserve"> za częściowo zgodne z ustawą o </w:t>
            </w:r>
            <w:r w:rsidRPr="00532128">
              <w:rPr>
                <w:rFonts w:eastAsia="MS Mincho" w:cs="Times New Roman"/>
                <w:color w:val="auto"/>
                <w:sz w:val="20"/>
              </w:rPr>
              <w:t>dostępności cyfrowej. Oz</w:t>
            </w:r>
            <w:r w:rsidR="004E662C">
              <w:rPr>
                <w:rFonts w:eastAsia="MS Mincho" w:cs="Times New Roman"/>
                <w:color w:val="auto"/>
                <w:sz w:val="20"/>
              </w:rPr>
              <w:t>nacza to, że w żadnym z tych 52 </w:t>
            </w:r>
            <w:r w:rsidRPr="00532128">
              <w:rPr>
                <w:rFonts w:eastAsia="MS Mincho" w:cs="Times New Roman"/>
                <w:color w:val="auto"/>
                <w:sz w:val="20"/>
              </w:rPr>
              <w:t>serwisów nie było barier uniemożliwiających ich obsługę przez osoby z niepełnosprawnościami, a jedynie błędy dostępności cyfrowej.</w:t>
            </w:r>
          </w:p>
          <w:p w14:paraId="39D65D53" w14:textId="77777777" w:rsidR="00132A40" w:rsidRPr="00532128" w:rsidRDefault="00132A40"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6FC70A73" w14:textId="6F366540" w:rsidR="00E02A72" w:rsidRPr="00532128" w:rsidRDefault="00E02A72"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Minister właściwy ds. informatyzacji prowadził działania na rzecz propagowania projektowania </w:t>
            </w:r>
            <w:r w:rsidR="004E662C">
              <w:rPr>
                <w:rFonts w:eastAsia="MS Mincho" w:cs="Times New Roman"/>
                <w:color w:val="auto"/>
                <w:sz w:val="20"/>
              </w:rPr>
              <w:t>zorientowanego na użytkownika z </w:t>
            </w:r>
            <w:r w:rsidRPr="00532128">
              <w:rPr>
                <w:rFonts w:eastAsia="MS Mincho" w:cs="Times New Roman"/>
                <w:color w:val="auto"/>
                <w:sz w:val="20"/>
              </w:rPr>
              <w:t>uwzględnieniem zasad dostępności cyfrowej:</w:t>
            </w:r>
          </w:p>
          <w:p w14:paraId="41E8C627" w14:textId="23D73B15" w:rsidR="00E02A72" w:rsidRPr="00532128" w:rsidRDefault="004E662C"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E02A72" w:rsidRPr="00532128">
              <w:rPr>
                <w:rFonts w:eastAsia="MS Mincho" w:cs="Times New Roman"/>
                <w:color w:val="auto"/>
                <w:sz w:val="20"/>
              </w:rPr>
              <w:t xml:space="preserve">zorganizowano </w:t>
            </w:r>
            <w:r w:rsidR="00E02A72" w:rsidRPr="004E662C">
              <w:rPr>
                <w:rFonts w:eastAsia="MS Mincho" w:cs="Times New Roman"/>
                <w:i/>
                <w:color w:val="auto"/>
                <w:sz w:val="20"/>
              </w:rPr>
              <w:t xml:space="preserve">Accessibility </w:t>
            </w:r>
            <w:proofErr w:type="spellStart"/>
            <w:r w:rsidR="00E02A72" w:rsidRPr="004E662C">
              <w:rPr>
                <w:rFonts w:eastAsia="MS Mincho" w:cs="Times New Roman"/>
                <w:i/>
                <w:color w:val="auto"/>
                <w:sz w:val="20"/>
              </w:rPr>
              <w:t>Summit</w:t>
            </w:r>
            <w:proofErr w:type="spellEnd"/>
            <w:r w:rsidR="00E02A72" w:rsidRPr="00532128">
              <w:rPr>
                <w:rFonts w:eastAsia="MS Mincho" w:cs="Times New Roman"/>
                <w:color w:val="auto"/>
                <w:sz w:val="20"/>
              </w:rPr>
              <w:t xml:space="preserve"> (spotkanie specjalistów dostępności cyfrowej), w którym wzięło udzi</w:t>
            </w:r>
            <w:r>
              <w:rPr>
                <w:rFonts w:eastAsia="MS Mincho" w:cs="Times New Roman"/>
                <w:color w:val="auto"/>
                <w:sz w:val="20"/>
              </w:rPr>
              <w:t>ał około 250 osób z </w:t>
            </w:r>
            <w:r w:rsidR="00E02A72" w:rsidRPr="00532128">
              <w:rPr>
                <w:rFonts w:eastAsia="MS Mincho" w:cs="Times New Roman"/>
                <w:color w:val="auto"/>
                <w:sz w:val="20"/>
              </w:rPr>
              <w:t>sektora publicznego, pozarządowego i komercyjnego;</w:t>
            </w:r>
          </w:p>
          <w:p w14:paraId="1A06A10F" w14:textId="62F839B4" w:rsidR="00E02A72" w:rsidRPr="00532128" w:rsidRDefault="004E662C"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E02A72" w:rsidRPr="00532128">
              <w:rPr>
                <w:rFonts w:eastAsia="MS Mincho" w:cs="Times New Roman"/>
                <w:color w:val="auto"/>
                <w:sz w:val="20"/>
              </w:rPr>
              <w:t>prowadzono cykliczne szkolenia on-line z zakresu dostępności cyfrowej, w których wzięły udział 1883 osoby;</w:t>
            </w:r>
          </w:p>
          <w:p w14:paraId="0B5D7C97" w14:textId="02D9A85C" w:rsidR="00E02A72" w:rsidRPr="00532128" w:rsidRDefault="004E662C"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E02A72" w:rsidRPr="00532128">
              <w:rPr>
                <w:rFonts w:eastAsia="MS Mincho" w:cs="Times New Roman"/>
                <w:color w:val="auto"/>
                <w:sz w:val="20"/>
              </w:rPr>
              <w:t>przygotowano listę kontrolną pozwalającą na samodzielne wykrycie kluczowych błędów dostępności cyfrowej;</w:t>
            </w:r>
          </w:p>
          <w:p w14:paraId="1C8172EA" w14:textId="3035AB3E" w:rsidR="00E02A72" w:rsidRPr="00532128" w:rsidRDefault="004E662C"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E02A72" w:rsidRPr="00532128">
              <w:rPr>
                <w:rFonts w:eastAsia="MS Mincho" w:cs="Times New Roman"/>
                <w:color w:val="auto"/>
                <w:sz w:val="20"/>
              </w:rPr>
              <w:t>na bieżąco odpowiadano na pytania napływające z podmiotów publicznych, dotyczące kwestii dostępności cyfrowej;</w:t>
            </w:r>
          </w:p>
          <w:p w14:paraId="2D224E7B" w14:textId="7C0C019E" w:rsidR="00E02A72" w:rsidRPr="00532128" w:rsidRDefault="004E662C"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E02A72" w:rsidRPr="00532128">
              <w:rPr>
                <w:rFonts w:eastAsia="MS Mincho" w:cs="Times New Roman"/>
                <w:color w:val="auto"/>
                <w:sz w:val="20"/>
              </w:rPr>
              <w:t>prowadzono stronę inter</w:t>
            </w:r>
            <w:r>
              <w:rPr>
                <w:rFonts w:eastAsia="MS Mincho" w:cs="Times New Roman"/>
                <w:color w:val="auto"/>
                <w:sz w:val="20"/>
              </w:rPr>
              <w:t>netową zawierającą informacje o </w:t>
            </w:r>
            <w:r w:rsidR="00E02A72" w:rsidRPr="00532128">
              <w:rPr>
                <w:rFonts w:eastAsia="MS Mincho" w:cs="Times New Roman"/>
                <w:color w:val="auto"/>
                <w:sz w:val="20"/>
              </w:rPr>
              <w:t>dostępności cyfrowej, na której publikowane są materiały edukacyjne i bieżące informacje (https://www.gov.pl/dostepnosc-cyfrowa).</w:t>
            </w:r>
          </w:p>
          <w:p w14:paraId="18298580" w14:textId="77777777" w:rsidR="00E02A72" w:rsidRPr="00532128" w:rsidRDefault="00E02A72"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0BF3378D" w14:textId="4B9FE1E7" w:rsidR="00E02A72" w:rsidRPr="00532128" w:rsidRDefault="00E02A72"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 serwisie Gov.pl na koniec 2020 r</w:t>
            </w:r>
            <w:r w:rsidR="00364595">
              <w:rPr>
                <w:rFonts w:eastAsia="MS Mincho" w:cs="Times New Roman"/>
                <w:color w:val="auto"/>
                <w:sz w:val="20"/>
              </w:rPr>
              <w:t>.</w:t>
            </w:r>
            <w:r w:rsidRPr="00532128">
              <w:rPr>
                <w:rFonts w:eastAsia="MS Mincho" w:cs="Times New Roman"/>
                <w:color w:val="auto"/>
                <w:sz w:val="20"/>
              </w:rPr>
              <w:t xml:space="preserve"> było ponad 800 </w:t>
            </w:r>
            <w:proofErr w:type="spellStart"/>
            <w:r w:rsidRPr="00532128">
              <w:rPr>
                <w:rFonts w:eastAsia="MS Mincho" w:cs="Times New Roman"/>
                <w:color w:val="auto"/>
                <w:sz w:val="20"/>
              </w:rPr>
              <w:t>zmigrowanych</w:t>
            </w:r>
            <w:proofErr w:type="spellEnd"/>
            <w:r w:rsidRPr="00532128">
              <w:rPr>
                <w:rFonts w:eastAsia="MS Mincho" w:cs="Times New Roman"/>
                <w:color w:val="auto"/>
                <w:sz w:val="20"/>
              </w:rPr>
              <w:t xml:space="preserve"> serwisów oraz 450 kart usług. </w:t>
            </w:r>
          </w:p>
          <w:p w14:paraId="0CA6CA9B" w14:textId="32BBAAD2" w:rsidR="00E02A72" w:rsidRPr="00532128" w:rsidRDefault="00E02A72"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lastRenderedPageBreak/>
              <w:t xml:space="preserve">Zarówno nowe serwisy jak i karty usług monitorowane są na bieżąco pod kątem ich dostępności cyfrowej zgodnie z wytycznymi WCAG 2.1. Zamieszczane strony i usługi </w:t>
            </w:r>
            <w:r w:rsidR="004E662C">
              <w:rPr>
                <w:rFonts w:eastAsia="MS Mincho" w:cs="Times New Roman"/>
                <w:color w:val="auto"/>
                <w:sz w:val="20"/>
              </w:rPr>
              <w:t xml:space="preserve">również są sprawdzane pod kątem </w:t>
            </w:r>
            <w:r w:rsidRPr="00532128">
              <w:rPr>
                <w:rFonts w:eastAsia="MS Mincho" w:cs="Times New Roman"/>
                <w:color w:val="auto"/>
                <w:sz w:val="20"/>
              </w:rPr>
              <w:t xml:space="preserve">szablonu zgodnego z wytycznymi WCAG. </w:t>
            </w:r>
          </w:p>
          <w:p w14:paraId="75B7607E" w14:textId="77777777" w:rsidR="00E02A72" w:rsidRPr="00532128" w:rsidRDefault="00E02A72"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Dostępność treści zapewniamy na poziomie szablonu, prostego języka i zrozumiałości treści. </w:t>
            </w:r>
          </w:p>
          <w:p w14:paraId="16FDA6DB" w14:textId="77777777" w:rsidR="00E02A72" w:rsidRPr="00532128" w:rsidRDefault="00E02A72"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Na bieżąco prowadzone są testy z użytkownikami, wśród których znaczną część stanowią seniorzy. Wyniki badań brane są pod uwagę podczas wdrażanych zmian w portalu.</w:t>
            </w:r>
          </w:p>
          <w:p w14:paraId="1BF6D463" w14:textId="58E7D2CC" w:rsidR="00E02A72" w:rsidRPr="00532128" w:rsidRDefault="00E02A72"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Na szkoleniach z zakresu zrozumiałości treści – prostego języka i dostępności cyfrowej, podkreślamy specyfikę pracy w Internecie przez seniorów i uczulamy wszy</w:t>
            </w:r>
            <w:r w:rsidR="004E662C">
              <w:rPr>
                <w:rFonts w:eastAsia="MS Mincho" w:cs="Times New Roman"/>
                <w:color w:val="auto"/>
                <w:sz w:val="20"/>
              </w:rPr>
              <w:t xml:space="preserve">stkich pracujących przy portalu </w:t>
            </w:r>
            <w:r w:rsidRPr="00532128">
              <w:rPr>
                <w:rFonts w:eastAsia="MS Mincho" w:cs="Times New Roman"/>
                <w:color w:val="auto"/>
                <w:sz w:val="20"/>
              </w:rPr>
              <w:t>Gov</w:t>
            </w:r>
            <w:r w:rsidR="004E662C">
              <w:rPr>
                <w:rFonts w:eastAsia="MS Mincho" w:cs="Times New Roman"/>
                <w:color w:val="auto"/>
                <w:sz w:val="20"/>
              </w:rPr>
              <w:t xml:space="preserve">.pl na potrzeby </w:t>
            </w:r>
            <w:proofErr w:type="spellStart"/>
            <w:r w:rsidR="004E662C">
              <w:rPr>
                <w:rFonts w:eastAsia="MS Mincho" w:cs="Times New Roman"/>
                <w:color w:val="auto"/>
                <w:sz w:val="20"/>
              </w:rPr>
              <w:t>osób.starszych</w:t>
            </w:r>
            <w:proofErr w:type="spellEnd"/>
            <w:r w:rsidR="004E662C">
              <w:rPr>
                <w:rFonts w:eastAsia="MS Mincho" w:cs="Times New Roman"/>
                <w:color w:val="auto"/>
                <w:sz w:val="20"/>
              </w:rPr>
              <w:t xml:space="preserve">. Specjalista dbający o </w:t>
            </w:r>
            <w:r w:rsidRPr="00532128">
              <w:rPr>
                <w:rFonts w:eastAsia="MS Mincho" w:cs="Times New Roman"/>
                <w:color w:val="auto"/>
                <w:sz w:val="20"/>
              </w:rPr>
              <w:t>dostępność WCAG w serwisie Gov.pl to osoba słabowidząca mająca wieloletnie doświadczenie pracy z seniorami w zakresie ich kompetencji cyfrowych. Jego doświadczenie jest rękojmią w tworzeniu przyjaznego serwisu dla seniorów</w:t>
            </w:r>
            <w:r w:rsidRPr="00942717">
              <w:rPr>
                <w:sz w:val="20"/>
              </w:rPr>
              <w:t>.</w:t>
            </w:r>
          </w:p>
        </w:tc>
      </w:tr>
      <w:tr w:rsidR="0092226B" w:rsidRPr="0092226B" w14:paraId="4876A65D" w14:textId="77777777" w:rsidTr="002D4784">
        <w:trPr>
          <w:trHeight w:val="9057"/>
        </w:trPr>
        <w:tc>
          <w:tcPr>
            <w:cnfStyle w:val="001000000000" w:firstRow="0" w:lastRow="0" w:firstColumn="1" w:lastColumn="0" w:oddVBand="0" w:evenVBand="0" w:oddHBand="0" w:evenHBand="0" w:firstRowFirstColumn="0" w:firstRowLastColumn="0" w:lastRowFirstColumn="0" w:lastRowLastColumn="0"/>
            <w:tcW w:w="1232" w:type="dxa"/>
            <w:vMerge/>
          </w:tcPr>
          <w:p w14:paraId="661855F8" w14:textId="77777777" w:rsidR="00311D18" w:rsidRPr="0092226B" w:rsidRDefault="00311D18" w:rsidP="003C1988">
            <w:pPr>
              <w:rPr>
                <w:rFonts w:cs="Times New Roman"/>
                <w:color w:val="FF0000"/>
                <w:sz w:val="20"/>
              </w:rPr>
            </w:pPr>
          </w:p>
        </w:tc>
        <w:tc>
          <w:tcPr>
            <w:tcW w:w="3594" w:type="dxa"/>
            <w:vMerge w:val="restart"/>
          </w:tcPr>
          <w:p w14:paraId="4EA7066D"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532128">
              <w:rPr>
                <w:rFonts w:ascii="Times New Roman" w:hAnsi="Times New Roman"/>
                <w:color w:val="auto"/>
                <w:sz w:val="20"/>
              </w:rPr>
              <w:t xml:space="preserve">Podnoszenie poziomu aktywności społecznej osób starszych </w:t>
            </w:r>
            <w:r w:rsidRPr="00532128">
              <w:rPr>
                <w:rFonts w:ascii="Times New Roman" w:hAnsi="Times New Roman"/>
                <w:color w:val="auto"/>
                <w:sz w:val="20"/>
              </w:rPr>
              <w:br/>
              <w:t xml:space="preserve">oraz wspierania funkcjonowania </w:t>
            </w:r>
            <w:r w:rsidRPr="00532128">
              <w:rPr>
                <w:rFonts w:ascii="Times New Roman" w:hAnsi="Times New Roman"/>
                <w:color w:val="auto"/>
                <w:sz w:val="20"/>
              </w:rPr>
              <w:br/>
              <w:t xml:space="preserve">i rozwoju organizacji </w:t>
            </w:r>
            <w:r w:rsidRPr="00532128">
              <w:rPr>
                <w:rFonts w:ascii="Times New Roman" w:eastAsia="MS Mincho" w:hAnsi="Times New Roman"/>
                <w:color w:val="auto"/>
                <w:sz w:val="20"/>
              </w:rPr>
              <w:t>zrzeszających</w:t>
            </w:r>
            <w:r w:rsidRPr="00532128">
              <w:rPr>
                <w:rFonts w:ascii="Times New Roman" w:hAnsi="Times New Roman"/>
                <w:color w:val="auto"/>
                <w:sz w:val="20"/>
              </w:rPr>
              <w:t xml:space="preserve"> osoby starsze poprzez:</w:t>
            </w:r>
          </w:p>
          <w:p w14:paraId="78AE5CAF" w14:textId="77777777" w:rsidR="00311D18" w:rsidRPr="00532128" w:rsidRDefault="00311D18" w:rsidP="002D4784">
            <w:pPr>
              <w:pStyle w:val="Kolorowalistaakcent11"/>
              <w:numPr>
                <w:ilvl w:val="0"/>
                <w:numId w:val="6"/>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wspieranie działań na rzecz aktywizacji osób starszych dzięki realizacji otwartych konkursów ofert skierowanych do podmiotów sektora organizacji pozarządowych i podmiotów, o których mowa </w:t>
            </w:r>
            <w:r w:rsidRPr="00532128">
              <w:rPr>
                <w:rFonts w:ascii="Times New Roman" w:hAnsi="Times New Roman"/>
                <w:color w:val="auto"/>
                <w:sz w:val="20"/>
              </w:rPr>
              <w:t>w art. 3 ust. 3 ustawy o działalności pożytku publicznego i o wolontariacie,</w:t>
            </w:r>
            <w:r w:rsidRPr="00532128">
              <w:rPr>
                <w:rFonts w:ascii="Times New Roman" w:eastAsia="MS Mincho" w:hAnsi="Times New Roman"/>
                <w:color w:val="auto"/>
                <w:sz w:val="20"/>
              </w:rPr>
              <w:t xml:space="preserve"> oraz poprzez promowanie partnerstwa międzysektorowego wobec osób starszych;</w:t>
            </w:r>
          </w:p>
          <w:p w14:paraId="5426A4A7" w14:textId="77777777" w:rsidR="00311D18" w:rsidRPr="00532128" w:rsidRDefault="00311D18" w:rsidP="002D4784">
            <w:pPr>
              <w:pStyle w:val="Kolorowalistaakcent11"/>
              <w:numPr>
                <w:ilvl w:val="0"/>
                <w:numId w:val="6"/>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wspieranie istniejących </w:t>
            </w:r>
            <w:r w:rsidRPr="00532128">
              <w:rPr>
                <w:rFonts w:ascii="Times New Roman" w:eastAsia="MS Mincho" w:hAnsi="Times New Roman"/>
                <w:color w:val="auto"/>
                <w:sz w:val="20"/>
              </w:rPr>
              <w:br/>
              <w:t xml:space="preserve">i nowopowstających organizacji sektora organizacji pozarządowych  i podmiotów, o których mowa </w:t>
            </w:r>
            <w:r w:rsidRPr="00532128">
              <w:rPr>
                <w:rFonts w:ascii="Times New Roman" w:hAnsi="Times New Roman"/>
                <w:color w:val="auto"/>
                <w:sz w:val="20"/>
              </w:rPr>
              <w:t>w art. 3 ust. 3 ustawy o działalności pożytku publicznego i o wolontariacie</w:t>
            </w:r>
            <w:r w:rsidRPr="00532128">
              <w:rPr>
                <w:rFonts w:ascii="Times New Roman" w:eastAsia="MS Mincho" w:hAnsi="Times New Roman"/>
                <w:color w:val="auto"/>
                <w:sz w:val="20"/>
              </w:rPr>
              <w:t>, zrzeszających osoby starsze, reprezentujących ich interesy lub działających na rzecz zwiększenia ich aktywności;</w:t>
            </w:r>
          </w:p>
          <w:p w14:paraId="698776E7" w14:textId="77777777" w:rsidR="00311D18" w:rsidRPr="00532128" w:rsidRDefault="00311D18" w:rsidP="002D4784">
            <w:pPr>
              <w:pStyle w:val="Kolorowalistaakcent11"/>
              <w:numPr>
                <w:ilvl w:val="0"/>
                <w:numId w:val="6"/>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promowanie wymiany dobrych praktyk działań podejmowanych</w:t>
            </w:r>
            <w:r w:rsidRPr="00532128">
              <w:rPr>
                <w:rFonts w:ascii="Times New Roman" w:eastAsia="MS Mincho" w:hAnsi="Times New Roman"/>
                <w:color w:val="auto"/>
                <w:sz w:val="20"/>
              </w:rPr>
              <w:br/>
              <w:t xml:space="preserve"> na rzecz aktywności społecznej osób starszych</w:t>
            </w:r>
          </w:p>
        </w:tc>
        <w:tc>
          <w:tcPr>
            <w:tcW w:w="2032" w:type="dxa"/>
            <w:vMerge w:val="restart"/>
          </w:tcPr>
          <w:p w14:paraId="0CE96CC3"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Komitet do spraw Pożytku Publicznego</w:t>
            </w:r>
          </w:p>
        </w:tc>
        <w:tc>
          <w:tcPr>
            <w:tcW w:w="1500" w:type="dxa"/>
            <w:vMerge w:val="restart"/>
          </w:tcPr>
          <w:p w14:paraId="71FE3D71"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2018-2020</w:t>
            </w:r>
          </w:p>
        </w:tc>
        <w:tc>
          <w:tcPr>
            <w:tcW w:w="5638" w:type="dxa"/>
          </w:tcPr>
          <w:p w14:paraId="418818A1"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cs="Times New Roman"/>
                <w:i/>
                <w:color w:val="auto"/>
                <w:sz w:val="20"/>
              </w:rPr>
            </w:pPr>
            <w:r w:rsidRPr="00532128">
              <w:rPr>
                <w:rFonts w:eastAsia="MS Mincho" w:cs="Times New Roman"/>
                <w:i/>
                <w:color w:val="auto"/>
                <w:sz w:val="20"/>
              </w:rPr>
              <w:t xml:space="preserve">Liczba  inicjatyw mających na celu  </w:t>
            </w:r>
            <w:r w:rsidRPr="00532128">
              <w:rPr>
                <w:rFonts w:cs="Times New Roman"/>
                <w:i/>
                <w:color w:val="auto"/>
                <w:sz w:val="20"/>
              </w:rPr>
              <w:t xml:space="preserve">podnoszenie poziomu aktywności społecznej osób starszych oraz wspieranie funkcjonowania i rozwoju organizacji </w:t>
            </w:r>
            <w:r w:rsidRPr="00532128">
              <w:rPr>
                <w:rFonts w:eastAsia="MS Mincho" w:cs="Times New Roman"/>
                <w:i/>
                <w:color w:val="auto"/>
                <w:sz w:val="20"/>
              </w:rPr>
              <w:t>zrzeszających</w:t>
            </w:r>
            <w:r w:rsidRPr="00532128">
              <w:rPr>
                <w:rFonts w:cs="Times New Roman"/>
                <w:i/>
                <w:color w:val="auto"/>
                <w:sz w:val="20"/>
              </w:rPr>
              <w:t xml:space="preserve"> osoby starsze, w tym: liczba organizacji pozarządowych i podmiotów, o których mowa w art. 3 ust. 3 ustawy o działalności pożytku publicznego i o wolontariacie, wspartych przez podmioty publiczne</w:t>
            </w:r>
          </w:p>
          <w:p w14:paraId="1D25A6A4" w14:textId="77777777" w:rsidR="00490252" w:rsidRPr="00532128" w:rsidRDefault="00490252"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r>
      <w:tr w:rsidR="0092226B" w:rsidRPr="0092226B" w14:paraId="2873AB50" w14:textId="77777777" w:rsidTr="002D4784">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232" w:type="dxa"/>
            <w:vMerge/>
          </w:tcPr>
          <w:p w14:paraId="0AD90DE3" w14:textId="77777777" w:rsidR="00311D18" w:rsidRPr="0092226B" w:rsidRDefault="00311D18" w:rsidP="003C1988">
            <w:pPr>
              <w:rPr>
                <w:rFonts w:cs="Times New Roman"/>
                <w:color w:val="FF0000"/>
                <w:sz w:val="20"/>
              </w:rPr>
            </w:pPr>
          </w:p>
        </w:tc>
        <w:tc>
          <w:tcPr>
            <w:tcW w:w="3594" w:type="dxa"/>
            <w:vMerge/>
          </w:tcPr>
          <w:p w14:paraId="43F6779C"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p>
        </w:tc>
        <w:tc>
          <w:tcPr>
            <w:tcW w:w="2032" w:type="dxa"/>
            <w:vMerge/>
          </w:tcPr>
          <w:p w14:paraId="615773B6"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1500" w:type="dxa"/>
            <w:vMerge/>
          </w:tcPr>
          <w:p w14:paraId="72FEF75D"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3A649A5B" w14:textId="50C91771" w:rsidR="005325ED" w:rsidRPr="00532128" w:rsidRDefault="005325ED"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 ramach Programu Fundusz Inicjatyw Obywatelskich na lata 2014-2020 edycja 2020 zrealizowano 14 zadań publicznych realizowanych przez organizacje pozarządowe oraz podmioty wymienione w art. 3 ust. 3 ustawy z dnia 24</w:t>
            </w:r>
            <w:r w:rsidR="00C34042">
              <w:rPr>
                <w:rFonts w:eastAsia="MS Mincho" w:cs="Times New Roman"/>
                <w:color w:val="auto"/>
                <w:sz w:val="20"/>
              </w:rPr>
              <w:t xml:space="preserve"> kwietnia</w:t>
            </w:r>
            <w:r w:rsidR="004E662C">
              <w:rPr>
                <w:rFonts w:eastAsia="MS Mincho" w:cs="Times New Roman"/>
                <w:color w:val="auto"/>
                <w:sz w:val="20"/>
              </w:rPr>
              <w:t>2003 r. o </w:t>
            </w:r>
            <w:r w:rsidRPr="00532128">
              <w:rPr>
                <w:rFonts w:eastAsia="MS Mincho" w:cs="Times New Roman"/>
                <w:color w:val="auto"/>
                <w:sz w:val="20"/>
              </w:rPr>
              <w:t>działalności pożytku publicznego i wolontariacie na ogólną kwotę 1 387 524, 6</w:t>
            </w:r>
            <w:r w:rsidR="00C34042">
              <w:rPr>
                <w:rFonts w:eastAsia="MS Mincho" w:cs="Times New Roman"/>
                <w:color w:val="auto"/>
                <w:sz w:val="20"/>
              </w:rPr>
              <w:t>0</w:t>
            </w:r>
            <w:r w:rsidRPr="00532128">
              <w:rPr>
                <w:rFonts w:eastAsia="MS Mincho" w:cs="Times New Roman"/>
                <w:color w:val="auto"/>
                <w:sz w:val="20"/>
              </w:rPr>
              <w:t xml:space="preserve"> zł.</w:t>
            </w:r>
          </w:p>
          <w:p w14:paraId="40825A5E" w14:textId="77777777" w:rsidR="005325ED" w:rsidRPr="00532128" w:rsidRDefault="005325ED"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63D1A2A9" w14:textId="77777777" w:rsidR="005325ED" w:rsidRPr="00532128" w:rsidRDefault="005325ED"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 ramach Priorytetu 1A Programu Organizacji Obywatelskich dofinansowano 7 zadań zrealizowanych przez podmioty działające w obszarze pracy z seniorami na łączną kwotę: 1 345 653,11 zł.</w:t>
            </w:r>
          </w:p>
          <w:p w14:paraId="1C9D1AF6" w14:textId="77777777" w:rsidR="004E662C" w:rsidRDefault="004E662C"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7C5A176A" w14:textId="12DF53C3" w:rsidR="005325ED" w:rsidRPr="00532128" w:rsidRDefault="005325ED"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 ramach Priorytetu 5 Programu Organizacji Obywatelskich dofinansowano 22 zadania zrealizowane przez podmioty działające w obszarze pracy z seniorami na ogólną kwotę: 174 112,89 zł.</w:t>
            </w:r>
          </w:p>
          <w:p w14:paraId="27413E89" w14:textId="77777777" w:rsidR="005325ED" w:rsidRPr="00532128" w:rsidRDefault="005325ED"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0D08DF85" w14:textId="5EC1B560" w:rsidR="00AA3219" w:rsidRPr="00532128" w:rsidRDefault="005325ED" w:rsidP="004E662C">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r w:rsidRPr="00532128">
              <w:rPr>
                <w:rFonts w:eastAsia="MS Mincho" w:cs="Times New Roman"/>
                <w:color w:val="auto"/>
                <w:sz w:val="20"/>
              </w:rPr>
              <w:t xml:space="preserve">Realizacja przez Narodowe Centrum Kultury programów Kultura – Interwencje i </w:t>
            </w:r>
            <w:proofErr w:type="spellStart"/>
            <w:r w:rsidRPr="00532128">
              <w:rPr>
                <w:rFonts w:eastAsia="MS Mincho" w:cs="Times New Roman"/>
                <w:color w:val="auto"/>
                <w:sz w:val="20"/>
              </w:rPr>
              <w:t>EtnoPolska</w:t>
            </w:r>
            <w:proofErr w:type="spellEnd"/>
            <w:r w:rsidRPr="00532128">
              <w:rPr>
                <w:rFonts w:eastAsia="MS Mincho" w:cs="Times New Roman"/>
                <w:color w:val="auto"/>
                <w:sz w:val="20"/>
              </w:rPr>
              <w:t>. W ramach ww. programów zrealizowano łącznie 28 zadań aktywizujących</w:t>
            </w:r>
            <w:r w:rsidR="004E662C">
              <w:rPr>
                <w:rFonts w:eastAsia="MS Mincho" w:cs="Times New Roman"/>
                <w:color w:val="auto"/>
                <w:sz w:val="20"/>
              </w:rPr>
              <w:t xml:space="preserve"> osoby starsze, polegających na </w:t>
            </w:r>
            <w:r w:rsidRPr="00532128">
              <w:rPr>
                <w:rFonts w:eastAsia="MS Mincho" w:cs="Times New Roman"/>
                <w:color w:val="auto"/>
                <w:sz w:val="20"/>
              </w:rPr>
              <w:t>wspieraniu istniejących i nowo powstających organizacji pozarządowych i podmiotów, o których mowa w art. 3 ust. 3 ustawy o działalności pożytku publicznego i o wolontariacie, zrzeszających osoby starsze, reprezentujących i</w:t>
            </w:r>
            <w:r w:rsidR="004E662C">
              <w:rPr>
                <w:rFonts w:eastAsia="MS Mincho" w:cs="Times New Roman"/>
                <w:color w:val="auto"/>
                <w:sz w:val="20"/>
              </w:rPr>
              <w:t>ch interesy lub działających na </w:t>
            </w:r>
            <w:r w:rsidRPr="00532128">
              <w:rPr>
                <w:rFonts w:eastAsia="MS Mincho" w:cs="Times New Roman"/>
                <w:color w:val="auto"/>
                <w:sz w:val="20"/>
              </w:rPr>
              <w:t>rzecz zwiększenia ich aktywnoś</w:t>
            </w:r>
            <w:r w:rsidR="004E662C">
              <w:rPr>
                <w:rFonts w:eastAsia="MS Mincho" w:cs="Times New Roman"/>
                <w:color w:val="auto"/>
                <w:sz w:val="20"/>
              </w:rPr>
              <w:t>ci na łączną kwotę 1 019 120,00 </w:t>
            </w:r>
            <w:r w:rsidRPr="00532128">
              <w:rPr>
                <w:rFonts w:eastAsia="MS Mincho" w:cs="Times New Roman"/>
                <w:color w:val="auto"/>
                <w:sz w:val="20"/>
              </w:rPr>
              <w:t>zł.</w:t>
            </w:r>
          </w:p>
        </w:tc>
      </w:tr>
      <w:tr w:rsidR="0092226B" w:rsidRPr="0092226B" w14:paraId="4A8D1D53" w14:textId="77777777" w:rsidTr="002D4784">
        <w:trPr>
          <w:trHeight w:val="325"/>
        </w:trPr>
        <w:tc>
          <w:tcPr>
            <w:cnfStyle w:val="001000000000" w:firstRow="0" w:lastRow="0" w:firstColumn="1" w:lastColumn="0" w:oddVBand="0" w:evenVBand="0" w:oddHBand="0" w:evenHBand="0" w:firstRowFirstColumn="0" w:firstRowLastColumn="0" w:lastRowFirstColumn="0" w:lastRowLastColumn="0"/>
            <w:tcW w:w="1232" w:type="dxa"/>
            <w:vMerge/>
          </w:tcPr>
          <w:p w14:paraId="787FE62A" w14:textId="77777777" w:rsidR="00311D18" w:rsidRPr="0092226B" w:rsidRDefault="00311D18" w:rsidP="003C1988">
            <w:pPr>
              <w:rPr>
                <w:rFonts w:cs="Times New Roman"/>
                <w:color w:val="FF0000"/>
                <w:sz w:val="20"/>
              </w:rPr>
            </w:pPr>
          </w:p>
        </w:tc>
        <w:tc>
          <w:tcPr>
            <w:tcW w:w="3594" w:type="dxa"/>
            <w:vMerge w:val="restart"/>
          </w:tcPr>
          <w:p w14:paraId="5DADCBBF"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532128">
              <w:rPr>
                <w:rFonts w:ascii="Times New Roman" w:eastAsia="MS Mincho" w:hAnsi="Times New Roman"/>
                <w:color w:val="auto"/>
                <w:sz w:val="20"/>
              </w:rPr>
              <w:t xml:space="preserve">Niwelowanie istniejących barier </w:t>
            </w:r>
            <w:r w:rsidRPr="00532128">
              <w:rPr>
                <w:rFonts w:ascii="Times New Roman" w:eastAsia="MS Mincho" w:hAnsi="Times New Roman"/>
                <w:color w:val="auto"/>
                <w:sz w:val="20"/>
              </w:rPr>
              <w:br/>
              <w:t xml:space="preserve">w funkcjonowaniu rad seniorów </w:t>
            </w:r>
            <w:r w:rsidRPr="00532128">
              <w:rPr>
                <w:rFonts w:ascii="Times New Roman" w:eastAsia="MS Mincho" w:hAnsi="Times New Roman"/>
                <w:color w:val="auto"/>
                <w:sz w:val="20"/>
              </w:rPr>
              <w:br/>
              <w:t xml:space="preserve">oraz wspieranie ich poprzez </w:t>
            </w:r>
            <w:r w:rsidRPr="00532128">
              <w:rPr>
                <w:rFonts w:ascii="Times New Roman" w:hAnsi="Times New Roman"/>
                <w:color w:val="auto"/>
                <w:sz w:val="20"/>
              </w:rPr>
              <w:t>promowanie tworzenia gminnych rad seniorów przez jednostki samorządu terytorialnego</w:t>
            </w:r>
          </w:p>
        </w:tc>
        <w:tc>
          <w:tcPr>
            <w:tcW w:w="2032" w:type="dxa"/>
            <w:vMerge w:val="restart"/>
          </w:tcPr>
          <w:p w14:paraId="6F6E4D34" w14:textId="46DA9B55" w:rsidR="00311D18" w:rsidRPr="00532128" w:rsidRDefault="00081C36"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t>Ministerstwo Rodziny i Polityki Społecznej</w:t>
            </w:r>
          </w:p>
        </w:tc>
        <w:tc>
          <w:tcPr>
            <w:tcW w:w="1500" w:type="dxa"/>
            <w:vMerge w:val="restart"/>
          </w:tcPr>
          <w:p w14:paraId="7594B687"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2018-2020</w:t>
            </w:r>
          </w:p>
        </w:tc>
        <w:tc>
          <w:tcPr>
            <w:tcW w:w="5638" w:type="dxa"/>
          </w:tcPr>
          <w:p w14:paraId="652B55F2"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funkcjonujących w gminach rad seniorów</w:t>
            </w:r>
          </w:p>
        </w:tc>
      </w:tr>
      <w:tr w:rsidR="0092226B" w:rsidRPr="0092226B" w14:paraId="51EBF81C" w14:textId="77777777" w:rsidTr="002D4784">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232" w:type="dxa"/>
            <w:vMerge/>
          </w:tcPr>
          <w:p w14:paraId="22AACF06" w14:textId="77777777" w:rsidR="00311D18" w:rsidRPr="0092226B" w:rsidRDefault="00311D18" w:rsidP="003C1988">
            <w:pPr>
              <w:rPr>
                <w:rFonts w:cs="Times New Roman"/>
                <w:color w:val="FF0000"/>
                <w:sz w:val="20"/>
              </w:rPr>
            </w:pPr>
          </w:p>
        </w:tc>
        <w:tc>
          <w:tcPr>
            <w:tcW w:w="3594" w:type="dxa"/>
            <w:vMerge/>
          </w:tcPr>
          <w:p w14:paraId="0DD4D2CE"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38A7D019"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18E72FD1"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78222B81" w14:textId="27274706" w:rsidR="00311D18" w:rsidRPr="00532128" w:rsidRDefault="00D61581" w:rsidP="004E662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 xml:space="preserve">Na podstawie danych zebranych </w:t>
            </w:r>
            <w:r w:rsidR="004E662C">
              <w:rPr>
                <w:rFonts w:eastAsia="MS Mincho" w:cs="Times New Roman"/>
                <w:color w:val="auto"/>
                <w:sz w:val="20"/>
                <w:szCs w:val="20"/>
              </w:rPr>
              <w:t>od 16 wojewodów wynika (dane na </w:t>
            </w:r>
            <w:r w:rsidRPr="00532128">
              <w:rPr>
                <w:rFonts w:eastAsia="MS Mincho" w:cs="Times New Roman"/>
                <w:color w:val="auto"/>
                <w:sz w:val="20"/>
                <w:szCs w:val="20"/>
              </w:rPr>
              <w:t>dzień 31 grudnia 2020 r.), że w kraju funkcjonuje 377 gminnych rad seniorów, powołanych zgodnie z art. 5c ustawy o samorządzie gminnym. Mając na uwadze ogólną liczbę gmin w Polsce (2477 gmin), liczba 377 stanowi 15,22%.</w:t>
            </w:r>
          </w:p>
        </w:tc>
      </w:tr>
      <w:tr w:rsidR="0092226B" w:rsidRPr="0092226B" w14:paraId="74828BBF" w14:textId="77777777" w:rsidTr="002D4784">
        <w:trPr>
          <w:trHeight w:val="1150"/>
        </w:trPr>
        <w:tc>
          <w:tcPr>
            <w:cnfStyle w:val="001000000000" w:firstRow="0" w:lastRow="0" w:firstColumn="1" w:lastColumn="0" w:oddVBand="0" w:evenVBand="0" w:oddHBand="0" w:evenHBand="0" w:firstRowFirstColumn="0" w:firstRowLastColumn="0" w:lastRowFirstColumn="0" w:lastRowLastColumn="0"/>
            <w:tcW w:w="1232" w:type="dxa"/>
            <w:vMerge/>
          </w:tcPr>
          <w:p w14:paraId="649A3AF0" w14:textId="77777777" w:rsidR="00311D18" w:rsidRPr="0092226B" w:rsidRDefault="00311D18" w:rsidP="003C1988">
            <w:pPr>
              <w:rPr>
                <w:rFonts w:cs="Times New Roman"/>
                <w:color w:val="FF0000"/>
                <w:sz w:val="20"/>
              </w:rPr>
            </w:pPr>
          </w:p>
        </w:tc>
        <w:tc>
          <w:tcPr>
            <w:tcW w:w="3594" w:type="dxa"/>
            <w:vMerge w:val="restart"/>
          </w:tcPr>
          <w:p w14:paraId="0BD3F131" w14:textId="77777777" w:rsidR="00311D18" w:rsidRPr="00532128" w:rsidRDefault="00311D18" w:rsidP="002D4784">
            <w:pPr>
              <w:pStyle w:val="Akapitzlist"/>
              <w:ind w:left="0"/>
              <w:jc w:val="left"/>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532128">
              <w:rPr>
                <w:rFonts w:cs="Times New Roman"/>
                <w:color w:val="auto"/>
                <w:sz w:val="20"/>
              </w:rPr>
              <w:t>Promowanie wolontariatu osób starszych oraz wobec osób starszych poprzez wspieranie organizacji pozarządowych i podmiotów, o których mowa w art. 3 ust. 3 ustawy o działalności pożytku publicznego i o wolontariacie, działających w tym zakresie</w:t>
            </w:r>
          </w:p>
          <w:p w14:paraId="5CD89CC5" w14:textId="77777777" w:rsidR="00311D18" w:rsidRPr="00532128" w:rsidRDefault="00311D18" w:rsidP="002D4784">
            <w:pPr>
              <w:suppressAutoHyphens/>
              <w:contextualSpacing/>
              <w:jc w:val="left"/>
              <w:cnfStyle w:val="000000000000" w:firstRow="0" w:lastRow="0" w:firstColumn="0" w:lastColumn="0" w:oddVBand="0" w:evenVBand="0" w:oddHBand="0" w:evenHBand="0" w:firstRowFirstColumn="0" w:firstRowLastColumn="0" w:lastRowFirstColumn="0" w:lastRowLastColumn="0"/>
              <w:rPr>
                <w:rFonts w:cs="Times New Roman"/>
                <w:color w:val="auto"/>
                <w:sz w:val="20"/>
              </w:rPr>
            </w:pPr>
          </w:p>
        </w:tc>
        <w:tc>
          <w:tcPr>
            <w:tcW w:w="2032" w:type="dxa"/>
            <w:vMerge w:val="restart"/>
          </w:tcPr>
          <w:p w14:paraId="7D0325B4"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Komitet do spraw Pożytku Publicznego</w:t>
            </w:r>
          </w:p>
        </w:tc>
        <w:tc>
          <w:tcPr>
            <w:tcW w:w="1500" w:type="dxa"/>
            <w:vMerge w:val="restart"/>
          </w:tcPr>
          <w:p w14:paraId="7CCA590E"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79C77939"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wspartych projektów organizacji</w:t>
            </w:r>
            <w:r w:rsidRPr="00532128">
              <w:rPr>
                <w:rFonts w:cs="Times New Roman"/>
                <w:i/>
                <w:color w:val="auto"/>
                <w:sz w:val="20"/>
              </w:rPr>
              <w:t xml:space="preserve"> pozarządowych i podmiotów, o których mowa w art. 3 ust. 3 ustawy o działalności pożytku publicznego i o wolontariacie, </w:t>
            </w:r>
            <w:r w:rsidRPr="00532128">
              <w:rPr>
                <w:rFonts w:eastAsia="MS Mincho" w:cs="Times New Roman"/>
                <w:i/>
                <w:color w:val="auto"/>
                <w:sz w:val="20"/>
              </w:rPr>
              <w:t>w obszarze promowania wolontariatu osób starszych oraz wobec osób starszych</w:t>
            </w:r>
          </w:p>
        </w:tc>
      </w:tr>
      <w:tr w:rsidR="0092226B" w:rsidRPr="0092226B" w14:paraId="7A1FB295" w14:textId="77777777" w:rsidTr="002D4784">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1232" w:type="dxa"/>
            <w:vMerge/>
          </w:tcPr>
          <w:p w14:paraId="4F380AF5" w14:textId="77777777" w:rsidR="00311D18" w:rsidRPr="0092226B" w:rsidRDefault="00311D18" w:rsidP="003C1988">
            <w:pPr>
              <w:rPr>
                <w:rFonts w:cs="Times New Roman"/>
                <w:color w:val="FF0000"/>
                <w:sz w:val="20"/>
              </w:rPr>
            </w:pPr>
          </w:p>
        </w:tc>
        <w:tc>
          <w:tcPr>
            <w:tcW w:w="3594" w:type="dxa"/>
            <w:vMerge/>
          </w:tcPr>
          <w:p w14:paraId="34093A7D" w14:textId="77777777" w:rsidR="00311D18" w:rsidRPr="00532128" w:rsidRDefault="00311D18" w:rsidP="002D4784">
            <w:pPr>
              <w:pStyle w:val="Akapitzlist"/>
              <w:ind w:left="0"/>
              <w:jc w:val="left"/>
              <w:cnfStyle w:val="000000100000" w:firstRow="0" w:lastRow="0" w:firstColumn="0" w:lastColumn="0" w:oddVBand="0" w:evenVBand="0" w:oddHBand="1" w:evenHBand="0" w:firstRowFirstColumn="0" w:firstRowLastColumn="0" w:lastRowFirstColumn="0" w:lastRowLastColumn="0"/>
              <w:rPr>
                <w:rFonts w:cs="Times New Roman"/>
                <w:color w:val="auto"/>
                <w:sz w:val="20"/>
              </w:rPr>
            </w:pPr>
          </w:p>
        </w:tc>
        <w:tc>
          <w:tcPr>
            <w:tcW w:w="2032" w:type="dxa"/>
            <w:vMerge/>
          </w:tcPr>
          <w:p w14:paraId="61158CF3"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12CD2151"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6283EE80" w14:textId="77777777" w:rsidR="00311D18" w:rsidRPr="00532128" w:rsidRDefault="00A74BE8" w:rsidP="004572E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 ramach Programu wspierania i rozwoju wolontariatu długoterminowego na lata 2018-2030 Korpus Solidarności zostało wspartych 12 organizacji, które zostały partnerami w konkursie Partnerstwo dla Wolontariatu.</w:t>
            </w:r>
          </w:p>
          <w:p w14:paraId="7A6188AD" w14:textId="77777777" w:rsidR="00A74BE8" w:rsidRPr="00532128" w:rsidRDefault="00A74BE8" w:rsidP="004572E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4E850F18" w14:textId="6F9C72ED" w:rsidR="00A74BE8" w:rsidRPr="00532128" w:rsidRDefault="00A74BE8" w:rsidP="004572E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Program Korpus Solidarności </w:t>
            </w:r>
            <w:r w:rsidR="004572EE">
              <w:rPr>
                <w:rFonts w:eastAsia="MS Mincho" w:cs="Times New Roman"/>
                <w:color w:val="auto"/>
                <w:sz w:val="20"/>
              </w:rPr>
              <w:t xml:space="preserve">to kompleksowa oferta złożona z czterech współzależnych </w:t>
            </w:r>
            <w:r w:rsidRPr="00532128">
              <w:rPr>
                <w:rFonts w:eastAsia="MS Mincho" w:cs="Times New Roman"/>
                <w:color w:val="auto"/>
                <w:sz w:val="20"/>
              </w:rPr>
              <w:t>i uzupełniających się zespołów działań tematycznych, adresowanych do różnych grup odbiorców:</w:t>
            </w:r>
          </w:p>
          <w:p w14:paraId="61A0E748" w14:textId="28A8F9F6" w:rsidR="00A74BE8" w:rsidRPr="00532128" w:rsidRDefault="004572EE" w:rsidP="004572E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A74BE8" w:rsidRPr="00532128">
              <w:rPr>
                <w:rFonts w:eastAsia="MS Mincho" w:cs="Times New Roman"/>
                <w:color w:val="auto"/>
                <w:sz w:val="20"/>
              </w:rPr>
              <w:t>propozycji kierowanej do wolonta</w:t>
            </w:r>
            <w:r>
              <w:rPr>
                <w:rFonts w:eastAsia="MS Mincho" w:cs="Times New Roman"/>
                <w:color w:val="auto"/>
                <w:sz w:val="20"/>
              </w:rPr>
              <w:t>riuszy i przygotowującej ich do </w:t>
            </w:r>
            <w:r w:rsidR="00A74BE8" w:rsidRPr="00532128">
              <w:rPr>
                <w:rFonts w:eastAsia="MS Mincho" w:cs="Times New Roman"/>
                <w:color w:val="auto"/>
                <w:sz w:val="20"/>
              </w:rPr>
              <w:t>wolontariatu oraz umożl</w:t>
            </w:r>
            <w:r>
              <w:rPr>
                <w:rFonts w:eastAsia="MS Mincho" w:cs="Times New Roman"/>
                <w:color w:val="auto"/>
                <w:sz w:val="20"/>
              </w:rPr>
              <w:t>iwiającej im angażowanie się we </w:t>
            </w:r>
            <w:r w:rsidR="00A74BE8" w:rsidRPr="00532128">
              <w:rPr>
                <w:rFonts w:eastAsia="MS Mincho" w:cs="Times New Roman"/>
                <w:color w:val="auto"/>
                <w:sz w:val="20"/>
              </w:rPr>
              <w:t>współpracy z organiza</w:t>
            </w:r>
            <w:r>
              <w:rPr>
                <w:rFonts w:eastAsia="MS Mincho" w:cs="Times New Roman"/>
                <w:color w:val="auto"/>
                <w:sz w:val="20"/>
              </w:rPr>
              <w:t>cjami w działania realizowane w </w:t>
            </w:r>
            <w:r w:rsidR="00A74BE8" w:rsidRPr="00532128">
              <w:rPr>
                <w:rFonts w:eastAsia="MS Mincho" w:cs="Times New Roman"/>
                <w:color w:val="auto"/>
                <w:sz w:val="20"/>
              </w:rPr>
              <w:t>dowolnych obszarach życia społecznego i rozwijające postawy obywatelskie;</w:t>
            </w:r>
          </w:p>
          <w:p w14:paraId="74D58DA5" w14:textId="51E6DD7D" w:rsidR="00A74BE8" w:rsidRPr="00532128" w:rsidRDefault="004572EE" w:rsidP="004572E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A74BE8" w:rsidRPr="00532128">
              <w:rPr>
                <w:rFonts w:eastAsia="MS Mincho" w:cs="Times New Roman"/>
                <w:color w:val="auto"/>
                <w:sz w:val="20"/>
              </w:rPr>
              <w:t>propozycji kierowanej do organizatorów wolontariatu (organizacji pozarządowych oraz instytucji public</w:t>
            </w:r>
            <w:r>
              <w:rPr>
                <w:rFonts w:eastAsia="MS Mincho" w:cs="Times New Roman"/>
                <w:color w:val="auto"/>
                <w:sz w:val="20"/>
              </w:rPr>
              <w:t xml:space="preserve">znych) w zakresie inicjowania i </w:t>
            </w:r>
            <w:r w:rsidR="00A74BE8" w:rsidRPr="00532128">
              <w:rPr>
                <w:rFonts w:eastAsia="MS Mincho" w:cs="Times New Roman"/>
                <w:color w:val="auto"/>
                <w:sz w:val="20"/>
              </w:rPr>
              <w:t>prowadzenia projektów z udziałem wolontariuszy oraz kształtowania lokalnej polityki w zakresie funkcjonowania wolontariatu;</w:t>
            </w:r>
          </w:p>
          <w:p w14:paraId="3FA7E0A3" w14:textId="4172C2FF" w:rsidR="00A74BE8" w:rsidRPr="00532128" w:rsidRDefault="004572EE" w:rsidP="004572E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A74BE8" w:rsidRPr="00532128">
              <w:rPr>
                <w:rFonts w:eastAsia="MS Mincho" w:cs="Times New Roman"/>
                <w:color w:val="auto"/>
                <w:sz w:val="20"/>
              </w:rPr>
              <w:t>działań kierowanych do koordynatorów oraz menadżerów wolontariatu, wspierających i rozwi</w:t>
            </w:r>
            <w:r>
              <w:rPr>
                <w:rFonts w:eastAsia="MS Mincho" w:cs="Times New Roman"/>
                <w:color w:val="auto"/>
                <w:sz w:val="20"/>
              </w:rPr>
              <w:t>jających ich kompetencje w </w:t>
            </w:r>
            <w:r w:rsidR="00A74BE8" w:rsidRPr="00532128">
              <w:rPr>
                <w:rFonts w:eastAsia="MS Mincho" w:cs="Times New Roman"/>
                <w:color w:val="auto"/>
                <w:sz w:val="20"/>
              </w:rPr>
              <w:t>zakresie zarządzania wolontariatem;</w:t>
            </w:r>
          </w:p>
          <w:p w14:paraId="2661A40F" w14:textId="709E8EBA" w:rsidR="00A74BE8" w:rsidRPr="00532128" w:rsidRDefault="004572EE" w:rsidP="004572E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A74BE8" w:rsidRPr="00532128">
              <w:rPr>
                <w:rFonts w:eastAsia="MS Mincho" w:cs="Times New Roman"/>
                <w:color w:val="auto"/>
                <w:sz w:val="20"/>
              </w:rPr>
              <w:t>otoczenia wolontariatu w zakresie idei wolontariatu, jego promocji, podnoszenia</w:t>
            </w:r>
          </w:p>
          <w:p w14:paraId="0ADF9AEF" w14:textId="342837CF" w:rsidR="00A74BE8" w:rsidRPr="00532128" w:rsidRDefault="004572EE" w:rsidP="004572E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A74BE8" w:rsidRPr="00532128">
              <w:rPr>
                <w:rFonts w:eastAsia="MS Mincho" w:cs="Times New Roman"/>
                <w:color w:val="auto"/>
                <w:sz w:val="20"/>
              </w:rPr>
              <w:t xml:space="preserve">świadomości obywateli na temat istoty działań </w:t>
            </w:r>
            <w:proofErr w:type="spellStart"/>
            <w:r w:rsidR="00A74BE8" w:rsidRPr="00532128">
              <w:rPr>
                <w:rFonts w:eastAsia="MS Mincho" w:cs="Times New Roman"/>
                <w:color w:val="auto"/>
                <w:sz w:val="20"/>
              </w:rPr>
              <w:t>wolontariackich</w:t>
            </w:r>
            <w:proofErr w:type="spellEnd"/>
            <w:r w:rsidR="00A74BE8" w:rsidRPr="00532128">
              <w:rPr>
                <w:rFonts w:eastAsia="MS Mincho" w:cs="Times New Roman"/>
                <w:color w:val="auto"/>
                <w:sz w:val="20"/>
              </w:rPr>
              <w:t>, oferowania rozwiązań</w:t>
            </w:r>
          </w:p>
          <w:p w14:paraId="3F47813D" w14:textId="69C0FA3E" w:rsidR="00A74BE8" w:rsidRPr="00532128" w:rsidRDefault="004572EE" w:rsidP="004572E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A74BE8" w:rsidRPr="00532128">
              <w:rPr>
                <w:rFonts w:eastAsia="MS Mincho" w:cs="Times New Roman"/>
                <w:color w:val="auto"/>
                <w:sz w:val="20"/>
              </w:rPr>
              <w:t>i narzędzi ułatwiających pod</w:t>
            </w:r>
            <w:r>
              <w:rPr>
                <w:rFonts w:eastAsia="MS Mincho" w:cs="Times New Roman"/>
                <w:color w:val="auto"/>
                <w:sz w:val="20"/>
              </w:rPr>
              <w:t>ejmowanie działań społecznych w </w:t>
            </w:r>
            <w:r w:rsidR="00A74BE8" w:rsidRPr="00532128">
              <w:rPr>
                <w:rFonts w:eastAsia="MS Mincho" w:cs="Times New Roman"/>
                <w:color w:val="auto"/>
                <w:sz w:val="20"/>
              </w:rPr>
              <w:t>środowisku lokalnym.</w:t>
            </w:r>
          </w:p>
          <w:p w14:paraId="3535E6C4" w14:textId="77777777" w:rsidR="00A74BE8" w:rsidRPr="00532128" w:rsidRDefault="00A74BE8" w:rsidP="004572E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Program jest realizowany m. in. poprzez organizacje partnerskie współpracujące w ramach Partnerstwa dla Wolontariatu.</w:t>
            </w:r>
          </w:p>
          <w:p w14:paraId="65FB70B5" w14:textId="1502CE97" w:rsidR="00771AC7" w:rsidRPr="00532128" w:rsidRDefault="00771AC7" w:rsidP="004572E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lastRenderedPageBreak/>
              <w:t>W 2020 r. w ramach programu dotacyjnego Polskie dziedzictwo kulturowe za granicą - wolontaria</w:t>
            </w:r>
            <w:r w:rsidR="004572EE">
              <w:rPr>
                <w:rFonts w:eastAsia="MS Mincho" w:cs="Times New Roman"/>
                <w:color w:val="auto"/>
                <w:sz w:val="20"/>
              </w:rPr>
              <w:t>t dofinansowano 16 projektów, w </w:t>
            </w:r>
            <w:r w:rsidRPr="00532128">
              <w:rPr>
                <w:rFonts w:eastAsia="MS Mincho" w:cs="Times New Roman"/>
                <w:color w:val="auto"/>
                <w:sz w:val="20"/>
              </w:rPr>
              <w:t>które także mogły zaangażować się osoby starsze.  Głównym celem programu jest wspiera</w:t>
            </w:r>
            <w:r w:rsidR="004572EE">
              <w:rPr>
                <w:rFonts w:eastAsia="MS Mincho" w:cs="Times New Roman"/>
                <w:color w:val="auto"/>
                <w:sz w:val="20"/>
              </w:rPr>
              <w:t>nie społecznego zaangażowania w </w:t>
            </w:r>
            <w:r w:rsidRPr="00532128">
              <w:rPr>
                <w:rFonts w:eastAsia="MS Mincho" w:cs="Times New Roman"/>
                <w:color w:val="auto"/>
                <w:sz w:val="20"/>
              </w:rPr>
              <w:t>ochronę materialnych elementów polskiego dziedzictwa kulturowego pozostającego poza granicami kraju.</w:t>
            </w:r>
          </w:p>
        </w:tc>
      </w:tr>
      <w:tr w:rsidR="0092226B" w:rsidRPr="0092226B" w14:paraId="54BBEFC9" w14:textId="77777777" w:rsidTr="002D4784">
        <w:trPr>
          <w:trHeight w:val="721"/>
        </w:trPr>
        <w:tc>
          <w:tcPr>
            <w:cnfStyle w:val="001000000000" w:firstRow="0" w:lastRow="0" w:firstColumn="1" w:lastColumn="0" w:oddVBand="0" w:evenVBand="0" w:oddHBand="0" w:evenHBand="0" w:firstRowFirstColumn="0" w:firstRowLastColumn="0" w:lastRowFirstColumn="0" w:lastRowLastColumn="0"/>
            <w:tcW w:w="1232" w:type="dxa"/>
            <w:vMerge/>
          </w:tcPr>
          <w:p w14:paraId="2D12EE5F" w14:textId="77777777" w:rsidR="00311D18" w:rsidRPr="0092226B" w:rsidRDefault="00311D18" w:rsidP="003C1988">
            <w:pPr>
              <w:rPr>
                <w:rFonts w:cs="Times New Roman"/>
                <w:color w:val="FF0000"/>
                <w:sz w:val="20"/>
              </w:rPr>
            </w:pPr>
          </w:p>
        </w:tc>
        <w:tc>
          <w:tcPr>
            <w:tcW w:w="3594" w:type="dxa"/>
            <w:vMerge w:val="restart"/>
          </w:tcPr>
          <w:p w14:paraId="4A4F903F"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Zwiększenie dostępności placówek </w:t>
            </w:r>
            <w:r w:rsidRPr="00532128">
              <w:rPr>
                <w:rFonts w:ascii="Times New Roman" w:eastAsia="MS Mincho" w:hAnsi="Times New Roman"/>
                <w:color w:val="auto"/>
                <w:sz w:val="20"/>
              </w:rPr>
              <w:br/>
              <w:t>i instytucji kultury dla osób starszych, dzięki:</w:t>
            </w:r>
          </w:p>
          <w:p w14:paraId="695DA3A4" w14:textId="77777777" w:rsidR="00311D18" w:rsidRPr="00532128" w:rsidRDefault="00311D18" w:rsidP="002D4784">
            <w:pPr>
              <w:pStyle w:val="Kolorowalistaakcent11"/>
              <w:numPr>
                <w:ilvl w:val="0"/>
                <w:numId w:val="7"/>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dostosowaniu rodzaju i form aktywności kulturalnych do zróżnicowanych potrzeb starszych odbiorców;</w:t>
            </w:r>
          </w:p>
          <w:p w14:paraId="485BB3DA" w14:textId="77777777" w:rsidR="00311D18" w:rsidRPr="00532128" w:rsidRDefault="00311D18" w:rsidP="002D4784">
            <w:pPr>
              <w:pStyle w:val="Kolorowalistaakcent11"/>
              <w:numPr>
                <w:ilvl w:val="0"/>
                <w:numId w:val="7"/>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upowszechnianiu pozytywnych wzorców i dobrych praktyk </w:t>
            </w:r>
            <w:r w:rsidRPr="00532128">
              <w:rPr>
                <w:rFonts w:ascii="Times New Roman" w:eastAsia="MS Mincho" w:hAnsi="Times New Roman"/>
                <w:color w:val="auto"/>
                <w:sz w:val="20"/>
              </w:rPr>
              <w:br/>
              <w:t>w tym obszarze;</w:t>
            </w:r>
          </w:p>
          <w:p w14:paraId="010F93E8" w14:textId="77777777" w:rsidR="00311D18" w:rsidRPr="00532128" w:rsidRDefault="00311D18" w:rsidP="002D4784">
            <w:pPr>
              <w:pStyle w:val="Kolorowalistaakcent11"/>
              <w:numPr>
                <w:ilvl w:val="0"/>
                <w:numId w:val="7"/>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wspieraniu wszelkich form amatorskiej działalności artystycznej osób starszych;</w:t>
            </w:r>
          </w:p>
          <w:p w14:paraId="4DA9D95D" w14:textId="77777777" w:rsidR="00311D18" w:rsidRPr="00532128" w:rsidRDefault="00311D18" w:rsidP="002D4784">
            <w:pPr>
              <w:pStyle w:val="Kolorowalistaakcent11"/>
              <w:numPr>
                <w:ilvl w:val="0"/>
                <w:numId w:val="7"/>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wykorzystaniu potencjału i bazy placówek publicznych </w:t>
            </w:r>
            <w:r w:rsidRPr="00532128">
              <w:rPr>
                <w:rFonts w:ascii="Times New Roman" w:eastAsia="MS Mincho" w:hAnsi="Times New Roman"/>
                <w:color w:val="auto"/>
                <w:sz w:val="20"/>
              </w:rPr>
              <w:br/>
              <w:t xml:space="preserve">do organizowania zajęć </w:t>
            </w:r>
            <w:r w:rsidRPr="00532128">
              <w:rPr>
                <w:rFonts w:ascii="Times New Roman" w:eastAsia="MS Mincho" w:hAnsi="Times New Roman"/>
                <w:color w:val="auto"/>
                <w:sz w:val="20"/>
              </w:rPr>
              <w:br/>
              <w:t xml:space="preserve">o charakterze kulturalnym, artystycznym, rekreacyjnym </w:t>
            </w:r>
            <w:r w:rsidRPr="00532128">
              <w:rPr>
                <w:rFonts w:ascii="Times New Roman" w:eastAsia="MS Mincho" w:hAnsi="Times New Roman"/>
                <w:color w:val="auto"/>
                <w:sz w:val="20"/>
              </w:rPr>
              <w:br/>
              <w:t>i ogólnorozwojowym.</w:t>
            </w:r>
          </w:p>
        </w:tc>
        <w:tc>
          <w:tcPr>
            <w:tcW w:w="2032" w:type="dxa"/>
            <w:vMerge w:val="restart"/>
          </w:tcPr>
          <w:p w14:paraId="08049377" w14:textId="6CB45840" w:rsidR="00311D18" w:rsidRPr="00532128" w:rsidRDefault="002D4784"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2D4784">
              <w:rPr>
                <w:rFonts w:ascii="Times New Roman" w:eastAsia="MS Mincho" w:hAnsi="Times New Roman"/>
                <w:color w:val="auto"/>
                <w:sz w:val="20"/>
              </w:rPr>
              <w:t>Ministerstwo Kultury, Dziedzictwa Narodowego i Sportu</w:t>
            </w:r>
          </w:p>
        </w:tc>
        <w:tc>
          <w:tcPr>
            <w:tcW w:w="1500" w:type="dxa"/>
            <w:vMerge w:val="restart"/>
          </w:tcPr>
          <w:p w14:paraId="3299F088"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56AD6301"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inicjatyw mających na celu zwiększenie dostępności placówek i instytucji kultury dla osób starszych</w:t>
            </w:r>
          </w:p>
        </w:tc>
      </w:tr>
      <w:tr w:rsidR="0092226B" w:rsidRPr="0092226B" w14:paraId="1F2E2F66" w14:textId="77777777" w:rsidTr="002D4784">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1232" w:type="dxa"/>
            <w:vMerge/>
          </w:tcPr>
          <w:p w14:paraId="48EAC45E" w14:textId="77777777" w:rsidR="00311D18" w:rsidRPr="0092226B" w:rsidRDefault="00311D18" w:rsidP="003C1988">
            <w:pPr>
              <w:rPr>
                <w:rFonts w:cs="Times New Roman"/>
                <w:color w:val="FF0000"/>
                <w:sz w:val="20"/>
              </w:rPr>
            </w:pPr>
          </w:p>
        </w:tc>
        <w:tc>
          <w:tcPr>
            <w:tcW w:w="3594" w:type="dxa"/>
            <w:vMerge/>
          </w:tcPr>
          <w:p w14:paraId="717C1586"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4052AB8B"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3E8BC2B2"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12B90048" w14:textId="08A455B4" w:rsidR="006235A9" w:rsidRPr="00532128" w:rsidRDefault="006235A9" w:rsidP="004572E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 xml:space="preserve">Lista </w:t>
            </w:r>
            <w:r w:rsidRPr="004572EE">
              <w:rPr>
                <w:rFonts w:eastAsia="MS Mincho" w:cs="Times New Roman"/>
                <w:bCs/>
                <w:color w:val="auto"/>
                <w:sz w:val="20"/>
                <w:szCs w:val="20"/>
              </w:rPr>
              <w:t xml:space="preserve">Programów dotacyjnych Ministra </w:t>
            </w:r>
            <w:proofErr w:type="spellStart"/>
            <w:r w:rsidRPr="004572EE">
              <w:rPr>
                <w:rFonts w:eastAsia="MS Mincho" w:cs="Times New Roman"/>
                <w:bCs/>
                <w:color w:val="auto"/>
                <w:sz w:val="20"/>
                <w:szCs w:val="20"/>
              </w:rPr>
              <w:t>KDNiS</w:t>
            </w:r>
            <w:proofErr w:type="spellEnd"/>
            <w:r w:rsidR="004572EE">
              <w:rPr>
                <w:rFonts w:eastAsia="MS Mincho" w:cs="Times New Roman"/>
                <w:bCs/>
                <w:color w:val="auto"/>
                <w:sz w:val="20"/>
                <w:szCs w:val="20"/>
              </w:rPr>
              <w:t>, w których w </w:t>
            </w:r>
            <w:r w:rsidRPr="00532128">
              <w:rPr>
                <w:rFonts w:eastAsia="MS Mincho" w:cs="Times New Roman"/>
                <w:bCs/>
                <w:color w:val="auto"/>
                <w:sz w:val="20"/>
                <w:szCs w:val="20"/>
              </w:rPr>
              <w:t>2020 r. zostały dofinansowane wy</w:t>
            </w:r>
            <w:r w:rsidR="004572EE">
              <w:rPr>
                <w:rFonts w:eastAsia="MS Mincho" w:cs="Times New Roman"/>
                <w:bCs/>
                <w:color w:val="auto"/>
                <w:sz w:val="20"/>
                <w:szCs w:val="20"/>
              </w:rPr>
              <w:t>darzenia artystyczne i </w:t>
            </w:r>
            <w:r w:rsidRPr="00532128">
              <w:rPr>
                <w:rFonts w:eastAsia="MS Mincho" w:cs="Times New Roman"/>
                <w:bCs/>
                <w:color w:val="auto"/>
                <w:sz w:val="20"/>
                <w:szCs w:val="20"/>
              </w:rPr>
              <w:t>kulturalne kierowane do os</w:t>
            </w:r>
            <w:r w:rsidR="004572EE">
              <w:rPr>
                <w:rFonts w:eastAsia="MS Mincho" w:cs="Times New Roman"/>
                <w:bCs/>
                <w:color w:val="auto"/>
                <w:sz w:val="20"/>
                <w:szCs w:val="20"/>
              </w:rPr>
              <w:t>ób starszych lub dostępnych dla </w:t>
            </w:r>
            <w:r w:rsidRPr="00532128">
              <w:rPr>
                <w:rFonts w:eastAsia="MS Mincho" w:cs="Times New Roman"/>
                <w:bCs/>
                <w:color w:val="auto"/>
                <w:sz w:val="20"/>
                <w:szCs w:val="20"/>
              </w:rPr>
              <w:t>szerokiej publiczności, z uwzględnieniem seniorów:</w:t>
            </w:r>
          </w:p>
          <w:p w14:paraId="5E4C86EC" w14:textId="1D89CC7F"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Badanie polskich strat wojennych</w:t>
            </w:r>
            <w:r w:rsidR="004572EE">
              <w:rPr>
                <w:rFonts w:eastAsia="MS Mincho" w:cs="Times New Roman"/>
                <w:bCs/>
                <w:color w:val="auto"/>
                <w:sz w:val="20"/>
                <w:szCs w:val="20"/>
              </w:rPr>
              <w:t>;</w:t>
            </w:r>
          </w:p>
          <w:p w14:paraId="38E0F17D" w14:textId="4CC7C068"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Czasopisma</w:t>
            </w:r>
            <w:r w:rsidR="004572EE">
              <w:rPr>
                <w:rFonts w:eastAsia="MS Mincho" w:cs="Times New Roman"/>
                <w:bCs/>
                <w:color w:val="auto"/>
                <w:sz w:val="20"/>
                <w:szCs w:val="20"/>
              </w:rPr>
              <w:t>;</w:t>
            </w:r>
          </w:p>
          <w:p w14:paraId="289D1583" w14:textId="21A29D98"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Edukacja artystyczna</w:t>
            </w:r>
            <w:r w:rsidR="004572EE">
              <w:rPr>
                <w:rFonts w:eastAsia="MS Mincho" w:cs="Times New Roman"/>
                <w:bCs/>
                <w:color w:val="auto"/>
                <w:sz w:val="20"/>
                <w:szCs w:val="20"/>
              </w:rPr>
              <w:t>;</w:t>
            </w:r>
          </w:p>
          <w:p w14:paraId="2D4F18E9" w14:textId="73C5963C"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Edukacja kulturalna</w:t>
            </w:r>
            <w:r w:rsidR="004572EE">
              <w:rPr>
                <w:rFonts w:eastAsia="MS Mincho" w:cs="Times New Roman"/>
                <w:bCs/>
                <w:color w:val="auto"/>
                <w:sz w:val="20"/>
                <w:szCs w:val="20"/>
              </w:rPr>
              <w:t>;</w:t>
            </w:r>
          </w:p>
          <w:p w14:paraId="4E7B5FB6" w14:textId="7F13D1FB"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Film</w:t>
            </w:r>
            <w:r w:rsidR="004572EE">
              <w:rPr>
                <w:rFonts w:eastAsia="MS Mincho" w:cs="Times New Roman"/>
                <w:bCs/>
                <w:color w:val="auto"/>
                <w:sz w:val="20"/>
                <w:szCs w:val="20"/>
              </w:rPr>
              <w:t>;</w:t>
            </w:r>
          </w:p>
          <w:p w14:paraId="6E13A461" w14:textId="6A80EC93"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Groby i cmentarze wojenne w kraju</w:t>
            </w:r>
            <w:r w:rsidR="004572EE">
              <w:rPr>
                <w:rFonts w:eastAsia="MS Mincho" w:cs="Times New Roman"/>
                <w:bCs/>
                <w:color w:val="auto"/>
                <w:sz w:val="20"/>
                <w:szCs w:val="20"/>
              </w:rPr>
              <w:t>;</w:t>
            </w:r>
          </w:p>
          <w:p w14:paraId="02960039" w14:textId="5F0AE909"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Infrastruktura domów kultury</w:t>
            </w:r>
            <w:r w:rsidR="004572EE">
              <w:rPr>
                <w:rFonts w:eastAsia="MS Mincho" w:cs="Times New Roman"/>
                <w:bCs/>
                <w:color w:val="auto"/>
                <w:sz w:val="20"/>
                <w:szCs w:val="20"/>
              </w:rPr>
              <w:t>;</w:t>
            </w:r>
          </w:p>
          <w:p w14:paraId="4F933C3C" w14:textId="7AD34AB2"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Infrastruktura kultury</w:t>
            </w:r>
            <w:r w:rsidR="004572EE">
              <w:rPr>
                <w:rFonts w:eastAsia="MS Mincho" w:cs="Times New Roman"/>
                <w:bCs/>
                <w:color w:val="auto"/>
                <w:sz w:val="20"/>
                <w:szCs w:val="20"/>
              </w:rPr>
              <w:t>;</w:t>
            </w:r>
          </w:p>
          <w:p w14:paraId="5E7AA61C" w14:textId="1D7FC9BA"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Infrastruktura szkolnictwa artystycznego</w:t>
            </w:r>
            <w:r w:rsidR="004572EE">
              <w:rPr>
                <w:rFonts w:eastAsia="MS Mincho" w:cs="Times New Roman"/>
                <w:bCs/>
                <w:color w:val="auto"/>
                <w:sz w:val="20"/>
                <w:szCs w:val="20"/>
              </w:rPr>
              <w:t>;</w:t>
            </w:r>
          </w:p>
          <w:p w14:paraId="224368A0" w14:textId="1240BED1"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Kultura cyfrowa</w:t>
            </w:r>
            <w:r w:rsidR="004572EE">
              <w:rPr>
                <w:rFonts w:eastAsia="MS Mincho" w:cs="Times New Roman"/>
                <w:bCs/>
                <w:color w:val="auto"/>
                <w:sz w:val="20"/>
                <w:szCs w:val="20"/>
              </w:rPr>
              <w:t>;</w:t>
            </w:r>
          </w:p>
          <w:p w14:paraId="0F117D8C" w14:textId="04CF8BEE"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Kultura Dostępna</w:t>
            </w:r>
            <w:r w:rsidR="004572EE">
              <w:rPr>
                <w:rFonts w:eastAsia="MS Mincho" w:cs="Times New Roman"/>
                <w:bCs/>
                <w:color w:val="auto"/>
                <w:sz w:val="20"/>
                <w:szCs w:val="20"/>
              </w:rPr>
              <w:t>;</w:t>
            </w:r>
          </w:p>
          <w:p w14:paraId="2D0A18E9" w14:textId="08A641A6"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Kultura ludowa i tradycyjna</w:t>
            </w:r>
            <w:r w:rsidR="004572EE">
              <w:rPr>
                <w:rFonts w:eastAsia="MS Mincho" w:cs="Times New Roman"/>
                <w:bCs/>
                <w:color w:val="auto"/>
                <w:sz w:val="20"/>
                <w:szCs w:val="20"/>
              </w:rPr>
              <w:t>;</w:t>
            </w:r>
          </w:p>
          <w:p w14:paraId="776A6D32" w14:textId="54EF38DB"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Literatura</w:t>
            </w:r>
            <w:r w:rsidR="004572EE">
              <w:rPr>
                <w:rFonts w:eastAsia="MS Mincho" w:cs="Times New Roman"/>
                <w:bCs/>
                <w:color w:val="auto"/>
                <w:sz w:val="20"/>
                <w:szCs w:val="20"/>
              </w:rPr>
              <w:t>;</w:t>
            </w:r>
          </w:p>
          <w:p w14:paraId="48EC0D1A" w14:textId="277FB65E"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Miejsca pamięci i trwałe upamiętnienia w kraju</w:t>
            </w:r>
            <w:r w:rsidR="004572EE">
              <w:rPr>
                <w:rFonts w:eastAsia="MS Mincho" w:cs="Times New Roman"/>
                <w:bCs/>
                <w:color w:val="auto"/>
                <w:sz w:val="20"/>
                <w:szCs w:val="20"/>
              </w:rPr>
              <w:t>;</w:t>
            </w:r>
          </w:p>
          <w:p w14:paraId="22BF74B1" w14:textId="507EFB46"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Miejsca Pamięci Narodowej za Granicą</w:t>
            </w:r>
            <w:r w:rsidR="004572EE">
              <w:rPr>
                <w:rFonts w:eastAsia="MS Mincho" w:cs="Times New Roman"/>
                <w:bCs/>
                <w:color w:val="auto"/>
                <w:sz w:val="20"/>
                <w:szCs w:val="20"/>
              </w:rPr>
              <w:t>;</w:t>
            </w:r>
          </w:p>
          <w:p w14:paraId="25EC6067" w14:textId="7DEBFEF5"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Muzyczny ślad</w:t>
            </w:r>
            <w:r w:rsidR="004572EE">
              <w:rPr>
                <w:rFonts w:eastAsia="MS Mincho" w:cs="Times New Roman"/>
                <w:bCs/>
                <w:color w:val="auto"/>
                <w:sz w:val="20"/>
                <w:szCs w:val="20"/>
              </w:rPr>
              <w:t>;</w:t>
            </w:r>
          </w:p>
          <w:p w14:paraId="783B086F" w14:textId="6FA40D20"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Muzyka</w:t>
            </w:r>
            <w:r w:rsidR="004572EE">
              <w:rPr>
                <w:rFonts w:eastAsia="MS Mincho" w:cs="Times New Roman"/>
                <w:bCs/>
                <w:color w:val="auto"/>
                <w:sz w:val="20"/>
                <w:szCs w:val="20"/>
              </w:rPr>
              <w:t>;</w:t>
            </w:r>
          </w:p>
          <w:p w14:paraId="0BBF934C" w14:textId="10ED62B0"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 xml:space="preserve">Narodowa Kolekcja Sztuki </w:t>
            </w:r>
            <w:r w:rsidR="004572EE">
              <w:rPr>
                <w:rFonts w:eastAsia="MS Mincho" w:cs="Times New Roman"/>
                <w:bCs/>
                <w:color w:val="auto"/>
                <w:sz w:val="20"/>
                <w:szCs w:val="20"/>
              </w:rPr>
              <w:t>Współczesnej Ministra Kultury i </w:t>
            </w:r>
            <w:r w:rsidRPr="00532128">
              <w:rPr>
                <w:rFonts w:eastAsia="MS Mincho" w:cs="Times New Roman"/>
                <w:bCs/>
                <w:color w:val="auto"/>
                <w:sz w:val="20"/>
                <w:szCs w:val="20"/>
              </w:rPr>
              <w:t>Dziedzictwa Narodowego</w:t>
            </w:r>
            <w:r w:rsidR="004572EE">
              <w:rPr>
                <w:rFonts w:eastAsia="MS Mincho" w:cs="Times New Roman"/>
                <w:bCs/>
                <w:color w:val="auto"/>
                <w:sz w:val="20"/>
                <w:szCs w:val="20"/>
              </w:rPr>
              <w:t>;</w:t>
            </w:r>
          </w:p>
          <w:p w14:paraId="4F827F95" w14:textId="418D64AF"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Ochrona dziedzictwa kulturowego za granicą</w:t>
            </w:r>
            <w:r w:rsidR="004572EE">
              <w:rPr>
                <w:rFonts w:eastAsia="MS Mincho" w:cs="Times New Roman"/>
                <w:bCs/>
                <w:color w:val="auto"/>
                <w:sz w:val="20"/>
                <w:szCs w:val="20"/>
              </w:rPr>
              <w:t>;</w:t>
            </w:r>
          </w:p>
          <w:p w14:paraId="5C656113" w14:textId="2009CA45"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Ochrona zabytków archeologicznych</w:t>
            </w:r>
            <w:r w:rsidR="004572EE">
              <w:rPr>
                <w:rFonts w:eastAsia="MS Mincho" w:cs="Times New Roman"/>
                <w:bCs/>
                <w:color w:val="auto"/>
                <w:sz w:val="20"/>
                <w:szCs w:val="20"/>
              </w:rPr>
              <w:t>;</w:t>
            </w:r>
          </w:p>
          <w:p w14:paraId="384A0FF6" w14:textId="1F865F56"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Partnerstwo dla książki</w:t>
            </w:r>
            <w:r w:rsidR="004572EE">
              <w:rPr>
                <w:rFonts w:eastAsia="MS Mincho" w:cs="Times New Roman"/>
                <w:bCs/>
                <w:color w:val="auto"/>
                <w:sz w:val="20"/>
                <w:szCs w:val="20"/>
              </w:rPr>
              <w:t>;</w:t>
            </w:r>
          </w:p>
          <w:p w14:paraId="0C532617" w14:textId="7FF3DFAA"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Promocja czytelnictwa</w:t>
            </w:r>
            <w:r w:rsidR="004572EE">
              <w:rPr>
                <w:rFonts w:eastAsia="MS Mincho" w:cs="Times New Roman"/>
                <w:bCs/>
                <w:color w:val="auto"/>
                <w:sz w:val="20"/>
                <w:szCs w:val="20"/>
              </w:rPr>
              <w:t>;</w:t>
            </w:r>
          </w:p>
          <w:p w14:paraId="6CE8EC09" w14:textId="6A151767"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lastRenderedPageBreak/>
              <w:t>Promocja kultury polskiej za granicą</w:t>
            </w:r>
            <w:r w:rsidR="004572EE">
              <w:rPr>
                <w:rFonts w:eastAsia="MS Mincho" w:cs="Times New Roman"/>
                <w:bCs/>
                <w:color w:val="auto"/>
                <w:sz w:val="20"/>
                <w:szCs w:val="20"/>
              </w:rPr>
              <w:t>;</w:t>
            </w:r>
          </w:p>
          <w:p w14:paraId="3EB41180" w14:textId="0EDEF12E"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Rozwój sektorów kreatywnych</w:t>
            </w:r>
            <w:r w:rsidR="004572EE">
              <w:rPr>
                <w:rFonts w:eastAsia="MS Mincho" w:cs="Times New Roman"/>
                <w:bCs/>
                <w:color w:val="auto"/>
                <w:sz w:val="20"/>
                <w:szCs w:val="20"/>
              </w:rPr>
              <w:t>;</w:t>
            </w:r>
          </w:p>
          <w:p w14:paraId="1D103BA3" w14:textId="1F5A12EB"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Sztuki wizualne</w:t>
            </w:r>
            <w:r w:rsidR="004572EE">
              <w:rPr>
                <w:rFonts w:eastAsia="MS Mincho" w:cs="Times New Roman"/>
                <w:bCs/>
                <w:color w:val="auto"/>
                <w:sz w:val="20"/>
                <w:szCs w:val="20"/>
              </w:rPr>
              <w:t>;</w:t>
            </w:r>
          </w:p>
          <w:p w14:paraId="12CC916B" w14:textId="3D3CB871"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Teatr i taniec</w:t>
            </w:r>
            <w:r w:rsidR="004572EE">
              <w:rPr>
                <w:rFonts w:eastAsia="MS Mincho" w:cs="Times New Roman"/>
                <w:bCs/>
                <w:color w:val="auto"/>
                <w:sz w:val="20"/>
                <w:szCs w:val="20"/>
              </w:rPr>
              <w:t>;</w:t>
            </w:r>
          </w:p>
          <w:p w14:paraId="4CF367FF" w14:textId="5150FC87"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Wspieranie archiwów, bibliotek i muzeów poza krajem</w:t>
            </w:r>
            <w:r w:rsidR="004572EE">
              <w:rPr>
                <w:rFonts w:eastAsia="MS Mincho" w:cs="Times New Roman"/>
                <w:bCs/>
                <w:color w:val="auto"/>
                <w:sz w:val="20"/>
                <w:szCs w:val="20"/>
              </w:rPr>
              <w:t>;</w:t>
            </w:r>
          </w:p>
          <w:p w14:paraId="30E98F55" w14:textId="10115E80"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Wspieranie działań muzealnych</w:t>
            </w:r>
            <w:r w:rsidR="004572EE">
              <w:rPr>
                <w:rFonts w:eastAsia="MS Mincho" w:cs="Times New Roman"/>
                <w:bCs/>
                <w:color w:val="auto"/>
                <w:sz w:val="20"/>
                <w:szCs w:val="20"/>
              </w:rPr>
              <w:t>;</w:t>
            </w:r>
          </w:p>
          <w:p w14:paraId="0B2C86B9" w14:textId="10776981"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Wydarzenia artystyczne dla dzieci i młodzieży</w:t>
            </w:r>
            <w:r w:rsidR="004572EE">
              <w:rPr>
                <w:rFonts w:eastAsia="MS Mincho" w:cs="Times New Roman"/>
                <w:bCs/>
                <w:color w:val="auto"/>
                <w:sz w:val="20"/>
                <w:szCs w:val="20"/>
              </w:rPr>
              <w:t>;</w:t>
            </w:r>
          </w:p>
          <w:p w14:paraId="46392EB0" w14:textId="364CCBFC" w:rsidR="006235A9" w:rsidRPr="00532128" w:rsidRDefault="006235A9" w:rsidP="004572EE">
            <w:pPr>
              <w:numPr>
                <w:ilvl w:val="0"/>
                <w:numId w:val="5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Zamówienia kompozytorskie</w:t>
            </w:r>
            <w:r w:rsidR="004572EE">
              <w:rPr>
                <w:rFonts w:eastAsia="MS Mincho" w:cs="Times New Roman"/>
                <w:bCs/>
                <w:color w:val="auto"/>
                <w:sz w:val="20"/>
                <w:szCs w:val="20"/>
              </w:rPr>
              <w:t>.</w:t>
            </w:r>
          </w:p>
          <w:p w14:paraId="1AC0FAB8" w14:textId="77777777" w:rsidR="006235A9" w:rsidRPr="00532128" w:rsidRDefault="006235A9" w:rsidP="004572EE">
            <w:pPr>
              <w:spacing w:before="120" w:after="120" w:line="259" w:lineRule="auto"/>
              <w:cnfStyle w:val="000000100000" w:firstRow="0" w:lastRow="0" w:firstColumn="0" w:lastColumn="0" w:oddVBand="0" w:evenVBand="0" w:oddHBand="1" w:evenHBand="0" w:firstRowFirstColumn="0" w:firstRowLastColumn="0" w:lastRowFirstColumn="0" w:lastRowLastColumn="0"/>
              <w:rPr>
                <w:rFonts w:eastAsia="MS Mincho" w:cs="Times New Roman"/>
                <w:i/>
                <w:color w:val="auto"/>
                <w:sz w:val="20"/>
                <w:szCs w:val="20"/>
              </w:rPr>
            </w:pPr>
          </w:p>
          <w:p w14:paraId="785F2415" w14:textId="388CF9BF" w:rsidR="006235A9" w:rsidRPr="00532128" w:rsidRDefault="006235A9" w:rsidP="004572E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 xml:space="preserve">W ramach </w:t>
            </w:r>
            <w:r w:rsidRPr="004572EE">
              <w:rPr>
                <w:rFonts w:eastAsia="MS Mincho" w:cs="Times New Roman"/>
                <w:bCs/>
                <w:color w:val="auto"/>
                <w:sz w:val="20"/>
                <w:szCs w:val="20"/>
              </w:rPr>
              <w:t>stałej oferty systemowej 58 instytucji kultury</w:t>
            </w:r>
            <w:r w:rsidRPr="00532128">
              <w:rPr>
                <w:rFonts w:eastAsia="MS Mincho" w:cs="Times New Roman"/>
                <w:bCs/>
                <w:color w:val="auto"/>
                <w:sz w:val="20"/>
                <w:szCs w:val="20"/>
              </w:rPr>
              <w:t xml:space="preserve"> prowadzone były następujące działania dedykowane osobom starszym:</w:t>
            </w:r>
          </w:p>
          <w:p w14:paraId="74F81F27" w14:textId="16978326" w:rsidR="006235A9" w:rsidRPr="00532128" w:rsidRDefault="006235A9" w:rsidP="004572EE">
            <w:pPr>
              <w:numPr>
                <w:ilvl w:val="0"/>
                <w:numId w:val="52"/>
              </w:numPr>
              <w:spacing w:after="160" w:line="259" w:lineRule="auto"/>
              <w:ind w:left="318" w:hanging="284"/>
              <w:contextualSpacing/>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bCs/>
                <w:color w:val="auto"/>
                <w:sz w:val="20"/>
                <w:szCs w:val="20"/>
              </w:rPr>
              <w:t xml:space="preserve">wykłady, spacery tematyczne: </w:t>
            </w:r>
            <w:r w:rsidRPr="00532128">
              <w:rPr>
                <w:rFonts w:eastAsia="MS Mincho" w:cs="Times New Roman"/>
                <w:color w:val="auto"/>
                <w:sz w:val="20"/>
                <w:szCs w:val="20"/>
              </w:rPr>
              <w:t xml:space="preserve">z zakresu historii regionalnej, dotyczące ekspozycji muzealnych, historii sztuki, </w:t>
            </w:r>
            <w:r w:rsidRPr="00532128">
              <w:rPr>
                <w:rFonts w:eastAsia="MS Mincho" w:cs="Times New Roman"/>
                <w:bCs/>
                <w:color w:val="auto"/>
                <w:sz w:val="20"/>
                <w:szCs w:val="20"/>
              </w:rPr>
              <w:t>historii, kultury i tradycji antycznej</w:t>
            </w:r>
            <w:r w:rsidRPr="00532128">
              <w:rPr>
                <w:rFonts w:eastAsia="MS Mincho" w:cs="Times New Roman"/>
                <w:color w:val="auto"/>
                <w:sz w:val="20"/>
                <w:szCs w:val="20"/>
              </w:rPr>
              <w:t xml:space="preserve">, </w:t>
            </w:r>
            <w:r w:rsidRPr="00532128">
              <w:rPr>
                <w:rFonts w:eastAsia="MS Mincho" w:cs="Times New Roman"/>
                <w:bCs/>
                <w:color w:val="auto"/>
                <w:sz w:val="20"/>
                <w:szCs w:val="20"/>
              </w:rPr>
              <w:t>teatru, nauk przyrodniczych</w:t>
            </w:r>
            <w:r w:rsidRPr="00532128">
              <w:rPr>
                <w:rFonts w:eastAsia="MS Mincho" w:cs="Times New Roman"/>
                <w:color w:val="auto"/>
                <w:sz w:val="20"/>
                <w:szCs w:val="20"/>
              </w:rPr>
              <w:t xml:space="preserve">. Wydarzenia organizowane były w formule hybrydowej </w:t>
            </w:r>
            <w:r w:rsidR="004572EE">
              <w:rPr>
                <w:rFonts w:eastAsia="MS Mincho" w:cs="Times New Roman"/>
                <w:color w:val="auto"/>
                <w:sz w:val="20"/>
                <w:szCs w:val="20"/>
              </w:rPr>
              <w:t xml:space="preserve">                     </w:t>
            </w:r>
            <w:r w:rsidRPr="00532128">
              <w:rPr>
                <w:rFonts w:eastAsia="MS Mincho" w:cs="Times New Roman"/>
                <w:color w:val="auto"/>
                <w:sz w:val="20"/>
                <w:szCs w:val="20"/>
              </w:rPr>
              <w:t xml:space="preserve">lub on-line, </w:t>
            </w:r>
          </w:p>
          <w:p w14:paraId="6DD0202A" w14:textId="77777777" w:rsidR="006235A9" w:rsidRPr="00532128" w:rsidRDefault="006235A9" w:rsidP="004572EE">
            <w:pPr>
              <w:numPr>
                <w:ilvl w:val="0"/>
                <w:numId w:val="52"/>
              </w:numPr>
              <w:spacing w:after="160" w:line="259" w:lineRule="auto"/>
              <w:ind w:left="318" w:hanging="284"/>
              <w:contextualSpacing/>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bCs/>
                <w:color w:val="auto"/>
                <w:sz w:val="20"/>
                <w:szCs w:val="20"/>
              </w:rPr>
              <w:t>wydarzenia artystyczne, spektakle teatralne, seanse filmowe, koncerty - wybrane działania:</w:t>
            </w:r>
          </w:p>
          <w:p w14:paraId="646ED4FB" w14:textId="51BDE581" w:rsidR="006235A9" w:rsidRPr="00532128" w:rsidRDefault="006235A9" w:rsidP="004572EE">
            <w:pPr>
              <w:numPr>
                <w:ilvl w:val="0"/>
                <w:numId w:val="58"/>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cs="Times New Roman"/>
                <w:color w:val="auto"/>
                <w:sz w:val="20"/>
                <w:szCs w:val="20"/>
              </w:rPr>
              <w:t>„Aktorzy seniorzy, Teatr Narodowy w Warszawie,</w:t>
            </w:r>
          </w:p>
          <w:p w14:paraId="0AED866A" w14:textId="721A2849" w:rsidR="006235A9" w:rsidRPr="00532128" w:rsidRDefault="006235A9" w:rsidP="004572EE">
            <w:pPr>
              <w:numPr>
                <w:ilvl w:val="0"/>
                <w:numId w:val="58"/>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Jesienn</w:t>
            </w:r>
            <w:r w:rsidR="004572EE">
              <w:rPr>
                <w:rFonts w:eastAsia="MS Mincho" w:cs="Times New Roman"/>
                <w:bCs/>
                <w:color w:val="auto"/>
                <w:sz w:val="20"/>
                <w:szCs w:val="20"/>
              </w:rPr>
              <w:t>a Noc Muzeów, Muzeum Okręgowe w </w:t>
            </w:r>
            <w:r w:rsidRPr="00532128">
              <w:rPr>
                <w:rFonts w:eastAsia="MS Mincho" w:cs="Times New Roman"/>
                <w:bCs/>
                <w:color w:val="auto"/>
                <w:sz w:val="20"/>
                <w:szCs w:val="20"/>
              </w:rPr>
              <w:t xml:space="preserve">Sandomierzu, </w:t>
            </w:r>
          </w:p>
          <w:p w14:paraId="554A5331" w14:textId="77777777" w:rsidR="006235A9" w:rsidRPr="00532128" w:rsidRDefault="006235A9" w:rsidP="004572EE">
            <w:pPr>
              <w:numPr>
                <w:ilvl w:val="0"/>
                <w:numId w:val="58"/>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cs="Times New Roman"/>
                <w:color w:val="auto"/>
                <w:sz w:val="20"/>
                <w:szCs w:val="20"/>
              </w:rPr>
              <w:t>Spektakl seniora, Teatr Wybrzeże w Gdańsku,</w:t>
            </w:r>
          </w:p>
          <w:p w14:paraId="1F6671F8" w14:textId="77777777" w:rsidR="006235A9" w:rsidRPr="00532128" w:rsidRDefault="006235A9" w:rsidP="004572EE">
            <w:pPr>
              <w:numPr>
                <w:ilvl w:val="0"/>
                <w:numId w:val="52"/>
              </w:numPr>
              <w:spacing w:after="160" w:line="259" w:lineRule="auto"/>
              <w:ind w:left="318" w:hanging="284"/>
              <w:contextualSpacing/>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cs="Times New Roman"/>
                <w:color w:val="auto"/>
                <w:sz w:val="20"/>
                <w:szCs w:val="20"/>
              </w:rPr>
              <w:t>Spotkania - przykładowe działania:</w:t>
            </w:r>
          </w:p>
          <w:p w14:paraId="382EF18A" w14:textId="77777777" w:rsidR="006235A9" w:rsidRPr="00532128" w:rsidRDefault="006235A9" w:rsidP="004572EE">
            <w:pPr>
              <w:numPr>
                <w:ilvl w:val="0"/>
                <w:numId w:val="55"/>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cs="Times New Roman"/>
                <w:color w:val="auto"/>
                <w:sz w:val="20"/>
                <w:szCs w:val="20"/>
              </w:rPr>
              <w:t>Program Dyskusyjne Kluby Książki (Instytut Książki),</w:t>
            </w:r>
          </w:p>
          <w:p w14:paraId="7BF508AE" w14:textId="070A9216" w:rsidR="006235A9" w:rsidRPr="00532128" w:rsidRDefault="006235A9" w:rsidP="004572EE">
            <w:pPr>
              <w:numPr>
                <w:ilvl w:val="0"/>
                <w:numId w:val="55"/>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„Historie ni</w:t>
            </w:r>
            <w:r w:rsidR="004572EE">
              <w:rPr>
                <w:rFonts w:eastAsia="MS Mincho" w:cs="Times New Roman"/>
                <w:color w:val="auto"/>
                <w:sz w:val="20"/>
                <w:szCs w:val="20"/>
              </w:rPr>
              <w:t>ewiarygodne” (Muzeum Narodowe w </w:t>
            </w:r>
            <w:r w:rsidRPr="00532128">
              <w:rPr>
                <w:rFonts w:eastAsia="MS Mincho" w:cs="Times New Roman"/>
                <w:color w:val="auto"/>
                <w:sz w:val="20"/>
                <w:szCs w:val="20"/>
              </w:rPr>
              <w:t>Szczecinie),</w:t>
            </w:r>
          </w:p>
          <w:p w14:paraId="025AFB58" w14:textId="0AEED0B8" w:rsidR="006235A9" w:rsidRPr="00532128" w:rsidRDefault="006235A9" w:rsidP="004572EE">
            <w:pPr>
              <w:numPr>
                <w:ilvl w:val="0"/>
                <w:numId w:val="55"/>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bCs/>
                <w:color w:val="auto"/>
                <w:sz w:val="20"/>
                <w:szCs w:val="20"/>
              </w:rPr>
              <w:t>Muzealne Studium dziejów sztuki (</w:t>
            </w:r>
            <w:r w:rsidRPr="00532128">
              <w:rPr>
                <w:rFonts w:cs="Times New Roman"/>
                <w:color w:val="auto"/>
                <w:sz w:val="20"/>
                <w:szCs w:val="20"/>
              </w:rPr>
              <w:t>Muzeum Narodowe w Warszawie),</w:t>
            </w:r>
          </w:p>
          <w:p w14:paraId="77690375" w14:textId="3561002A" w:rsidR="006235A9" w:rsidRPr="00532128" w:rsidRDefault="004572EE" w:rsidP="004572EE">
            <w:pPr>
              <w:numPr>
                <w:ilvl w:val="0"/>
                <w:numId w:val="55"/>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Pr>
                <w:rFonts w:eastAsia="MS Mincho" w:cs="Times New Roman"/>
                <w:bCs/>
                <w:color w:val="auto"/>
                <w:sz w:val="20"/>
                <w:szCs w:val="20"/>
              </w:rPr>
              <w:t>Czwartki dla seniora (Muzeum Narodowe w </w:t>
            </w:r>
            <w:r w:rsidR="006235A9" w:rsidRPr="00532128">
              <w:rPr>
                <w:rFonts w:eastAsia="MS Mincho" w:cs="Times New Roman"/>
                <w:bCs/>
                <w:color w:val="auto"/>
                <w:sz w:val="20"/>
                <w:szCs w:val="20"/>
              </w:rPr>
              <w:t>Poznaniu),</w:t>
            </w:r>
          </w:p>
          <w:p w14:paraId="12B68AF5" w14:textId="6490FEC7" w:rsidR="006235A9" w:rsidRPr="00532128" w:rsidRDefault="004572EE" w:rsidP="004572EE">
            <w:pPr>
              <w:numPr>
                <w:ilvl w:val="0"/>
                <w:numId w:val="55"/>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Pr>
                <w:rFonts w:eastAsia="MS Mincho" w:cs="Times New Roman"/>
                <w:bCs/>
                <w:color w:val="auto"/>
                <w:sz w:val="20"/>
                <w:szCs w:val="20"/>
              </w:rPr>
              <w:t>Rozmowy w eterze (</w:t>
            </w:r>
            <w:r w:rsidR="006235A9" w:rsidRPr="00532128">
              <w:rPr>
                <w:rFonts w:eastAsia="MS Mincho" w:cs="Times New Roman"/>
                <w:bCs/>
                <w:color w:val="auto"/>
                <w:sz w:val="20"/>
                <w:szCs w:val="20"/>
              </w:rPr>
              <w:t>Muzeum Narodowe w Krakowie),</w:t>
            </w:r>
          </w:p>
          <w:p w14:paraId="7FFD8F53" w14:textId="77777777" w:rsidR="006235A9" w:rsidRPr="00532128" w:rsidRDefault="006235A9" w:rsidP="004572EE">
            <w:pPr>
              <w:numPr>
                <w:ilvl w:val="0"/>
                <w:numId w:val="55"/>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Dojrzali do sztuki oraz Dojrzali do sztuki on-line (Międzynarodowe Centrum Kultury),</w:t>
            </w:r>
          </w:p>
          <w:p w14:paraId="3D705771" w14:textId="77777777" w:rsidR="006235A9" w:rsidRPr="00532128" w:rsidRDefault="006235A9" w:rsidP="004572EE">
            <w:pPr>
              <w:numPr>
                <w:ilvl w:val="0"/>
                <w:numId w:val="52"/>
              </w:numPr>
              <w:spacing w:after="160" w:line="259" w:lineRule="auto"/>
              <w:ind w:left="318" w:hanging="284"/>
              <w:contextualSpacing/>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bCs/>
                <w:color w:val="auto"/>
                <w:sz w:val="20"/>
                <w:szCs w:val="20"/>
              </w:rPr>
              <w:t xml:space="preserve">działania edukacyjne i warsztaty - przykłady działań: </w:t>
            </w:r>
          </w:p>
          <w:p w14:paraId="19D7604C" w14:textId="02B00033" w:rsidR="006235A9" w:rsidRPr="00532128" w:rsidRDefault="006235A9" w:rsidP="004572EE">
            <w:pPr>
              <w:numPr>
                <w:ilvl w:val="0"/>
                <w:numId w:val="53"/>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lastRenderedPageBreak/>
              <w:t>Filharmonia Pomorska „Poranki Muzyczne dla Seniorów”– specjalny, opracowany pod okiem profesjonalistów cykl,</w:t>
            </w:r>
            <w:r w:rsidR="004572EE">
              <w:rPr>
                <w:rFonts w:eastAsia="MS Mincho" w:cs="Times New Roman"/>
                <w:bCs/>
                <w:color w:val="auto"/>
                <w:sz w:val="20"/>
                <w:szCs w:val="20"/>
              </w:rPr>
              <w:t xml:space="preserve"> który ma za zadanie rozwijać i </w:t>
            </w:r>
            <w:r w:rsidRPr="00532128">
              <w:rPr>
                <w:rFonts w:eastAsia="MS Mincho" w:cs="Times New Roman"/>
                <w:bCs/>
                <w:color w:val="auto"/>
                <w:sz w:val="20"/>
                <w:szCs w:val="20"/>
              </w:rPr>
              <w:t>kształtować wiedzę muzyczną, a także zaspokajać kulturalne aspiracje słuch</w:t>
            </w:r>
            <w:r w:rsidR="004572EE">
              <w:rPr>
                <w:rFonts w:eastAsia="MS Mincho" w:cs="Times New Roman"/>
                <w:bCs/>
                <w:color w:val="auto"/>
                <w:sz w:val="20"/>
                <w:szCs w:val="20"/>
              </w:rPr>
              <w:t>aczy, zachęcając do wyjścia z </w:t>
            </w:r>
            <w:r w:rsidRPr="00532128">
              <w:rPr>
                <w:rFonts w:eastAsia="MS Mincho" w:cs="Times New Roman"/>
                <w:bCs/>
                <w:color w:val="auto"/>
                <w:sz w:val="20"/>
                <w:szCs w:val="20"/>
              </w:rPr>
              <w:t>domu i aktywnego uczestnictwa w koncercie,</w:t>
            </w:r>
          </w:p>
          <w:p w14:paraId="7695F9B4" w14:textId="77777777" w:rsidR="006235A9" w:rsidRPr="00532128" w:rsidRDefault="006235A9" w:rsidP="004572EE">
            <w:pPr>
              <w:numPr>
                <w:ilvl w:val="0"/>
                <w:numId w:val="53"/>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warsztaty Arteterapia (</w:t>
            </w:r>
            <w:r w:rsidRPr="00532128">
              <w:rPr>
                <w:rFonts w:cs="Times New Roman"/>
                <w:color w:val="auto"/>
                <w:sz w:val="20"/>
                <w:szCs w:val="20"/>
              </w:rPr>
              <w:t>M</w:t>
            </w:r>
            <w:r w:rsidRPr="00532128">
              <w:rPr>
                <w:rFonts w:eastAsia="MS Mincho" w:cs="Times New Roman"/>
                <w:bCs/>
                <w:color w:val="auto"/>
                <w:sz w:val="20"/>
                <w:szCs w:val="20"/>
              </w:rPr>
              <w:t>uzeum Narodowe w Gdańsku),</w:t>
            </w:r>
          </w:p>
          <w:p w14:paraId="72997423" w14:textId="77777777" w:rsidR="006235A9" w:rsidRPr="00532128" w:rsidRDefault="006235A9" w:rsidP="004572EE">
            <w:pPr>
              <w:numPr>
                <w:ilvl w:val="0"/>
                <w:numId w:val="53"/>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 xml:space="preserve">Budowanie zbiorów Archiwum Historii Mówionej (Ośrodek „Pamięć i Przyszłość”), </w:t>
            </w:r>
          </w:p>
          <w:p w14:paraId="04094566" w14:textId="77777777" w:rsidR="006235A9" w:rsidRPr="00532128" w:rsidRDefault="006235A9" w:rsidP="004572EE">
            <w:pPr>
              <w:numPr>
                <w:ilvl w:val="0"/>
                <w:numId w:val="53"/>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 xml:space="preserve">Moc sztuki – interaktywne warsztaty dla seniorów zmagających się lub zagrożonych demencją (Muzeum Narodowe w Warszawie), </w:t>
            </w:r>
          </w:p>
          <w:p w14:paraId="72B81612" w14:textId="45B4BFC2" w:rsidR="006235A9" w:rsidRPr="00532128" w:rsidRDefault="004572EE" w:rsidP="004572EE">
            <w:pPr>
              <w:numPr>
                <w:ilvl w:val="0"/>
                <w:numId w:val="53"/>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Pr>
                <w:rFonts w:eastAsia="MS Mincho" w:cs="Times New Roman"/>
                <w:bCs/>
                <w:color w:val="auto"/>
                <w:sz w:val="20"/>
                <w:szCs w:val="20"/>
              </w:rPr>
              <w:t xml:space="preserve">Projekt </w:t>
            </w:r>
            <w:r w:rsidR="006235A9" w:rsidRPr="00532128">
              <w:rPr>
                <w:rFonts w:eastAsia="MS Mincho" w:cs="Times New Roman"/>
                <w:bCs/>
                <w:color w:val="auto"/>
                <w:sz w:val="20"/>
                <w:szCs w:val="20"/>
              </w:rPr>
              <w:t>„</w:t>
            </w:r>
            <w:proofErr w:type="spellStart"/>
            <w:r w:rsidR="006235A9" w:rsidRPr="00532128">
              <w:rPr>
                <w:rFonts w:eastAsia="MS Mincho" w:cs="Times New Roman"/>
                <w:bCs/>
                <w:color w:val="auto"/>
                <w:sz w:val="20"/>
                <w:szCs w:val="20"/>
              </w:rPr>
              <w:t>Fotowspomienia</w:t>
            </w:r>
            <w:proofErr w:type="spellEnd"/>
            <w:r w:rsidR="006235A9" w:rsidRPr="00532128">
              <w:rPr>
                <w:rFonts w:eastAsia="MS Mincho" w:cs="Times New Roman"/>
                <w:bCs/>
                <w:color w:val="auto"/>
                <w:sz w:val="20"/>
                <w:szCs w:val="20"/>
              </w:rPr>
              <w:t>” (Muzeum Łazienki Królewskie),</w:t>
            </w:r>
          </w:p>
          <w:p w14:paraId="1B339D56" w14:textId="77777777" w:rsidR="006235A9" w:rsidRPr="00532128" w:rsidRDefault="006235A9" w:rsidP="004572EE">
            <w:pPr>
              <w:numPr>
                <w:ilvl w:val="0"/>
                <w:numId w:val="53"/>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Działania Klubu Seniorek i Seniorów Nowoczesnych – szkolenia z używania narzędzi cyfrowych (</w:t>
            </w:r>
            <w:r w:rsidRPr="00532128">
              <w:rPr>
                <w:rFonts w:cs="Times New Roman"/>
                <w:color w:val="auto"/>
                <w:sz w:val="20"/>
                <w:szCs w:val="20"/>
              </w:rPr>
              <w:t>Muzeum Sztuki Nowoczesnej w Warszawie),</w:t>
            </w:r>
          </w:p>
          <w:p w14:paraId="2627BC31" w14:textId="77777777" w:rsidR="006235A9" w:rsidRPr="00532128" w:rsidRDefault="006235A9" w:rsidP="004572EE">
            <w:pPr>
              <w:numPr>
                <w:ilvl w:val="0"/>
                <w:numId w:val="53"/>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Spotkania dla seniorów dot. wystaw (Zachęta – Narodowa Galeria Sztuki),</w:t>
            </w:r>
          </w:p>
          <w:p w14:paraId="5D6B765F" w14:textId="77777777" w:rsidR="006235A9" w:rsidRPr="00532128" w:rsidRDefault="006235A9" w:rsidP="004572EE">
            <w:pPr>
              <w:numPr>
                <w:ilvl w:val="0"/>
                <w:numId w:val="53"/>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cs="Times New Roman"/>
                <w:color w:val="auto"/>
                <w:sz w:val="20"/>
                <w:szCs w:val="20"/>
              </w:rPr>
              <w:t xml:space="preserve">„Sztuka z perspektywy” - cykl spotkań, </w:t>
            </w:r>
            <w:proofErr w:type="spellStart"/>
            <w:r w:rsidRPr="00532128">
              <w:rPr>
                <w:rFonts w:cs="Times New Roman"/>
                <w:color w:val="auto"/>
                <w:sz w:val="20"/>
                <w:szCs w:val="20"/>
              </w:rPr>
              <w:t>oprowadzań</w:t>
            </w:r>
            <w:proofErr w:type="spellEnd"/>
            <w:r w:rsidRPr="00532128">
              <w:rPr>
                <w:rFonts w:cs="Times New Roman"/>
                <w:color w:val="auto"/>
                <w:sz w:val="20"/>
                <w:szCs w:val="20"/>
              </w:rPr>
              <w:t xml:space="preserve">, dyskusji i warsztatów </w:t>
            </w:r>
            <w:r w:rsidRPr="00532128">
              <w:rPr>
                <w:rFonts w:eastAsia="MS Mincho" w:cs="Times New Roman"/>
                <w:bCs/>
                <w:color w:val="auto"/>
                <w:sz w:val="20"/>
                <w:szCs w:val="20"/>
              </w:rPr>
              <w:t>Centrum Sztuki Współczesnej Zamek Ujazdowski,</w:t>
            </w:r>
          </w:p>
          <w:p w14:paraId="7EA8FACB" w14:textId="77777777" w:rsidR="006235A9" w:rsidRPr="00532128" w:rsidRDefault="006235A9" w:rsidP="004572EE">
            <w:pPr>
              <w:numPr>
                <w:ilvl w:val="0"/>
                <w:numId w:val="54"/>
              </w:numPr>
              <w:spacing w:after="160" w:line="259" w:lineRule="auto"/>
              <w:ind w:left="176" w:hanging="142"/>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systemy zniżek lub ulg w cenach biletów dedykowanych seniorom (osobom indywidualnym, grupom oraz grupom zorganizowanym, np. Klubom Seniora),</w:t>
            </w:r>
          </w:p>
          <w:p w14:paraId="33AA273F" w14:textId="77777777" w:rsidR="006235A9" w:rsidRPr="00532128" w:rsidRDefault="006235A9" w:rsidP="004572EE">
            <w:pPr>
              <w:numPr>
                <w:ilvl w:val="0"/>
                <w:numId w:val="54"/>
              </w:numPr>
              <w:spacing w:after="160" w:line="259" w:lineRule="auto"/>
              <w:ind w:left="176" w:hanging="142"/>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32128">
              <w:rPr>
                <w:rFonts w:eastAsia="MS Mincho" w:cs="Times New Roman"/>
                <w:bCs/>
                <w:color w:val="auto"/>
                <w:sz w:val="20"/>
                <w:szCs w:val="20"/>
              </w:rPr>
              <w:t>dostosowywanie wyposażenia i obiektów do potrzeb osób starszych (m.in. do potrzeb osób słabowidzących, słabosłyszących i o obniżonej sprawności motorycznej),</w:t>
            </w:r>
          </w:p>
          <w:p w14:paraId="083142CD" w14:textId="573DE745" w:rsidR="006235A9" w:rsidRDefault="006235A9" w:rsidP="004572EE">
            <w:pPr>
              <w:numPr>
                <w:ilvl w:val="0"/>
                <w:numId w:val="54"/>
              </w:numPr>
              <w:spacing w:after="160" w:line="259" w:lineRule="auto"/>
              <w:ind w:left="176" w:hanging="142"/>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32128">
              <w:rPr>
                <w:rFonts w:cs="Times New Roman"/>
                <w:color w:val="auto"/>
                <w:sz w:val="20"/>
                <w:szCs w:val="20"/>
              </w:rPr>
              <w:t>dostosowanie stron www do potrzeb osób z ograniczeniami wzroku i słuchu.</w:t>
            </w:r>
          </w:p>
          <w:p w14:paraId="7CDE3873" w14:textId="77777777" w:rsidR="004572EE" w:rsidRPr="004572EE" w:rsidRDefault="004572EE" w:rsidP="004572EE">
            <w:pPr>
              <w:spacing w:after="160" w:line="259" w:lineRule="auto"/>
              <w:ind w:left="34"/>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p>
          <w:p w14:paraId="64DC5BE8" w14:textId="05A64A77" w:rsidR="006235A9" w:rsidRPr="00532128" w:rsidRDefault="006235A9" w:rsidP="004572E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32128">
              <w:rPr>
                <w:rFonts w:cs="Times New Roman"/>
                <w:color w:val="auto"/>
                <w:sz w:val="20"/>
                <w:szCs w:val="20"/>
              </w:rPr>
              <w:t>Zapewnienie dostępności architektonicznej, cyfrowej oraz informacyjno-komunikacyjnej poprzez realizację</w:t>
            </w:r>
            <w:r w:rsidRPr="00532128">
              <w:rPr>
                <w:rFonts w:cs="Times New Roman"/>
                <w:b/>
                <w:color w:val="auto"/>
                <w:sz w:val="20"/>
                <w:szCs w:val="20"/>
              </w:rPr>
              <w:t xml:space="preserve"> </w:t>
            </w:r>
            <w:r w:rsidRPr="004572EE">
              <w:rPr>
                <w:rFonts w:cs="Times New Roman"/>
                <w:color w:val="auto"/>
                <w:sz w:val="20"/>
                <w:szCs w:val="20"/>
              </w:rPr>
              <w:t>Narodowego Programu Rozwoju Czytelnictwa Priorytet 2 „Infrastruktura bibliotek 2016-2020”.</w:t>
            </w:r>
            <w:r w:rsidRPr="00532128">
              <w:rPr>
                <w:rFonts w:cs="Times New Roman"/>
                <w:color w:val="auto"/>
                <w:sz w:val="20"/>
                <w:szCs w:val="20"/>
              </w:rPr>
              <w:t xml:space="preserve"> Zapisy regulaminu </w:t>
            </w:r>
            <w:proofErr w:type="spellStart"/>
            <w:r w:rsidRPr="00532128">
              <w:rPr>
                <w:rFonts w:cs="Times New Roman"/>
                <w:color w:val="auto"/>
                <w:sz w:val="20"/>
                <w:szCs w:val="20"/>
              </w:rPr>
              <w:t>NPRCz</w:t>
            </w:r>
            <w:proofErr w:type="spellEnd"/>
            <w:r w:rsidRPr="00532128">
              <w:rPr>
                <w:rFonts w:cs="Times New Roman"/>
                <w:color w:val="auto"/>
                <w:sz w:val="20"/>
                <w:szCs w:val="20"/>
              </w:rPr>
              <w:t xml:space="preserve">, Priorytet 2 „Infrastruktura bibliotek 2016-2020” przewidywały wymóg </w:t>
            </w:r>
            <w:r w:rsidRPr="00532128">
              <w:rPr>
                <w:rFonts w:cs="Times New Roman"/>
                <w:color w:val="auto"/>
                <w:sz w:val="20"/>
                <w:szCs w:val="20"/>
              </w:rPr>
              <w:lastRenderedPageBreak/>
              <w:t>podjęcia przez beneficjenta możliwych działań mających na celu ułatwienie dostępu osobo</w:t>
            </w:r>
            <w:r w:rsidR="004572EE">
              <w:rPr>
                <w:rFonts w:cs="Times New Roman"/>
                <w:color w:val="auto"/>
                <w:sz w:val="20"/>
                <w:szCs w:val="20"/>
              </w:rPr>
              <w:t>m ze szczególnymi potrzebami do </w:t>
            </w:r>
            <w:r w:rsidRPr="00532128">
              <w:rPr>
                <w:rFonts w:cs="Times New Roman"/>
                <w:color w:val="auto"/>
                <w:sz w:val="20"/>
                <w:szCs w:val="20"/>
              </w:rPr>
              <w:t>budynku biblioteki i w obrębie jej najbliższego otoczenia poprzez instalację urządzeń i środków technicznych, które umożliwiają bezpieczny i samodzielny dostęp co najmniej do tych pomieszczeń budynku, w których odbywa się obsługa klientów lub interesantów, oraz do sanitariatów.</w:t>
            </w:r>
          </w:p>
          <w:p w14:paraId="74BEBE47" w14:textId="77777777" w:rsidR="006235A9" w:rsidRPr="00532128" w:rsidRDefault="006235A9" w:rsidP="004572EE">
            <w:pPr>
              <w:spacing w:after="160" w:line="259" w:lineRule="auto"/>
              <w:ind w:left="42"/>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p>
          <w:p w14:paraId="54969251" w14:textId="4C5A75AF" w:rsidR="006235A9" w:rsidRPr="00532128" w:rsidRDefault="006235A9" w:rsidP="004572E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lang w:eastAsia="pl-PL"/>
              </w:rPr>
            </w:pPr>
            <w:r w:rsidRPr="00532128">
              <w:rPr>
                <w:rFonts w:cs="Times New Roman"/>
                <w:color w:val="auto"/>
                <w:sz w:val="20"/>
                <w:szCs w:val="20"/>
              </w:rPr>
              <w:t xml:space="preserve">Program </w:t>
            </w:r>
            <w:r w:rsidRPr="004572EE">
              <w:rPr>
                <w:rFonts w:cs="Times New Roman"/>
                <w:color w:val="auto"/>
                <w:sz w:val="20"/>
                <w:szCs w:val="20"/>
              </w:rPr>
              <w:t>Dyskusyjne Kluby Książki</w:t>
            </w:r>
            <w:r w:rsidRPr="00532128">
              <w:rPr>
                <w:rFonts w:cs="Times New Roman"/>
                <w:color w:val="auto"/>
                <w:sz w:val="20"/>
                <w:szCs w:val="20"/>
              </w:rPr>
              <w:t xml:space="preserve"> adresowany jest przede wszystkim do czytelników korzystających z bibliotek publicznych. Spotkania i dyskusje o książkach mają charakter nieformalny. Wśród setek Dyskusyjnych Klubów Książki możemy wyróżnić również takie, które dedykowane są wyłącznie seniorom. Znajdziemy je m.in. we Wrocławiu (przy Dolnośląskiej Bibliotece Publicznej i </w:t>
            </w:r>
            <w:r w:rsidRPr="00532128">
              <w:rPr>
                <w:rFonts w:eastAsia="Times New Roman" w:cs="Times New Roman"/>
                <w:color w:val="auto"/>
                <w:sz w:val="20"/>
                <w:szCs w:val="20"/>
                <w:lang w:eastAsia="pl-PL"/>
              </w:rPr>
              <w:t xml:space="preserve">Filii nr 1 Miejskiej Biblioteki Publicznej), Toruniu (przy </w:t>
            </w:r>
            <w:r w:rsidRPr="00532128">
              <w:rPr>
                <w:rFonts w:cs="Times New Roman"/>
                <w:color w:val="auto"/>
                <w:sz w:val="20"/>
                <w:szCs w:val="20"/>
              </w:rPr>
              <w:t>Filii nr</w:t>
            </w:r>
            <w:r w:rsidR="004572EE">
              <w:rPr>
                <w:rFonts w:cs="Times New Roman"/>
                <w:color w:val="auto"/>
                <w:sz w:val="20"/>
                <w:szCs w:val="20"/>
              </w:rPr>
              <w:t xml:space="preserve"> 1 Książnicy Kopernikańskiej we współpracy z </w:t>
            </w:r>
            <w:r w:rsidRPr="00532128">
              <w:rPr>
                <w:rFonts w:cs="Times New Roman"/>
                <w:color w:val="auto"/>
                <w:sz w:val="20"/>
                <w:szCs w:val="20"/>
              </w:rPr>
              <w:t>Uniwersytetem Trzeciego Wieku), Gorzowie Wielkopolskim (przy Uniwersytecie Trze</w:t>
            </w:r>
            <w:r w:rsidR="004572EE">
              <w:rPr>
                <w:rFonts w:cs="Times New Roman"/>
                <w:color w:val="auto"/>
                <w:sz w:val="20"/>
                <w:szCs w:val="20"/>
              </w:rPr>
              <w:t>ciego Wieku), Sochaczewie (przy </w:t>
            </w:r>
            <w:r w:rsidRPr="00532128">
              <w:rPr>
                <w:rFonts w:cs="Times New Roman"/>
                <w:color w:val="auto"/>
                <w:sz w:val="20"/>
                <w:szCs w:val="20"/>
              </w:rPr>
              <w:t xml:space="preserve">Stowarzyszeniu Uniwersytetu Trzeciego Wieku), Kielcach (przy Wojewódzkiej Bibliotece Publicznej) i </w:t>
            </w:r>
            <w:r w:rsidRPr="00532128">
              <w:rPr>
                <w:rFonts w:eastAsia="Times New Roman" w:cs="Times New Roman"/>
                <w:color w:val="auto"/>
                <w:sz w:val="20"/>
                <w:szCs w:val="20"/>
                <w:lang w:eastAsia="pl-PL"/>
              </w:rPr>
              <w:t>Turku (przy Miejskiej Bibliotece Publicznej we współpracy z Uniwersytetem Trzeciego Wieku).</w:t>
            </w:r>
          </w:p>
          <w:p w14:paraId="2F781640" w14:textId="77777777" w:rsidR="006235A9" w:rsidRPr="00532128" w:rsidRDefault="006235A9" w:rsidP="004572EE">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lang w:eastAsia="pl-PL"/>
              </w:rPr>
            </w:pPr>
          </w:p>
          <w:p w14:paraId="2CFA7383" w14:textId="715BD566" w:rsidR="00311D18" w:rsidRPr="00532128" w:rsidRDefault="006235A9" w:rsidP="004572EE">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4572EE">
              <w:rPr>
                <w:rFonts w:cs="Times New Roman"/>
                <w:color w:val="auto"/>
                <w:sz w:val="20"/>
                <w:szCs w:val="20"/>
              </w:rPr>
              <w:t>Polski Instytut Sztuki Filmowej</w:t>
            </w:r>
            <w:r w:rsidRPr="00532128">
              <w:rPr>
                <w:rFonts w:cs="Times New Roman"/>
                <w:color w:val="auto"/>
                <w:sz w:val="20"/>
                <w:szCs w:val="20"/>
              </w:rPr>
              <w:t xml:space="preserve"> od </w:t>
            </w:r>
            <w:r w:rsidR="004572EE">
              <w:rPr>
                <w:rFonts w:cs="Times New Roman"/>
                <w:color w:val="auto"/>
                <w:sz w:val="20"/>
                <w:szCs w:val="20"/>
              </w:rPr>
              <w:t>kilku lat prowadzi działania na </w:t>
            </w:r>
            <w:r w:rsidRPr="00532128">
              <w:rPr>
                <w:rFonts w:cs="Times New Roman"/>
                <w:color w:val="auto"/>
                <w:sz w:val="20"/>
                <w:szCs w:val="20"/>
              </w:rPr>
              <w:t>rzecz zwiększen</w:t>
            </w:r>
            <w:r w:rsidR="004572EE">
              <w:rPr>
                <w:rFonts w:cs="Times New Roman"/>
                <w:color w:val="auto"/>
                <w:sz w:val="20"/>
                <w:szCs w:val="20"/>
              </w:rPr>
              <w:t>ia dostępności filmu dla osób z </w:t>
            </w:r>
            <w:r w:rsidRPr="00532128">
              <w:rPr>
                <w:rFonts w:cs="Times New Roman"/>
                <w:color w:val="auto"/>
                <w:sz w:val="20"/>
                <w:szCs w:val="20"/>
              </w:rPr>
              <w:t>niepełnosprawnościami, zarówno w kwestii dostosowywania filmów współfina</w:t>
            </w:r>
            <w:r w:rsidR="004572EE">
              <w:rPr>
                <w:rFonts w:cs="Times New Roman"/>
                <w:color w:val="auto"/>
                <w:sz w:val="20"/>
                <w:szCs w:val="20"/>
              </w:rPr>
              <w:t>nsowanych przez Instytut, jak i </w:t>
            </w:r>
            <w:r w:rsidRPr="00532128">
              <w:rPr>
                <w:rFonts w:cs="Times New Roman"/>
                <w:color w:val="auto"/>
                <w:sz w:val="20"/>
                <w:szCs w:val="20"/>
              </w:rPr>
              <w:t>współfinansowania festiwali oraz inicjatyw lokalnych, a także odpowiedniego przystosowania infrastruktury kin w ramach Programu Operacyjnego „Rozwój kin”. Ponadto od 2016 roku Instytut wprowadził do Prog</w:t>
            </w:r>
            <w:r w:rsidR="004572EE">
              <w:rPr>
                <w:rFonts w:cs="Times New Roman"/>
                <w:color w:val="auto"/>
                <w:sz w:val="20"/>
                <w:szCs w:val="20"/>
              </w:rPr>
              <w:t>ramów Operacyjnych (PO) zapis o </w:t>
            </w:r>
            <w:r w:rsidRPr="00532128">
              <w:rPr>
                <w:rFonts w:cs="Times New Roman"/>
                <w:color w:val="auto"/>
                <w:sz w:val="20"/>
                <w:szCs w:val="20"/>
              </w:rPr>
              <w:t xml:space="preserve">obowiązku wykonywania </w:t>
            </w:r>
            <w:proofErr w:type="spellStart"/>
            <w:r w:rsidRPr="00532128">
              <w:rPr>
                <w:rFonts w:cs="Times New Roman"/>
                <w:color w:val="auto"/>
                <w:sz w:val="20"/>
                <w:szCs w:val="20"/>
              </w:rPr>
              <w:t>audiodeskrypcji</w:t>
            </w:r>
            <w:proofErr w:type="spellEnd"/>
            <w:r w:rsidRPr="00532128">
              <w:rPr>
                <w:rFonts w:cs="Times New Roman"/>
                <w:color w:val="auto"/>
                <w:sz w:val="20"/>
                <w:szCs w:val="20"/>
              </w:rPr>
              <w:t xml:space="preserve"> przez producentów filmów fabularnych i pełnomet</w:t>
            </w:r>
            <w:r w:rsidR="004572EE">
              <w:rPr>
                <w:rFonts w:cs="Times New Roman"/>
                <w:color w:val="auto"/>
                <w:sz w:val="20"/>
                <w:szCs w:val="20"/>
              </w:rPr>
              <w:t xml:space="preserve">rażowych filmów animowanych. Od 2017 </w:t>
            </w:r>
            <w:r w:rsidRPr="00532128">
              <w:rPr>
                <w:rFonts w:cs="Times New Roman"/>
                <w:color w:val="auto"/>
                <w:sz w:val="20"/>
                <w:szCs w:val="20"/>
              </w:rPr>
              <w:t>r</w:t>
            </w:r>
            <w:r w:rsidR="00C34042">
              <w:rPr>
                <w:rFonts w:cs="Times New Roman"/>
                <w:color w:val="auto"/>
                <w:sz w:val="20"/>
                <w:szCs w:val="20"/>
              </w:rPr>
              <w:t>.</w:t>
            </w:r>
            <w:r w:rsidR="004572EE">
              <w:rPr>
                <w:rFonts w:cs="Times New Roman"/>
                <w:color w:val="auto"/>
                <w:sz w:val="20"/>
                <w:szCs w:val="20"/>
              </w:rPr>
              <w:t xml:space="preserve"> wymóg wykonania </w:t>
            </w:r>
            <w:proofErr w:type="spellStart"/>
            <w:r w:rsidR="004572EE">
              <w:rPr>
                <w:rFonts w:cs="Times New Roman"/>
                <w:color w:val="auto"/>
                <w:sz w:val="20"/>
                <w:szCs w:val="20"/>
              </w:rPr>
              <w:t>audiodeskrypcji</w:t>
            </w:r>
            <w:proofErr w:type="spellEnd"/>
            <w:r w:rsidR="004572EE">
              <w:rPr>
                <w:rFonts w:cs="Times New Roman"/>
                <w:color w:val="auto"/>
                <w:sz w:val="20"/>
                <w:szCs w:val="20"/>
              </w:rPr>
              <w:t xml:space="preserve"> w </w:t>
            </w:r>
            <w:r w:rsidRPr="00532128">
              <w:rPr>
                <w:rFonts w:cs="Times New Roman"/>
                <w:color w:val="auto"/>
                <w:sz w:val="20"/>
                <w:szCs w:val="20"/>
              </w:rPr>
              <w:t xml:space="preserve">ramach dofinansowania uzyskanego w PO został rozszerzony na filmy </w:t>
            </w:r>
            <w:r w:rsidRPr="00532128">
              <w:rPr>
                <w:rFonts w:cs="Times New Roman"/>
                <w:color w:val="auto"/>
                <w:sz w:val="20"/>
                <w:szCs w:val="20"/>
              </w:rPr>
              <w:lastRenderedPageBreak/>
              <w:t xml:space="preserve">dokumentalne. Producent ma obowiązek wykonać </w:t>
            </w:r>
            <w:proofErr w:type="spellStart"/>
            <w:r w:rsidRPr="00532128">
              <w:rPr>
                <w:rFonts w:cs="Times New Roman"/>
                <w:color w:val="auto"/>
                <w:sz w:val="20"/>
                <w:szCs w:val="20"/>
              </w:rPr>
              <w:t>audiodeskrypcję</w:t>
            </w:r>
            <w:proofErr w:type="spellEnd"/>
            <w:r w:rsidRPr="00532128">
              <w:rPr>
                <w:rFonts w:cs="Times New Roman"/>
                <w:color w:val="auto"/>
                <w:sz w:val="20"/>
                <w:szCs w:val="20"/>
              </w:rPr>
              <w:t xml:space="preserve"> oraz napisy dla niesłyszących i dołączyć je do kopii wzorcowej filmu, którą przekazuje do Filmoteki Narodowej – Instytutu Audiowizualnego.</w:t>
            </w:r>
          </w:p>
        </w:tc>
      </w:tr>
      <w:tr w:rsidR="0092226B" w:rsidRPr="0092226B" w14:paraId="4154F499" w14:textId="77777777" w:rsidTr="002D4784">
        <w:trPr>
          <w:trHeight w:val="822"/>
        </w:trPr>
        <w:tc>
          <w:tcPr>
            <w:cnfStyle w:val="001000000000" w:firstRow="0" w:lastRow="0" w:firstColumn="1" w:lastColumn="0" w:oddVBand="0" w:evenVBand="0" w:oddHBand="0" w:evenHBand="0" w:firstRowFirstColumn="0" w:firstRowLastColumn="0" w:lastRowFirstColumn="0" w:lastRowLastColumn="0"/>
            <w:tcW w:w="1232" w:type="dxa"/>
            <w:vMerge/>
          </w:tcPr>
          <w:p w14:paraId="49DD287B" w14:textId="77777777" w:rsidR="00311D18" w:rsidRPr="0092226B" w:rsidRDefault="00311D18" w:rsidP="003C1988">
            <w:pPr>
              <w:rPr>
                <w:rFonts w:cs="Times New Roman"/>
                <w:color w:val="FF0000"/>
                <w:sz w:val="20"/>
              </w:rPr>
            </w:pPr>
          </w:p>
        </w:tc>
        <w:tc>
          <w:tcPr>
            <w:tcW w:w="3594" w:type="dxa"/>
            <w:vMerge w:val="restart"/>
          </w:tcPr>
          <w:p w14:paraId="4466DB03"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Promowanie aktywności sportowej </w:t>
            </w:r>
            <w:r w:rsidRPr="00532128">
              <w:rPr>
                <w:rFonts w:ascii="Times New Roman" w:eastAsia="MS Mincho" w:hAnsi="Times New Roman"/>
                <w:color w:val="auto"/>
                <w:sz w:val="20"/>
              </w:rPr>
              <w:br/>
              <w:t xml:space="preserve">i rekreacyjnej, osób starszych </w:t>
            </w:r>
            <w:r w:rsidRPr="00532128">
              <w:rPr>
                <w:rFonts w:ascii="Times New Roman" w:eastAsia="MS Mincho" w:hAnsi="Times New Roman"/>
                <w:color w:val="auto"/>
                <w:sz w:val="20"/>
              </w:rPr>
              <w:br/>
              <w:t xml:space="preserve">ze zwróceniem uwagi na korzyści, </w:t>
            </w:r>
            <w:r w:rsidRPr="00532128">
              <w:rPr>
                <w:rFonts w:ascii="Times New Roman" w:eastAsia="MS Mincho" w:hAnsi="Times New Roman"/>
                <w:color w:val="auto"/>
                <w:sz w:val="20"/>
              </w:rPr>
              <w:br/>
              <w:t>jakie ona przynosi seniorom, w tym:</w:t>
            </w:r>
          </w:p>
          <w:p w14:paraId="38ECE43F" w14:textId="77777777" w:rsidR="00311D18" w:rsidRPr="00532128" w:rsidRDefault="00311D18" w:rsidP="002D4784">
            <w:pPr>
              <w:pStyle w:val="Kolorowalistaakcent11"/>
              <w:numPr>
                <w:ilvl w:val="0"/>
                <w:numId w:val="8"/>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upowszechnianie form sportu </w:t>
            </w:r>
            <w:r w:rsidRPr="00532128">
              <w:rPr>
                <w:rFonts w:ascii="Times New Roman" w:eastAsia="MS Mincho" w:hAnsi="Times New Roman"/>
                <w:color w:val="auto"/>
                <w:sz w:val="20"/>
              </w:rPr>
              <w:br/>
              <w:t>i rekreacji dla seniorów;</w:t>
            </w:r>
          </w:p>
          <w:p w14:paraId="72FD1CC6" w14:textId="77777777" w:rsidR="00311D18" w:rsidRPr="00532128" w:rsidRDefault="00311D18" w:rsidP="002D4784">
            <w:pPr>
              <w:pStyle w:val="Kolorowalistaakcent11"/>
              <w:numPr>
                <w:ilvl w:val="0"/>
                <w:numId w:val="8"/>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prowadzenie zajęć o charakterze sportowym i rekreacyjnym dla seniorów przez instruktorów z wykorzystaniem kadry i baz, jakie posiadają lokalne kluby sportowe, ośrodki sportu i rekreacji, baseny, hale sportowe itp.</w:t>
            </w:r>
          </w:p>
          <w:p w14:paraId="7345DA9A" w14:textId="77777777" w:rsidR="00311D18" w:rsidRPr="00532128" w:rsidRDefault="00311D18" w:rsidP="002D4784">
            <w:pPr>
              <w:pStyle w:val="Kolorowalistaakcent11"/>
              <w:numPr>
                <w:ilvl w:val="0"/>
                <w:numId w:val="8"/>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hAnsi="Times New Roman"/>
                <w:color w:val="auto"/>
                <w:sz w:val="20"/>
              </w:rPr>
              <w:t>rozwój małej infrastruktury sportowo – rekreacyjnej o charakterze wielopokoleniowym – Otwarte Strefy Aktywności – poprzez budowę ogólnodostępnych, plenerowych stref aktywności, skierowanych do różnych grup wiekowych oraz tworzenie przestrzeni aktywności sportowej, sprzyjającej międzypokoleniowej integracji społecznej</w:t>
            </w:r>
          </w:p>
        </w:tc>
        <w:tc>
          <w:tcPr>
            <w:tcW w:w="2032" w:type="dxa"/>
            <w:vMerge w:val="restart"/>
          </w:tcPr>
          <w:p w14:paraId="0AAE000A" w14:textId="11FF0317" w:rsidR="00311D18" w:rsidRPr="00532128" w:rsidRDefault="002D4784"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2D4784">
              <w:rPr>
                <w:rFonts w:ascii="Times New Roman" w:eastAsia="MS Mincho" w:hAnsi="Times New Roman"/>
                <w:color w:val="auto"/>
                <w:sz w:val="20"/>
              </w:rPr>
              <w:t xml:space="preserve">Ministerstwo Kultury, Dziedzictwa Narodowego i Sportu </w:t>
            </w:r>
          </w:p>
        </w:tc>
        <w:tc>
          <w:tcPr>
            <w:tcW w:w="1500" w:type="dxa"/>
            <w:vMerge w:val="restart"/>
          </w:tcPr>
          <w:p w14:paraId="50443AD3"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64919D85"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inicjatyw mających na celu promowanie aktywności sportowej, rekreacyjnej, osób starszych ze zwróceniem uwagi na korzyści jakie ona przynosi seniorom</w:t>
            </w:r>
          </w:p>
        </w:tc>
      </w:tr>
      <w:tr w:rsidR="0092226B" w:rsidRPr="0092226B" w14:paraId="1BA8DD0E" w14:textId="77777777" w:rsidTr="002D4784">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232" w:type="dxa"/>
            <w:vMerge/>
          </w:tcPr>
          <w:p w14:paraId="73386007" w14:textId="77777777" w:rsidR="00311D18" w:rsidRPr="0092226B" w:rsidRDefault="00311D18" w:rsidP="003C1988">
            <w:pPr>
              <w:rPr>
                <w:rFonts w:cs="Times New Roman"/>
                <w:color w:val="FF0000"/>
                <w:sz w:val="20"/>
              </w:rPr>
            </w:pPr>
          </w:p>
        </w:tc>
        <w:tc>
          <w:tcPr>
            <w:tcW w:w="3594" w:type="dxa"/>
            <w:vMerge/>
          </w:tcPr>
          <w:p w14:paraId="54C8F390"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3C34C171"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4EEDD5A1"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15296991" w14:textId="52D705E0" w:rsidR="005F1652" w:rsidRPr="00532128" w:rsidRDefault="005F1652" w:rsidP="004572E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Program „Sport dla Wszystkich” – realizowany jest w ramach zadania pn. „Upowszechnianie sportu w rodzinie oraz różnych grupach społecznych”. W 2020 r</w:t>
            </w:r>
            <w:r w:rsidR="00C34042">
              <w:rPr>
                <w:rFonts w:eastAsia="MS Mincho" w:cs="Times New Roman"/>
                <w:color w:val="auto"/>
                <w:sz w:val="20"/>
              </w:rPr>
              <w:t>.</w:t>
            </w:r>
            <w:r w:rsidR="004572EE">
              <w:rPr>
                <w:rFonts w:eastAsia="MS Mincho" w:cs="Times New Roman"/>
                <w:color w:val="auto"/>
                <w:sz w:val="20"/>
              </w:rPr>
              <w:t xml:space="preserve"> przyznano dofinansowanie 46 </w:t>
            </w:r>
            <w:r w:rsidRPr="00532128">
              <w:rPr>
                <w:rFonts w:eastAsia="MS Mincho" w:cs="Times New Roman"/>
                <w:color w:val="auto"/>
                <w:sz w:val="20"/>
              </w:rPr>
              <w:t>projektom w łącznej wysokości 1 475 000,0</w:t>
            </w:r>
            <w:r w:rsidR="004572EE">
              <w:rPr>
                <w:rFonts w:eastAsia="MS Mincho" w:cs="Times New Roman"/>
                <w:color w:val="auto"/>
                <w:sz w:val="20"/>
              </w:rPr>
              <w:t>0 zł. Pozwoliło to na </w:t>
            </w:r>
            <w:r w:rsidRPr="00532128">
              <w:rPr>
                <w:rFonts w:eastAsia="MS Mincho" w:cs="Times New Roman"/>
                <w:color w:val="auto"/>
                <w:sz w:val="20"/>
              </w:rPr>
              <w:t>udział w różnorodnych projektach niemal 129 000 uczestników.</w:t>
            </w:r>
          </w:p>
          <w:p w14:paraId="3FF490BD" w14:textId="77777777" w:rsidR="004572EE" w:rsidRDefault="004572EE" w:rsidP="004572E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70C39E9D" w14:textId="143A88C6" w:rsidR="00311D18" w:rsidRPr="00532128" w:rsidRDefault="005F1652" w:rsidP="004572EE">
            <w:pPr>
              <w:cnfStyle w:val="000000100000" w:firstRow="0" w:lastRow="0" w:firstColumn="0" w:lastColumn="0" w:oddVBand="0" w:evenVBand="0" w:oddHBand="1" w:evenHBand="0" w:firstRowFirstColumn="0" w:firstRowLastColumn="0" w:lastRowFirstColumn="0" w:lastRowLastColumn="0"/>
              <w:rPr>
                <w:rFonts w:cs="Times New Roman"/>
                <w:bCs/>
                <w:color w:val="auto"/>
                <w:sz w:val="20"/>
              </w:rPr>
            </w:pPr>
            <w:r w:rsidRPr="00532128">
              <w:rPr>
                <w:rFonts w:eastAsia="MS Mincho" w:cs="Times New Roman"/>
                <w:color w:val="auto"/>
                <w:sz w:val="20"/>
              </w:rPr>
              <w:t>Program Upowszechniania Sp</w:t>
            </w:r>
            <w:r w:rsidR="004572EE">
              <w:rPr>
                <w:rFonts w:eastAsia="MS Mincho" w:cs="Times New Roman"/>
                <w:color w:val="auto"/>
                <w:sz w:val="20"/>
              </w:rPr>
              <w:t>ortu Osób Niepełnosprawnych – w </w:t>
            </w:r>
            <w:r w:rsidRPr="00532128">
              <w:rPr>
                <w:rFonts w:eastAsia="MS Mincho" w:cs="Times New Roman"/>
                <w:color w:val="auto"/>
                <w:sz w:val="20"/>
              </w:rPr>
              <w:t>2020</w:t>
            </w:r>
            <w:r w:rsidR="00C34042">
              <w:rPr>
                <w:rFonts w:eastAsia="MS Mincho" w:cs="Times New Roman"/>
                <w:color w:val="auto"/>
                <w:sz w:val="20"/>
              </w:rPr>
              <w:t xml:space="preserve"> </w:t>
            </w:r>
            <w:r w:rsidRPr="00532128">
              <w:rPr>
                <w:rFonts w:eastAsia="MS Mincho" w:cs="Times New Roman"/>
                <w:color w:val="auto"/>
                <w:sz w:val="20"/>
              </w:rPr>
              <w:t>r. w ramach projektów dofinansowanych ze środków Funduszu Rozwoju Kultury Fizycznej udział wzięło 6108 osób niepełnosprawnych w wieku 50+, co stanowi 15,64 % ogółu uczestników zajęć, imprez, Mistr</w:t>
            </w:r>
            <w:r w:rsidR="004572EE">
              <w:rPr>
                <w:rFonts w:eastAsia="MS Mincho" w:cs="Times New Roman"/>
                <w:color w:val="auto"/>
                <w:sz w:val="20"/>
              </w:rPr>
              <w:t>zostw Polski, Pucharów Polski i </w:t>
            </w:r>
            <w:r w:rsidRPr="00532128">
              <w:rPr>
                <w:rFonts w:eastAsia="MS Mincho" w:cs="Times New Roman"/>
                <w:color w:val="auto"/>
                <w:sz w:val="20"/>
              </w:rPr>
              <w:t>obozów.</w:t>
            </w:r>
          </w:p>
        </w:tc>
      </w:tr>
      <w:tr w:rsidR="0092226B" w:rsidRPr="0092226B" w14:paraId="75563874" w14:textId="77777777" w:rsidTr="002D4784">
        <w:trPr>
          <w:trHeight w:val="823"/>
        </w:trPr>
        <w:tc>
          <w:tcPr>
            <w:cnfStyle w:val="001000000000" w:firstRow="0" w:lastRow="0" w:firstColumn="1" w:lastColumn="0" w:oddVBand="0" w:evenVBand="0" w:oddHBand="0" w:evenHBand="0" w:firstRowFirstColumn="0" w:firstRowLastColumn="0" w:lastRowFirstColumn="0" w:lastRowLastColumn="0"/>
            <w:tcW w:w="1232" w:type="dxa"/>
            <w:vMerge/>
          </w:tcPr>
          <w:p w14:paraId="38352AD8" w14:textId="77777777" w:rsidR="00311D18" w:rsidRPr="0092226B" w:rsidRDefault="00311D18" w:rsidP="003C1988">
            <w:pPr>
              <w:rPr>
                <w:rFonts w:cs="Times New Roman"/>
                <w:color w:val="FF0000"/>
                <w:sz w:val="20"/>
              </w:rPr>
            </w:pPr>
          </w:p>
        </w:tc>
        <w:tc>
          <w:tcPr>
            <w:tcW w:w="3594" w:type="dxa"/>
            <w:vMerge w:val="restart"/>
          </w:tcPr>
          <w:p w14:paraId="6AB96241"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Wzmocnienie turystyki grupowej </w:t>
            </w:r>
            <w:r w:rsidRPr="00532128">
              <w:rPr>
                <w:rFonts w:ascii="Times New Roman" w:eastAsia="MS Mincho" w:hAnsi="Times New Roman"/>
                <w:color w:val="auto"/>
                <w:sz w:val="20"/>
              </w:rPr>
              <w:br/>
              <w:t xml:space="preserve">i indywidualnej osób starszych poprzez </w:t>
            </w:r>
            <w:r w:rsidRPr="00532128">
              <w:rPr>
                <w:rFonts w:ascii="Times New Roman" w:hAnsi="Times New Roman"/>
                <w:color w:val="auto"/>
                <w:sz w:val="20"/>
              </w:rPr>
              <w:t xml:space="preserve">prowadzenie działań na rzecz </w:t>
            </w:r>
            <w:r w:rsidRPr="00532128">
              <w:rPr>
                <w:rFonts w:ascii="Times New Roman" w:hAnsi="Times New Roman"/>
                <w:color w:val="auto"/>
                <w:sz w:val="20"/>
              </w:rPr>
              <w:lastRenderedPageBreak/>
              <w:t>zapewnienia warunków do bezpiecznego i aktywnego uprawiania turystyki</w:t>
            </w:r>
          </w:p>
        </w:tc>
        <w:tc>
          <w:tcPr>
            <w:tcW w:w="2032" w:type="dxa"/>
            <w:vMerge w:val="restart"/>
          </w:tcPr>
          <w:p w14:paraId="16682100" w14:textId="63C6378B" w:rsidR="00311D18" w:rsidRPr="00532128" w:rsidRDefault="002D4784"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2D4784">
              <w:rPr>
                <w:rFonts w:ascii="Times New Roman" w:eastAsia="MS Mincho" w:hAnsi="Times New Roman"/>
                <w:color w:val="auto"/>
                <w:sz w:val="20"/>
              </w:rPr>
              <w:lastRenderedPageBreak/>
              <w:t xml:space="preserve">Ministerstwo Rozwoju i Technologii </w:t>
            </w:r>
          </w:p>
        </w:tc>
        <w:tc>
          <w:tcPr>
            <w:tcW w:w="1500" w:type="dxa"/>
            <w:vMerge w:val="restart"/>
          </w:tcPr>
          <w:p w14:paraId="33C6C60E"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6BA8E4BE"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inicjatyw na rzecz zapewnienia warunków do bezpiecznego i aktywnego uprawiania turystyki, w tym przez osoby starsze</w:t>
            </w:r>
          </w:p>
          <w:p w14:paraId="495C4F2C"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color w:val="auto"/>
                <w:sz w:val="20"/>
                <w:u w:val="single"/>
              </w:rPr>
            </w:pPr>
          </w:p>
        </w:tc>
      </w:tr>
      <w:tr w:rsidR="0092226B" w:rsidRPr="0092226B" w14:paraId="35762F57" w14:textId="77777777" w:rsidTr="002D4784">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1232" w:type="dxa"/>
            <w:vMerge/>
          </w:tcPr>
          <w:p w14:paraId="07C0A272" w14:textId="77777777" w:rsidR="00311D18" w:rsidRPr="0092226B" w:rsidRDefault="00311D18" w:rsidP="003C1988">
            <w:pPr>
              <w:rPr>
                <w:rFonts w:cs="Times New Roman"/>
                <w:color w:val="FF0000"/>
                <w:sz w:val="20"/>
              </w:rPr>
            </w:pPr>
          </w:p>
        </w:tc>
        <w:tc>
          <w:tcPr>
            <w:tcW w:w="3594" w:type="dxa"/>
            <w:vMerge/>
          </w:tcPr>
          <w:p w14:paraId="04249CE6"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0BA3E0D9"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28F5AEA3"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743979D4" w14:textId="12346174" w:rsidR="00F3601B" w:rsidRPr="00532128" w:rsidRDefault="00F3601B" w:rsidP="004572EE">
            <w:pPr>
              <w:spacing w:before="120"/>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32128">
              <w:rPr>
                <w:rFonts w:cs="Times New Roman"/>
                <w:color w:val="auto"/>
                <w:sz w:val="20"/>
                <w:szCs w:val="20"/>
              </w:rPr>
              <w:t>W ramach konkursu ofert dla organizacji spoza sektora finansów pu</w:t>
            </w:r>
            <w:r w:rsidR="004572EE">
              <w:rPr>
                <w:rFonts w:cs="Times New Roman"/>
                <w:color w:val="auto"/>
                <w:sz w:val="20"/>
                <w:szCs w:val="20"/>
              </w:rPr>
              <w:t xml:space="preserve">blicznych Ministerstwa Rozwoju </w:t>
            </w:r>
            <w:r w:rsidRPr="00532128">
              <w:rPr>
                <w:rFonts w:cs="Times New Roman"/>
                <w:color w:val="auto"/>
                <w:sz w:val="20"/>
                <w:szCs w:val="20"/>
              </w:rPr>
              <w:t>i Technologii, priorytetu „Działania na  rzecz zwiększenia d</w:t>
            </w:r>
            <w:r w:rsidR="004572EE">
              <w:rPr>
                <w:rFonts w:cs="Times New Roman"/>
                <w:color w:val="auto"/>
                <w:sz w:val="20"/>
                <w:szCs w:val="20"/>
              </w:rPr>
              <w:t>ostępności turystyki dla osób z </w:t>
            </w:r>
            <w:r w:rsidRPr="00532128">
              <w:rPr>
                <w:rFonts w:cs="Times New Roman"/>
                <w:color w:val="auto"/>
                <w:sz w:val="20"/>
                <w:szCs w:val="20"/>
              </w:rPr>
              <w:t>niepełnosprawnościami / osób s</w:t>
            </w:r>
            <w:r w:rsidR="004572EE">
              <w:rPr>
                <w:rFonts w:cs="Times New Roman"/>
                <w:color w:val="auto"/>
                <w:sz w:val="20"/>
                <w:szCs w:val="20"/>
              </w:rPr>
              <w:t>tarszych”: dofinansowano w 2020 </w:t>
            </w:r>
            <w:r w:rsidRPr="00532128">
              <w:rPr>
                <w:rFonts w:cs="Times New Roman"/>
                <w:color w:val="auto"/>
                <w:sz w:val="20"/>
                <w:szCs w:val="20"/>
              </w:rPr>
              <w:t>r</w:t>
            </w:r>
            <w:r w:rsidR="00C34042">
              <w:rPr>
                <w:rFonts w:cs="Times New Roman"/>
                <w:color w:val="auto"/>
                <w:sz w:val="20"/>
                <w:szCs w:val="20"/>
              </w:rPr>
              <w:t>.</w:t>
            </w:r>
            <w:r w:rsidRPr="00532128">
              <w:rPr>
                <w:rFonts w:cs="Times New Roman"/>
                <w:color w:val="auto"/>
                <w:sz w:val="20"/>
                <w:szCs w:val="20"/>
              </w:rPr>
              <w:t xml:space="preserve"> następujące zadania:</w:t>
            </w:r>
          </w:p>
          <w:p w14:paraId="5C03B951" w14:textId="7988BCA1" w:rsidR="00F3601B" w:rsidRPr="00532128" w:rsidRDefault="00F3601B" w:rsidP="004572EE">
            <w:pPr>
              <w:spacing w:before="120"/>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32128">
              <w:rPr>
                <w:rFonts w:cs="Times New Roman"/>
                <w:color w:val="auto"/>
                <w:sz w:val="20"/>
                <w:szCs w:val="20"/>
              </w:rPr>
              <w:t>1</w:t>
            </w:r>
            <w:r w:rsidR="004572EE">
              <w:rPr>
                <w:rFonts w:cs="Times New Roman"/>
                <w:color w:val="auto"/>
                <w:sz w:val="20"/>
                <w:szCs w:val="20"/>
              </w:rPr>
              <w:t>. </w:t>
            </w:r>
            <w:r w:rsidRPr="00532128">
              <w:rPr>
                <w:rFonts w:cs="Times New Roman"/>
                <w:color w:val="auto"/>
                <w:sz w:val="20"/>
                <w:szCs w:val="20"/>
              </w:rPr>
              <w:t>Sprawie dla niepełnosprawnych, zrealizowane</w:t>
            </w:r>
            <w:r w:rsidR="004572EE">
              <w:rPr>
                <w:rFonts w:cs="Times New Roman"/>
                <w:color w:val="auto"/>
                <w:sz w:val="20"/>
                <w:szCs w:val="20"/>
              </w:rPr>
              <w:t xml:space="preserve"> przez Forum Turystyki Regionów;</w:t>
            </w:r>
          </w:p>
          <w:p w14:paraId="15E949A5" w14:textId="0DC834A7" w:rsidR="00F3601B" w:rsidRPr="00532128" w:rsidRDefault="004572EE" w:rsidP="004572EE">
            <w:pPr>
              <w:spacing w:before="120"/>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cs="Times New Roman"/>
                <w:color w:val="auto"/>
                <w:sz w:val="20"/>
                <w:szCs w:val="20"/>
              </w:rPr>
              <w:t>2. </w:t>
            </w:r>
            <w:r w:rsidR="00F3601B" w:rsidRPr="00532128">
              <w:rPr>
                <w:rFonts w:cs="Times New Roman"/>
                <w:color w:val="auto"/>
                <w:sz w:val="20"/>
                <w:szCs w:val="20"/>
              </w:rPr>
              <w:t>Turystyka dla wszystkich zwiększenie dostępności informacji turystycznej i usług turystycznych dla osób niepełnosprawnych, zrealizowane przez Stowarzyszenie Opolska Regionalna</w:t>
            </w:r>
            <w:r>
              <w:rPr>
                <w:rFonts w:cs="Times New Roman"/>
                <w:color w:val="auto"/>
                <w:sz w:val="20"/>
                <w:szCs w:val="20"/>
              </w:rPr>
              <w:t xml:space="preserve"> Organizacja Turystyczna;</w:t>
            </w:r>
          </w:p>
          <w:p w14:paraId="31BB0407" w14:textId="2EBEBE59" w:rsidR="00F3601B" w:rsidRPr="00532128" w:rsidRDefault="004572EE" w:rsidP="004572EE">
            <w:pPr>
              <w:spacing w:before="120"/>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cs="Times New Roman"/>
                <w:color w:val="auto"/>
                <w:sz w:val="20"/>
                <w:szCs w:val="20"/>
              </w:rPr>
              <w:t>3. </w:t>
            </w:r>
            <w:r w:rsidR="00F3601B" w:rsidRPr="00532128">
              <w:rPr>
                <w:rFonts w:cs="Times New Roman"/>
                <w:color w:val="auto"/>
                <w:sz w:val="20"/>
                <w:szCs w:val="20"/>
              </w:rPr>
              <w:t>Asystent Turystyczny Osób Niepełnosprawnych, zrealizowane przez Karkonosk</w:t>
            </w:r>
            <w:r>
              <w:rPr>
                <w:rFonts w:cs="Times New Roman"/>
                <w:color w:val="auto"/>
                <w:sz w:val="20"/>
                <w:szCs w:val="20"/>
              </w:rPr>
              <w:t>i Sejmik Osób Niepełnosprawnych;</w:t>
            </w:r>
          </w:p>
          <w:p w14:paraId="6E964626" w14:textId="736641F0" w:rsidR="00F3601B" w:rsidRPr="00532128" w:rsidRDefault="004572EE" w:rsidP="004572EE">
            <w:pPr>
              <w:spacing w:before="120"/>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cs="Times New Roman"/>
                <w:color w:val="auto"/>
                <w:sz w:val="20"/>
                <w:szCs w:val="20"/>
              </w:rPr>
              <w:t>4. </w:t>
            </w:r>
            <w:r w:rsidR="00F3601B" w:rsidRPr="00532128">
              <w:rPr>
                <w:rFonts w:cs="Times New Roman"/>
                <w:color w:val="auto"/>
                <w:sz w:val="20"/>
                <w:szCs w:val="20"/>
              </w:rPr>
              <w:t>Turystyka osób z niepełnosprawnościami w województwie podlaskim, zrealizowane przez Podlaską Regionalną Organizację Tu</w:t>
            </w:r>
            <w:r>
              <w:rPr>
                <w:rFonts w:cs="Times New Roman"/>
                <w:color w:val="auto"/>
                <w:sz w:val="20"/>
                <w:szCs w:val="20"/>
              </w:rPr>
              <w:t>rystyczną;</w:t>
            </w:r>
          </w:p>
          <w:p w14:paraId="160E1632" w14:textId="1B411D51" w:rsidR="00311D18" w:rsidRPr="00532128" w:rsidRDefault="004572EE" w:rsidP="004572EE">
            <w:pPr>
              <w:contextualSpacing/>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szCs w:val="20"/>
                <w:u w:val="single"/>
              </w:rPr>
            </w:pPr>
            <w:r>
              <w:rPr>
                <w:rFonts w:cs="Times New Roman"/>
                <w:color w:val="auto"/>
                <w:sz w:val="20"/>
                <w:szCs w:val="20"/>
              </w:rPr>
              <w:t>5. </w:t>
            </w:r>
            <w:r w:rsidR="00F3601B" w:rsidRPr="00532128">
              <w:rPr>
                <w:rFonts w:cs="Times New Roman"/>
                <w:color w:val="auto"/>
                <w:sz w:val="20"/>
                <w:szCs w:val="20"/>
              </w:rPr>
              <w:t>Poprawa bezpieczeństwa</w:t>
            </w:r>
            <w:r>
              <w:rPr>
                <w:rFonts w:cs="Times New Roman"/>
                <w:color w:val="auto"/>
                <w:sz w:val="20"/>
                <w:szCs w:val="20"/>
              </w:rPr>
              <w:t xml:space="preserve"> usług turystycznych dla osób z </w:t>
            </w:r>
            <w:r w:rsidR="00F3601B" w:rsidRPr="00532128">
              <w:rPr>
                <w:rFonts w:cs="Times New Roman"/>
                <w:color w:val="auto"/>
                <w:sz w:val="20"/>
                <w:szCs w:val="20"/>
              </w:rPr>
              <w:t>niepełnosprawnościami na terenie województwa wielkopolskiego, zrealizowane przez Wielkopolską Organizację Turystyczną.</w:t>
            </w:r>
          </w:p>
        </w:tc>
      </w:tr>
      <w:tr w:rsidR="0092226B" w:rsidRPr="0092226B" w14:paraId="6EF3EEA4" w14:textId="77777777" w:rsidTr="002D4784">
        <w:trPr>
          <w:trHeight w:val="693"/>
        </w:trPr>
        <w:tc>
          <w:tcPr>
            <w:cnfStyle w:val="001000000000" w:firstRow="0" w:lastRow="0" w:firstColumn="1" w:lastColumn="0" w:oddVBand="0" w:evenVBand="0" w:oddHBand="0" w:evenHBand="0" w:firstRowFirstColumn="0" w:firstRowLastColumn="0" w:lastRowFirstColumn="0" w:lastRowLastColumn="0"/>
            <w:tcW w:w="1232" w:type="dxa"/>
            <w:vMerge/>
          </w:tcPr>
          <w:p w14:paraId="1202F8C5" w14:textId="77777777" w:rsidR="00311D18" w:rsidRPr="0092226B" w:rsidRDefault="00311D18" w:rsidP="003C1988">
            <w:pPr>
              <w:rPr>
                <w:rFonts w:cs="Times New Roman"/>
                <w:color w:val="FF0000"/>
                <w:sz w:val="20"/>
              </w:rPr>
            </w:pPr>
          </w:p>
        </w:tc>
        <w:tc>
          <w:tcPr>
            <w:tcW w:w="3594" w:type="dxa"/>
            <w:vMerge w:val="restart"/>
          </w:tcPr>
          <w:p w14:paraId="170E6114"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Propagowanie włączenia społecznego osób starszych, szczególnie pozostających w domu, przez używanie Internetu i innych technologii teleinformatycznych do korzystania z dóbr kultury, rozrywki, edukacji oraz komunikacji z innymi osobami</w:t>
            </w:r>
          </w:p>
        </w:tc>
        <w:tc>
          <w:tcPr>
            <w:tcW w:w="2032" w:type="dxa"/>
            <w:vMerge w:val="restart"/>
          </w:tcPr>
          <w:p w14:paraId="1DAF08FF"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Cyfryzacji</w:t>
            </w:r>
          </w:p>
        </w:tc>
        <w:tc>
          <w:tcPr>
            <w:tcW w:w="1500" w:type="dxa"/>
            <w:vMerge w:val="restart"/>
          </w:tcPr>
          <w:p w14:paraId="5EF8D21C"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2018-2020</w:t>
            </w:r>
          </w:p>
        </w:tc>
        <w:tc>
          <w:tcPr>
            <w:tcW w:w="5638" w:type="dxa"/>
          </w:tcPr>
          <w:p w14:paraId="0AA17436"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Odsetek osób w wieku 55-74 korzystających z Internetu</w:t>
            </w:r>
          </w:p>
        </w:tc>
      </w:tr>
      <w:tr w:rsidR="0092226B" w:rsidRPr="0092226B" w14:paraId="28E460AA" w14:textId="77777777" w:rsidTr="002D4784">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1232" w:type="dxa"/>
            <w:vMerge/>
          </w:tcPr>
          <w:p w14:paraId="1F16FE2B" w14:textId="77777777" w:rsidR="00311D18" w:rsidRPr="0092226B" w:rsidRDefault="00311D18" w:rsidP="003C1988">
            <w:pPr>
              <w:rPr>
                <w:rFonts w:cs="Times New Roman"/>
                <w:color w:val="FF0000"/>
                <w:sz w:val="20"/>
              </w:rPr>
            </w:pPr>
          </w:p>
        </w:tc>
        <w:tc>
          <w:tcPr>
            <w:tcW w:w="3594" w:type="dxa"/>
            <w:vMerge/>
          </w:tcPr>
          <w:p w14:paraId="5021835F"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30B9C5DB"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61E81D13"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20B05CC9" w14:textId="2DA2BDA5" w:rsidR="00987D74" w:rsidRPr="00532128" w:rsidRDefault="00132A40" w:rsidP="004572EE">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szCs w:val="20"/>
                <w:u w:val="single"/>
              </w:rPr>
            </w:pPr>
            <w:r w:rsidRPr="00532128">
              <w:rPr>
                <w:rFonts w:cs="Times New Roman"/>
                <w:color w:val="auto"/>
                <w:sz w:val="20"/>
                <w:szCs w:val="20"/>
              </w:rPr>
              <w:t>W celu zachęcenia seniorów do korzystania z Internetu prowadzona jest kampania edukacyjno-informacyjna w różnych mediach. Kampania jest prowadzona w ramach realizowanego przez Ministerstwo Cyfryzacji, obec</w:t>
            </w:r>
            <w:r w:rsidR="004572EE">
              <w:rPr>
                <w:rFonts w:cs="Times New Roman"/>
                <w:color w:val="auto"/>
                <w:sz w:val="20"/>
                <w:szCs w:val="20"/>
              </w:rPr>
              <w:t>nie Cyfryzacja KPRM, wspólnie z </w:t>
            </w:r>
            <w:r w:rsidRPr="00532128">
              <w:rPr>
                <w:rFonts w:cs="Times New Roman"/>
                <w:color w:val="auto"/>
                <w:sz w:val="20"/>
                <w:szCs w:val="20"/>
              </w:rPr>
              <w:t xml:space="preserve">Naukową i Akademicką Siecią Komputerową - Państwowym Instytutem Badawczym projektu pt.: </w:t>
            </w:r>
            <w:r w:rsidRPr="00532128">
              <w:rPr>
                <w:rFonts w:cs="Times New Roman"/>
                <w:i/>
                <w:color w:val="auto"/>
                <w:sz w:val="20"/>
                <w:szCs w:val="20"/>
              </w:rPr>
              <w:t>„Kampanie edukacyjno-informacyjne na rzecz upowszechnienia korzyści z wykorzystywania technologii cyfrowych”.</w:t>
            </w:r>
            <w:r w:rsidRPr="00532128">
              <w:rPr>
                <w:rFonts w:cs="Times New Roman"/>
                <w:color w:val="auto"/>
                <w:sz w:val="20"/>
                <w:szCs w:val="20"/>
              </w:rPr>
              <w:t xml:space="preserve"> Kampanie mają na celu promowanie wykorzystywania technologii w codzienny</w:t>
            </w:r>
            <w:r w:rsidR="004572EE">
              <w:rPr>
                <w:rFonts w:cs="Times New Roman"/>
                <w:color w:val="auto"/>
                <w:sz w:val="20"/>
                <w:szCs w:val="20"/>
              </w:rPr>
              <w:t>m życiu przez osoby w </w:t>
            </w:r>
            <w:r w:rsidRPr="00532128">
              <w:rPr>
                <w:rFonts w:cs="Times New Roman"/>
                <w:color w:val="auto"/>
                <w:sz w:val="20"/>
                <w:szCs w:val="20"/>
              </w:rPr>
              <w:t xml:space="preserve">różnym wieku, przełamywanie barier z tym związanych oraz wzrost cyfrowych kompetencji społeczeństwa. Projekt obejmuje cztery obszary: jakość życia, e-usługi publiczne, bezpieczeństwo </w:t>
            </w:r>
            <w:r w:rsidRPr="00532128">
              <w:rPr>
                <w:rFonts w:cs="Times New Roman"/>
                <w:color w:val="auto"/>
                <w:sz w:val="20"/>
                <w:szCs w:val="20"/>
              </w:rPr>
              <w:lastRenderedPageBreak/>
              <w:t>w</w:t>
            </w:r>
            <w:r w:rsidR="004572EE">
              <w:rPr>
                <w:rFonts w:cs="Times New Roman"/>
                <w:color w:val="auto"/>
                <w:sz w:val="20"/>
                <w:szCs w:val="20"/>
              </w:rPr>
              <w:t> </w:t>
            </w:r>
            <w:r w:rsidRPr="00532128">
              <w:rPr>
                <w:rFonts w:cs="Times New Roman"/>
                <w:color w:val="auto"/>
                <w:sz w:val="20"/>
                <w:szCs w:val="20"/>
              </w:rPr>
              <w:t>sieci i programowanie. Więcej informacji dot. prowadzonych kampanii zostały zamieszczo</w:t>
            </w:r>
            <w:r w:rsidR="00786A57">
              <w:rPr>
                <w:rFonts w:cs="Times New Roman"/>
                <w:color w:val="auto"/>
                <w:sz w:val="20"/>
                <w:szCs w:val="20"/>
              </w:rPr>
              <w:t>ne w punkcie „Kształtowanie lub </w:t>
            </w:r>
            <w:r w:rsidRPr="00532128">
              <w:rPr>
                <w:rFonts w:cs="Times New Roman"/>
                <w:color w:val="auto"/>
                <w:sz w:val="20"/>
                <w:szCs w:val="20"/>
              </w:rPr>
              <w:t>wzmacnianie kompetencji seniorów w zakresie nowych mediów przez realizację kampanii</w:t>
            </w:r>
            <w:r w:rsidR="00786A57">
              <w:rPr>
                <w:rFonts w:cs="Times New Roman"/>
                <w:color w:val="auto"/>
                <w:sz w:val="20"/>
                <w:szCs w:val="20"/>
              </w:rPr>
              <w:t xml:space="preserve"> informacyjno-edukacyjnych oraz </w:t>
            </w:r>
            <w:r w:rsidRPr="00532128">
              <w:rPr>
                <w:rFonts w:cs="Times New Roman"/>
                <w:color w:val="auto"/>
                <w:sz w:val="20"/>
                <w:szCs w:val="20"/>
              </w:rPr>
              <w:t>szkoleń”.</w:t>
            </w:r>
          </w:p>
        </w:tc>
      </w:tr>
      <w:tr w:rsidR="0092226B" w:rsidRPr="0092226B" w14:paraId="6E5E83C2"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val="restart"/>
            <w:textDirection w:val="btLr"/>
          </w:tcPr>
          <w:p w14:paraId="5C5D24D6" w14:textId="77777777" w:rsidR="00311D18" w:rsidRPr="0092226B" w:rsidRDefault="00743A43" w:rsidP="003C1988">
            <w:pPr>
              <w:ind w:left="113" w:right="113"/>
              <w:rPr>
                <w:rFonts w:cs="Times New Roman"/>
                <w:color w:val="FF0000"/>
                <w:sz w:val="20"/>
              </w:rPr>
            </w:pPr>
            <w:r w:rsidRPr="00532128">
              <w:rPr>
                <w:rFonts w:cs="Times New Roman"/>
                <w:color w:val="auto"/>
                <w:sz w:val="20"/>
              </w:rPr>
              <w:t>Obszar III</w:t>
            </w:r>
          </w:p>
        </w:tc>
        <w:tc>
          <w:tcPr>
            <w:tcW w:w="3594" w:type="dxa"/>
            <w:vMerge w:val="restart"/>
          </w:tcPr>
          <w:p w14:paraId="7C5AFFBA" w14:textId="77777777" w:rsidR="00311D18" w:rsidRPr="00532128" w:rsidRDefault="00743A43"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Dokonanie analizy problematyki dotyczącej tzw. renty dożywotniej pod kątem zapewnienia ochrony osób starszych, będących stroną umów o rentę dożywotnią</w:t>
            </w:r>
          </w:p>
        </w:tc>
        <w:tc>
          <w:tcPr>
            <w:tcW w:w="2032" w:type="dxa"/>
            <w:vMerge w:val="restart"/>
          </w:tcPr>
          <w:p w14:paraId="4A11888B" w14:textId="77777777" w:rsidR="00311D18" w:rsidRPr="00532128" w:rsidRDefault="00F9230A"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Sprawiedliwości</w:t>
            </w:r>
          </w:p>
        </w:tc>
        <w:tc>
          <w:tcPr>
            <w:tcW w:w="1500" w:type="dxa"/>
            <w:vMerge w:val="restart"/>
          </w:tcPr>
          <w:p w14:paraId="1DB00DA5" w14:textId="77777777" w:rsidR="00311D18" w:rsidRPr="00532128" w:rsidRDefault="00F9230A"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2019-2022</w:t>
            </w:r>
          </w:p>
        </w:tc>
        <w:tc>
          <w:tcPr>
            <w:tcW w:w="5638" w:type="dxa"/>
          </w:tcPr>
          <w:p w14:paraId="060841EB"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nowych inicjatyw mających na celu przeciwdziałanie wykluczeniu ekonomicznemu i ubóstwu osób starszych</w:t>
            </w:r>
          </w:p>
          <w:p w14:paraId="05D59916"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color w:val="auto"/>
                <w:sz w:val="20"/>
                <w:u w:val="single"/>
              </w:rPr>
            </w:pPr>
          </w:p>
        </w:tc>
      </w:tr>
      <w:tr w:rsidR="0092226B" w:rsidRPr="0092226B" w14:paraId="5EDBBFBD"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3AF18E1B" w14:textId="77777777" w:rsidR="00311D18" w:rsidRPr="0092226B" w:rsidRDefault="00311D18" w:rsidP="003C1988">
            <w:pPr>
              <w:rPr>
                <w:rFonts w:cs="Times New Roman"/>
                <w:color w:val="FF0000"/>
                <w:sz w:val="20"/>
              </w:rPr>
            </w:pPr>
          </w:p>
        </w:tc>
        <w:tc>
          <w:tcPr>
            <w:tcW w:w="3594" w:type="dxa"/>
            <w:vMerge/>
          </w:tcPr>
          <w:p w14:paraId="5FE5798C"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0174E49A"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7C729B45"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53BB902A" w14:textId="54936CAF" w:rsidR="00F9230A" w:rsidRPr="00532128" w:rsidRDefault="00F9230A" w:rsidP="005B18BF">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Ministerstwo Sprawiedliwości wystąpiło do Prokuratury Krajowej oraz sądów apelacyjnych z prośbą o udzielenie informacji o liczbie zarejestrowanych w latach 2017-2020 spraw cywilnych związanych ze sporami powstałymi na tle umów o przekazanie nieruchomości funduszom hipotecznym w zamian za dożywotnie świadczenie pieniężne, ich przedmiocie oraz przedstawienie ewentualnych propozycji legislacyjnych mogących skutkować usunięciem dostrzeżonych przez orzeczników nieprawidłowości, skutkujących niedostateczną ochroną interesów zbywców nieruchomości.</w:t>
            </w:r>
          </w:p>
          <w:p w14:paraId="5D96886D" w14:textId="77777777" w:rsidR="00F9230A" w:rsidRPr="00532128" w:rsidRDefault="00F9230A" w:rsidP="005B18BF">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p>
          <w:p w14:paraId="72FCB063" w14:textId="6B109CEC" w:rsidR="00F9230A" w:rsidRPr="00532128" w:rsidRDefault="00F9230A" w:rsidP="005B18BF">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Pismem z dnia 8 maja 2020</w:t>
            </w:r>
            <w:r w:rsidR="00674281">
              <w:rPr>
                <w:rFonts w:cs="Times New Roman"/>
                <w:color w:val="auto"/>
                <w:sz w:val="20"/>
              </w:rPr>
              <w:t xml:space="preserve"> </w:t>
            </w:r>
            <w:r w:rsidRPr="00532128">
              <w:rPr>
                <w:rFonts w:cs="Times New Roman"/>
                <w:color w:val="auto"/>
                <w:sz w:val="20"/>
              </w:rPr>
              <w:t>r. resort sprawiedliwości zasygnalizował Ministerstwu Rozwoju potrzebę kontynuacji prac w przedmiocie projektu ustawy o dożywotnim świadczeniu pieniężnym, wskazując na gotowość współpracy w kwest</w:t>
            </w:r>
            <w:r w:rsidR="005B18BF">
              <w:rPr>
                <w:rFonts w:cs="Times New Roman"/>
                <w:color w:val="auto"/>
                <w:sz w:val="20"/>
              </w:rPr>
              <w:t>iach cywilnoprawnych. W dniu 2 </w:t>
            </w:r>
            <w:r w:rsidRPr="00532128">
              <w:rPr>
                <w:rFonts w:cs="Times New Roman"/>
                <w:color w:val="auto"/>
                <w:sz w:val="20"/>
              </w:rPr>
              <w:t>czerwca 2020</w:t>
            </w:r>
            <w:r w:rsidR="00674281">
              <w:rPr>
                <w:rFonts w:cs="Times New Roman"/>
                <w:color w:val="auto"/>
                <w:sz w:val="20"/>
              </w:rPr>
              <w:t xml:space="preserve"> </w:t>
            </w:r>
            <w:r w:rsidRPr="00532128">
              <w:rPr>
                <w:rFonts w:cs="Times New Roman"/>
                <w:color w:val="auto"/>
                <w:sz w:val="20"/>
              </w:rPr>
              <w:t>r. odbyło się spotkanie z Przedstawicielami UOKiK, MF i UKNF, którego celem było omówienie rozwiązań prawnych, gwarantujących bezpieczeństwo prawne obywateli przed nadużyciami i nieprawidłowościami, jakie mogą powstać w związku z przejęciem nieruchomości w zamian za dożywotnie świadczenie pieniężne oraz kierunku ewentualnych zmian legislacyjnych.</w:t>
            </w:r>
          </w:p>
          <w:p w14:paraId="6307AA4B" w14:textId="77777777" w:rsidR="00F9230A" w:rsidRPr="00532128" w:rsidRDefault="00F9230A" w:rsidP="005B18BF">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p>
          <w:p w14:paraId="381CE17A" w14:textId="5F6A1C86" w:rsidR="00F9230A" w:rsidRPr="00532128" w:rsidRDefault="00F9230A" w:rsidP="005B18BF">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W dniu 5 czerwca 2020</w:t>
            </w:r>
            <w:r w:rsidR="00674281">
              <w:rPr>
                <w:rFonts w:cs="Times New Roman"/>
                <w:color w:val="auto"/>
                <w:sz w:val="20"/>
              </w:rPr>
              <w:t xml:space="preserve"> </w:t>
            </w:r>
            <w:r w:rsidRPr="00532128">
              <w:rPr>
                <w:rFonts w:cs="Times New Roman"/>
                <w:color w:val="auto"/>
                <w:sz w:val="20"/>
              </w:rPr>
              <w:t>r. zostało skierowane pismo do Polskiej Izby Ubezpieczeń z prośbą o przedstawienie opinii w kwestii możliwości powierzenia zakładom ubezpieczeń oferowania produktu polegającego na wypłacie dożywot</w:t>
            </w:r>
            <w:r w:rsidR="005B18BF">
              <w:rPr>
                <w:rFonts w:cs="Times New Roman"/>
                <w:color w:val="auto"/>
                <w:sz w:val="20"/>
              </w:rPr>
              <w:t>niego świadczenia pieniężnego w </w:t>
            </w:r>
            <w:r w:rsidRPr="00532128">
              <w:rPr>
                <w:rFonts w:cs="Times New Roman"/>
                <w:color w:val="auto"/>
                <w:sz w:val="20"/>
              </w:rPr>
              <w:t xml:space="preserve">zamian za przeniesienie własności nieruchomości. Zwrócono się </w:t>
            </w:r>
            <w:r w:rsidRPr="00532128">
              <w:rPr>
                <w:rFonts w:cs="Times New Roman"/>
                <w:color w:val="auto"/>
                <w:sz w:val="20"/>
              </w:rPr>
              <w:lastRenderedPageBreak/>
              <w:t>również do przedstawienie danych statystycznych, pozwalających ocenić skalę problemu.</w:t>
            </w:r>
          </w:p>
          <w:p w14:paraId="4702E42E" w14:textId="77777777" w:rsidR="00F9230A" w:rsidRPr="00532128" w:rsidRDefault="00F9230A" w:rsidP="005B18BF">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p>
          <w:p w14:paraId="54F890E7" w14:textId="446D9042" w:rsidR="005472AB" w:rsidRPr="00532128" w:rsidRDefault="00F9230A" w:rsidP="005B18BF">
            <w:pPr>
              <w:cnfStyle w:val="000000100000" w:firstRow="0" w:lastRow="0" w:firstColumn="0" w:lastColumn="0" w:oddVBand="0" w:evenVBand="0" w:oddHBand="1" w:evenHBand="0" w:firstRowFirstColumn="0" w:firstRowLastColumn="0" w:lastRowFirstColumn="0" w:lastRowLastColumn="0"/>
              <w:rPr>
                <w:rFonts w:cs="Times New Roman"/>
                <w:color w:val="auto"/>
                <w:spacing w:val="-5"/>
                <w:sz w:val="20"/>
              </w:rPr>
            </w:pPr>
            <w:r w:rsidRPr="00532128">
              <w:rPr>
                <w:rFonts w:cs="Times New Roman"/>
                <w:color w:val="auto"/>
                <w:sz w:val="20"/>
              </w:rPr>
              <w:t>W dniu 8 czerwca 2020</w:t>
            </w:r>
            <w:r w:rsidR="00674281">
              <w:rPr>
                <w:rFonts w:cs="Times New Roman"/>
                <w:color w:val="auto"/>
                <w:sz w:val="20"/>
              </w:rPr>
              <w:t xml:space="preserve"> </w:t>
            </w:r>
            <w:r w:rsidRPr="00532128">
              <w:rPr>
                <w:rFonts w:cs="Times New Roman"/>
                <w:color w:val="auto"/>
                <w:sz w:val="20"/>
              </w:rPr>
              <w:t>r. Mini</w:t>
            </w:r>
            <w:r w:rsidR="005B18BF">
              <w:rPr>
                <w:rFonts w:cs="Times New Roman"/>
                <w:color w:val="auto"/>
                <w:sz w:val="20"/>
              </w:rPr>
              <w:t>ster Sprawiedliwości wystąpił o </w:t>
            </w:r>
            <w:r w:rsidRPr="00532128">
              <w:rPr>
                <w:rFonts w:cs="Times New Roman"/>
                <w:color w:val="auto"/>
                <w:sz w:val="20"/>
              </w:rPr>
              <w:t>zgodę na wszczęcie prac legislacyjnych w ramach umowy dożywocia, przedstawiając wstępny projekt ustawy o zmianie ustawy - Kodeks cywilny oraz niektórych innych ustaw. Projekt uwzględniający zmiany w zakresie umowy dożywocia przewidywany jest do wpisu do wykazu prac legislacyjnych Rady Ministrów w III kwartale 2021</w:t>
            </w:r>
            <w:r w:rsidR="00674281">
              <w:rPr>
                <w:rFonts w:cs="Times New Roman"/>
                <w:color w:val="auto"/>
                <w:sz w:val="20"/>
              </w:rPr>
              <w:t xml:space="preserve"> </w:t>
            </w:r>
            <w:r w:rsidRPr="00532128">
              <w:rPr>
                <w:rFonts w:cs="Times New Roman"/>
                <w:color w:val="auto"/>
                <w:sz w:val="20"/>
              </w:rPr>
              <w:t>r.</w:t>
            </w:r>
          </w:p>
        </w:tc>
      </w:tr>
      <w:tr w:rsidR="0092226B" w:rsidRPr="0092226B" w14:paraId="080F278D" w14:textId="77777777" w:rsidTr="002D4784">
        <w:trPr>
          <w:trHeight w:val="603"/>
        </w:trPr>
        <w:tc>
          <w:tcPr>
            <w:cnfStyle w:val="001000000000" w:firstRow="0" w:lastRow="0" w:firstColumn="1" w:lastColumn="0" w:oddVBand="0" w:evenVBand="0" w:oddHBand="0" w:evenHBand="0" w:firstRowFirstColumn="0" w:firstRowLastColumn="0" w:lastRowFirstColumn="0" w:lastRowLastColumn="0"/>
            <w:tcW w:w="1232" w:type="dxa"/>
            <w:vMerge/>
          </w:tcPr>
          <w:p w14:paraId="2F579CFD" w14:textId="77777777" w:rsidR="00311D18" w:rsidRPr="0092226B" w:rsidRDefault="00311D18" w:rsidP="003C1988">
            <w:pPr>
              <w:rPr>
                <w:rFonts w:cs="Times New Roman"/>
                <w:color w:val="FF0000"/>
                <w:sz w:val="20"/>
              </w:rPr>
            </w:pPr>
          </w:p>
        </w:tc>
        <w:tc>
          <w:tcPr>
            <w:tcW w:w="3594" w:type="dxa"/>
            <w:vMerge w:val="restart"/>
          </w:tcPr>
          <w:p w14:paraId="4F2E5BE5"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Zapewnianie osobom starszym dostępu do usług edukacyjnych świadczonych w ramach uczenia się przez całe życie</w:t>
            </w:r>
          </w:p>
        </w:tc>
        <w:tc>
          <w:tcPr>
            <w:tcW w:w="2032" w:type="dxa"/>
            <w:vMerge w:val="restart"/>
          </w:tcPr>
          <w:p w14:paraId="40882CB2" w14:textId="4ADE3FA4" w:rsidR="00311D18" w:rsidRPr="00532128" w:rsidRDefault="002D4784"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2D4784">
              <w:rPr>
                <w:rFonts w:ascii="Times New Roman" w:eastAsia="MS Mincho" w:hAnsi="Times New Roman"/>
                <w:color w:val="auto"/>
                <w:sz w:val="20"/>
              </w:rPr>
              <w:t>Ministerstwo Edukacji i Nauki</w:t>
            </w:r>
            <w:r w:rsidR="008D1784" w:rsidRPr="00532128">
              <w:rPr>
                <w:rFonts w:ascii="Times New Roman" w:eastAsia="MS Mincho" w:hAnsi="Times New Roman"/>
                <w:color w:val="auto"/>
                <w:sz w:val="20"/>
              </w:rPr>
              <w:t>, Ministerstwo Kultury, Dziedzictwa Narodowego i Sportu</w:t>
            </w:r>
          </w:p>
          <w:p w14:paraId="43276D99"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val="restart"/>
          </w:tcPr>
          <w:p w14:paraId="5AA4649E"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6FB4D9A9"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Odsetek osób starszych korzystających z usług edukacyjnych, świadczonych w ramach uczenia się przez całe życie</w:t>
            </w:r>
          </w:p>
        </w:tc>
      </w:tr>
      <w:tr w:rsidR="0092226B" w:rsidRPr="0092226B" w14:paraId="4E240B79"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486D0924" w14:textId="77777777" w:rsidR="00311D18" w:rsidRPr="0092226B" w:rsidRDefault="00311D18" w:rsidP="003C1988">
            <w:pPr>
              <w:rPr>
                <w:rFonts w:cs="Times New Roman"/>
                <w:color w:val="FF0000"/>
                <w:sz w:val="20"/>
              </w:rPr>
            </w:pPr>
          </w:p>
        </w:tc>
        <w:tc>
          <w:tcPr>
            <w:tcW w:w="3594" w:type="dxa"/>
            <w:vMerge/>
          </w:tcPr>
          <w:p w14:paraId="1A047768"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386595A4"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2C2A8BA5"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773C1553" w14:textId="77777777" w:rsidR="00AC120D" w:rsidRPr="00532128" w:rsidRDefault="00AC120D" w:rsidP="005B18BF">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W zakresie edukacji dorosłych </w:t>
            </w:r>
            <w:proofErr w:type="spellStart"/>
            <w:r w:rsidRPr="00532128">
              <w:rPr>
                <w:rFonts w:eastAsia="MS Mincho" w:cs="Times New Roman"/>
                <w:color w:val="auto"/>
                <w:sz w:val="20"/>
              </w:rPr>
              <w:t>MEiN</w:t>
            </w:r>
            <w:proofErr w:type="spellEnd"/>
            <w:r w:rsidRPr="00532128">
              <w:rPr>
                <w:rFonts w:eastAsia="MS Mincho" w:cs="Times New Roman"/>
                <w:color w:val="auto"/>
                <w:sz w:val="20"/>
              </w:rPr>
              <w:t xml:space="preserve"> realizuje zadania w ramach tzw. kształcenia ustawicznego regulowanego w prawie oświatowym (takie kształcenie nie jest regulowane w prawie o szkolnictwie wyższym). Kształcenie ustawiczne realizowane jest w szkołach dla dorosłych, branżowych szkołach II stopnia, w szkołach policealnych oraz w formach pozaszkolnych (obejmujących kwalifikacyjny kurs zawodowy, kurs umiejętności zawodowych, kurs kompetencji ogólnych oparty na wybranym fragmencie podstawy programowej kształcenia ogólnego oraz inne kursy, w których program nauczania nie odnosi się do podstawy programowej kształcenia ogólnego lub kształcenia w zawodach). </w:t>
            </w:r>
          </w:p>
          <w:p w14:paraId="570B0FEE" w14:textId="77777777" w:rsidR="00AC120D" w:rsidRPr="00532128" w:rsidRDefault="00AC120D" w:rsidP="005B18BF">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W kształceniu ustawicznym mogą uczestniczyć dorośli niezależnie od wieku. Jednak ukierunkowanie tych form głównie na wzrost poziomu wykształcenia i nabywanie kwalifikacji zawodowych oraz ich charakter zbliżony do zajęć w szkołach powoduje, że tego typu edukacja odpowiada młodszym osobom dorosłym i nie przyciąga większej liczby seniorów. </w:t>
            </w:r>
          </w:p>
          <w:p w14:paraId="5E6F0430" w14:textId="5E03A14D" w:rsidR="00AC120D" w:rsidRPr="00532128" w:rsidRDefault="00AC120D" w:rsidP="005B18BF">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Kształcenie ustawiczne podlega monitorowaniu przez System Informacji Oświatowej (SIO). W monitorowaniu tym występuje kategoria wiekowa „30 lat i więcej” w odniesieniu do najstarszej kategorii wiekowej korzystającej z ofert tego kształcenia. Wyjątek </w:t>
            </w:r>
            <w:r w:rsidRPr="00532128">
              <w:rPr>
                <w:rFonts w:eastAsia="MS Mincho" w:cs="Times New Roman"/>
                <w:color w:val="auto"/>
                <w:sz w:val="20"/>
              </w:rPr>
              <w:lastRenderedPageBreak/>
              <w:t>dotyczy uczestników kwalifikacyjnych kursów zawodowych (KKZ) realizowanych w jednostkach systemu oświaty (kursy te mogą realizować także określone jedno</w:t>
            </w:r>
            <w:r w:rsidR="005B18BF">
              <w:rPr>
                <w:rFonts w:eastAsia="MS Mincho" w:cs="Times New Roman"/>
                <w:color w:val="auto"/>
                <w:sz w:val="20"/>
              </w:rPr>
              <w:t>stki spoza systemu oświaty, np. </w:t>
            </w:r>
            <w:r w:rsidRPr="00532128">
              <w:rPr>
                <w:rFonts w:eastAsia="MS Mincho" w:cs="Times New Roman"/>
                <w:color w:val="auto"/>
                <w:sz w:val="20"/>
              </w:rPr>
              <w:t xml:space="preserve">instytucje rynku pracy). </w:t>
            </w:r>
          </w:p>
          <w:p w14:paraId="64008066" w14:textId="00B7F082" w:rsidR="00AC120D" w:rsidRPr="00532128" w:rsidRDefault="00AC120D" w:rsidP="005B18BF">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Dane SIO za rok szkolny 2020/21 dotyczące uczestników KKZ realizowanych w jednostkach systemu oświaty wykazują, ż</w:t>
            </w:r>
            <w:r w:rsidR="005B18BF">
              <w:rPr>
                <w:rFonts w:eastAsia="MS Mincho" w:cs="Times New Roman"/>
                <w:color w:val="auto"/>
                <w:sz w:val="20"/>
              </w:rPr>
              <w:t>e </w:t>
            </w:r>
            <w:r w:rsidRPr="00532128">
              <w:rPr>
                <w:rFonts w:eastAsia="MS Mincho" w:cs="Times New Roman"/>
                <w:color w:val="auto"/>
                <w:sz w:val="20"/>
              </w:rPr>
              <w:t>korzysta z nich 708 osób w wieku 60-65 lat, 257 osób w wieku 66-70 lat oraz 100 osób od 71 do 90 roku życia. Razem jest to 1065 osób w wieku 60-90 lat, co stanowi ok. 1,5% korzystających z KKZ w systemie oświaty. Osoby w kategorii „30 lat i więcej” stanowią niespełna 50% wszystkich uczestników KKZ. Dane te wskazują na to, że kursowe formy kształcenia ustawicznego w systemie oświaty, w tym w szczególności KKZ, sto</w:t>
            </w:r>
            <w:r w:rsidR="005B18BF">
              <w:rPr>
                <w:rFonts w:eastAsia="MS Mincho" w:cs="Times New Roman"/>
                <w:color w:val="auto"/>
                <w:sz w:val="20"/>
              </w:rPr>
              <w:t>pniowo otwierają się na osoby w </w:t>
            </w:r>
            <w:r w:rsidRPr="00532128">
              <w:rPr>
                <w:rFonts w:eastAsia="MS Mincho" w:cs="Times New Roman"/>
                <w:color w:val="auto"/>
                <w:sz w:val="20"/>
              </w:rPr>
              <w:t>średnim wieku i starsze. Wcześniej formy te były zdominowane przez osoby do 30 roku życia.</w:t>
            </w:r>
          </w:p>
          <w:p w14:paraId="0D220999" w14:textId="77777777" w:rsidR="005B18BF" w:rsidRDefault="005B18BF" w:rsidP="005B18BF">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024AB687" w14:textId="0F56B9C9" w:rsidR="00AC120D" w:rsidRPr="00532128" w:rsidRDefault="00AC120D" w:rsidP="005B18BF">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Poza działaniami w ramach kształcenia ustawicznego  </w:t>
            </w:r>
            <w:proofErr w:type="spellStart"/>
            <w:r w:rsidRPr="00532128">
              <w:rPr>
                <w:rFonts w:eastAsia="MS Mincho" w:cs="Times New Roman"/>
                <w:color w:val="auto"/>
                <w:sz w:val="20"/>
              </w:rPr>
              <w:t>MEiN</w:t>
            </w:r>
            <w:proofErr w:type="spellEnd"/>
            <w:r w:rsidRPr="00532128">
              <w:rPr>
                <w:rFonts w:eastAsia="MS Mincho" w:cs="Times New Roman"/>
                <w:color w:val="auto"/>
                <w:sz w:val="20"/>
              </w:rPr>
              <w:t xml:space="preserve"> rozwija projekt Lokalne Ośrodki Wiedzy i Edukacji (LOWE) oferujący edukację </w:t>
            </w:r>
            <w:proofErr w:type="spellStart"/>
            <w:r w:rsidRPr="00532128">
              <w:rPr>
                <w:rFonts w:eastAsia="MS Mincho" w:cs="Times New Roman"/>
                <w:color w:val="auto"/>
                <w:sz w:val="20"/>
              </w:rPr>
              <w:t>pozaformalną</w:t>
            </w:r>
            <w:proofErr w:type="spellEnd"/>
            <w:r w:rsidRPr="00532128">
              <w:rPr>
                <w:rFonts w:eastAsia="MS Mincho" w:cs="Times New Roman"/>
                <w:color w:val="auto"/>
                <w:sz w:val="20"/>
              </w:rPr>
              <w:t xml:space="preserve"> dla dorosłych z obszarów </w:t>
            </w:r>
            <w:proofErr w:type="spellStart"/>
            <w:r w:rsidRPr="00532128">
              <w:rPr>
                <w:rFonts w:eastAsia="MS Mincho" w:cs="Times New Roman"/>
                <w:color w:val="auto"/>
                <w:sz w:val="20"/>
              </w:rPr>
              <w:t>defaworyzowanych</w:t>
            </w:r>
            <w:proofErr w:type="spellEnd"/>
            <w:r w:rsidRPr="00532128">
              <w:rPr>
                <w:rFonts w:eastAsia="MS Mincho" w:cs="Times New Roman"/>
                <w:color w:val="auto"/>
                <w:sz w:val="20"/>
              </w:rPr>
              <w:t xml:space="preserve"> nienależnie od wieku. Treści tej edukacji nie opierają się na regulowanych w systemie oświaty podstawie kształcenia ogólnego oraz podstawie kształcenia w zawodach. Opierają się na diagnozach potrzeb dorosłych w społecznościach lokalnych. Jeśli diagnoza taka wskazuje na istotne potrzeby seniorów, to zajęcia mogą być dostosowane także do tych potrzeb. </w:t>
            </w:r>
          </w:p>
          <w:p w14:paraId="0FBE7E32" w14:textId="7FAB5E23" w:rsidR="00AC120D" w:rsidRDefault="00AC120D" w:rsidP="005B18BF">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W 2017 </w:t>
            </w:r>
            <w:r w:rsidR="00794F5B">
              <w:rPr>
                <w:rFonts w:eastAsia="MS Mincho" w:cs="Times New Roman"/>
                <w:color w:val="auto"/>
                <w:sz w:val="20"/>
              </w:rPr>
              <w:t>r.</w:t>
            </w:r>
            <w:r w:rsidRPr="00532128">
              <w:rPr>
                <w:rFonts w:eastAsia="MS Mincho" w:cs="Times New Roman"/>
                <w:color w:val="auto"/>
                <w:sz w:val="20"/>
              </w:rPr>
              <w:t xml:space="preserve"> do projektu LOWE przyst</w:t>
            </w:r>
            <w:r w:rsidR="005B18BF">
              <w:rPr>
                <w:rFonts w:eastAsia="MS Mincho" w:cs="Times New Roman"/>
                <w:color w:val="auto"/>
                <w:sz w:val="20"/>
              </w:rPr>
              <w:t>ąpiło dobrowolnie 50 szkół z 13 </w:t>
            </w:r>
            <w:r w:rsidRPr="00532128">
              <w:rPr>
                <w:rFonts w:eastAsia="MS Mincho" w:cs="Times New Roman"/>
                <w:color w:val="auto"/>
                <w:sz w:val="20"/>
              </w:rPr>
              <w:t xml:space="preserve">województw. Po dobrym odbiorze tej nowej funkcji szkół </w:t>
            </w:r>
            <w:proofErr w:type="spellStart"/>
            <w:r w:rsidRPr="00532128">
              <w:rPr>
                <w:rFonts w:eastAsia="MS Mincho" w:cs="Times New Roman"/>
                <w:color w:val="auto"/>
                <w:sz w:val="20"/>
              </w:rPr>
              <w:t>MEiN</w:t>
            </w:r>
            <w:proofErr w:type="spellEnd"/>
            <w:r w:rsidRPr="00532128">
              <w:rPr>
                <w:rFonts w:eastAsia="MS Mincho" w:cs="Times New Roman"/>
                <w:color w:val="auto"/>
                <w:sz w:val="20"/>
              </w:rPr>
              <w:t xml:space="preserve"> rozszerzyło pro</w:t>
            </w:r>
            <w:r w:rsidR="005B18BF">
              <w:rPr>
                <w:rFonts w:eastAsia="MS Mincho" w:cs="Times New Roman"/>
                <w:color w:val="auto"/>
                <w:sz w:val="20"/>
              </w:rPr>
              <w:t>jekt o następnych 100 LOWE z 14 </w:t>
            </w:r>
            <w:r w:rsidRPr="00532128">
              <w:rPr>
                <w:rFonts w:eastAsia="MS Mincho" w:cs="Times New Roman"/>
                <w:color w:val="auto"/>
                <w:sz w:val="20"/>
              </w:rPr>
              <w:t>województw, które zaczęły działalność od jesieni 2020 r. (ograni</w:t>
            </w:r>
            <w:r w:rsidR="005B18BF">
              <w:rPr>
                <w:rFonts w:eastAsia="MS Mincho" w:cs="Times New Roman"/>
                <w:color w:val="auto"/>
                <w:sz w:val="20"/>
              </w:rPr>
              <w:t xml:space="preserve">czaną ze względu na epidemię). </w:t>
            </w:r>
          </w:p>
          <w:p w14:paraId="6C4770C1" w14:textId="77777777" w:rsidR="005B18BF" w:rsidRPr="00532128" w:rsidRDefault="005B18BF" w:rsidP="005B18BF">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19FBF5A8" w14:textId="77777777" w:rsidR="008D1784" w:rsidRPr="00532128" w:rsidRDefault="008D1784" w:rsidP="005B18BF">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Zapewnianie osobom starszym dostępu do usług edukacyjnych świadczonych w ramach uczenia się przez całe życie wpisuje się w </w:t>
            </w:r>
            <w:r w:rsidRPr="00532128">
              <w:rPr>
                <w:rFonts w:eastAsia="MS Mincho" w:cs="Times New Roman"/>
                <w:color w:val="auto"/>
                <w:sz w:val="20"/>
              </w:rPr>
              <w:lastRenderedPageBreak/>
              <w:t xml:space="preserve">programy </w:t>
            </w:r>
            <w:proofErr w:type="spellStart"/>
            <w:r w:rsidRPr="00532128">
              <w:rPr>
                <w:rFonts w:eastAsia="MS Mincho" w:cs="Times New Roman"/>
                <w:color w:val="auto"/>
                <w:sz w:val="20"/>
              </w:rPr>
              <w:t>MKDNiS</w:t>
            </w:r>
            <w:proofErr w:type="spellEnd"/>
            <w:r w:rsidRPr="00532128">
              <w:rPr>
                <w:rFonts w:eastAsia="MS Mincho" w:cs="Times New Roman"/>
                <w:color w:val="auto"/>
                <w:sz w:val="20"/>
              </w:rPr>
              <w:t xml:space="preserve"> – Edukacja kulturalna i Infrastruktura Bibliotek. </w:t>
            </w:r>
          </w:p>
          <w:p w14:paraId="720BF3AD" w14:textId="77777777" w:rsidR="008D1784" w:rsidRPr="00532128" w:rsidRDefault="008D1784" w:rsidP="005B18BF">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4F901A89" w14:textId="4194D613" w:rsidR="008D1784" w:rsidRPr="00532128" w:rsidRDefault="008D1784" w:rsidP="005B18BF">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Jedno z zadań programu Edukacja K</w:t>
            </w:r>
            <w:r w:rsidR="005B18BF">
              <w:rPr>
                <w:rFonts w:eastAsia="MS Mincho" w:cs="Times New Roman"/>
                <w:color w:val="auto"/>
                <w:sz w:val="20"/>
              </w:rPr>
              <w:t>ulturalna polega na tworzeniu i </w:t>
            </w:r>
            <w:r w:rsidRPr="00532128">
              <w:rPr>
                <w:rFonts w:eastAsia="MS Mincho" w:cs="Times New Roman"/>
                <w:color w:val="auto"/>
                <w:sz w:val="20"/>
              </w:rPr>
              <w:t>prowadzeniu kompleksowych działań z zakresu edukacji kulturalnej skierowanych do osób dorosłych, w szczególności wykorzystującej formułę tzw. „</w:t>
            </w:r>
            <w:r w:rsidR="005B18BF">
              <w:rPr>
                <w:rFonts w:eastAsia="MS Mincho" w:cs="Times New Roman"/>
                <w:color w:val="auto"/>
                <w:sz w:val="20"/>
              </w:rPr>
              <w:t>uniwersytetów ludowych”. W 2020 </w:t>
            </w:r>
            <w:r w:rsidR="00794F5B">
              <w:rPr>
                <w:rFonts w:eastAsia="MS Mincho" w:cs="Times New Roman"/>
                <w:color w:val="auto"/>
                <w:sz w:val="20"/>
              </w:rPr>
              <w:t>r.</w:t>
            </w:r>
            <w:r w:rsidRPr="00532128">
              <w:rPr>
                <w:rFonts w:eastAsia="MS Mincho" w:cs="Times New Roman"/>
                <w:color w:val="auto"/>
                <w:sz w:val="20"/>
              </w:rPr>
              <w:t xml:space="preserve"> zrealizowano 8 zadań na łączną kwotę 413 000 zł. </w:t>
            </w:r>
          </w:p>
          <w:p w14:paraId="6656E48A" w14:textId="77777777" w:rsidR="008D1784" w:rsidRPr="00532128" w:rsidRDefault="008D1784" w:rsidP="005B18BF">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11C859A7" w14:textId="1B6187FA" w:rsidR="00311D18" w:rsidRPr="00532128" w:rsidRDefault="008D1784" w:rsidP="005B18BF">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r w:rsidRPr="00532128">
              <w:rPr>
                <w:rFonts w:eastAsia="MS Mincho" w:cs="Times New Roman"/>
                <w:color w:val="auto"/>
                <w:sz w:val="20"/>
              </w:rPr>
              <w:t>W ramach programu „Infrastruktura Bibliotek” wśród kryteriów punktowanych znajduje się kryterium nr 4: „Po zakończeniu zadania biblioteka będzie realizowała działania służące podnoszeniu kompetencji informatycznych (cyfrowych) lokalnej społeczności, przy jednoczesnym właściwym zaplanowaniu wyposażenia dla tak definiowanej funkcji”, które to kryterium, jak pokazuje praktyka, najczęściej realizowane jest przez organizację kursów komputerowych dla seniorów</w:t>
            </w:r>
          </w:p>
        </w:tc>
      </w:tr>
      <w:tr w:rsidR="0092226B" w:rsidRPr="0092226B" w14:paraId="1494869A"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57D8F673" w14:textId="77777777" w:rsidR="00311D18" w:rsidRPr="0092226B" w:rsidRDefault="00311D18" w:rsidP="003C1988">
            <w:pPr>
              <w:rPr>
                <w:rFonts w:cs="Times New Roman"/>
                <w:color w:val="FF0000"/>
                <w:sz w:val="20"/>
              </w:rPr>
            </w:pPr>
          </w:p>
        </w:tc>
        <w:tc>
          <w:tcPr>
            <w:tcW w:w="3594" w:type="dxa"/>
            <w:vMerge w:val="restart"/>
          </w:tcPr>
          <w:p w14:paraId="39737D48"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Wsparcie osób bezrobotnych i poszukujących pracy w starszych grupach wiekowych w dostępie </w:t>
            </w:r>
            <w:r w:rsidRPr="00532128">
              <w:rPr>
                <w:rFonts w:ascii="Times New Roman" w:eastAsia="MS Mincho" w:hAnsi="Times New Roman"/>
                <w:color w:val="auto"/>
                <w:sz w:val="20"/>
              </w:rPr>
              <w:br/>
              <w:t>do programów aktywizacji zawodowej, oferowanych przez urzędy pracy</w:t>
            </w:r>
          </w:p>
        </w:tc>
        <w:tc>
          <w:tcPr>
            <w:tcW w:w="2032" w:type="dxa"/>
            <w:vMerge w:val="restart"/>
          </w:tcPr>
          <w:p w14:paraId="1E9A1564" w14:textId="3400012D" w:rsidR="00311D18" w:rsidRPr="00532128" w:rsidRDefault="00081C36"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t>Ministerstwo Rodziny i Polityki Społecznej</w:t>
            </w:r>
          </w:p>
        </w:tc>
        <w:tc>
          <w:tcPr>
            <w:tcW w:w="1500" w:type="dxa"/>
            <w:vMerge w:val="restart"/>
          </w:tcPr>
          <w:p w14:paraId="183355D4"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047057D9"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 xml:space="preserve">Liczba osób bezrobotnych i poszukujących pracy w starszych grupach wiekowych objętych przez urzędy pracy wsparciem w zakresie aktywizacji zawodowej </w:t>
            </w:r>
          </w:p>
          <w:p w14:paraId="64E6CB4A"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b/>
                <w:color w:val="auto"/>
                <w:sz w:val="20"/>
              </w:rPr>
            </w:pPr>
            <w:r w:rsidRPr="00532128">
              <w:rPr>
                <w:rFonts w:ascii="Times New Roman" w:eastAsia="MS Mincho" w:hAnsi="Times New Roman"/>
                <w:b/>
                <w:color w:val="auto"/>
                <w:sz w:val="20"/>
              </w:rPr>
              <w:t>oraz</w:t>
            </w:r>
          </w:p>
          <w:p w14:paraId="0511BD36"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i/>
                <w:color w:val="auto"/>
                <w:sz w:val="20"/>
              </w:rPr>
            </w:pPr>
            <w:r w:rsidRPr="00532128">
              <w:rPr>
                <w:rFonts w:ascii="Times New Roman" w:eastAsia="MS Mincho" w:hAnsi="Times New Roman"/>
                <w:i/>
                <w:color w:val="auto"/>
                <w:sz w:val="20"/>
              </w:rPr>
              <w:t xml:space="preserve">Liczba </w:t>
            </w:r>
            <w:r w:rsidRPr="00532128">
              <w:rPr>
                <w:rFonts w:ascii="Times New Roman" w:hAnsi="Times New Roman"/>
                <w:i/>
                <w:color w:val="auto"/>
                <w:sz w:val="20"/>
              </w:rPr>
              <w:t>osób starszych, które podjęły pracę w wyniku uczestnictwa w aktywizacji zawodowej</w:t>
            </w:r>
          </w:p>
        </w:tc>
      </w:tr>
      <w:tr w:rsidR="0092226B" w:rsidRPr="0092226B" w14:paraId="7315D6E6"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20FC8E73" w14:textId="77777777" w:rsidR="00311D18" w:rsidRPr="0092226B" w:rsidRDefault="00311D18" w:rsidP="003C1988">
            <w:pPr>
              <w:rPr>
                <w:rFonts w:cs="Times New Roman"/>
                <w:color w:val="FF0000"/>
                <w:sz w:val="20"/>
              </w:rPr>
            </w:pPr>
          </w:p>
        </w:tc>
        <w:tc>
          <w:tcPr>
            <w:tcW w:w="3594" w:type="dxa"/>
            <w:vMerge/>
          </w:tcPr>
          <w:p w14:paraId="13F196B7"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362FA227"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5C6C8A6F"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4B079D1D" w14:textId="4D1BBD3E" w:rsidR="00A617E5" w:rsidRPr="005B18BF" w:rsidRDefault="00A617E5" w:rsidP="005B18BF">
            <w:pPr>
              <w:pStyle w:val="Kolorowalistaakcent11"/>
              <w:spacing w:after="12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szCs w:val="20"/>
              </w:rPr>
            </w:pPr>
            <w:r w:rsidRPr="005B18BF">
              <w:rPr>
                <w:rFonts w:ascii="Times New Roman" w:eastAsia="MS Mincho" w:hAnsi="Times New Roman"/>
                <w:color w:val="auto"/>
                <w:sz w:val="20"/>
                <w:szCs w:val="20"/>
              </w:rPr>
              <w:t xml:space="preserve">W 2020 r. udział w aktywnych programach rynku pracy rozpoczęło 30,1 tys. bezrobotnych powyżej </w:t>
            </w:r>
            <w:r w:rsidR="005B18BF">
              <w:t xml:space="preserve"> </w:t>
            </w:r>
            <w:r w:rsidR="005B18BF" w:rsidRPr="005B18BF">
              <w:rPr>
                <w:rFonts w:ascii="Times New Roman" w:eastAsia="MS Mincho" w:hAnsi="Times New Roman"/>
                <w:color w:val="auto"/>
                <w:sz w:val="20"/>
                <w:szCs w:val="20"/>
              </w:rPr>
              <w:t>pow. 50 r.ż</w:t>
            </w:r>
            <w:r w:rsidR="005B18BF">
              <w:rPr>
                <w:rFonts w:ascii="Times New Roman" w:eastAsia="MS Mincho" w:hAnsi="Times New Roman"/>
                <w:color w:val="auto"/>
                <w:sz w:val="20"/>
                <w:szCs w:val="20"/>
              </w:rPr>
              <w:t>.</w:t>
            </w:r>
            <w:r w:rsidR="005B18BF" w:rsidRPr="005B18BF">
              <w:rPr>
                <w:rFonts w:ascii="Times New Roman" w:eastAsia="MS Mincho" w:hAnsi="Times New Roman"/>
                <w:color w:val="auto"/>
                <w:sz w:val="20"/>
                <w:szCs w:val="20"/>
              </w:rPr>
              <w:t xml:space="preserve"> </w:t>
            </w:r>
            <w:r w:rsidRPr="005B18BF">
              <w:rPr>
                <w:rFonts w:ascii="Times New Roman" w:eastAsia="MS Mincho" w:hAnsi="Times New Roman"/>
                <w:color w:val="auto"/>
                <w:sz w:val="20"/>
                <w:szCs w:val="20"/>
              </w:rPr>
              <w:t>i stanowili 14,1% wszystkich zaktywizowanyc</w:t>
            </w:r>
            <w:r w:rsidR="005B18BF">
              <w:rPr>
                <w:rFonts w:ascii="Times New Roman" w:eastAsia="MS Mincho" w:hAnsi="Times New Roman"/>
                <w:color w:val="auto"/>
                <w:sz w:val="20"/>
                <w:szCs w:val="20"/>
              </w:rPr>
              <w:t>h bezrobotnych. W porównaniu do </w:t>
            </w:r>
            <w:r w:rsidRPr="005B18BF">
              <w:rPr>
                <w:rFonts w:ascii="Times New Roman" w:eastAsia="MS Mincho" w:hAnsi="Times New Roman"/>
                <w:color w:val="auto"/>
                <w:sz w:val="20"/>
                <w:szCs w:val="20"/>
              </w:rPr>
              <w:t xml:space="preserve">2019 r. liczba bezrobotnych </w:t>
            </w:r>
            <w:r w:rsidR="005B18BF">
              <w:t xml:space="preserve"> </w:t>
            </w:r>
            <w:r w:rsidR="005B18BF" w:rsidRPr="005B18BF">
              <w:rPr>
                <w:rFonts w:ascii="Times New Roman" w:eastAsia="MS Mincho" w:hAnsi="Times New Roman"/>
                <w:color w:val="auto"/>
                <w:sz w:val="20"/>
                <w:szCs w:val="20"/>
              </w:rPr>
              <w:t>pow. 50 r.ż</w:t>
            </w:r>
            <w:r w:rsidR="005B18BF">
              <w:rPr>
                <w:rFonts w:ascii="Times New Roman" w:eastAsia="MS Mincho" w:hAnsi="Times New Roman"/>
                <w:color w:val="auto"/>
                <w:sz w:val="20"/>
                <w:szCs w:val="20"/>
              </w:rPr>
              <w:t>.</w:t>
            </w:r>
            <w:r w:rsidR="005B18BF" w:rsidRPr="005B18BF">
              <w:rPr>
                <w:rFonts w:ascii="Times New Roman" w:eastAsia="MS Mincho" w:hAnsi="Times New Roman"/>
                <w:color w:val="auto"/>
                <w:sz w:val="20"/>
                <w:szCs w:val="20"/>
              </w:rPr>
              <w:t xml:space="preserve"> </w:t>
            </w:r>
            <w:r w:rsidRPr="005B18BF">
              <w:rPr>
                <w:rFonts w:ascii="Times New Roman" w:eastAsia="MS Mincho" w:hAnsi="Times New Roman"/>
                <w:color w:val="auto"/>
                <w:sz w:val="20"/>
                <w:szCs w:val="20"/>
              </w:rPr>
              <w:t>objętych aktywnymi formami pomocy zmniejszyła się o 11,5 tys. osó</w:t>
            </w:r>
            <w:r w:rsidR="005B18BF">
              <w:rPr>
                <w:rFonts w:ascii="Times New Roman" w:eastAsia="MS Mincho" w:hAnsi="Times New Roman"/>
                <w:color w:val="auto"/>
                <w:sz w:val="20"/>
                <w:szCs w:val="20"/>
              </w:rPr>
              <w:t>b, tj. o </w:t>
            </w:r>
            <w:r w:rsidRPr="005B18BF">
              <w:rPr>
                <w:rFonts w:ascii="Times New Roman" w:eastAsia="MS Mincho" w:hAnsi="Times New Roman"/>
                <w:color w:val="auto"/>
                <w:sz w:val="20"/>
                <w:szCs w:val="20"/>
              </w:rPr>
              <w:t>27,6%, przy czym zaznaczyć należy</w:t>
            </w:r>
            <w:r w:rsidR="005B18BF">
              <w:rPr>
                <w:rFonts w:ascii="Times New Roman" w:eastAsia="MS Mincho" w:hAnsi="Times New Roman"/>
                <w:color w:val="auto"/>
                <w:sz w:val="20"/>
                <w:szCs w:val="20"/>
              </w:rPr>
              <w:t>, że z uwagi sytuację związaną z pandemią o </w:t>
            </w:r>
            <w:r w:rsidRPr="005B18BF">
              <w:rPr>
                <w:rFonts w:ascii="Times New Roman" w:eastAsia="MS Mincho" w:hAnsi="Times New Roman"/>
                <w:color w:val="auto"/>
                <w:sz w:val="20"/>
                <w:szCs w:val="20"/>
              </w:rPr>
              <w:t>25,8% zmniejszyła się również ogólna liczba zaktywizowanych bezrobotnych. Na</w:t>
            </w:r>
            <w:r w:rsidR="005B18BF">
              <w:rPr>
                <w:rFonts w:ascii="Times New Roman" w:eastAsia="MS Mincho" w:hAnsi="Times New Roman"/>
                <w:color w:val="auto"/>
                <w:sz w:val="20"/>
                <w:szCs w:val="20"/>
              </w:rPr>
              <w:t>jwięcej bezrobotnych pow. 50 r.</w:t>
            </w:r>
            <w:r w:rsidRPr="005B18BF">
              <w:rPr>
                <w:rFonts w:ascii="Times New Roman" w:eastAsia="MS Mincho" w:hAnsi="Times New Roman"/>
                <w:color w:val="auto"/>
                <w:sz w:val="20"/>
                <w:szCs w:val="20"/>
              </w:rPr>
              <w:t>ż</w:t>
            </w:r>
            <w:r w:rsidR="005B18BF">
              <w:rPr>
                <w:rFonts w:ascii="Times New Roman" w:eastAsia="MS Mincho" w:hAnsi="Times New Roman"/>
                <w:color w:val="auto"/>
                <w:sz w:val="20"/>
                <w:szCs w:val="20"/>
              </w:rPr>
              <w:t>.</w:t>
            </w:r>
            <w:r w:rsidRPr="005B18BF">
              <w:rPr>
                <w:rFonts w:ascii="Times New Roman" w:eastAsia="MS Mincho" w:hAnsi="Times New Roman"/>
                <w:color w:val="auto"/>
                <w:sz w:val="20"/>
                <w:szCs w:val="20"/>
              </w:rPr>
              <w:t xml:space="preserve"> rozpoczęło prace subsydiowane (15,8 tys. osób), prace społecznie użyteczne (7,5 tys.) oraz staż (5,2 tys.). </w:t>
            </w:r>
          </w:p>
          <w:p w14:paraId="7E2344BD" w14:textId="6F003352" w:rsidR="00A617E5" w:rsidRPr="005B18BF" w:rsidRDefault="00A617E5" w:rsidP="005B18BF">
            <w:pPr>
              <w:pStyle w:val="Kolorowalistaakcent11"/>
              <w:spacing w:after="12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szCs w:val="20"/>
              </w:rPr>
            </w:pPr>
            <w:r w:rsidRPr="005B18BF">
              <w:rPr>
                <w:rFonts w:ascii="Times New Roman" w:eastAsia="MS Mincho" w:hAnsi="Times New Roman"/>
                <w:color w:val="auto"/>
                <w:sz w:val="20"/>
                <w:szCs w:val="20"/>
              </w:rPr>
              <w:t>Udział w działaniach aktywizacy</w:t>
            </w:r>
            <w:r w:rsidR="005B18BF">
              <w:rPr>
                <w:rFonts w:ascii="Times New Roman" w:eastAsia="MS Mincho" w:hAnsi="Times New Roman"/>
                <w:color w:val="auto"/>
                <w:sz w:val="20"/>
                <w:szCs w:val="20"/>
              </w:rPr>
              <w:t>jnych zakończyło w 2020 r. 29,2 </w:t>
            </w:r>
            <w:r w:rsidRPr="005B18BF">
              <w:rPr>
                <w:rFonts w:ascii="Times New Roman" w:eastAsia="MS Mincho" w:hAnsi="Times New Roman"/>
                <w:color w:val="auto"/>
                <w:sz w:val="20"/>
                <w:szCs w:val="20"/>
              </w:rPr>
              <w:t xml:space="preserve">tys. bezrobotnych </w:t>
            </w:r>
            <w:r w:rsidR="005B18BF" w:rsidRPr="005B18BF">
              <w:rPr>
                <w:rFonts w:ascii="Times New Roman" w:eastAsia="MS Mincho" w:hAnsi="Times New Roman"/>
                <w:color w:val="auto"/>
                <w:sz w:val="20"/>
                <w:szCs w:val="20"/>
              </w:rPr>
              <w:t>pow. 50 r.ż</w:t>
            </w:r>
            <w:r w:rsidR="005B18BF">
              <w:rPr>
                <w:rFonts w:ascii="Times New Roman" w:eastAsia="MS Mincho" w:hAnsi="Times New Roman"/>
                <w:color w:val="auto"/>
                <w:sz w:val="20"/>
                <w:szCs w:val="20"/>
              </w:rPr>
              <w:t>.</w:t>
            </w:r>
            <w:r w:rsidR="005B18BF" w:rsidRPr="005B18BF">
              <w:rPr>
                <w:rFonts w:ascii="Times New Roman" w:eastAsia="MS Mincho" w:hAnsi="Times New Roman"/>
                <w:color w:val="auto"/>
                <w:sz w:val="20"/>
                <w:szCs w:val="20"/>
              </w:rPr>
              <w:t xml:space="preserve"> </w:t>
            </w:r>
            <w:r w:rsidRPr="005B18BF">
              <w:rPr>
                <w:rFonts w:ascii="Times New Roman" w:eastAsia="MS Mincho" w:hAnsi="Times New Roman"/>
                <w:color w:val="auto"/>
                <w:sz w:val="20"/>
                <w:szCs w:val="20"/>
              </w:rPr>
              <w:t xml:space="preserve">, z czego 20,3 tys. podjęło pracę </w:t>
            </w:r>
            <w:r w:rsidRPr="005B18BF">
              <w:rPr>
                <w:rFonts w:ascii="Times New Roman" w:eastAsia="MS Mincho" w:hAnsi="Times New Roman"/>
                <w:color w:val="auto"/>
                <w:sz w:val="20"/>
                <w:szCs w:val="20"/>
              </w:rPr>
              <w:lastRenderedPageBreak/>
              <w:t>w trakcie lub w okresie do 3 miesięcy od zakończenia aktywizacji (69,5% zaktywizowanych bezrobotnych pow. 50 r. ż</w:t>
            </w:r>
            <w:r w:rsidR="005B18BF" w:rsidRPr="005B18BF">
              <w:rPr>
                <w:rFonts w:ascii="Times New Roman" w:eastAsia="MS Mincho" w:hAnsi="Times New Roman"/>
                <w:color w:val="auto"/>
                <w:sz w:val="20"/>
                <w:szCs w:val="20"/>
              </w:rPr>
              <w:t>.</w:t>
            </w:r>
            <w:r w:rsidRPr="005B18BF">
              <w:rPr>
                <w:rFonts w:ascii="Times New Roman" w:eastAsia="MS Mincho" w:hAnsi="Times New Roman"/>
                <w:color w:val="auto"/>
                <w:sz w:val="20"/>
                <w:szCs w:val="20"/>
              </w:rPr>
              <w:t>).</w:t>
            </w:r>
          </w:p>
          <w:p w14:paraId="2A10F362" w14:textId="735A4F98" w:rsidR="00A617E5" w:rsidRPr="005B18BF" w:rsidRDefault="00A617E5" w:rsidP="005B18BF">
            <w:pPr>
              <w:pStyle w:val="Kolorowalistaakcent11"/>
              <w:spacing w:after="12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szCs w:val="20"/>
              </w:rPr>
            </w:pPr>
            <w:r w:rsidRPr="005B18BF">
              <w:rPr>
                <w:rFonts w:ascii="Times New Roman" w:eastAsia="MS Mincho" w:hAnsi="Times New Roman"/>
                <w:color w:val="auto"/>
                <w:sz w:val="20"/>
                <w:szCs w:val="20"/>
              </w:rPr>
              <w:t>Udział w programach specjalnych rozpoczę</w:t>
            </w:r>
            <w:r w:rsidR="005B18BF">
              <w:rPr>
                <w:rFonts w:ascii="Times New Roman" w:eastAsia="MS Mincho" w:hAnsi="Times New Roman"/>
                <w:color w:val="auto"/>
                <w:sz w:val="20"/>
                <w:szCs w:val="20"/>
              </w:rPr>
              <w:t>ło 131 osób bezrobotnych pow. 50 r. ż.</w:t>
            </w:r>
            <w:r w:rsidRPr="005B18BF">
              <w:rPr>
                <w:rFonts w:ascii="Times New Roman" w:eastAsia="MS Mincho" w:hAnsi="Times New Roman"/>
                <w:color w:val="auto"/>
                <w:sz w:val="20"/>
                <w:szCs w:val="20"/>
              </w:rPr>
              <w:t xml:space="preserve"> i stanowili oni 28,2% ogólnej liczby bezrobotnych, którzy rozpoczęli programy specjalne. Prawie 59% osób, które ukończyły programy specjalne w 2020 r. podjęło pracę w trakcie lub do 3 m</w:t>
            </w:r>
            <w:r w:rsidR="00794F5B" w:rsidRPr="005B18BF">
              <w:rPr>
                <w:rFonts w:ascii="Times New Roman" w:eastAsia="MS Mincho" w:hAnsi="Times New Roman"/>
                <w:color w:val="auto"/>
                <w:sz w:val="20"/>
                <w:szCs w:val="20"/>
              </w:rPr>
              <w:t>iesięcy</w:t>
            </w:r>
            <w:r w:rsidR="005B18BF" w:rsidRPr="005B18BF">
              <w:rPr>
                <w:rFonts w:ascii="Times New Roman" w:eastAsia="MS Mincho" w:hAnsi="Times New Roman"/>
                <w:color w:val="auto"/>
                <w:sz w:val="20"/>
                <w:szCs w:val="20"/>
              </w:rPr>
              <w:t xml:space="preserve"> po zakończeniu udziału w </w:t>
            </w:r>
            <w:r w:rsidRPr="005B18BF">
              <w:rPr>
                <w:rFonts w:ascii="Times New Roman" w:eastAsia="MS Mincho" w:hAnsi="Times New Roman"/>
                <w:color w:val="auto"/>
                <w:sz w:val="20"/>
                <w:szCs w:val="20"/>
              </w:rPr>
              <w:t xml:space="preserve">programie i wykonywało ją co najmniej 30 dni. </w:t>
            </w:r>
          </w:p>
          <w:p w14:paraId="1108723B" w14:textId="0073B619" w:rsidR="005B18BF" w:rsidRPr="005B18BF" w:rsidRDefault="00A617E5" w:rsidP="005B18BF">
            <w:pPr>
              <w:pStyle w:val="Kolorowalistaakcent11"/>
              <w:spacing w:after="12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szCs w:val="20"/>
              </w:rPr>
            </w:pPr>
            <w:r w:rsidRPr="005B18BF">
              <w:rPr>
                <w:rFonts w:ascii="Times New Roman" w:eastAsia="MS Mincho" w:hAnsi="Times New Roman"/>
                <w:color w:val="auto"/>
                <w:sz w:val="20"/>
                <w:szCs w:val="20"/>
              </w:rPr>
              <w:t>W programach regionalnych w 2020 r. rozpoczęło udz</w:t>
            </w:r>
            <w:r w:rsidR="005B18BF">
              <w:rPr>
                <w:rFonts w:ascii="Times New Roman" w:eastAsia="MS Mincho" w:hAnsi="Times New Roman"/>
                <w:color w:val="auto"/>
                <w:sz w:val="20"/>
                <w:szCs w:val="20"/>
              </w:rPr>
              <w:t>iał 360 bezrobotnych pow. 50 r.</w:t>
            </w:r>
            <w:r w:rsidRPr="005B18BF">
              <w:rPr>
                <w:rFonts w:ascii="Times New Roman" w:eastAsia="MS Mincho" w:hAnsi="Times New Roman"/>
                <w:color w:val="auto"/>
                <w:sz w:val="20"/>
                <w:szCs w:val="20"/>
              </w:rPr>
              <w:t xml:space="preserve">ż., zakończyło 401 osób, a  pracę </w:t>
            </w:r>
            <w:r w:rsidRPr="005B18BF">
              <w:rPr>
                <w:rFonts w:ascii="Times New Roman" w:eastAsia="MS Mincho" w:hAnsi="Times New Roman"/>
                <w:color w:val="auto"/>
                <w:sz w:val="20"/>
                <w:szCs w:val="20"/>
              </w:rPr>
              <w:br/>
              <w:t>w trakcie lub do 3 m</w:t>
            </w:r>
            <w:r w:rsidR="00794F5B" w:rsidRPr="005B18BF">
              <w:rPr>
                <w:rFonts w:ascii="Times New Roman" w:eastAsia="MS Mincho" w:hAnsi="Times New Roman"/>
                <w:color w:val="auto"/>
                <w:sz w:val="20"/>
                <w:szCs w:val="20"/>
              </w:rPr>
              <w:t>iesięcy</w:t>
            </w:r>
            <w:r w:rsidRPr="005B18BF">
              <w:rPr>
                <w:rFonts w:ascii="Times New Roman" w:eastAsia="MS Mincho" w:hAnsi="Times New Roman"/>
                <w:color w:val="auto"/>
                <w:sz w:val="20"/>
                <w:szCs w:val="20"/>
              </w:rPr>
              <w:t xml:space="preserve"> po zakończeniu udziału w programie podjęło 305 osób (84,7% </w:t>
            </w:r>
            <w:r w:rsidR="005B18BF" w:rsidRPr="005B18BF">
              <w:rPr>
                <w:rFonts w:ascii="Times New Roman" w:eastAsia="MS Mincho" w:hAnsi="Times New Roman"/>
                <w:color w:val="auto"/>
                <w:sz w:val="20"/>
                <w:szCs w:val="20"/>
              </w:rPr>
              <w:t>osób, które zakończyły udział).</w:t>
            </w:r>
          </w:p>
          <w:p w14:paraId="184CD1BB" w14:textId="6BC97C67" w:rsidR="005B18BF" w:rsidRPr="005B18BF" w:rsidRDefault="00A617E5" w:rsidP="005B18BF">
            <w:pPr>
              <w:pStyle w:val="Kolorowalistaakcent11"/>
              <w:spacing w:after="12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B18BF">
              <w:rPr>
                <w:rFonts w:ascii="Times New Roman" w:hAnsi="Times New Roman"/>
                <w:color w:val="auto"/>
                <w:sz w:val="20"/>
                <w:szCs w:val="20"/>
              </w:rPr>
              <w:t>Ponadto w 2020 r. w ramach prowadzonego przez urzędy pracy poradnictwa zawodowego 21</w:t>
            </w:r>
            <w:r w:rsidR="005B18BF">
              <w:rPr>
                <w:rFonts w:ascii="Times New Roman" w:hAnsi="Times New Roman"/>
                <w:color w:val="auto"/>
                <w:sz w:val="20"/>
                <w:szCs w:val="20"/>
              </w:rPr>
              <w:t>,5 tys. bezrobotnych pow. 50 r.</w:t>
            </w:r>
            <w:r w:rsidRPr="005B18BF">
              <w:rPr>
                <w:rFonts w:ascii="Times New Roman" w:hAnsi="Times New Roman"/>
                <w:color w:val="auto"/>
                <w:sz w:val="20"/>
                <w:szCs w:val="20"/>
              </w:rPr>
              <w:t>ż</w:t>
            </w:r>
            <w:r w:rsidR="005B18BF">
              <w:rPr>
                <w:rFonts w:ascii="Times New Roman" w:hAnsi="Times New Roman"/>
                <w:color w:val="auto"/>
                <w:sz w:val="20"/>
                <w:szCs w:val="20"/>
              </w:rPr>
              <w:t>.</w:t>
            </w:r>
            <w:r w:rsidRPr="005B18BF">
              <w:rPr>
                <w:rFonts w:ascii="Times New Roman" w:hAnsi="Times New Roman"/>
                <w:color w:val="auto"/>
                <w:sz w:val="20"/>
                <w:szCs w:val="20"/>
              </w:rPr>
              <w:t xml:space="preserve"> skorzystało z porad indywidualnych, </w:t>
            </w:r>
            <w:r w:rsidR="005B18BF">
              <w:rPr>
                <w:rFonts w:ascii="Times New Roman" w:hAnsi="Times New Roman"/>
                <w:color w:val="auto"/>
                <w:sz w:val="20"/>
                <w:szCs w:val="20"/>
              </w:rPr>
              <w:t>2,1 tys. z porad grupowych, 0,5 </w:t>
            </w:r>
            <w:r w:rsidRPr="005B18BF">
              <w:rPr>
                <w:rFonts w:ascii="Times New Roman" w:hAnsi="Times New Roman"/>
                <w:color w:val="auto"/>
                <w:sz w:val="20"/>
                <w:szCs w:val="20"/>
              </w:rPr>
              <w:t>tys. osób z badań testowych</w:t>
            </w:r>
            <w:r w:rsidR="005B18BF">
              <w:rPr>
                <w:rFonts w:ascii="Times New Roman" w:hAnsi="Times New Roman"/>
                <w:color w:val="auto"/>
                <w:sz w:val="20"/>
                <w:szCs w:val="20"/>
              </w:rPr>
              <w:t>, a 3 tys. osób uczestniczyło w </w:t>
            </w:r>
            <w:r w:rsidRPr="005B18BF">
              <w:rPr>
                <w:rFonts w:ascii="Times New Roman" w:hAnsi="Times New Roman"/>
                <w:color w:val="auto"/>
                <w:sz w:val="20"/>
                <w:szCs w:val="20"/>
              </w:rPr>
              <w:t xml:space="preserve">grupowych spotkaniach informacyjnych. </w:t>
            </w:r>
          </w:p>
          <w:p w14:paraId="10E2F75F" w14:textId="346F47F8" w:rsidR="005B18BF" w:rsidRPr="005B18BF" w:rsidRDefault="00A617E5" w:rsidP="005B18BF">
            <w:pPr>
              <w:pStyle w:val="Kolorowalistaakcent11"/>
              <w:spacing w:after="12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szCs w:val="20"/>
              </w:rPr>
            </w:pPr>
            <w:r w:rsidRPr="005B18BF">
              <w:rPr>
                <w:rFonts w:ascii="Times New Roman" w:eastAsia="MS Mincho" w:hAnsi="Times New Roman"/>
                <w:color w:val="auto"/>
                <w:sz w:val="20"/>
                <w:szCs w:val="20"/>
              </w:rPr>
              <w:t>W końcu 2020 r. w urzędach pracy zarejestrowanych było 26</w:t>
            </w:r>
            <w:r w:rsidR="005B18BF">
              <w:rPr>
                <w:rFonts w:ascii="Times New Roman" w:eastAsia="MS Mincho" w:hAnsi="Times New Roman"/>
                <w:color w:val="auto"/>
                <w:sz w:val="20"/>
                <w:szCs w:val="20"/>
              </w:rPr>
              <w:t>8,8 tys. bezrobotnych pow. 50 r.</w:t>
            </w:r>
            <w:r w:rsidRPr="005B18BF">
              <w:rPr>
                <w:rFonts w:ascii="Times New Roman" w:eastAsia="MS Mincho" w:hAnsi="Times New Roman"/>
                <w:color w:val="auto"/>
                <w:sz w:val="20"/>
                <w:szCs w:val="20"/>
              </w:rPr>
              <w:t>ż</w:t>
            </w:r>
            <w:r w:rsidR="005B18BF">
              <w:rPr>
                <w:rFonts w:ascii="Times New Roman" w:eastAsia="MS Mincho" w:hAnsi="Times New Roman"/>
                <w:color w:val="auto"/>
                <w:sz w:val="20"/>
                <w:szCs w:val="20"/>
              </w:rPr>
              <w:t>.</w:t>
            </w:r>
            <w:r w:rsidRPr="005B18BF">
              <w:rPr>
                <w:rFonts w:ascii="Times New Roman" w:eastAsia="MS Mincho" w:hAnsi="Times New Roman"/>
                <w:color w:val="auto"/>
                <w:sz w:val="20"/>
                <w:szCs w:val="20"/>
              </w:rPr>
              <w:t xml:space="preserve"> (25,7% ogółu zarejestrowanych i w skali roku, z uwagi na sytuację związaną z pandemią, ich liczba wzrosła o 33,1 tys. osób, tj. o 14%, przy zwiększeniu się ogólnej liczby bezrobotnych o 20,8%.</w:t>
            </w:r>
          </w:p>
          <w:p w14:paraId="04D54A6D" w14:textId="089FD95C" w:rsidR="005B18BF" w:rsidRPr="005B18BF" w:rsidRDefault="005B18BF" w:rsidP="005B18BF">
            <w:pPr>
              <w:pStyle w:val="Kolorowalistaakcent11"/>
              <w:spacing w:after="12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Pr>
                <w:rFonts w:ascii="Times New Roman" w:hAnsi="Times New Roman"/>
                <w:color w:val="auto"/>
                <w:sz w:val="20"/>
                <w:szCs w:val="20"/>
              </w:rPr>
              <w:t>Osoby po 50 r.</w:t>
            </w:r>
            <w:r w:rsidR="00872AFE" w:rsidRPr="005B18BF">
              <w:rPr>
                <w:rFonts w:ascii="Times New Roman" w:hAnsi="Times New Roman"/>
                <w:color w:val="auto"/>
                <w:sz w:val="20"/>
                <w:szCs w:val="20"/>
              </w:rPr>
              <w:t>ż. otrzymują wsparcie w ramach Regionalnych Programów Operacyjnych. Osoby te mogą skorzystać z doradztwa zawodowego połączonego z przygotowaniem Indywidualnego Planu Działania, poradnictwa za</w:t>
            </w:r>
            <w:r>
              <w:rPr>
                <w:rFonts w:ascii="Times New Roman" w:hAnsi="Times New Roman"/>
                <w:color w:val="auto"/>
                <w:sz w:val="20"/>
                <w:szCs w:val="20"/>
              </w:rPr>
              <w:t>wodowego, pośrednictwa pracy, a </w:t>
            </w:r>
            <w:r w:rsidR="00872AFE" w:rsidRPr="005B18BF">
              <w:rPr>
                <w:rFonts w:ascii="Times New Roman" w:hAnsi="Times New Roman"/>
                <w:color w:val="auto"/>
                <w:sz w:val="20"/>
                <w:szCs w:val="20"/>
              </w:rPr>
              <w:t>także szkoleń i kursów mających na celu podniesienie kwalifikacji zawodowych lub przekwalifikowanie.</w:t>
            </w:r>
          </w:p>
          <w:p w14:paraId="2604AADF" w14:textId="77777777" w:rsidR="005B18BF" w:rsidRPr="005B18BF" w:rsidRDefault="00872AFE" w:rsidP="005B18BF">
            <w:pPr>
              <w:pStyle w:val="Kolorowalistaakcent11"/>
              <w:spacing w:after="12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B18BF">
              <w:rPr>
                <w:rFonts w:ascii="Times New Roman" w:hAnsi="Times New Roman"/>
                <w:color w:val="auto"/>
                <w:sz w:val="20"/>
                <w:szCs w:val="20"/>
              </w:rPr>
              <w:t>Dodatkowo osoby starsze mogą skorzystać z formy wsparcia jaką są staże oraz subsydiowane zatrudnienie. Mogą również otrzymać wsparcie finansowe na rozpoczęcie własnej działalności gospodarczej, w formie bezzwrotnej, połączone ze wsparciem szkoleniowym oraz pomostowym.</w:t>
            </w:r>
          </w:p>
          <w:p w14:paraId="11345E94" w14:textId="16957682" w:rsidR="00872AFE" w:rsidRPr="005B18BF" w:rsidRDefault="00872AFE" w:rsidP="005B18BF">
            <w:pPr>
              <w:pStyle w:val="Kolorowalistaakcent11"/>
              <w:spacing w:after="120" w:line="240" w:lineRule="auto"/>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szCs w:val="20"/>
              </w:rPr>
            </w:pPr>
            <w:r w:rsidRPr="005B18BF">
              <w:rPr>
                <w:rFonts w:ascii="Times New Roman" w:hAnsi="Times New Roman"/>
                <w:color w:val="auto"/>
                <w:sz w:val="20"/>
                <w:szCs w:val="20"/>
              </w:rPr>
              <w:t>Do końca 2020 r. wsparciem objęto po</w:t>
            </w:r>
            <w:r w:rsidR="005B18BF">
              <w:rPr>
                <w:rFonts w:ascii="Times New Roman" w:hAnsi="Times New Roman"/>
                <w:color w:val="auto"/>
                <w:sz w:val="20"/>
                <w:szCs w:val="20"/>
              </w:rPr>
              <w:t>nad  131 165 tys. osób po 54 r.</w:t>
            </w:r>
            <w:r w:rsidRPr="005B18BF">
              <w:rPr>
                <w:rFonts w:ascii="Times New Roman" w:hAnsi="Times New Roman"/>
                <w:color w:val="auto"/>
                <w:sz w:val="20"/>
                <w:szCs w:val="20"/>
              </w:rPr>
              <w:t>ż., w tym ponad  64,8 tys. osób to osoby, które są bezrobotne (w tym długotrwale bezrobotne) lub bierne zawodowo i nie uczestniczyły w kształceniu lub szkoleniu przed projektem.</w:t>
            </w:r>
          </w:p>
          <w:p w14:paraId="211D10AF" w14:textId="0610A083" w:rsidR="00311D18" w:rsidRPr="00532128" w:rsidRDefault="00872AFE" w:rsidP="005B18BF">
            <w:pPr>
              <w:contextualSpacing/>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B18BF">
              <w:rPr>
                <w:rFonts w:cs="Times New Roman"/>
                <w:color w:val="auto"/>
                <w:sz w:val="20"/>
                <w:szCs w:val="20"/>
              </w:rPr>
              <w:lastRenderedPageBreak/>
              <w:t xml:space="preserve">Wśród wyżej wskazanych, wsparciem w ramach projektów oferujących dotacje na założenie własnej działalności gospodarczej objęto ponad  7,1 tys. osób po 54 r. </w:t>
            </w:r>
            <w:r w:rsidR="005B18BF">
              <w:rPr>
                <w:rFonts w:cs="Times New Roman"/>
                <w:color w:val="auto"/>
                <w:sz w:val="20"/>
                <w:szCs w:val="20"/>
              </w:rPr>
              <w:t>ż. w tym ponad 4,1 tys. osób to </w:t>
            </w:r>
            <w:r w:rsidRPr="005B18BF">
              <w:rPr>
                <w:rFonts w:cs="Times New Roman"/>
                <w:color w:val="auto"/>
                <w:sz w:val="20"/>
                <w:szCs w:val="20"/>
              </w:rPr>
              <w:t xml:space="preserve">osoby, które są bezrobotne (w tym długotrwale bezrobotne) </w:t>
            </w:r>
            <w:r w:rsidR="005B18BF">
              <w:rPr>
                <w:rFonts w:cs="Times New Roman"/>
                <w:color w:val="auto"/>
                <w:sz w:val="20"/>
                <w:szCs w:val="20"/>
              </w:rPr>
              <w:t>lub </w:t>
            </w:r>
            <w:r w:rsidRPr="005B18BF">
              <w:rPr>
                <w:rFonts w:cs="Times New Roman"/>
                <w:color w:val="auto"/>
                <w:sz w:val="20"/>
                <w:szCs w:val="20"/>
              </w:rPr>
              <w:t>bierne zawodowo i nie uczestniczyły w kształceniu lub szkoleniu przed projektem.</w:t>
            </w:r>
          </w:p>
        </w:tc>
      </w:tr>
      <w:tr w:rsidR="0092226B" w:rsidRPr="0092226B" w14:paraId="0BE8BB0C"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27E220C7" w14:textId="77777777" w:rsidR="00311D18" w:rsidRPr="0092226B" w:rsidRDefault="00311D18" w:rsidP="003C1988">
            <w:pPr>
              <w:rPr>
                <w:rFonts w:cs="Times New Roman"/>
                <w:color w:val="FF0000"/>
                <w:sz w:val="20"/>
              </w:rPr>
            </w:pPr>
          </w:p>
        </w:tc>
        <w:tc>
          <w:tcPr>
            <w:tcW w:w="3594" w:type="dxa"/>
            <w:vMerge w:val="restart"/>
          </w:tcPr>
          <w:p w14:paraId="29104970"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532128">
              <w:rPr>
                <w:rFonts w:ascii="Times New Roman" w:eastAsia="MS Mincho" w:hAnsi="Times New Roman"/>
                <w:color w:val="auto"/>
                <w:sz w:val="20"/>
              </w:rPr>
              <w:t xml:space="preserve">Wprowadzenie w szerokim zakresie możliwości wykonywania przez osoby starsze pracy </w:t>
            </w:r>
            <w:r w:rsidRPr="00532128">
              <w:rPr>
                <w:rFonts w:ascii="Times New Roman" w:hAnsi="Times New Roman"/>
                <w:color w:val="auto"/>
                <w:sz w:val="20"/>
              </w:rPr>
              <w:t>elastycznych form pracy (m.in. niepełny etat, telepraca, praca w domu, elastyczne godziny pracy w uzgodnieniu z pracownikiem)</w:t>
            </w:r>
          </w:p>
        </w:tc>
        <w:tc>
          <w:tcPr>
            <w:tcW w:w="2032" w:type="dxa"/>
            <w:vMerge w:val="restart"/>
          </w:tcPr>
          <w:p w14:paraId="70DE0AAD" w14:textId="799EE331" w:rsidR="00311D18" w:rsidRPr="00532128" w:rsidRDefault="00081C36"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t>Ministerstwo Rodziny i Polityki Społecznej</w:t>
            </w:r>
          </w:p>
        </w:tc>
        <w:tc>
          <w:tcPr>
            <w:tcW w:w="1500" w:type="dxa"/>
            <w:vMerge w:val="restart"/>
          </w:tcPr>
          <w:p w14:paraId="114C8982"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2018-2020</w:t>
            </w:r>
          </w:p>
        </w:tc>
        <w:tc>
          <w:tcPr>
            <w:tcW w:w="5638" w:type="dxa"/>
          </w:tcPr>
          <w:p w14:paraId="4044010A"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wprowadzonych nowych rozwiązań w zakresie możliwości wykonywania przez osoby starsze elastycznych form pracy</w:t>
            </w:r>
          </w:p>
        </w:tc>
      </w:tr>
      <w:tr w:rsidR="0092226B" w:rsidRPr="0092226B" w14:paraId="31D73F40"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7A5C69BD" w14:textId="77777777" w:rsidR="00311D18" w:rsidRPr="0092226B" w:rsidRDefault="00311D18" w:rsidP="003C1988">
            <w:pPr>
              <w:rPr>
                <w:rFonts w:cs="Times New Roman"/>
                <w:color w:val="FF0000"/>
                <w:sz w:val="20"/>
              </w:rPr>
            </w:pPr>
          </w:p>
        </w:tc>
        <w:tc>
          <w:tcPr>
            <w:tcW w:w="3594" w:type="dxa"/>
            <w:vMerge/>
          </w:tcPr>
          <w:p w14:paraId="46516235"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3B31707C"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72B507BB"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25F6841A" w14:textId="4B8B3AD6" w:rsidR="00DC5334" w:rsidRPr="00532128" w:rsidRDefault="00DC5334" w:rsidP="00D940C8">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Ustawą z dnia 2 marca 2020 r. o szczególnych rozwiązaniach związanych z za</w:t>
            </w:r>
            <w:r w:rsidR="00D940C8">
              <w:rPr>
                <w:rFonts w:eastAsia="MS Mincho" w:cs="Times New Roman"/>
                <w:bCs/>
                <w:color w:val="auto"/>
                <w:sz w:val="20"/>
                <w:szCs w:val="20"/>
              </w:rPr>
              <w:t xml:space="preserve">pobieganiem, przeciwdziałaniem </w:t>
            </w:r>
            <w:r w:rsidRPr="00532128">
              <w:rPr>
                <w:rFonts w:eastAsia="MS Mincho" w:cs="Times New Roman"/>
                <w:bCs/>
                <w:color w:val="auto"/>
                <w:sz w:val="20"/>
                <w:szCs w:val="20"/>
              </w:rPr>
              <w:t>i zwalczaniem COVID-19, innych chorób zakaźnych oraz wywołanych nimi sytuacji kryzysowych wprowadzono możliwość polecania pracownikowi wykonywania, w celu przeciwdziałania COVID-19, przez czas oznaczony, pracy określonej w umowie o pracę, poza miejscem jej stałego wykonywania, w okresie obowiązywania stanu zagrożenia epidemicznego alb</w:t>
            </w:r>
            <w:r w:rsidR="00D940C8">
              <w:rPr>
                <w:rFonts w:eastAsia="MS Mincho" w:cs="Times New Roman"/>
                <w:bCs/>
                <w:color w:val="auto"/>
                <w:sz w:val="20"/>
                <w:szCs w:val="20"/>
              </w:rPr>
              <w:t>o stanu epidemii, ogłoszonego z </w:t>
            </w:r>
            <w:r w:rsidRPr="00532128">
              <w:rPr>
                <w:rFonts w:eastAsia="MS Mincho" w:cs="Times New Roman"/>
                <w:bCs/>
                <w:color w:val="auto"/>
                <w:sz w:val="20"/>
                <w:szCs w:val="20"/>
              </w:rPr>
              <w:t>powodu COVID-19, oraz w okresie 3 miesięcy po ich odwołaniu – praca zdalna (art. 3 ustawy). Je</w:t>
            </w:r>
            <w:r w:rsidR="00D940C8">
              <w:rPr>
                <w:rFonts w:eastAsia="MS Mincho" w:cs="Times New Roman"/>
                <w:bCs/>
                <w:color w:val="auto"/>
                <w:sz w:val="20"/>
                <w:szCs w:val="20"/>
              </w:rPr>
              <w:t>st to rozwiązanie skierowane do </w:t>
            </w:r>
            <w:r w:rsidRPr="00532128">
              <w:rPr>
                <w:rFonts w:eastAsia="MS Mincho" w:cs="Times New Roman"/>
                <w:bCs/>
                <w:color w:val="auto"/>
                <w:sz w:val="20"/>
                <w:szCs w:val="20"/>
              </w:rPr>
              <w:t>wszystkich pracowników, także do pracowników będących osobami starszymi.</w:t>
            </w:r>
          </w:p>
          <w:p w14:paraId="636E8059" w14:textId="77777777" w:rsidR="0042628E" w:rsidRDefault="0042628E" w:rsidP="00D940C8">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p>
          <w:p w14:paraId="7D3693F6" w14:textId="560D412F" w:rsidR="00311D18" w:rsidRPr="00532128" w:rsidRDefault="00DC5334" w:rsidP="00D940C8">
            <w:pPr>
              <w:cnfStyle w:val="000000100000" w:firstRow="0" w:lastRow="0" w:firstColumn="0" w:lastColumn="0" w:oddVBand="0" w:evenVBand="0" w:oddHBand="1" w:evenHBand="0" w:firstRowFirstColumn="0" w:firstRowLastColumn="0" w:lastRowFirstColumn="0" w:lastRowLastColumn="0"/>
              <w:rPr>
                <w:rFonts w:cs="Times New Roman"/>
                <w:color w:val="auto"/>
              </w:rPr>
            </w:pPr>
            <w:r w:rsidRPr="00532128">
              <w:rPr>
                <w:rFonts w:cs="Times New Roman"/>
                <w:color w:val="auto"/>
                <w:sz w:val="20"/>
                <w:szCs w:val="20"/>
              </w:rPr>
              <w:t xml:space="preserve">W sierpniu 2020 r. rozpoczęto prace zmierzające do wprowadzenia pracy zdalnej na stałe do Kodeksu pracy. Prace nad zmianami Kodeksu pracy w tym zakresie są kontynuowane w 2021 r. Również rozwiązania Kodeksowe dot. </w:t>
            </w:r>
            <w:r w:rsidR="0042628E">
              <w:rPr>
                <w:rFonts w:cs="Times New Roman"/>
                <w:color w:val="auto"/>
                <w:sz w:val="20"/>
                <w:szCs w:val="20"/>
              </w:rPr>
              <w:t>pracy zdalnej będą dostępne dla </w:t>
            </w:r>
            <w:r w:rsidRPr="00532128">
              <w:rPr>
                <w:rFonts w:cs="Times New Roman"/>
                <w:color w:val="auto"/>
                <w:sz w:val="20"/>
                <w:szCs w:val="20"/>
              </w:rPr>
              <w:t>wszystkich pracowników, także będących osobami starszymi.</w:t>
            </w:r>
          </w:p>
        </w:tc>
      </w:tr>
      <w:tr w:rsidR="0092226B" w:rsidRPr="0092226B" w14:paraId="46A80F89" w14:textId="77777777" w:rsidTr="002D4784">
        <w:trPr>
          <w:trHeight w:val="511"/>
        </w:trPr>
        <w:tc>
          <w:tcPr>
            <w:cnfStyle w:val="001000000000" w:firstRow="0" w:lastRow="0" w:firstColumn="1" w:lastColumn="0" w:oddVBand="0" w:evenVBand="0" w:oddHBand="0" w:evenHBand="0" w:firstRowFirstColumn="0" w:firstRowLastColumn="0" w:lastRowFirstColumn="0" w:lastRowLastColumn="0"/>
            <w:tcW w:w="1232" w:type="dxa"/>
            <w:vMerge/>
          </w:tcPr>
          <w:p w14:paraId="29A24FE5" w14:textId="77777777" w:rsidR="00311D18" w:rsidRPr="0092226B" w:rsidRDefault="00311D18" w:rsidP="003C1988">
            <w:pPr>
              <w:rPr>
                <w:rFonts w:cs="Times New Roman"/>
                <w:color w:val="FF0000"/>
                <w:sz w:val="20"/>
              </w:rPr>
            </w:pPr>
          </w:p>
        </w:tc>
        <w:tc>
          <w:tcPr>
            <w:tcW w:w="3594" w:type="dxa"/>
            <w:vMerge w:val="restart"/>
          </w:tcPr>
          <w:p w14:paraId="52DFCF45"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Wsparcie podmiotów ekonomii społecznej zatrudniających osoby starsze</w:t>
            </w:r>
          </w:p>
        </w:tc>
        <w:tc>
          <w:tcPr>
            <w:tcW w:w="2032" w:type="dxa"/>
            <w:vMerge w:val="restart"/>
          </w:tcPr>
          <w:p w14:paraId="6F1F640E" w14:textId="0D5A5C88" w:rsidR="00311D18" w:rsidRPr="00532128" w:rsidRDefault="00081C36"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t>Ministerstwo Rodziny i Polityki Społecznej</w:t>
            </w:r>
          </w:p>
        </w:tc>
        <w:tc>
          <w:tcPr>
            <w:tcW w:w="1500" w:type="dxa"/>
            <w:vMerge w:val="restart"/>
          </w:tcPr>
          <w:p w14:paraId="224E4CB2"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30E119D0"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wspartych podmiotów ekonomii społecznej zatrudniających osoby starsze</w:t>
            </w:r>
          </w:p>
        </w:tc>
      </w:tr>
      <w:tr w:rsidR="0092226B" w:rsidRPr="0092226B" w14:paraId="347F2F02"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3868E5D8" w14:textId="77777777" w:rsidR="00311D18" w:rsidRPr="0092226B" w:rsidRDefault="00311D18" w:rsidP="003C1988">
            <w:pPr>
              <w:rPr>
                <w:rFonts w:cs="Times New Roman"/>
                <w:color w:val="FF0000"/>
                <w:sz w:val="20"/>
              </w:rPr>
            </w:pPr>
          </w:p>
        </w:tc>
        <w:tc>
          <w:tcPr>
            <w:tcW w:w="3594" w:type="dxa"/>
            <w:vMerge/>
          </w:tcPr>
          <w:p w14:paraId="2B46589A"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44C1CA36"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59775148"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517624ED" w14:textId="1D85605C" w:rsidR="00872AFE" w:rsidRPr="00532128" w:rsidRDefault="00872AFE" w:rsidP="0042628E">
            <w:pPr>
              <w:tabs>
                <w:tab w:val="left" w:pos="567"/>
              </w:tabs>
              <w:suppressAutoHyphens/>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szCs w:val="20"/>
                <w:u w:val="single"/>
              </w:rPr>
            </w:pPr>
            <w:r w:rsidRPr="00532128">
              <w:rPr>
                <w:rFonts w:eastAsia="MS Mincho" w:cs="Times New Roman"/>
                <w:color w:val="auto"/>
                <w:sz w:val="20"/>
                <w:szCs w:val="20"/>
              </w:rPr>
              <w:t>W r</w:t>
            </w:r>
            <w:r w:rsidR="0042628E">
              <w:rPr>
                <w:rFonts w:eastAsia="MS Mincho" w:cs="Times New Roman"/>
                <w:color w:val="auto"/>
                <w:sz w:val="20"/>
                <w:szCs w:val="20"/>
              </w:rPr>
              <w:t>amach priorytetu inwestycyjnego ,,W</w:t>
            </w:r>
            <w:r w:rsidRPr="00532128">
              <w:rPr>
                <w:rFonts w:eastAsia="MS Mincho" w:cs="Times New Roman"/>
                <w:color w:val="auto"/>
                <w:sz w:val="20"/>
                <w:szCs w:val="20"/>
              </w:rPr>
              <w:t>spieranie przedsiębiorczości społ</w:t>
            </w:r>
            <w:r w:rsidR="0042628E">
              <w:rPr>
                <w:rFonts w:eastAsia="MS Mincho" w:cs="Times New Roman"/>
                <w:color w:val="auto"/>
                <w:sz w:val="20"/>
                <w:szCs w:val="20"/>
              </w:rPr>
              <w:t>ecznej i integracji zawodowej w </w:t>
            </w:r>
            <w:r w:rsidRPr="00532128">
              <w:rPr>
                <w:rFonts w:eastAsia="MS Mincho" w:cs="Times New Roman"/>
                <w:color w:val="auto"/>
                <w:sz w:val="20"/>
                <w:szCs w:val="20"/>
              </w:rPr>
              <w:t>przedsiębiorstwach społecznych oraz podmiotach ekonomii społecznej</w:t>
            </w:r>
            <w:r w:rsidR="0042628E">
              <w:rPr>
                <w:rFonts w:eastAsia="MS Mincho" w:cs="Times New Roman"/>
                <w:color w:val="auto"/>
                <w:sz w:val="20"/>
                <w:szCs w:val="20"/>
              </w:rPr>
              <w:t>”</w:t>
            </w:r>
            <w:r w:rsidRPr="00532128">
              <w:rPr>
                <w:rFonts w:eastAsia="MS Mincho" w:cs="Times New Roman"/>
                <w:color w:val="auto"/>
                <w:sz w:val="20"/>
                <w:szCs w:val="20"/>
              </w:rPr>
              <w:t xml:space="preserve"> i w celu ułatwiania dostępu do zatrudnienia, realizowany jest szereg działań zmierzających do wzmocnienia </w:t>
            </w:r>
            <w:r w:rsidRPr="00532128">
              <w:rPr>
                <w:rFonts w:eastAsia="MS Mincho" w:cs="Times New Roman"/>
                <w:color w:val="auto"/>
                <w:sz w:val="20"/>
                <w:szCs w:val="20"/>
              </w:rPr>
              <w:lastRenderedPageBreak/>
              <w:t>kondycji sektora ekonomii społecznej. oraz rozwoju podmiotów ekonomii społecznej. Na poziomie krajowym wsparcie realizowane jest w ramach działania 2.9 Rozwój ekonomii społecznej PO WER wdrażane są także działania skierowane na wzmocnienie systemu wsparcia dla podmiotów ekonomii społecznej, m.in. poprzez zapewnienie preferencyjne</w:t>
            </w:r>
            <w:r w:rsidR="0042628E">
              <w:rPr>
                <w:rFonts w:eastAsia="MS Mincho" w:cs="Times New Roman"/>
                <w:color w:val="auto"/>
                <w:sz w:val="20"/>
                <w:szCs w:val="20"/>
              </w:rPr>
              <w:t>j oferty wsparcia zwrotnego dla </w:t>
            </w:r>
            <w:r w:rsidRPr="00532128">
              <w:rPr>
                <w:rFonts w:eastAsia="MS Mincho" w:cs="Times New Roman"/>
                <w:color w:val="auto"/>
                <w:sz w:val="20"/>
                <w:szCs w:val="20"/>
              </w:rPr>
              <w:t>podmiotów ekonomii społecznej. W 2020 r. kontynuowano realizację projektu „Wdroż</w:t>
            </w:r>
            <w:r w:rsidR="0042628E">
              <w:rPr>
                <w:rFonts w:eastAsia="MS Mincho" w:cs="Times New Roman"/>
                <w:color w:val="auto"/>
                <w:sz w:val="20"/>
                <w:szCs w:val="20"/>
              </w:rPr>
              <w:t xml:space="preserve">enie instrumentu pożyczkowego                           i </w:t>
            </w:r>
            <w:proofErr w:type="spellStart"/>
            <w:r w:rsidR="0042628E">
              <w:rPr>
                <w:rFonts w:eastAsia="MS Mincho" w:cs="Times New Roman"/>
                <w:color w:val="auto"/>
                <w:sz w:val="20"/>
                <w:szCs w:val="20"/>
              </w:rPr>
              <w:t>reporęczeniowego</w:t>
            </w:r>
            <w:proofErr w:type="spellEnd"/>
            <w:r w:rsidR="0042628E">
              <w:rPr>
                <w:rFonts w:eastAsia="MS Mincho" w:cs="Times New Roman"/>
                <w:color w:val="auto"/>
                <w:sz w:val="20"/>
                <w:szCs w:val="20"/>
              </w:rPr>
              <w:t xml:space="preserve"> w ramach Krajowego </w:t>
            </w:r>
            <w:r w:rsidRPr="00532128">
              <w:rPr>
                <w:rFonts w:eastAsia="MS Mincho" w:cs="Times New Roman"/>
                <w:color w:val="auto"/>
                <w:sz w:val="20"/>
                <w:szCs w:val="20"/>
              </w:rPr>
              <w:t xml:space="preserve">Funduszu Przedsiębiorczości Społecznej”. W ramach tego projektu do końca 2020 r. 803 podmioty ekonomii społecznej skorzystały </w:t>
            </w:r>
            <w:r w:rsidR="0042628E">
              <w:rPr>
                <w:rFonts w:eastAsia="MS Mincho" w:cs="Times New Roman"/>
                <w:color w:val="auto"/>
                <w:sz w:val="20"/>
                <w:szCs w:val="20"/>
              </w:rPr>
              <w:t xml:space="preserve">                                    </w:t>
            </w:r>
            <w:r w:rsidRPr="00532128">
              <w:rPr>
                <w:rFonts w:eastAsia="MS Mincho" w:cs="Times New Roman"/>
                <w:color w:val="auto"/>
                <w:sz w:val="20"/>
                <w:szCs w:val="20"/>
              </w:rPr>
              <w:t xml:space="preserve">z preferencyjnych pożyczek, co przyczyniło się do stworzenia nowych 602 miejsc pracy. Wsparcie bezpośrednie dla podmiotów ekonomii społecznej świadczone jest w ramach Regionalnych Programów Operacyjnych przez akredytowane Ośrodki Wsparcia Ekonomii Społecznej (OWES). Istnieje możliwość otrzymania wsparcia finansowego lub pomostowego na stworzenie miejsca pracy w nowym lub istniejącym przedsiębiorstwie społecznym dla osób z grup zagrożonych wykluczeniem społecznym, w tym osób ubogich pracujących lub osób po ukończeniu 50. roku życia, posiadających status osoby poszukującej pracy, bez zatrudnienia </w:t>
            </w:r>
            <w:r w:rsidR="0042628E">
              <w:rPr>
                <w:rFonts w:eastAsia="MS Mincho" w:cs="Times New Roman"/>
                <w:color w:val="auto"/>
                <w:sz w:val="20"/>
                <w:szCs w:val="20"/>
              </w:rPr>
              <w:t xml:space="preserve">              </w:t>
            </w:r>
            <w:r w:rsidRPr="00532128">
              <w:rPr>
                <w:rFonts w:eastAsia="MS Mincho" w:cs="Times New Roman"/>
                <w:color w:val="auto"/>
                <w:sz w:val="20"/>
                <w:szCs w:val="20"/>
              </w:rPr>
              <w:t xml:space="preserve">w rozumieniu przepisów ustawy z dnia 20 kwietnia 2004 r. </w:t>
            </w:r>
            <w:r w:rsidR="0042628E">
              <w:rPr>
                <w:rFonts w:eastAsia="MS Mincho" w:cs="Times New Roman"/>
                <w:color w:val="auto"/>
                <w:sz w:val="20"/>
                <w:szCs w:val="20"/>
              </w:rPr>
              <w:t xml:space="preserve">                           </w:t>
            </w:r>
            <w:r w:rsidRPr="00532128">
              <w:rPr>
                <w:rFonts w:eastAsia="MS Mincho" w:cs="Times New Roman"/>
                <w:color w:val="auto"/>
                <w:sz w:val="20"/>
                <w:szCs w:val="20"/>
              </w:rPr>
              <w:t xml:space="preserve">o promocji zatrudnienia i instytucjach rynku pracy. Dodatkowo, możliwe jest uzyskanie przez podmioty ekonomii społecznej wsparcia doradczego czy szkoleniowego.  Do końca 2020 r., </w:t>
            </w:r>
            <w:r w:rsidR="0042628E">
              <w:rPr>
                <w:rFonts w:eastAsia="MS Mincho" w:cs="Times New Roman"/>
                <w:color w:val="auto"/>
                <w:sz w:val="20"/>
                <w:szCs w:val="20"/>
              </w:rPr>
              <w:t xml:space="preserve">                        </w:t>
            </w:r>
            <w:r w:rsidRPr="00532128">
              <w:rPr>
                <w:rFonts w:eastAsia="MS Mincho" w:cs="Times New Roman"/>
                <w:color w:val="auto"/>
                <w:sz w:val="20"/>
                <w:szCs w:val="20"/>
              </w:rPr>
              <w:t>w ramach wsparcia ekonomii społecznej w RPO wsparto 15 411 podmiotów ekonomii społecznej. Stworzono także 9</w:t>
            </w:r>
            <w:r w:rsidR="0042628E">
              <w:rPr>
                <w:rFonts w:eastAsia="MS Mincho" w:cs="Times New Roman"/>
                <w:color w:val="auto"/>
                <w:sz w:val="20"/>
                <w:szCs w:val="20"/>
              </w:rPr>
              <w:t xml:space="preserve"> </w:t>
            </w:r>
            <w:r w:rsidRPr="00532128">
              <w:rPr>
                <w:rFonts w:eastAsia="MS Mincho" w:cs="Times New Roman"/>
                <w:color w:val="auto"/>
                <w:sz w:val="20"/>
                <w:szCs w:val="20"/>
              </w:rPr>
              <w:t>865 miejsc pracy w przedsiębiorstwach społecznych.</w:t>
            </w:r>
          </w:p>
          <w:p w14:paraId="3C7375E9" w14:textId="77777777" w:rsidR="00B06E26" w:rsidRPr="00532128" w:rsidRDefault="00B06E26"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p>
        </w:tc>
      </w:tr>
      <w:tr w:rsidR="0092226B" w:rsidRPr="0092226B" w14:paraId="61D07A18" w14:textId="77777777" w:rsidTr="002D4784">
        <w:trPr>
          <w:trHeight w:val="467"/>
        </w:trPr>
        <w:tc>
          <w:tcPr>
            <w:cnfStyle w:val="001000000000" w:firstRow="0" w:lastRow="0" w:firstColumn="1" w:lastColumn="0" w:oddVBand="0" w:evenVBand="0" w:oddHBand="0" w:evenHBand="0" w:firstRowFirstColumn="0" w:firstRowLastColumn="0" w:lastRowFirstColumn="0" w:lastRowLastColumn="0"/>
            <w:tcW w:w="1232" w:type="dxa"/>
            <w:vMerge/>
          </w:tcPr>
          <w:p w14:paraId="0E3B1E85" w14:textId="77777777" w:rsidR="00311D18" w:rsidRPr="0092226B" w:rsidRDefault="00311D18" w:rsidP="003C1988">
            <w:pPr>
              <w:rPr>
                <w:rFonts w:cs="Times New Roman"/>
                <w:color w:val="FF0000"/>
                <w:sz w:val="20"/>
              </w:rPr>
            </w:pPr>
          </w:p>
        </w:tc>
        <w:tc>
          <w:tcPr>
            <w:tcW w:w="3594" w:type="dxa"/>
            <w:vMerge w:val="restart"/>
          </w:tcPr>
          <w:p w14:paraId="0D0E900A"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Prowadzenie działań na rzecz promocji przedsiębiorczości osób starszych</w:t>
            </w:r>
          </w:p>
        </w:tc>
        <w:tc>
          <w:tcPr>
            <w:tcW w:w="2032" w:type="dxa"/>
            <w:vMerge w:val="restart"/>
          </w:tcPr>
          <w:p w14:paraId="02B87A32" w14:textId="2ED053E6" w:rsidR="00311D18" w:rsidRPr="00532128" w:rsidRDefault="00081C36"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t>Ministerstwo Rozwoju i Technologii</w:t>
            </w:r>
          </w:p>
        </w:tc>
        <w:tc>
          <w:tcPr>
            <w:tcW w:w="1500" w:type="dxa"/>
            <w:vMerge w:val="restart"/>
          </w:tcPr>
          <w:p w14:paraId="7A348A3B"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4CA7F0DF"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zrealizowanych działań promujących przedsiębiorczość osób starszych</w:t>
            </w:r>
          </w:p>
        </w:tc>
      </w:tr>
      <w:tr w:rsidR="0092226B" w:rsidRPr="0092226B" w14:paraId="3740BC67"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15E8D7D1" w14:textId="77777777" w:rsidR="00311D18" w:rsidRPr="0092226B" w:rsidRDefault="00311D18" w:rsidP="003C1988">
            <w:pPr>
              <w:rPr>
                <w:rFonts w:cs="Times New Roman"/>
                <w:color w:val="FF0000"/>
                <w:sz w:val="20"/>
              </w:rPr>
            </w:pPr>
          </w:p>
        </w:tc>
        <w:tc>
          <w:tcPr>
            <w:tcW w:w="3594" w:type="dxa"/>
            <w:vMerge/>
          </w:tcPr>
          <w:p w14:paraId="20AC3263"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0915C20E"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22C24E82"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134A8647" w14:textId="04EB02D5" w:rsidR="003A6955" w:rsidRPr="00532128" w:rsidRDefault="003A6955" w:rsidP="0042628E">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32128">
              <w:rPr>
                <w:rFonts w:cs="Times New Roman"/>
                <w:color w:val="auto"/>
                <w:sz w:val="20"/>
                <w:szCs w:val="20"/>
              </w:rPr>
              <w:t xml:space="preserve">Pandemia 2020 wymusiła nowy sposób promowania przedsiębiorczości, ze wskazaniem na działania analityczne w celu </w:t>
            </w:r>
            <w:r w:rsidRPr="00532128">
              <w:rPr>
                <w:rFonts w:cs="Times New Roman"/>
                <w:color w:val="auto"/>
                <w:sz w:val="20"/>
                <w:szCs w:val="20"/>
              </w:rPr>
              <w:lastRenderedPageBreak/>
              <w:t xml:space="preserve">identyfikacji barier w zatrudnianiu osób starszych oraz prowadzeniu </w:t>
            </w:r>
            <w:r w:rsidR="0042628E">
              <w:rPr>
                <w:rFonts w:cs="Times New Roman"/>
                <w:color w:val="auto"/>
                <w:sz w:val="20"/>
                <w:szCs w:val="20"/>
              </w:rPr>
              <w:t xml:space="preserve">działalności gospodarczej wraz </w:t>
            </w:r>
            <w:r w:rsidRPr="00532128">
              <w:rPr>
                <w:rFonts w:cs="Times New Roman"/>
                <w:color w:val="auto"/>
                <w:sz w:val="20"/>
                <w:szCs w:val="20"/>
              </w:rPr>
              <w:t xml:space="preserve">z rekomendacjami. </w:t>
            </w:r>
          </w:p>
          <w:p w14:paraId="2D0E1C59" w14:textId="780B060B" w:rsidR="003A6955" w:rsidRPr="00532128" w:rsidRDefault="003A6955" w:rsidP="0042628E">
            <w:pPr>
              <w:cnfStyle w:val="000000100000" w:firstRow="0" w:lastRow="0" w:firstColumn="0" w:lastColumn="0" w:oddVBand="0" w:evenVBand="0" w:oddHBand="1" w:evenHBand="0" w:firstRowFirstColumn="0" w:firstRowLastColumn="0" w:lastRowFirstColumn="0" w:lastRowLastColumn="0"/>
              <w:rPr>
                <w:color w:val="auto"/>
                <w:sz w:val="20"/>
                <w:szCs w:val="20"/>
              </w:rPr>
            </w:pPr>
            <w:r w:rsidRPr="00532128">
              <w:rPr>
                <w:rFonts w:cs="Times New Roman"/>
                <w:color w:val="auto"/>
                <w:sz w:val="20"/>
                <w:szCs w:val="20"/>
              </w:rPr>
              <w:t xml:space="preserve">W lutym 2020 r. skierowano pismo do biur PAIH w sprawie krajowych programów aktywizacji zawodowej seniorów (bez odpowiedzi), a w marcu 2020 </w:t>
            </w:r>
            <w:r w:rsidR="008A5D5B">
              <w:rPr>
                <w:rFonts w:cs="Times New Roman"/>
                <w:color w:val="auto"/>
                <w:sz w:val="20"/>
                <w:szCs w:val="20"/>
              </w:rPr>
              <w:t xml:space="preserve">r. </w:t>
            </w:r>
            <w:r w:rsidRPr="00532128">
              <w:rPr>
                <w:rFonts w:cs="Times New Roman"/>
                <w:color w:val="auto"/>
                <w:sz w:val="20"/>
                <w:szCs w:val="20"/>
              </w:rPr>
              <w:t>- do urzędów administracji centralnej (ministerstwa i jednostki podległe) oraz jednostek samorządowych (starostowie, marszałkowie, urzędy miast i gmin wraz z jednostkami podległymi np. szkoły podstawo</w:t>
            </w:r>
            <w:r w:rsidR="0042628E">
              <w:rPr>
                <w:rFonts w:cs="Times New Roman"/>
                <w:color w:val="auto"/>
                <w:sz w:val="20"/>
                <w:szCs w:val="20"/>
              </w:rPr>
              <w:t>we, żłobki i </w:t>
            </w:r>
            <w:r w:rsidRPr="00532128">
              <w:rPr>
                <w:rFonts w:cs="Times New Roman"/>
                <w:color w:val="auto"/>
                <w:sz w:val="20"/>
                <w:szCs w:val="20"/>
              </w:rPr>
              <w:t>przedszkola, domy pomocy społecznej, podległe jednostki gospodarcze typu wodociągi i kanalizacja, izby wytrzeźwień) celem uzyskania informacji.</w:t>
            </w:r>
            <w:r w:rsidRPr="00532128">
              <w:rPr>
                <w:color w:val="auto"/>
                <w:sz w:val="20"/>
                <w:szCs w:val="20"/>
              </w:rPr>
              <w:t xml:space="preserve"> </w:t>
            </w:r>
            <w:r w:rsidRPr="00532128">
              <w:rPr>
                <w:rFonts w:cs="Times New Roman"/>
                <w:color w:val="auto"/>
                <w:sz w:val="20"/>
                <w:szCs w:val="20"/>
              </w:rPr>
              <w:t>o ogólnym z</w:t>
            </w:r>
            <w:r w:rsidR="0042628E">
              <w:rPr>
                <w:rFonts w:cs="Times New Roman"/>
                <w:color w:val="auto"/>
                <w:sz w:val="20"/>
                <w:szCs w:val="20"/>
              </w:rPr>
              <w:t>atrudnieniu, liczbie osób 50+ i </w:t>
            </w:r>
            <w:r w:rsidRPr="00532128">
              <w:rPr>
                <w:rFonts w:cs="Times New Roman"/>
                <w:color w:val="auto"/>
                <w:sz w:val="20"/>
                <w:szCs w:val="20"/>
              </w:rPr>
              <w:t>emerytów oraz deklarację czy w razie braków kadrowych zatrudniono by emerytów. Uzyskano ponad 4700 odpowiedzi.</w:t>
            </w:r>
            <w:r w:rsidRPr="00532128">
              <w:rPr>
                <w:color w:val="auto"/>
                <w:sz w:val="20"/>
                <w:szCs w:val="20"/>
              </w:rPr>
              <w:t xml:space="preserve"> </w:t>
            </w:r>
          </w:p>
          <w:p w14:paraId="116251E9" w14:textId="2087FFC2" w:rsidR="003A6955" w:rsidRPr="00532128" w:rsidRDefault="003A6955" w:rsidP="0042628E">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32128">
              <w:rPr>
                <w:rFonts w:cs="Times New Roman"/>
                <w:color w:val="auto"/>
                <w:sz w:val="20"/>
                <w:szCs w:val="20"/>
              </w:rPr>
              <w:t>Ponadto do końca czerwca 2020 r. otrzymano ponad 1 700 odpowiedzi na ankietę skierowaną</w:t>
            </w:r>
            <w:r w:rsidR="0042628E">
              <w:rPr>
                <w:rFonts w:cs="Times New Roman"/>
                <w:color w:val="auto"/>
                <w:sz w:val="20"/>
                <w:szCs w:val="20"/>
              </w:rPr>
              <w:t xml:space="preserve"> rok wcześniej do pracowników i </w:t>
            </w:r>
            <w:r w:rsidRPr="00532128">
              <w:rPr>
                <w:rFonts w:cs="Times New Roman"/>
                <w:color w:val="auto"/>
                <w:sz w:val="20"/>
                <w:szCs w:val="20"/>
              </w:rPr>
              <w:t>przedsiębiorców, której celem by</w:t>
            </w:r>
            <w:r w:rsidR="0042628E">
              <w:rPr>
                <w:rFonts w:cs="Times New Roman"/>
                <w:color w:val="auto"/>
                <w:sz w:val="20"/>
                <w:szCs w:val="20"/>
              </w:rPr>
              <w:t>ło zebranie ich doświadczenia w </w:t>
            </w:r>
            <w:r w:rsidRPr="00532128">
              <w:rPr>
                <w:rFonts w:cs="Times New Roman"/>
                <w:color w:val="auto"/>
                <w:sz w:val="20"/>
                <w:szCs w:val="20"/>
              </w:rPr>
              <w:t xml:space="preserve">zatrudnianiu osób 50+ oraz napotykane bariery w poszukiwaniu pracy. Ankieta zawierała 20 pytań w podziale na część dla pracowników, w tym bezrobotnych oraz część dla pracodawców. jedno pytanie dotyczyło podejmowania działalności gospodarczej. Ankietę w całości wypełniło 61 osób bezrobotnych uważających się za potencjalnych pracowników, 526 osób aktywnych zawodowo oraz 741 pracodawców. Wykonano analizę symulacyjną, która pokazała potencjał populacji </w:t>
            </w:r>
            <w:r w:rsidR="0042628E">
              <w:rPr>
                <w:rFonts w:cs="Times New Roman"/>
                <w:color w:val="auto"/>
                <w:sz w:val="20"/>
                <w:szCs w:val="20"/>
              </w:rPr>
              <w:t>osób nieaktywnych szczególnie w </w:t>
            </w:r>
            <w:r w:rsidRPr="00532128">
              <w:rPr>
                <w:rFonts w:cs="Times New Roman"/>
                <w:color w:val="auto"/>
                <w:sz w:val="20"/>
                <w:szCs w:val="20"/>
              </w:rPr>
              <w:t>grupie wiekowej 45-65 kobiet i mężczyzn oraz możliwy wpływ na gospodarkę po uzyskaniu odpowiedniego wsparcia.. Dokonano estymacji tylko tych barier, gdzie można było posłużyć się wiarygodnymi dostępnymi źródłami statystycznym i chodziło o  cztery istotne bariery, ze względu na kwalifikacje, elastyczność pracy (</w:t>
            </w:r>
            <w:proofErr w:type="spellStart"/>
            <w:r w:rsidRPr="0042628E">
              <w:rPr>
                <w:rFonts w:cs="Times New Roman"/>
                <w:i/>
                <w:color w:val="auto"/>
                <w:sz w:val="20"/>
                <w:szCs w:val="20"/>
              </w:rPr>
              <w:t>flexicurity</w:t>
            </w:r>
            <w:proofErr w:type="spellEnd"/>
            <w:r w:rsidRPr="00532128">
              <w:rPr>
                <w:rFonts w:cs="Times New Roman"/>
                <w:color w:val="auto"/>
                <w:sz w:val="20"/>
                <w:szCs w:val="20"/>
              </w:rPr>
              <w:t xml:space="preserve">), dochodowość /relacja dochodów do świadczeń/ oraz efektywność służb zatrudnienia. </w:t>
            </w:r>
          </w:p>
          <w:p w14:paraId="03ED0761"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p>
        </w:tc>
      </w:tr>
      <w:tr w:rsidR="0092226B" w:rsidRPr="0092226B" w14:paraId="0F1E3B0C"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val="restart"/>
            <w:textDirection w:val="btLr"/>
          </w:tcPr>
          <w:p w14:paraId="49887CAE" w14:textId="77777777" w:rsidR="00311D18" w:rsidRPr="0092226B" w:rsidRDefault="00311D18" w:rsidP="003C1988">
            <w:pPr>
              <w:ind w:left="113" w:right="113"/>
              <w:rPr>
                <w:rFonts w:cs="Times New Roman"/>
                <w:color w:val="FF0000"/>
                <w:sz w:val="20"/>
              </w:rPr>
            </w:pPr>
            <w:r w:rsidRPr="00532128">
              <w:rPr>
                <w:rFonts w:cs="Times New Roman"/>
                <w:color w:val="auto"/>
                <w:sz w:val="20"/>
              </w:rPr>
              <w:lastRenderedPageBreak/>
              <w:t>Obszar IV</w:t>
            </w:r>
          </w:p>
        </w:tc>
        <w:tc>
          <w:tcPr>
            <w:tcW w:w="3594" w:type="dxa"/>
            <w:vMerge w:val="restart"/>
          </w:tcPr>
          <w:p w14:paraId="14240112"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Upowszechnianie wiedzy na temat zdrowia, z uwzględnieniem zmian wynikających z procesu starzenia </w:t>
            </w:r>
            <w:r w:rsidRPr="00532128">
              <w:rPr>
                <w:rFonts w:ascii="Times New Roman" w:eastAsia="MS Mincho" w:hAnsi="Times New Roman"/>
                <w:color w:val="auto"/>
                <w:sz w:val="20"/>
              </w:rPr>
              <w:br/>
              <w:t>na wszystkich szczeblach edukacji</w:t>
            </w:r>
          </w:p>
        </w:tc>
        <w:tc>
          <w:tcPr>
            <w:tcW w:w="2032" w:type="dxa"/>
            <w:vMerge w:val="restart"/>
          </w:tcPr>
          <w:p w14:paraId="4449CB8F" w14:textId="7AE708E2" w:rsidR="00311D18" w:rsidRPr="00532128" w:rsidRDefault="00081C36"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t>Ministerstwo Edukacji i Nauki</w:t>
            </w:r>
            <w:r w:rsidR="00311D18" w:rsidRPr="00532128">
              <w:rPr>
                <w:rFonts w:ascii="Times New Roman" w:eastAsia="MS Mincho" w:hAnsi="Times New Roman"/>
                <w:color w:val="auto"/>
                <w:sz w:val="20"/>
              </w:rPr>
              <w:t>, Ministerstwo Zdrowia</w:t>
            </w:r>
          </w:p>
        </w:tc>
        <w:tc>
          <w:tcPr>
            <w:tcW w:w="1500" w:type="dxa"/>
            <w:vMerge w:val="restart"/>
          </w:tcPr>
          <w:p w14:paraId="5E12F361"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180FC68E"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Realizacja w podstawie programowej kwestii edukacji zdrowotnej</w:t>
            </w:r>
          </w:p>
          <w:p w14:paraId="3040E1CB"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b/>
                <w:color w:val="auto"/>
                <w:sz w:val="20"/>
              </w:rPr>
            </w:pPr>
            <w:r w:rsidRPr="00532128">
              <w:rPr>
                <w:rFonts w:ascii="Times New Roman" w:eastAsia="MS Mincho" w:hAnsi="Times New Roman"/>
                <w:b/>
                <w:color w:val="auto"/>
                <w:sz w:val="20"/>
              </w:rPr>
              <w:t xml:space="preserve">oraz </w:t>
            </w:r>
          </w:p>
          <w:p w14:paraId="44230907"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zrealizowanych działań mających na celu upowszechnianie wiedzy na temat zdrowia z uwzględnieniem zmian wynikających z procesu starzenia</w:t>
            </w:r>
          </w:p>
        </w:tc>
      </w:tr>
      <w:tr w:rsidR="0092226B" w:rsidRPr="0092226B" w14:paraId="072E29EA"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15CBE53F" w14:textId="77777777" w:rsidR="00311D18" w:rsidRPr="0092226B" w:rsidRDefault="00311D18" w:rsidP="003C1988">
            <w:pPr>
              <w:rPr>
                <w:rFonts w:cs="Times New Roman"/>
                <w:color w:val="FF0000"/>
                <w:sz w:val="20"/>
              </w:rPr>
            </w:pPr>
          </w:p>
        </w:tc>
        <w:tc>
          <w:tcPr>
            <w:tcW w:w="3594" w:type="dxa"/>
            <w:vMerge/>
          </w:tcPr>
          <w:p w14:paraId="4A2669F8"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3EBC1EE5"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51F9FBD3"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11992787" w14:textId="2300790F" w:rsidR="00866D1A" w:rsidRPr="00532128" w:rsidRDefault="00866D1A" w:rsidP="0042628E">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proofErr w:type="spellStart"/>
            <w:r w:rsidRPr="00532128">
              <w:rPr>
                <w:rFonts w:cs="Times New Roman"/>
                <w:color w:val="auto"/>
                <w:sz w:val="20"/>
              </w:rPr>
              <w:t>MEiN</w:t>
            </w:r>
            <w:proofErr w:type="spellEnd"/>
            <w:r w:rsidRPr="00532128">
              <w:rPr>
                <w:rFonts w:cs="Times New Roman"/>
                <w:color w:val="auto"/>
                <w:sz w:val="20"/>
              </w:rPr>
              <w:t xml:space="preserve"> nie prowadzi edukacyjnych działań prozdrowotnych kierowanych wyłączn</w:t>
            </w:r>
            <w:r w:rsidR="0042628E">
              <w:rPr>
                <w:rFonts w:cs="Times New Roman"/>
                <w:color w:val="auto"/>
                <w:sz w:val="20"/>
              </w:rPr>
              <w:t xml:space="preserve">ie na potrzeby osób starszych, ale </w:t>
            </w:r>
            <w:r w:rsidRPr="00532128">
              <w:rPr>
                <w:rFonts w:cs="Times New Roman"/>
                <w:color w:val="auto"/>
                <w:sz w:val="20"/>
              </w:rPr>
              <w:t>realizuje działania w</w:t>
            </w:r>
            <w:r w:rsidR="0042628E">
              <w:rPr>
                <w:rFonts w:cs="Times New Roman"/>
                <w:color w:val="auto"/>
                <w:sz w:val="20"/>
              </w:rPr>
              <w:t xml:space="preserve">spierające nauczycieli, uczniów </w:t>
            </w:r>
            <w:r w:rsidRPr="00532128">
              <w:rPr>
                <w:rFonts w:cs="Times New Roman"/>
                <w:color w:val="auto"/>
                <w:sz w:val="20"/>
              </w:rPr>
              <w:t>i rodziców w zakresie kształtowania właściwych postaw prozdrowotnych.</w:t>
            </w:r>
          </w:p>
          <w:p w14:paraId="54C95B0C" w14:textId="77777777" w:rsidR="00BF1E4B" w:rsidRDefault="0042628E" w:rsidP="0042628E">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Pr>
                <w:rFonts w:cs="Times New Roman"/>
                <w:color w:val="auto"/>
                <w:sz w:val="20"/>
              </w:rPr>
              <w:t>1. </w:t>
            </w:r>
            <w:r w:rsidR="00866D1A" w:rsidRPr="00532128">
              <w:rPr>
                <w:rFonts w:cs="Times New Roman"/>
                <w:color w:val="auto"/>
                <w:sz w:val="20"/>
              </w:rPr>
              <w:t xml:space="preserve">Dyrektorom szkół i nauczycielom zapewniono możliwość korzystania z materiałów edukacyjnych, opracowanych przez </w:t>
            </w:r>
            <w:r>
              <w:rPr>
                <w:rFonts w:cs="Times New Roman"/>
                <w:color w:val="auto"/>
                <w:sz w:val="20"/>
              </w:rPr>
              <w:t xml:space="preserve">Ośrodek Rozwoju Edukacji (ORE). </w:t>
            </w:r>
          </w:p>
          <w:p w14:paraId="555076AB" w14:textId="7B636255" w:rsidR="00866D1A" w:rsidRPr="00532128" w:rsidRDefault="00866D1A" w:rsidP="0042628E">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Na stronie internetowej ORE utworzono Bank Dobrych Pr</w:t>
            </w:r>
            <w:r w:rsidR="00BF1E4B">
              <w:rPr>
                <w:rFonts w:cs="Times New Roman"/>
                <w:color w:val="auto"/>
                <w:sz w:val="20"/>
              </w:rPr>
              <w:t>aktyk, w </w:t>
            </w:r>
            <w:r w:rsidR="0042628E">
              <w:rPr>
                <w:rFonts w:cs="Times New Roman"/>
                <w:color w:val="auto"/>
                <w:sz w:val="20"/>
              </w:rPr>
              <w:t>którym zamieszczane są </w:t>
            </w:r>
            <w:r w:rsidRPr="00532128">
              <w:rPr>
                <w:rFonts w:cs="Times New Roman"/>
                <w:color w:val="auto"/>
                <w:sz w:val="20"/>
              </w:rPr>
              <w:t>doświadczenia szkół w zakresie promocji zdrowia oraz konkretne przykłady działań, stanowiący</w:t>
            </w:r>
            <w:r w:rsidR="0042628E">
              <w:rPr>
                <w:rFonts w:cs="Times New Roman"/>
                <w:color w:val="auto"/>
                <w:sz w:val="20"/>
              </w:rPr>
              <w:t>ch inspirację oraz wsparcie dla </w:t>
            </w:r>
            <w:r w:rsidRPr="00532128">
              <w:rPr>
                <w:rFonts w:cs="Times New Roman"/>
                <w:color w:val="auto"/>
                <w:sz w:val="20"/>
              </w:rPr>
              <w:t>wszystkich zainteresowanych placówek w podejmowaniu systemowych działań w za</w:t>
            </w:r>
            <w:r w:rsidR="0042628E">
              <w:rPr>
                <w:rFonts w:cs="Times New Roman"/>
                <w:color w:val="auto"/>
                <w:sz w:val="20"/>
              </w:rPr>
              <w:t>kresie zdrowego odżywiania oraz </w:t>
            </w:r>
            <w:r w:rsidRPr="00532128">
              <w:rPr>
                <w:rFonts w:cs="Times New Roman"/>
                <w:color w:val="auto"/>
                <w:sz w:val="20"/>
              </w:rPr>
              <w:t>zwiększania aktywności fizycznej.</w:t>
            </w:r>
          </w:p>
          <w:p w14:paraId="0AE566B9" w14:textId="32A0B0DF" w:rsidR="00866D1A" w:rsidRPr="00532128" w:rsidRDefault="00BF1E4B" w:rsidP="0042628E">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Pr>
                <w:rFonts w:cs="Times New Roman"/>
                <w:color w:val="auto"/>
                <w:sz w:val="20"/>
              </w:rPr>
              <w:t>2. </w:t>
            </w:r>
            <w:r w:rsidR="00866D1A" w:rsidRPr="00532128">
              <w:rPr>
                <w:rFonts w:cs="Times New Roman"/>
                <w:color w:val="auto"/>
                <w:sz w:val="20"/>
              </w:rPr>
              <w:t>Zapewnienie bezpieczeństwa zdrowotnego, m.in. osób dorosłych (tj. nauczycieli, rodziców), od początku epidemii COVID-19.</w:t>
            </w:r>
          </w:p>
          <w:p w14:paraId="4ADBDB59" w14:textId="695F1464" w:rsidR="00866D1A" w:rsidRPr="00532128" w:rsidRDefault="00866D1A" w:rsidP="0042628E">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 xml:space="preserve">W roku szkolnym 2020/2021 w czasie pandemii COVID-19 priorytetem </w:t>
            </w:r>
            <w:proofErr w:type="spellStart"/>
            <w:r w:rsidRPr="00532128">
              <w:rPr>
                <w:rFonts w:cs="Times New Roman"/>
                <w:color w:val="auto"/>
                <w:sz w:val="20"/>
              </w:rPr>
              <w:t>MEiN</w:t>
            </w:r>
            <w:proofErr w:type="spellEnd"/>
            <w:r w:rsidRPr="00532128">
              <w:rPr>
                <w:rFonts w:cs="Times New Roman"/>
                <w:color w:val="auto"/>
                <w:sz w:val="20"/>
              </w:rPr>
              <w:t xml:space="preserve"> jest zapew</w:t>
            </w:r>
            <w:r w:rsidR="00BF1E4B">
              <w:rPr>
                <w:rFonts w:cs="Times New Roman"/>
                <w:color w:val="auto"/>
                <w:sz w:val="20"/>
              </w:rPr>
              <w:t>nienie bezpieczeństwa uczniom i </w:t>
            </w:r>
            <w:r w:rsidRPr="00532128">
              <w:rPr>
                <w:rFonts w:cs="Times New Roman"/>
                <w:color w:val="auto"/>
                <w:sz w:val="20"/>
              </w:rPr>
              <w:t>nauczycielom, a także ich rodzicom w szkołach i placówkach oświato</w:t>
            </w:r>
            <w:r w:rsidR="00BF1E4B">
              <w:rPr>
                <w:rFonts w:cs="Times New Roman"/>
                <w:color w:val="auto"/>
                <w:sz w:val="20"/>
              </w:rPr>
              <w:t>wych, w tym specjalnych. Szkoły i placówki otrzymywały z </w:t>
            </w:r>
            <w:proofErr w:type="spellStart"/>
            <w:r w:rsidRPr="00532128">
              <w:rPr>
                <w:rFonts w:cs="Times New Roman"/>
                <w:color w:val="auto"/>
                <w:sz w:val="20"/>
              </w:rPr>
              <w:t>MEiN</w:t>
            </w:r>
            <w:proofErr w:type="spellEnd"/>
            <w:r w:rsidRPr="00532128">
              <w:rPr>
                <w:rFonts w:cs="Times New Roman"/>
                <w:color w:val="auto"/>
                <w:sz w:val="20"/>
              </w:rPr>
              <w:t xml:space="preserve"> wytyczne i zalecenia, których stosowanie zapewniało bezpieczne i higieniczne warunki pracy i nauki całej</w:t>
            </w:r>
            <w:r w:rsidR="00BF1E4B">
              <w:rPr>
                <w:rFonts w:cs="Times New Roman"/>
                <w:color w:val="auto"/>
                <w:sz w:val="20"/>
              </w:rPr>
              <w:t xml:space="preserve"> społeczności szkolnej oraz ich </w:t>
            </w:r>
            <w:r w:rsidRPr="00532128">
              <w:rPr>
                <w:rFonts w:cs="Times New Roman"/>
                <w:color w:val="auto"/>
                <w:sz w:val="20"/>
              </w:rPr>
              <w:t>rodzinom. Ponadto, resort edukacji już pod koniec 2020 r. upowszechniał akcję</w:t>
            </w:r>
            <w:r w:rsidR="00BF1E4B">
              <w:rPr>
                <w:rFonts w:cs="Times New Roman"/>
                <w:color w:val="auto"/>
                <w:sz w:val="20"/>
              </w:rPr>
              <w:t xml:space="preserve"> szczepień przeciw COVID-19 dla </w:t>
            </w:r>
            <w:r w:rsidRPr="00532128">
              <w:rPr>
                <w:rFonts w:cs="Times New Roman"/>
                <w:color w:val="auto"/>
                <w:sz w:val="20"/>
              </w:rPr>
              <w:t xml:space="preserve">nauczycieli w ramach realizacji Narodowego Programu Szczepień Przeciw COVID-19, które rozpoczęły się od 12 lutego br. </w:t>
            </w:r>
          </w:p>
          <w:p w14:paraId="562C93C7" w14:textId="0CF9326A" w:rsidR="00262AB9" w:rsidRPr="00BF1E4B" w:rsidRDefault="00866D1A" w:rsidP="0042628E">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Z uwagi na działania ciągłe proponuje się zrezygnow</w:t>
            </w:r>
            <w:r w:rsidR="00BF1E4B">
              <w:rPr>
                <w:rFonts w:cs="Times New Roman"/>
                <w:color w:val="auto"/>
                <w:sz w:val="20"/>
              </w:rPr>
              <w:t>ać z ww. wskaźnika liczbowego.</w:t>
            </w:r>
          </w:p>
        </w:tc>
      </w:tr>
      <w:tr w:rsidR="0092226B" w:rsidRPr="0092226B" w14:paraId="002CB586" w14:textId="77777777" w:rsidTr="002D4784">
        <w:trPr>
          <w:trHeight w:val="497"/>
        </w:trPr>
        <w:tc>
          <w:tcPr>
            <w:cnfStyle w:val="001000000000" w:firstRow="0" w:lastRow="0" w:firstColumn="1" w:lastColumn="0" w:oddVBand="0" w:evenVBand="0" w:oddHBand="0" w:evenHBand="0" w:firstRowFirstColumn="0" w:firstRowLastColumn="0" w:lastRowFirstColumn="0" w:lastRowLastColumn="0"/>
            <w:tcW w:w="1232" w:type="dxa"/>
            <w:vMerge/>
          </w:tcPr>
          <w:p w14:paraId="110AA9B6" w14:textId="77777777" w:rsidR="00311D18" w:rsidRPr="0092226B" w:rsidRDefault="00311D18" w:rsidP="003C1988">
            <w:pPr>
              <w:rPr>
                <w:rFonts w:cs="Times New Roman"/>
                <w:color w:val="FF0000"/>
                <w:sz w:val="20"/>
              </w:rPr>
            </w:pPr>
          </w:p>
        </w:tc>
        <w:tc>
          <w:tcPr>
            <w:tcW w:w="3594" w:type="dxa"/>
            <w:vMerge w:val="restart"/>
          </w:tcPr>
          <w:p w14:paraId="611D6B54"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Podejmowanie działań edukacyjnych nakierowanych na utrzymanie zdrowia, </w:t>
            </w:r>
            <w:r w:rsidRPr="00532128">
              <w:rPr>
                <w:rFonts w:ascii="Times New Roman" w:eastAsia="MS Mincho" w:hAnsi="Times New Roman"/>
                <w:color w:val="auto"/>
                <w:sz w:val="20"/>
              </w:rPr>
              <w:lastRenderedPageBreak/>
              <w:t>zróżnicowane w zależności od wieku i stopnia sprawności</w:t>
            </w:r>
          </w:p>
        </w:tc>
        <w:tc>
          <w:tcPr>
            <w:tcW w:w="2032" w:type="dxa"/>
            <w:vMerge w:val="restart"/>
          </w:tcPr>
          <w:p w14:paraId="40AB68E8" w14:textId="0EC637F1" w:rsidR="00311D18" w:rsidRPr="00532128" w:rsidRDefault="00081C36"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lastRenderedPageBreak/>
              <w:t>Ministerstwo Edukacji i Nauki</w:t>
            </w:r>
            <w:r w:rsidR="00311D18" w:rsidRPr="00532128">
              <w:rPr>
                <w:rFonts w:ascii="Times New Roman" w:eastAsia="MS Mincho" w:hAnsi="Times New Roman"/>
                <w:color w:val="auto"/>
                <w:sz w:val="20"/>
              </w:rPr>
              <w:t>, Ministerstwo Zdrowia</w:t>
            </w:r>
          </w:p>
        </w:tc>
        <w:tc>
          <w:tcPr>
            <w:tcW w:w="1500" w:type="dxa"/>
            <w:vMerge w:val="restart"/>
          </w:tcPr>
          <w:p w14:paraId="0AE45BA2"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759C1709"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Realizacja działań edukacyjnych nakierowanych na utrzymanie zdrowia</w:t>
            </w:r>
          </w:p>
        </w:tc>
      </w:tr>
      <w:tr w:rsidR="0092226B" w:rsidRPr="0092226B" w14:paraId="42B22B9E"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4E3C95E5" w14:textId="77777777" w:rsidR="00311D18" w:rsidRPr="0092226B" w:rsidRDefault="00311D18" w:rsidP="003C1988">
            <w:pPr>
              <w:rPr>
                <w:rFonts w:cs="Times New Roman"/>
                <w:color w:val="FF0000"/>
                <w:sz w:val="20"/>
              </w:rPr>
            </w:pPr>
          </w:p>
        </w:tc>
        <w:tc>
          <w:tcPr>
            <w:tcW w:w="3594" w:type="dxa"/>
            <w:vMerge/>
          </w:tcPr>
          <w:p w14:paraId="054F3F39"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4C392514"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47505305"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6F8DD017" w14:textId="77777777" w:rsidR="00415206" w:rsidRPr="00532128" w:rsidRDefault="00415206" w:rsidP="00A96822">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Do ww. działań edukacyjnych należy realizacja podstawy programowej w przedszkolu, szkole podstawowej i w szkołach ponadpodstawowych, w której są obecne treści dotyczące zdrowia. </w:t>
            </w:r>
          </w:p>
          <w:p w14:paraId="2E74E410" w14:textId="77777777" w:rsidR="00415206" w:rsidRPr="00532128" w:rsidRDefault="00415206" w:rsidP="00A96822">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Ponadto, można wymienić następujące działania:</w:t>
            </w:r>
          </w:p>
          <w:p w14:paraId="555E0E41" w14:textId="75580FDE" w:rsidR="00415206" w:rsidRPr="00532128" w:rsidRDefault="00A96822" w:rsidP="00A96822">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1. </w:t>
            </w:r>
            <w:r w:rsidR="00415206" w:rsidRPr="00532128">
              <w:rPr>
                <w:rFonts w:eastAsia="MS Mincho" w:cs="Times New Roman"/>
                <w:color w:val="auto"/>
                <w:sz w:val="20"/>
              </w:rPr>
              <w:t>Program Szkoła i Przedszkole Promujące Zdrowie</w:t>
            </w:r>
          </w:p>
          <w:p w14:paraId="1455C8A7" w14:textId="53CBCD52" w:rsidR="00415206" w:rsidRPr="00532128" w:rsidRDefault="00415206" w:rsidP="00A96822">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Systematycznie i planowo ww. Program tworzy środowisko społeczne i fizyczne sprzyjające zdrowiu i dobremu samopoczuciu całej społeczności szkolnej, a od 2018 r. także i przedszkolnej. Ponadto, realizacja programu wspiera nie tylko rozwój kompetencji dzieci i młodzieży, ale także pracowników i rodziców w zakresie dbałości o zdrowie przez całe życie. Sieć szkół i przedszkoli ukierunkowuje zainteresowane osoby na utrzymanie dobrostanu zdrowotnego. </w:t>
            </w:r>
            <w:proofErr w:type="spellStart"/>
            <w:r w:rsidRPr="00532128">
              <w:rPr>
                <w:rFonts w:eastAsia="MS Mincho" w:cs="Times New Roman"/>
                <w:color w:val="auto"/>
                <w:sz w:val="20"/>
              </w:rPr>
              <w:t>MEiN</w:t>
            </w:r>
            <w:proofErr w:type="spellEnd"/>
            <w:r w:rsidRPr="00532128">
              <w:rPr>
                <w:rFonts w:eastAsia="MS Mincho" w:cs="Times New Roman"/>
                <w:color w:val="auto"/>
                <w:sz w:val="20"/>
              </w:rPr>
              <w:t xml:space="preserve"> nadzoruje system certyfikacji szkół i placówek będących w sieci szkół i przedszkoli promujących zdrowie. Upowszechnianie koncepcji szkół i przedszkoli promujących zdrowie zostało wymienion</w:t>
            </w:r>
            <w:r w:rsidR="00A96822">
              <w:rPr>
                <w:rFonts w:eastAsia="MS Mincho" w:cs="Times New Roman"/>
                <w:color w:val="auto"/>
                <w:sz w:val="20"/>
              </w:rPr>
              <w:t>e wśród zadań koordynacyjnych w </w:t>
            </w:r>
            <w:r w:rsidRPr="00532128">
              <w:rPr>
                <w:rFonts w:eastAsia="MS Mincho" w:cs="Times New Roman"/>
                <w:color w:val="auto"/>
                <w:sz w:val="20"/>
              </w:rPr>
              <w:t>Narodowym Programie Zdrow</w:t>
            </w:r>
            <w:r w:rsidR="00A96822">
              <w:rPr>
                <w:rFonts w:eastAsia="MS Mincho" w:cs="Times New Roman"/>
                <w:color w:val="auto"/>
                <w:sz w:val="20"/>
              </w:rPr>
              <w:t>ia na lata 2021-2025. Program w </w:t>
            </w:r>
            <w:r w:rsidRPr="00532128">
              <w:rPr>
                <w:rFonts w:eastAsia="MS Mincho" w:cs="Times New Roman"/>
                <w:color w:val="auto"/>
                <w:sz w:val="20"/>
              </w:rPr>
              <w:t>swoich działaniach koncentruje się na propagowaniu zdrowego stylu życia, tworzy warunki sp</w:t>
            </w:r>
            <w:r w:rsidR="00A96822">
              <w:rPr>
                <w:rFonts w:eastAsia="MS Mincho" w:cs="Times New Roman"/>
                <w:color w:val="auto"/>
                <w:sz w:val="20"/>
              </w:rPr>
              <w:t>rzyjające ochronie zdrowia oraz </w:t>
            </w:r>
            <w:r w:rsidRPr="00532128">
              <w:rPr>
                <w:rFonts w:eastAsia="MS Mincho" w:cs="Times New Roman"/>
                <w:color w:val="auto"/>
                <w:sz w:val="20"/>
              </w:rPr>
              <w:t>umożliwia aktywne uczes</w:t>
            </w:r>
            <w:r w:rsidR="00A96822">
              <w:rPr>
                <w:rFonts w:eastAsia="MS Mincho" w:cs="Times New Roman"/>
                <w:color w:val="auto"/>
                <w:sz w:val="20"/>
              </w:rPr>
              <w:t>tnictwo społeczności szkolnej w </w:t>
            </w:r>
            <w:r w:rsidRPr="00532128">
              <w:rPr>
                <w:rFonts w:eastAsia="MS Mincho" w:cs="Times New Roman"/>
                <w:color w:val="auto"/>
                <w:sz w:val="20"/>
              </w:rPr>
              <w:t xml:space="preserve">działaniach na rzecz zdrowia. </w:t>
            </w:r>
          </w:p>
          <w:p w14:paraId="39FF7DDE" w14:textId="3925D4C6" w:rsidR="00415206" w:rsidRPr="00532128" w:rsidRDefault="00A96822" w:rsidP="00A96822">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2. </w:t>
            </w:r>
            <w:r w:rsidR="00415206" w:rsidRPr="00532128">
              <w:rPr>
                <w:rFonts w:eastAsia="MS Mincho" w:cs="Times New Roman"/>
                <w:color w:val="auto"/>
                <w:sz w:val="20"/>
              </w:rPr>
              <w:t>Zwiększanie kompetencji nauczycieli</w:t>
            </w:r>
          </w:p>
          <w:p w14:paraId="198C8744" w14:textId="1336086E" w:rsidR="00415206" w:rsidRPr="00532128" w:rsidRDefault="00415206" w:rsidP="00A96822">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W 2020 r. </w:t>
            </w:r>
            <w:proofErr w:type="spellStart"/>
            <w:r w:rsidRPr="00532128">
              <w:rPr>
                <w:rFonts w:eastAsia="MS Mincho" w:cs="Times New Roman"/>
                <w:color w:val="auto"/>
                <w:sz w:val="20"/>
              </w:rPr>
              <w:t>MEiN</w:t>
            </w:r>
            <w:proofErr w:type="spellEnd"/>
            <w:r w:rsidRPr="00532128">
              <w:rPr>
                <w:rFonts w:eastAsia="MS Mincho" w:cs="Times New Roman"/>
                <w:color w:val="auto"/>
                <w:sz w:val="20"/>
              </w:rPr>
              <w:t>, za pośrednictwem Ośrodka Rozwoju Edukacji, przygotowało i przeprowadziło kurs e-learningowy dla nauczycieli wychowania fizycznego i nau</w:t>
            </w:r>
            <w:r w:rsidR="00A96822">
              <w:rPr>
                <w:rFonts w:eastAsia="MS Mincho" w:cs="Times New Roman"/>
                <w:color w:val="auto"/>
                <w:sz w:val="20"/>
              </w:rPr>
              <w:t>czycieli prowadzących zajęcia z </w:t>
            </w:r>
            <w:r w:rsidRPr="00532128">
              <w:rPr>
                <w:rFonts w:eastAsia="MS Mincho" w:cs="Times New Roman"/>
                <w:color w:val="auto"/>
                <w:sz w:val="20"/>
              </w:rPr>
              <w:t>zakresu edukacji zdrowotnej. Szkolenie składało się z trzech modułów:</w:t>
            </w:r>
          </w:p>
          <w:p w14:paraId="3F2DF878" w14:textId="77777777" w:rsidR="00415206" w:rsidRPr="00532128" w:rsidRDefault="00415206" w:rsidP="00A96822">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edukacja zdrowotna w szkole;</w:t>
            </w:r>
          </w:p>
          <w:p w14:paraId="61A1F958" w14:textId="77777777" w:rsidR="00415206" w:rsidRPr="00532128" w:rsidRDefault="00415206" w:rsidP="00A96822">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zachowania zdrowotne - zdrowe żywienie;</w:t>
            </w:r>
          </w:p>
          <w:p w14:paraId="1DE79870" w14:textId="77777777" w:rsidR="00415206" w:rsidRPr="00532128" w:rsidRDefault="00415206" w:rsidP="00A96822">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zachowania zdrowotne - aktywność fizyczna.</w:t>
            </w:r>
          </w:p>
          <w:p w14:paraId="58CFB0A4" w14:textId="77777777" w:rsidR="00415206" w:rsidRPr="00532128" w:rsidRDefault="00415206" w:rsidP="00A96822">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W szkoleniu udział wzięli nauczyciele różnych przedmiotów, prowadzący zajęcia dla różnych grup wiekowych, z zakresu edukacji zdrowotnej, pedagodzy i psychologowie szkolni, </w:t>
            </w:r>
            <w:r w:rsidRPr="00532128">
              <w:rPr>
                <w:rFonts w:eastAsia="MS Mincho" w:cs="Times New Roman"/>
                <w:color w:val="auto"/>
                <w:sz w:val="20"/>
              </w:rPr>
              <w:lastRenderedPageBreak/>
              <w:t>nauczyciele wychowania fizycznego, dyrektorzy szkół, inni (doradcy metodyczni, specjaliści).</w:t>
            </w:r>
          </w:p>
          <w:p w14:paraId="32B86702" w14:textId="49CC2F93" w:rsidR="00415206" w:rsidRPr="00532128" w:rsidRDefault="00A96822" w:rsidP="00A96822">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3. </w:t>
            </w:r>
            <w:r w:rsidR="00415206" w:rsidRPr="00532128">
              <w:rPr>
                <w:rFonts w:eastAsia="MS Mincho" w:cs="Times New Roman"/>
                <w:color w:val="auto"/>
                <w:sz w:val="20"/>
              </w:rPr>
              <w:t>Profilaktyka zdrowia psychi</w:t>
            </w:r>
            <w:r>
              <w:rPr>
                <w:rFonts w:eastAsia="MS Mincho" w:cs="Times New Roman"/>
                <w:color w:val="auto"/>
                <w:sz w:val="20"/>
              </w:rPr>
              <w:t>cznego – zadania realizowane w r</w:t>
            </w:r>
            <w:r w:rsidR="00415206" w:rsidRPr="00532128">
              <w:rPr>
                <w:rFonts w:eastAsia="MS Mincho" w:cs="Times New Roman"/>
                <w:color w:val="auto"/>
                <w:sz w:val="20"/>
              </w:rPr>
              <w:t>amach Narodowego Programu Zdrowia</w:t>
            </w:r>
          </w:p>
          <w:p w14:paraId="3297D6E4" w14:textId="2C4A1B2B" w:rsidR="00415206" w:rsidRPr="00532128" w:rsidRDefault="00415206" w:rsidP="00A96822">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W ramach ogłoszonych w 2020 r. otwartych konkursów ofert </w:t>
            </w:r>
            <w:proofErr w:type="spellStart"/>
            <w:r w:rsidRPr="00532128">
              <w:rPr>
                <w:rFonts w:eastAsia="MS Mincho" w:cs="Times New Roman"/>
                <w:color w:val="auto"/>
                <w:sz w:val="20"/>
              </w:rPr>
              <w:t>MEiN</w:t>
            </w:r>
            <w:proofErr w:type="spellEnd"/>
            <w:r w:rsidRPr="00532128">
              <w:rPr>
                <w:rFonts w:eastAsia="MS Mincho" w:cs="Times New Roman"/>
                <w:color w:val="auto"/>
                <w:sz w:val="20"/>
              </w:rPr>
              <w:t xml:space="preserve"> zlecił realizację działań z zakresu profilaktyki problemów zdrowia psychicznego i poprawy dobrostanu psychicznego sp</w:t>
            </w:r>
            <w:r w:rsidR="00A96822">
              <w:rPr>
                <w:rFonts w:eastAsia="MS Mincho" w:cs="Times New Roman"/>
                <w:color w:val="auto"/>
                <w:sz w:val="20"/>
              </w:rPr>
              <w:t xml:space="preserve">ołeczeństwa. Adresatami działań </w:t>
            </w:r>
            <w:r w:rsidRPr="00532128">
              <w:rPr>
                <w:rFonts w:eastAsia="MS Mincho" w:cs="Times New Roman"/>
                <w:color w:val="auto"/>
                <w:sz w:val="20"/>
              </w:rPr>
              <w:t>byli uczniowie, nauczyciele, rodzice i instytucje z tzw. otoczenia szkoły.</w:t>
            </w:r>
          </w:p>
          <w:p w14:paraId="061BC0A6" w14:textId="77777777" w:rsidR="00415206" w:rsidRPr="00532128" w:rsidRDefault="00415206" w:rsidP="00A96822">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13807917" w14:textId="2BE854A5" w:rsidR="00996840" w:rsidRPr="00532128" w:rsidRDefault="0090605C" w:rsidP="00A96822">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eastAsia="MS Mincho" w:cs="Times New Roman"/>
                <w:color w:val="auto"/>
                <w:sz w:val="20"/>
              </w:rPr>
              <w:t>W 2020 r. trwały prace nad projektem Narodowego Programu Zdrowia na lata 2021-2025. Program ten został  przyjęty w dniu 30 marca 2021 r. W ramach NPZ 2021-2025 zaplanowano działania z zakresu  edukacji ukierunkowanej na profilaktykę problemów zdrowotnych występujących u osób starszych.</w:t>
            </w:r>
          </w:p>
        </w:tc>
      </w:tr>
      <w:tr w:rsidR="0092226B" w:rsidRPr="0092226B" w14:paraId="43D5D9A5" w14:textId="77777777" w:rsidTr="002D4784">
        <w:trPr>
          <w:trHeight w:val="556"/>
        </w:trPr>
        <w:tc>
          <w:tcPr>
            <w:cnfStyle w:val="001000000000" w:firstRow="0" w:lastRow="0" w:firstColumn="1" w:lastColumn="0" w:oddVBand="0" w:evenVBand="0" w:oddHBand="0" w:evenHBand="0" w:firstRowFirstColumn="0" w:firstRowLastColumn="0" w:lastRowFirstColumn="0" w:lastRowLastColumn="0"/>
            <w:tcW w:w="1232" w:type="dxa"/>
            <w:vMerge/>
          </w:tcPr>
          <w:p w14:paraId="48401215" w14:textId="77777777" w:rsidR="00311D18" w:rsidRPr="0092226B" w:rsidRDefault="00311D18" w:rsidP="003C1988">
            <w:pPr>
              <w:rPr>
                <w:rFonts w:cs="Times New Roman"/>
                <w:color w:val="FF0000"/>
                <w:sz w:val="20"/>
              </w:rPr>
            </w:pPr>
          </w:p>
        </w:tc>
        <w:tc>
          <w:tcPr>
            <w:tcW w:w="3594" w:type="dxa"/>
            <w:vMerge w:val="restart"/>
          </w:tcPr>
          <w:p w14:paraId="5D02869F"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Realizacja programów promocji zdrowia informujących o czynnikach ryzyka zdrowotnego i zachęcających </w:t>
            </w:r>
            <w:r w:rsidRPr="00532128">
              <w:rPr>
                <w:rFonts w:ascii="Times New Roman" w:eastAsia="MS Mincho" w:hAnsi="Times New Roman"/>
                <w:color w:val="auto"/>
                <w:sz w:val="20"/>
              </w:rPr>
              <w:br/>
              <w:t xml:space="preserve">do podejmowania </w:t>
            </w:r>
            <w:proofErr w:type="spellStart"/>
            <w:r w:rsidRPr="00532128">
              <w:rPr>
                <w:rFonts w:ascii="Times New Roman" w:eastAsia="MS Mincho" w:hAnsi="Times New Roman"/>
                <w:color w:val="auto"/>
                <w:sz w:val="20"/>
              </w:rPr>
              <w:t>zachowań</w:t>
            </w:r>
            <w:proofErr w:type="spellEnd"/>
            <w:r w:rsidRPr="00532128">
              <w:rPr>
                <w:rFonts w:ascii="Times New Roman" w:eastAsia="MS Mincho" w:hAnsi="Times New Roman"/>
                <w:color w:val="auto"/>
                <w:sz w:val="20"/>
              </w:rPr>
              <w:t xml:space="preserve"> sprzyjających utrzymaniu i poprawie zdrowia</w:t>
            </w:r>
          </w:p>
        </w:tc>
        <w:tc>
          <w:tcPr>
            <w:tcW w:w="2032" w:type="dxa"/>
            <w:vMerge w:val="restart"/>
          </w:tcPr>
          <w:p w14:paraId="44F3572E"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tc>
        <w:tc>
          <w:tcPr>
            <w:tcW w:w="1500" w:type="dxa"/>
            <w:vMerge w:val="restart"/>
          </w:tcPr>
          <w:p w14:paraId="46645C3F"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1333C33E"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 xml:space="preserve">Liczba zrealizowanych programów promocji zdrowia informujących o czynnikach ryzyka zdrowotnego i zachęcających do podejmowania </w:t>
            </w:r>
            <w:proofErr w:type="spellStart"/>
            <w:r w:rsidRPr="00532128">
              <w:rPr>
                <w:rFonts w:ascii="Times New Roman" w:eastAsia="MS Mincho" w:hAnsi="Times New Roman"/>
                <w:i/>
                <w:color w:val="auto"/>
                <w:sz w:val="20"/>
              </w:rPr>
              <w:t>zachowań</w:t>
            </w:r>
            <w:proofErr w:type="spellEnd"/>
            <w:r w:rsidRPr="00532128">
              <w:rPr>
                <w:rFonts w:ascii="Times New Roman" w:eastAsia="MS Mincho" w:hAnsi="Times New Roman"/>
                <w:i/>
                <w:color w:val="auto"/>
                <w:sz w:val="20"/>
              </w:rPr>
              <w:t xml:space="preserve"> sprzyjających utrzymaniu i poprawie zdrowia.</w:t>
            </w:r>
          </w:p>
        </w:tc>
      </w:tr>
      <w:tr w:rsidR="0092226B" w:rsidRPr="0092226B" w14:paraId="42422364"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7E0B6AA6" w14:textId="77777777" w:rsidR="00311D18" w:rsidRPr="0092226B" w:rsidRDefault="00311D18" w:rsidP="003C1988">
            <w:pPr>
              <w:rPr>
                <w:rFonts w:cs="Times New Roman"/>
                <w:color w:val="FF0000"/>
                <w:sz w:val="20"/>
              </w:rPr>
            </w:pPr>
          </w:p>
        </w:tc>
        <w:tc>
          <w:tcPr>
            <w:tcW w:w="3594" w:type="dxa"/>
            <w:vMerge/>
          </w:tcPr>
          <w:p w14:paraId="17076F19"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133DD140"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45913C72" w14:textId="77777777" w:rsidR="00311D18" w:rsidRPr="00532128" w:rsidRDefault="00311D18"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6FC8C418" w14:textId="77777777" w:rsidR="0090605C" w:rsidRPr="00532128" w:rsidRDefault="0090605C" w:rsidP="00A96822">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lang w:bidi="pl-PL"/>
              </w:rPr>
            </w:pPr>
            <w:r w:rsidRPr="00532128">
              <w:rPr>
                <w:rFonts w:eastAsia="MS Mincho" w:cs="Times New Roman"/>
                <w:bCs/>
                <w:color w:val="auto"/>
                <w:sz w:val="20"/>
                <w:szCs w:val="20"/>
                <w:lang w:bidi="pl-PL"/>
              </w:rPr>
              <w:t xml:space="preserve">W ramach Narodowego Programu Zdrowia na lata 2016-2020 prowadzone były następujące działania: </w:t>
            </w:r>
          </w:p>
          <w:p w14:paraId="1BA25F03" w14:textId="5953DDEE" w:rsidR="0090605C" w:rsidRPr="00532128" w:rsidRDefault="00A96822" w:rsidP="00A96822">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lang w:bidi="pl-PL"/>
              </w:rPr>
            </w:pPr>
            <w:r>
              <w:rPr>
                <w:rFonts w:eastAsia="MS Mincho" w:cs="Times New Roman"/>
                <w:bCs/>
                <w:color w:val="auto"/>
                <w:sz w:val="20"/>
                <w:szCs w:val="20"/>
                <w:lang w:bidi="pl-PL"/>
              </w:rPr>
              <w:t>1. </w:t>
            </w:r>
            <w:r w:rsidR="0090605C" w:rsidRPr="00A96822">
              <w:rPr>
                <w:rFonts w:eastAsia="MS Mincho" w:cs="Times New Roman"/>
                <w:bCs/>
                <w:color w:val="auto"/>
                <w:sz w:val="20"/>
                <w:szCs w:val="20"/>
                <w:lang w:bidi="pl-PL"/>
              </w:rPr>
              <w:t>Edukacja zdrowotna w profilaktyce uraz</w:t>
            </w:r>
            <w:r>
              <w:rPr>
                <w:rFonts w:eastAsia="MS Mincho" w:cs="Times New Roman"/>
                <w:bCs/>
                <w:color w:val="auto"/>
                <w:sz w:val="20"/>
                <w:szCs w:val="20"/>
                <w:lang w:bidi="pl-PL"/>
              </w:rPr>
              <w:t xml:space="preserve">ów i w promocji bezpieczeństwa </w:t>
            </w:r>
            <w:r w:rsidR="0009460E" w:rsidRPr="0009460E">
              <w:rPr>
                <w:rFonts w:eastAsia="MS Mincho" w:cs="Times New Roman"/>
                <w:bCs/>
                <w:color w:val="auto"/>
                <w:sz w:val="20"/>
                <w:szCs w:val="20"/>
                <w:lang w:bidi="pl-PL"/>
              </w:rPr>
              <w:t>–</w:t>
            </w:r>
            <w:r w:rsidR="0009460E">
              <w:rPr>
                <w:rFonts w:eastAsia="MS Mincho" w:cs="Times New Roman"/>
                <w:bCs/>
                <w:color w:val="auto"/>
                <w:sz w:val="20"/>
                <w:szCs w:val="20"/>
                <w:lang w:bidi="pl-PL"/>
              </w:rPr>
              <w:t xml:space="preserve"> </w:t>
            </w:r>
            <w:r w:rsidR="0090605C" w:rsidRPr="00532128">
              <w:rPr>
                <w:rFonts w:eastAsia="MS Mincho" w:cs="Times New Roman"/>
                <w:bCs/>
                <w:color w:val="auto"/>
                <w:sz w:val="20"/>
                <w:szCs w:val="20"/>
                <w:lang w:bidi="pl-PL"/>
              </w:rPr>
              <w:t>realizator: Narodowy Instytut Zdrowia Publicznego – Państwowy Zakład Higieny</w:t>
            </w:r>
          </w:p>
          <w:p w14:paraId="3F23A3CC" w14:textId="77777777" w:rsidR="0090605C" w:rsidRPr="00532128" w:rsidRDefault="0090605C" w:rsidP="00A96822">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lang w:bidi="pl-PL"/>
              </w:rPr>
            </w:pPr>
            <w:r w:rsidRPr="00532128">
              <w:rPr>
                <w:rFonts w:eastAsia="MS Mincho" w:cs="Times New Roman"/>
                <w:bCs/>
                <w:color w:val="auto"/>
                <w:sz w:val="20"/>
                <w:szCs w:val="20"/>
                <w:lang w:bidi="pl-PL"/>
              </w:rPr>
              <w:t>Realizacja zadania ma na celu pozyskanie danych na temat występowania urazów wśród osób starszych, podniesienie wiedzy opiekunów osób starszych na temat profilaktyki urazów wśród osób 60+, a także wypracowanie standardów projektowania obiektów dostosowanych do potrzeb tej grupy.</w:t>
            </w:r>
          </w:p>
          <w:p w14:paraId="554F9B4E" w14:textId="77777777" w:rsidR="0090605C" w:rsidRPr="00532128" w:rsidRDefault="0090605C" w:rsidP="00A96822">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lang w:bidi="pl-PL"/>
              </w:rPr>
            </w:pPr>
            <w:r w:rsidRPr="00532128">
              <w:rPr>
                <w:rFonts w:eastAsia="MS Mincho" w:cs="Times New Roman"/>
                <w:bCs/>
                <w:color w:val="auto"/>
                <w:sz w:val="20"/>
                <w:szCs w:val="20"/>
                <w:lang w:bidi="pl-PL"/>
              </w:rPr>
              <w:t>W 2020 r. w ramach zadania Realizator przygotował Raport końcowy zawierający analizę adekwatności i efektywności świadczeń udzielanych osobom starszym.</w:t>
            </w:r>
          </w:p>
          <w:p w14:paraId="7EE7B3D1" w14:textId="7AAC038B" w:rsidR="0090605C" w:rsidRPr="00532128" w:rsidRDefault="0009460E" w:rsidP="00A96822">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lang w:bidi="pl-PL"/>
              </w:rPr>
            </w:pPr>
            <w:r>
              <w:rPr>
                <w:rFonts w:eastAsia="MS Mincho" w:cs="Times New Roman"/>
                <w:bCs/>
                <w:color w:val="auto"/>
                <w:sz w:val="20"/>
                <w:szCs w:val="20"/>
                <w:lang w:bidi="pl-PL"/>
              </w:rPr>
              <w:t>2. </w:t>
            </w:r>
            <w:r w:rsidR="0090605C" w:rsidRPr="0009460E">
              <w:rPr>
                <w:rFonts w:eastAsia="MS Mincho" w:cs="Times New Roman"/>
                <w:bCs/>
                <w:color w:val="auto"/>
                <w:sz w:val="20"/>
                <w:szCs w:val="20"/>
                <w:lang w:bidi="pl-PL"/>
              </w:rPr>
              <w:t xml:space="preserve">Edukacja pracodawców, menedżerów, specjalistów zarządzania zasobami ludzkimi i ochrony zdrowia pracujących w zakresie </w:t>
            </w:r>
            <w:r w:rsidR="0090605C" w:rsidRPr="0009460E">
              <w:rPr>
                <w:rFonts w:eastAsia="MS Mincho" w:cs="Times New Roman"/>
                <w:bCs/>
                <w:color w:val="auto"/>
                <w:sz w:val="20"/>
                <w:szCs w:val="20"/>
                <w:lang w:bidi="pl-PL"/>
              </w:rPr>
              <w:lastRenderedPageBreak/>
              <w:t>tworzenia i realizacji w zakładach pracy programów zarządzania zdrowiem starzejących się pracowników</w:t>
            </w:r>
            <w:r>
              <w:rPr>
                <w:rFonts w:eastAsia="MS Mincho" w:cs="Times New Roman"/>
                <w:bCs/>
                <w:color w:val="auto"/>
                <w:sz w:val="20"/>
                <w:szCs w:val="20"/>
                <w:lang w:bidi="pl-PL"/>
              </w:rPr>
              <w:t xml:space="preserve"> </w:t>
            </w:r>
            <w:r w:rsidRPr="0009460E">
              <w:rPr>
                <w:rFonts w:eastAsia="MS Mincho" w:cs="Times New Roman"/>
                <w:bCs/>
                <w:color w:val="auto"/>
                <w:sz w:val="20"/>
                <w:szCs w:val="20"/>
                <w:lang w:bidi="pl-PL"/>
              </w:rPr>
              <w:t>–</w:t>
            </w:r>
            <w:r>
              <w:rPr>
                <w:rFonts w:eastAsia="MS Mincho" w:cs="Times New Roman"/>
                <w:bCs/>
                <w:color w:val="auto"/>
                <w:sz w:val="20"/>
                <w:szCs w:val="20"/>
                <w:lang w:bidi="pl-PL"/>
              </w:rPr>
              <w:t xml:space="preserve"> </w:t>
            </w:r>
            <w:r w:rsidR="0090605C" w:rsidRPr="00532128">
              <w:rPr>
                <w:rFonts w:eastAsia="MS Mincho" w:cs="Times New Roman"/>
                <w:bCs/>
                <w:color w:val="auto"/>
                <w:sz w:val="20"/>
                <w:szCs w:val="20"/>
                <w:lang w:bidi="pl-PL"/>
              </w:rPr>
              <w:t xml:space="preserve">realizator: Instytut Medycyny Pracy im. prof. dra med. Jerzego </w:t>
            </w:r>
            <w:proofErr w:type="spellStart"/>
            <w:r w:rsidR="0090605C" w:rsidRPr="00532128">
              <w:rPr>
                <w:rFonts w:eastAsia="MS Mincho" w:cs="Times New Roman"/>
                <w:bCs/>
                <w:color w:val="auto"/>
                <w:sz w:val="20"/>
                <w:szCs w:val="20"/>
                <w:lang w:bidi="pl-PL"/>
              </w:rPr>
              <w:t>Nofera</w:t>
            </w:r>
            <w:proofErr w:type="spellEnd"/>
            <w:r w:rsidR="0090605C" w:rsidRPr="00532128">
              <w:rPr>
                <w:rFonts w:eastAsia="MS Mincho" w:cs="Times New Roman"/>
                <w:bCs/>
                <w:color w:val="auto"/>
                <w:sz w:val="20"/>
                <w:szCs w:val="20"/>
                <w:lang w:bidi="pl-PL"/>
              </w:rPr>
              <w:t xml:space="preserve"> w Łodzi</w:t>
            </w:r>
          </w:p>
          <w:p w14:paraId="753381A0" w14:textId="77777777" w:rsidR="0009460E" w:rsidRDefault="0090605C" w:rsidP="00A96822">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lang w:bidi="pl-PL"/>
              </w:rPr>
            </w:pPr>
            <w:r w:rsidRPr="00532128">
              <w:rPr>
                <w:rFonts w:eastAsia="MS Mincho" w:cs="Times New Roman"/>
                <w:bCs/>
                <w:color w:val="auto"/>
                <w:sz w:val="20"/>
                <w:szCs w:val="20"/>
                <w:lang w:bidi="pl-PL"/>
              </w:rPr>
              <w:t>Celem głównym realizacji projek</w:t>
            </w:r>
            <w:r w:rsidR="0009460E">
              <w:rPr>
                <w:rFonts w:eastAsia="MS Mincho" w:cs="Times New Roman"/>
                <w:bCs/>
                <w:color w:val="auto"/>
                <w:sz w:val="20"/>
                <w:szCs w:val="20"/>
                <w:lang w:bidi="pl-PL"/>
              </w:rPr>
              <w:t>tu jest zwiększenie motywacji i </w:t>
            </w:r>
            <w:r w:rsidRPr="00532128">
              <w:rPr>
                <w:rFonts w:eastAsia="MS Mincho" w:cs="Times New Roman"/>
                <w:bCs/>
                <w:color w:val="auto"/>
                <w:sz w:val="20"/>
                <w:szCs w:val="20"/>
                <w:lang w:bidi="pl-PL"/>
              </w:rPr>
              <w:t>kompe</w:t>
            </w:r>
            <w:r w:rsidR="0009460E">
              <w:rPr>
                <w:rFonts w:eastAsia="MS Mincho" w:cs="Times New Roman"/>
                <w:bCs/>
                <w:color w:val="auto"/>
                <w:sz w:val="20"/>
                <w:szCs w:val="20"/>
                <w:lang w:bidi="pl-PL"/>
              </w:rPr>
              <w:t>tencji pracodawców, menedżerów oraz</w:t>
            </w:r>
            <w:r w:rsidRPr="00532128">
              <w:rPr>
                <w:rFonts w:eastAsia="MS Mincho" w:cs="Times New Roman"/>
                <w:bCs/>
                <w:color w:val="auto"/>
                <w:sz w:val="20"/>
                <w:szCs w:val="20"/>
                <w:lang w:bidi="pl-PL"/>
              </w:rPr>
              <w:t xml:space="preserve"> specjalistów zarządzania zasobami ludzkimi do realizacji programów zarządzania zdrowiem starzejący</w:t>
            </w:r>
            <w:r w:rsidR="0009460E">
              <w:rPr>
                <w:rFonts w:eastAsia="MS Mincho" w:cs="Times New Roman"/>
                <w:bCs/>
                <w:color w:val="auto"/>
                <w:sz w:val="20"/>
                <w:szCs w:val="20"/>
                <w:lang w:bidi="pl-PL"/>
              </w:rPr>
              <w:t xml:space="preserve">ch się pracowników w średnich i dużych zakładach pracy. </w:t>
            </w:r>
          </w:p>
          <w:p w14:paraId="4CB24C99" w14:textId="10FDD726" w:rsidR="0090605C" w:rsidRPr="00532128" w:rsidRDefault="0090605C" w:rsidP="00A96822">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lang w:bidi="pl-PL"/>
              </w:rPr>
            </w:pPr>
            <w:r w:rsidRPr="00532128">
              <w:rPr>
                <w:rFonts w:eastAsia="MS Mincho" w:cs="Times New Roman"/>
                <w:bCs/>
                <w:color w:val="auto"/>
                <w:sz w:val="20"/>
                <w:szCs w:val="20"/>
                <w:lang w:bidi="pl-PL"/>
              </w:rPr>
              <w:t>W 2020 r</w:t>
            </w:r>
            <w:r w:rsidR="008A5D5B">
              <w:rPr>
                <w:rFonts w:eastAsia="MS Mincho" w:cs="Times New Roman"/>
                <w:bCs/>
                <w:color w:val="auto"/>
                <w:sz w:val="20"/>
                <w:szCs w:val="20"/>
                <w:lang w:bidi="pl-PL"/>
              </w:rPr>
              <w:t>.</w:t>
            </w:r>
            <w:r w:rsidRPr="00532128">
              <w:rPr>
                <w:rFonts w:eastAsia="MS Mincho" w:cs="Times New Roman"/>
                <w:bCs/>
                <w:color w:val="auto"/>
                <w:sz w:val="20"/>
                <w:szCs w:val="20"/>
                <w:lang w:bidi="pl-PL"/>
              </w:rPr>
              <w:t xml:space="preserve"> przygotowano m.in. materiały edukacyjno-informacyjne dot</w:t>
            </w:r>
            <w:r w:rsidR="008A5D5B">
              <w:rPr>
                <w:rFonts w:eastAsia="MS Mincho" w:cs="Times New Roman"/>
                <w:bCs/>
                <w:color w:val="auto"/>
                <w:sz w:val="20"/>
                <w:szCs w:val="20"/>
                <w:lang w:bidi="pl-PL"/>
              </w:rPr>
              <w:t>yczący</w:t>
            </w:r>
            <w:r w:rsidR="0009460E">
              <w:rPr>
                <w:rFonts w:eastAsia="MS Mincho" w:cs="Times New Roman"/>
                <w:bCs/>
                <w:color w:val="auto"/>
                <w:sz w:val="20"/>
                <w:szCs w:val="20"/>
                <w:lang w:bidi="pl-PL"/>
              </w:rPr>
              <w:t xml:space="preserve"> fizjologicznych i </w:t>
            </w:r>
            <w:r w:rsidRPr="00532128">
              <w:rPr>
                <w:rFonts w:eastAsia="MS Mincho" w:cs="Times New Roman"/>
                <w:bCs/>
                <w:color w:val="auto"/>
                <w:sz w:val="20"/>
                <w:szCs w:val="20"/>
                <w:lang w:bidi="pl-PL"/>
              </w:rPr>
              <w:t>ergonomicznych aspektów organ</w:t>
            </w:r>
            <w:r w:rsidR="0009460E">
              <w:rPr>
                <w:rFonts w:eastAsia="MS Mincho" w:cs="Times New Roman"/>
                <w:bCs/>
                <w:color w:val="auto"/>
                <w:sz w:val="20"/>
                <w:szCs w:val="20"/>
                <w:lang w:bidi="pl-PL"/>
              </w:rPr>
              <w:t>izacji pracy zdalnej ze </w:t>
            </w:r>
            <w:r w:rsidRPr="00532128">
              <w:rPr>
                <w:rFonts w:eastAsia="MS Mincho" w:cs="Times New Roman"/>
                <w:bCs/>
                <w:color w:val="auto"/>
                <w:sz w:val="20"/>
                <w:szCs w:val="20"/>
                <w:lang w:bidi="pl-PL"/>
              </w:rPr>
              <w:t xml:space="preserve">szczególnym uwzględnieniem pracowników starszych. </w:t>
            </w:r>
          </w:p>
          <w:p w14:paraId="5386A600" w14:textId="1AAAB3D0" w:rsidR="0090605C" w:rsidRPr="00532128" w:rsidRDefault="0009460E" w:rsidP="00A96822">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lang w:bidi="pl-PL"/>
              </w:rPr>
            </w:pPr>
            <w:r w:rsidRPr="0009460E">
              <w:rPr>
                <w:rFonts w:eastAsia="MS Mincho" w:cs="Times New Roman"/>
                <w:bCs/>
                <w:color w:val="auto"/>
                <w:sz w:val="20"/>
                <w:szCs w:val="20"/>
                <w:lang w:bidi="pl-PL"/>
              </w:rPr>
              <w:t>3. </w:t>
            </w:r>
            <w:r w:rsidR="0090605C" w:rsidRPr="0009460E">
              <w:rPr>
                <w:rFonts w:eastAsia="MS Mincho" w:cs="Times New Roman"/>
                <w:bCs/>
                <w:color w:val="auto"/>
                <w:sz w:val="20"/>
                <w:szCs w:val="20"/>
                <w:lang w:bidi="pl-PL"/>
              </w:rPr>
              <w:t xml:space="preserve">Realizacja badania poszczególnych obszarów stanu zdrowia osób starszych, w tym jakości życia związanej ze zdrowiem </w:t>
            </w:r>
            <w:r w:rsidRPr="0009460E">
              <w:rPr>
                <w:rFonts w:eastAsia="MS Mincho" w:cs="Times New Roman"/>
                <w:bCs/>
                <w:color w:val="auto"/>
                <w:sz w:val="20"/>
                <w:szCs w:val="20"/>
                <w:lang w:bidi="pl-PL"/>
              </w:rPr>
              <w:t>–</w:t>
            </w:r>
            <w:r>
              <w:rPr>
                <w:rFonts w:eastAsia="MS Mincho" w:cs="Times New Roman"/>
                <w:bCs/>
                <w:color w:val="auto"/>
                <w:sz w:val="20"/>
                <w:szCs w:val="20"/>
                <w:lang w:bidi="pl-PL"/>
              </w:rPr>
              <w:t xml:space="preserve"> </w:t>
            </w:r>
            <w:r w:rsidR="0090605C" w:rsidRPr="00532128">
              <w:rPr>
                <w:rFonts w:eastAsia="MS Mincho" w:cs="Times New Roman"/>
                <w:bCs/>
                <w:color w:val="auto"/>
                <w:sz w:val="20"/>
                <w:szCs w:val="20"/>
                <w:lang w:bidi="pl-PL"/>
              </w:rPr>
              <w:t>realizator: Gdański Uniwersytet Medyczny</w:t>
            </w:r>
          </w:p>
          <w:p w14:paraId="6F9B42A9" w14:textId="65698E58" w:rsidR="0090605C" w:rsidRPr="00532128" w:rsidRDefault="0090605C" w:rsidP="00A96822">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lang w:bidi="pl-PL"/>
              </w:rPr>
            </w:pPr>
            <w:r w:rsidRPr="00532128">
              <w:rPr>
                <w:rFonts w:eastAsia="MS Mincho" w:cs="Times New Roman"/>
                <w:bCs/>
                <w:color w:val="auto"/>
                <w:sz w:val="20"/>
                <w:szCs w:val="20"/>
                <w:lang w:bidi="pl-PL"/>
              </w:rPr>
              <w:t xml:space="preserve">Celem realizacji zadania jest zbadanie sytuacji epidemiologicznej osób starszych w Polsce, m.in. w zakresie chorób neurologicznych wieku podeszłego, zaburzeń i chorób psychicznych specyficznych dla wieku 60+, zaburzeń funkcji poznawczych i chorób otępiennych, </w:t>
            </w:r>
            <w:proofErr w:type="spellStart"/>
            <w:r w:rsidRPr="00532128">
              <w:rPr>
                <w:rFonts w:eastAsia="MS Mincho" w:cs="Times New Roman"/>
                <w:bCs/>
                <w:color w:val="auto"/>
                <w:sz w:val="20"/>
                <w:szCs w:val="20"/>
                <w:lang w:bidi="pl-PL"/>
              </w:rPr>
              <w:t>zachowań</w:t>
            </w:r>
            <w:proofErr w:type="spellEnd"/>
            <w:r w:rsidRPr="00532128">
              <w:rPr>
                <w:rFonts w:eastAsia="MS Mincho" w:cs="Times New Roman"/>
                <w:bCs/>
                <w:color w:val="auto"/>
                <w:sz w:val="20"/>
                <w:szCs w:val="20"/>
                <w:lang w:bidi="pl-PL"/>
              </w:rPr>
              <w:t xml:space="preserve"> żywieniowych i stanu odżywienia, stanu narządów, występowania upadków i urazów oraz ich następstw. Badanie obejmie także sytuację społecz</w:t>
            </w:r>
            <w:r w:rsidR="0009460E">
              <w:rPr>
                <w:rFonts w:eastAsia="MS Mincho" w:cs="Times New Roman"/>
                <w:bCs/>
                <w:color w:val="auto"/>
                <w:sz w:val="20"/>
                <w:szCs w:val="20"/>
                <w:lang w:bidi="pl-PL"/>
              </w:rPr>
              <w:t>no-ekonomiczną osób starszych w </w:t>
            </w:r>
            <w:r w:rsidRPr="00532128">
              <w:rPr>
                <w:rFonts w:eastAsia="MS Mincho" w:cs="Times New Roman"/>
                <w:bCs/>
                <w:color w:val="auto"/>
                <w:sz w:val="20"/>
                <w:szCs w:val="20"/>
                <w:lang w:bidi="pl-PL"/>
              </w:rPr>
              <w:t xml:space="preserve">Polsce, m.in. w zakresie sytuacji materialnej osób starszych oraz ich warunków zamieszkania, oceny jakości życia, aktywności zawodowej oraz sytuacji rodzinnej. </w:t>
            </w:r>
          </w:p>
          <w:p w14:paraId="25F1A48B" w14:textId="54D2D60B" w:rsidR="00311D18" w:rsidRPr="00532128" w:rsidRDefault="0090605C" w:rsidP="0009460E">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lang w:bidi="pl-PL"/>
              </w:rPr>
            </w:pPr>
            <w:r w:rsidRPr="00532128">
              <w:rPr>
                <w:rFonts w:eastAsia="MS Mincho" w:cs="Times New Roman"/>
                <w:bCs/>
                <w:color w:val="auto"/>
                <w:sz w:val="20"/>
                <w:szCs w:val="20"/>
                <w:lang w:bidi="pl-PL"/>
              </w:rPr>
              <w:t>W 2020 r. rozpoczęto prace nad monografią, która przedstawiać będzie wyniki i analizy z przeprowadzonego badania. Zakończenie prac zaplan</w:t>
            </w:r>
            <w:r w:rsidR="0009460E">
              <w:rPr>
                <w:rFonts w:eastAsia="MS Mincho" w:cs="Times New Roman"/>
                <w:bCs/>
                <w:color w:val="auto"/>
                <w:sz w:val="20"/>
                <w:szCs w:val="20"/>
                <w:lang w:bidi="pl-PL"/>
              </w:rPr>
              <w:t>owane jest na II połowę 2021 r.</w:t>
            </w:r>
          </w:p>
        </w:tc>
      </w:tr>
      <w:tr w:rsidR="0092226B" w:rsidRPr="0092226B" w14:paraId="686562DA" w14:textId="77777777" w:rsidTr="002D4784">
        <w:trPr>
          <w:trHeight w:val="522"/>
        </w:trPr>
        <w:tc>
          <w:tcPr>
            <w:cnfStyle w:val="001000000000" w:firstRow="0" w:lastRow="0" w:firstColumn="1" w:lastColumn="0" w:oddVBand="0" w:evenVBand="0" w:oddHBand="0" w:evenHBand="0" w:firstRowFirstColumn="0" w:firstRowLastColumn="0" w:lastRowFirstColumn="0" w:lastRowLastColumn="0"/>
            <w:tcW w:w="1232" w:type="dxa"/>
            <w:vMerge/>
          </w:tcPr>
          <w:p w14:paraId="7E548452" w14:textId="77777777" w:rsidR="00311D18" w:rsidRPr="0092226B" w:rsidRDefault="00311D18" w:rsidP="003C1988">
            <w:pPr>
              <w:rPr>
                <w:rFonts w:cs="Times New Roman"/>
                <w:color w:val="FF0000"/>
                <w:sz w:val="20"/>
              </w:rPr>
            </w:pPr>
          </w:p>
        </w:tc>
        <w:tc>
          <w:tcPr>
            <w:tcW w:w="3594" w:type="dxa"/>
            <w:vMerge w:val="restart"/>
          </w:tcPr>
          <w:p w14:paraId="0B654B8F"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Promowanie szczepień ochronnych </w:t>
            </w:r>
            <w:r w:rsidRPr="00532128">
              <w:rPr>
                <w:rFonts w:ascii="Times New Roman" w:eastAsia="MS Mincho" w:hAnsi="Times New Roman"/>
                <w:color w:val="auto"/>
                <w:sz w:val="20"/>
              </w:rPr>
              <w:br/>
              <w:t>i innych świadczeń profilaktycznych</w:t>
            </w:r>
          </w:p>
        </w:tc>
        <w:tc>
          <w:tcPr>
            <w:tcW w:w="2032" w:type="dxa"/>
            <w:vMerge w:val="restart"/>
          </w:tcPr>
          <w:p w14:paraId="4810538A"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tc>
        <w:tc>
          <w:tcPr>
            <w:tcW w:w="1500" w:type="dxa"/>
            <w:vMerge w:val="restart"/>
          </w:tcPr>
          <w:p w14:paraId="35619D84" w14:textId="77777777" w:rsidR="00311D18" w:rsidRPr="00532128" w:rsidRDefault="00311D18" w:rsidP="002D4784">
            <w:pPr>
              <w:jc w:val="left"/>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7CE49642"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zrealizowanych działań promujących szczepienia ochronne i inne świadczenia profilaktyczne.</w:t>
            </w:r>
          </w:p>
        </w:tc>
      </w:tr>
      <w:tr w:rsidR="0092226B" w:rsidRPr="0092226B" w14:paraId="4FF373A2" w14:textId="77777777" w:rsidTr="0053212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148E2F39" w14:textId="77777777" w:rsidR="00311D18" w:rsidRPr="0092226B" w:rsidRDefault="00311D18" w:rsidP="003C1988">
            <w:pPr>
              <w:rPr>
                <w:rFonts w:cs="Times New Roman"/>
                <w:color w:val="FF0000"/>
                <w:sz w:val="20"/>
              </w:rPr>
            </w:pPr>
          </w:p>
        </w:tc>
        <w:tc>
          <w:tcPr>
            <w:tcW w:w="3594" w:type="dxa"/>
            <w:vMerge/>
          </w:tcPr>
          <w:p w14:paraId="2DB65202"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4674E853"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0E018A94"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6C2DFBBF" w14:textId="77777777" w:rsidR="0090605C" w:rsidRPr="00532128" w:rsidRDefault="0090605C"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Realizowana jest kampania  informacyjna dotyczącą szczepień przeciwko COVID-19 (działania prowadzone w tym zakresie koordynuje  Centrum Informacyjne Rządu w Kancelarii Prezesa Rady Ministrów). </w:t>
            </w:r>
          </w:p>
          <w:p w14:paraId="3B1FC021" w14:textId="77777777" w:rsidR="0090605C" w:rsidRPr="00532128" w:rsidRDefault="0090605C"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lastRenderedPageBreak/>
              <w:t>Działania Ministerstwa Zdrowia prowadzone w ww. zakresie polegają głównie na:</w:t>
            </w:r>
          </w:p>
          <w:p w14:paraId="4C1A81A3" w14:textId="5B1ED7F9" w:rsidR="0090605C" w:rsidRPr="00532128" w:rsidRDefault="0009460E"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90605C" w:rsidRPr="00532128">
              <w:rPr>
                <w:rFonts w:eastAsia="MS Mincho" w:cs="Times New Roman"/>
                <w:color w:val="auto"/>
                <w:sz w:val="20"/>
              </w:rPr>
              <w:t>aktualizacji strony gov.pl/</w:t>
            </w:r>
            <w:proofErr w:type="spellStart"/>
            <w:r w:rsidR="0090605C" w:rsidRPr="00532128">
              <w:rPr>
                <w:rFonts w:eastAsia="MS Mincho" w:cs="Times New Roman"/>
                <w:color w:val="auto"/>
                <w:sz w:val="20"/>
              </w:rPr>
              <w:t>szczepimysie</w:t>
            </w:r>
            <w:proofErr w:type="spellEnd"/>
            <w:r>
              <w:rPr>
                <w:rFonts w:eastAsia="MS Mincho" w:cs="Times New Roman"/>
                <w:color w:val="auto"/>
                <w:sz w:val="20"/>
              </w:rPr>
              <w:t>,</w:t>
            </w:r>
          </w:p>
          <w:p w14:paraId="7F20FB29" w14:textId="41EE67C2" w:rsidR="0090605C" w:rsidRPr="00532128" w:rsidRDefault="0009460E"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90605C" w:rsidRPr="00532128">
              <w:rPr>
                <w:rFonts w:eastAsia="MS Mincho" w:cs="Times New Roman"/>
                <w:color w:val="auto"/>
                <w:sz w:val="20"/>
              </w:rPr>
              <w:t>publikacji w mediach społecznościowy</w:t>
            </w:r>
            <w:r>
              <w:rPr>
                <w:rFonts w:eastAsia="MS Mincho" w:cs="Times New Roman"/>
                <w:color w:val="auto"/>
                <w:sz w:val="20"/>
              </w:rPr>
              <w:t xml:space="preserve">ch grafik, animacji w tym m.in. </w:t>
            </w:r>
            <w:r w:rsidR="0090605C" w:rsidRPr="00532128">
              <w:rPr>
                <w:rFonts w:eastAsia="MS Mincho" w:cs="Times New Roman"/>
                <w:color w:val="auto"/>
                <w:sz w:val="20"/>
              </w:rPr>
              <w:t>zamieszczenie grafik promują</w:t>
            </w:r>
            <w:r>
              <w:rPr>
                <w:rFonts w:eastAsia="MS Mincho" w:cs="Times New Roman"/>
                <w:color w:val="auto"/>
                <w:sz w:val="20"/>
              </w:rPr>
              <w:t>cych szczepienia jako zdjęcia w </w:t>
            </w:r>
            <w:r w:rsidR="0090605C" w:rsidRPr="00532128">
              <w:rPr>
                <w:rFonts w:eastAsia="MS Mincho" w:cs="Times New Roman"/>
                <w:color w:val="auto"/>
                <w:sz w:val="20"/>
              </w:rPr>
              <w:t>tle na kanałach w mediach społecznoś</w:t>
            </w:r>
            <w:r>
              <w:rPr>
                <w:rFonts w:eastAsia="MS Mincho" w:cs="Times New Roman"/>
                <w:color w:val="auto"/>
                <w:sz w:val="20"/>
              </w:rPr>
              <w:t xml:space="preserve">ciowych zarządzanych przez MSZ oraz </w:t>
            </w:r>
            <w:r w:rsidR="0090605C" w:rsidRPr="00532128">
              <w:rPr>
                <w:rFonts w:eastAsia="MS Mincho" w:cs="Times New Roman"/>
                <w:color w:val="auto"/>
                <w:sz w:val="20"/>
              </w:rPr>
              <w:t>zachęcenie Kierownictwa do aktywnego włączenia się i promowania kampanii na osobistych kontach w mediach społecznościowych,</w:t>
            </w:r>
          </w:p>
          <w:p w14:paraId="2F505898" w14:textId="595CC54E" w:rsidR="0090605C" w:rsidRPr="00532128" w:rsidRDefault="0009460E"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90605C" w:rsidRPr="00532128">
              <w:rPr>
                <w:rFonts w:eastAsia="MS Mincho" w:cs="Times New Roman"/>
                <w:color w:val="auto"/>
                <w:sz w:val="20"/>
              </w:rPr>
              <w:t>aktualizacji skryptów na infolinię NFZ</w:t>
            </w:r>
            <w:r>
              <w:rPr>
                <w:rFonts w:eastAsia="MS Mincho" w:cs="Times New Roman"/>
                <w:color w:val="auto"/>
                <w:sz w:val="20"/>
              </w:rPr>
              <w:t>,</w:t>
            </w:r>
          </w:p>
          <w:p w14:paraId="38638D12" w14:textId="6A500DA6" w:rsidR="0090605C" w:rsidRPr="00532128" w:rsidRDefault="0009460E" w:rsidP="0009460E">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90605C" w:rsidRPr="00532128">
              <w:rPr>
                <w:rFonts w:eastAsia="MS Mincho" w:cs="Times New Roman"/>
                <w:color w:val="auto"/>
                <w:sz w:val="20"/>
              </w:rPr>
              <w:t>współpracy z Polskim Towarzystwem Medycyny Rodzinnej przy</w:t>
            </w:r>
            <w:r>
              <w:rPr>
                <w:rFonts w:eastAsia="MS Mincho" w:cs="Times New Roman"/>
                <w:color w:val="auto"/>
                <w:sz w:val="20"/>
              </w:rPr>
              <w:t xml:space="preserve"> realizacji plakatów i grafik,</w:t>
            </w:r>
          </w:p>
          <w:p w14:paraId="5E27BAD0" w14:textId="319E8821" w:rsidR="0090605C" w:rsidRPr="00532128" w:rsidRDefault="0009460E"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90605C" w:rsidRPr="00532128">
              <w:rPr>
                <w:rFonts w:eastAsia="MS Mincho" w:cs="Times New Roman"/>
                <w:color w:val="auto"/>
                <w:sz w:val="20"/>
              </w:rPr>
              <w:t>koordynacji działań jednostek podległych/nadzorowanych, w tym mai</w:t>
            </w:r>
            <w:r>
              <w:rPr>
                <w:rFonts w:eastAsia="MS Mincho" w:cs="Times New Roman"/>
                <w:color w:val="auto"/>
                <w:sz w:val="20"/>
              </w:rPr>
              <w:t xml:space="preserve">ling do jednostek podległych </w:t>
            </w:r>
            <w:proofErr w:type="spellStart"/>
            <w:r>
              <w:rPr>
                <w:rFonts w:eastAsia="MS Mincho" w:cs="Times New Roman"/>
                <w:color w:val="auto"/>
                <w:sz w:val="20"/>
              </w:rPr>
              <w:t>ws</w:t>
            </w:r>
            <w:proofErr w:type="spellEnd"/>
            <w:r>
              <w:rPr>
                <w:rFonts w:eastAsia="MS Mincho" w:cs="Times New Roman"/>
                <w:color w:val="auto"/>
                <w:sz w:val="20"/>
              </w:rPr>
              <w:t>.</w:t>
            </w:r>
            <w:r w:rsidR="0090605C" w:rsidRPr="00532128">
              <w:rPr>
                <w:rFonts w:eastAsia="MS Mincho" w:cs="Times New Roman"/>
                <w:color w:val="auto"/>
                <w:sz w:val="20"/>
              </w:rPr>
              <w:t xml:space="preserve"> wsparcia akcji #</w:t>
            </w:r>
            <w:proofErr w:type="spellStart"/>
            <w:r w:rsidR="0090605C" w:rsidRPr="00532128">
              <w:rPr>
                <w:rFonts w:eastAsia="MS Mincho" w:cs="Times New Roman"/>
                <w:color w:val="auto"/>
                <w:sz w:val="20"/>
              </w:rPr>
              <w:t>SzczepimySię</w:t>
            </w:r>
            <w:proofErr w:type="spellEnd"/>
            <w:r>
              <w:rPr>
                <w:rFonts w:eastAsia="MS Mincho" w:cs="Times New Roman"/>
                <w:color w:val="auto"/>
                <w:sz w:val="20"/>
              </w:rPr>
              <w:t>,</w:t>
            </w:r>
          </w:p>
          <w:p w14:paraId="35369E25" w14:textId="512E04A8" w:rsidR="0090605C" w:rsidRPr="00532128" w:rsidRDefault="0009460E"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90605C" w:rsidRPr="00532128">
              <w:rPr>
                <w:rFonts w:eastAsia="MS Mincho" w:cs="Times New Roman"/>
                <w:color w:val="auto"/>
                <w:sz w:val="20"/>
              </w:rPr>
              <w:t>dystrybucji materiałów informacyjnych (plakat, ulotka) zachęcających do szczepienia poprzez OW NFZ</w:t>
            </w:r>
            <w:r>
              <w:rPr>
                <w:rFonts w:eastAsia="MS Mincho" w:cs="Times New Roman"/>
                <w:color w:val="auto"/>
                <w:sz w:val="20"/>
              </w:rPr>
              <w:t>,</w:t>
            </w:r>
          </w:p>
          <w:p w14:paraId="0B5DD074" w14:textId="3FDB07DD" w:rsidR="0090605C" w:rsidRPr="00532128" w:rsidRDefault="0009460E"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90605C" w:rsidRPr="00532128">
              <w:rPr>
                <w:rFonts w:eastAsia="MS Mincho" w:cs="Times New Roman"/>
                <w:color w:val="auto"/>
                <w:sz w:val="20"/>
              </w:rPr>
              <w:t>współpracy przy produkcji spotu (15” i 30”) NFZ o zachowaniu zasad reżimu sanitarnego DDM+ nawiązanie do akcji #</w:t>
            </w:r>
            <w:proofErr w:type="spellStart"/>
            <w:r w:rsidR="0090605C" w:rsidRPr="00532128">
              <w:rPr>
                <w:rFonts w:eastAsia="MS Mincho" w:cs="Times New Roman"/>
                <w:color w:val="auto"/>
                <w:sz w:val="20"/>
              </w:rPr>
              <w:t>SzczepimySię</w:t>
            </w:r>
            <w:proofErr w:type="spellEnd"/>
            <w:r>
              <w:rPr>
                <w:rFonts w:eastAsia="MS Mincho" w:cs="Times New Roman"/>
                <w:color w:val="auto"/>
                <w:sz w:val="20"/>
              </w:rPr>
              <w:t>,</w:t>
            </w:r>
          </w:p>
          <w:p w14:paraId="2912B1E8" w14:textId="3B80CA5D" w:rsidR="0090605C" w:rsidRPr="00532128" w:rsidRDefault="0009460E"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90605C" w:rsidRPr="00532128">
              <w:rPr>
                <w:rFonts w:eastAsia="MS Mincho" w:cs="Times New Roman"/>
                <w:color w:val="auto"/>
                <w:sz w:val="20"/>
              </w:rPr>
              <w:t xml:space="preserve">produkcji </w:t>
            </w:r>
            <w:proofErr w:type="spellStart"/>
            <w:r w:rsidR="0090605C" w:rsidRPr="00532128">
              <w:rPr>
                <w:rFonts w:eastAsia="MS Mincho" w:cs="Times New Roman"/>
                <w:color w:val="auto"/>
                <w:sz w:val="20"/>
              </w:rPr>
              <w:t>viralu</w:t>
            </w:r>
            <w:proofErr w:type="spellEnd"/>
            <w:r w:rsidR="0090605C" w:rsidRPr="00532128">
              <w:rPr>
                <w:rFonts w:eastAsia="MS Mincho" w:cs="Times New Roman"/>
                <w:color w:val="auto"/>
                <w:sz w:val="20"/>
              </w:rPr>
              <w:t xml:space="preserve"> „Ramię w ramię” oraz jego emisja w </w:t>
            </w:r>
            <w:r w:rsidR="0088717F">
              <w:rPr>
                <w:rFonts w:eastAsia="MS Mincho" w:cs="Times New Roman"/>
                <w:color w:val="auto"/>
                <w:sz w:val="20"/>
              </w:rPr>
              <w:t>I</w:t>
            </w:r>
            <w:r w:rsidR="0090605C" w:rsidRPr="00532128">
              <w:rPr>
                <w:rFonts w:eastAsia="MS Mincho" w:cs="Times New Roman"/>
                <w:color w:val="auto"/>
                <w:sz w:val="20"/>
              </w:rPr>
              <w:t>nternecie</w:t>
            </w:r>
            <w:r>
              <w:rPr>
                <w:rFonts w:eastAsia="MS Mincho" w:cs="Times New Roman"/>
                <w:color w:val="auto"/>
                <w:sz w:val="20"/>
              </w:rPr>
              <w:t>,</w:t>
            </w:r>
          </w:p>
          <w:p w14:paraId="4D3FDADC" w14:textId="36AE587A" w:rsidR="0090605C" w:rsidRPr="00532128" w:rsidRDefault="0009460E"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90605C" w:rsidRPr="00532128">
              <w:rPr>
                <w:rFonts w:eastAsia="MS Mincho" w:cs="Times New Roman"/>
                <w:color w:val="auto"/>
                <w:sz w:val="20"/>
              </w:rPr>
              <w:t>przygotowaniu filmi</w:t>
            </w:r>
            <w:r>
              <w:rPr>
                <w:rFonts w:eastAsia="MS Mincho" w:cs="Times New Roman"/>
                <w:color w:val="auto"/>
                <w:sz w:val="20"/>
              </w:rPr>
              <w:t>ków informacyjno-edukacyjnych z </w:t>
            </w:r>
            <w:r w:rsidR="0090605C" w:rsidRPr="00532128">
              <w:rPr>
                <w:rFonts w:eastAsia="MS Mincho" w:cs="Times New Roman"/>
                <w:color w:val="auto"/>
                <w:sz w:val="20"/>
              </w:rPr>
              <w:t>medykami, ekspertami i regionalnymi autorytetami zachęcające do szczepień</w:t>
            </w:r>
            <w:r>
              <w:rPr>
                <w:rFonts w:eastAsia="MS Mincho" w:cs="Times New Roman"/>
                <w:color w:val="auto"/>
                <w:sz w:val="20"/>
              </w:rPr>
              <w:t>,</w:t>
            </w:r>
          </w:p>
          <w:p w14:paraId="25BC1200" w14:textId="07205158" w:rsidR="0090605C" w:rsidRPr="00532128" w:rsidRDefault="0009460E"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90605C" w:rsidRPr="00532128">
              <w:rPr>
                <w:rFonts w:eastAsia="MS Mincho" w:cs="Times New Roman"/>
                <w:color w:val="auto"/>
                <w:sz w:val="20"/>
              </w:rPr>
              <w:t>bieżącym udziale Kierownictwa Resortu w wywiadach oraz realizacja bieżąca realizacja briefingów organizowanych przez Rzecznika MZ.</w:t>
            </w:r>
          </w:p>
          <w:p w14:paraId="52D9298E" w14:textId="77777777" w:rsidR="0009460E" w:rsidRDefault="0009460E"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3B0B48F1" w14:textId="64B2A21E" w:rsidR="0090605C" w:rsidRDefault="0090605C"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Ministerstwo Zdrowia uczestniczyło również w dystrybucji szczepionki przeciwko grypie do zakładów opiekuńczo-leczniczych (ZOL)/pielęgnacyjno-opiekuńczych (ZPO).</w:t>
            </w:r>
          </w:p>
          <w:p w14:paraId="340249BE" w14:textId="77777777" w:rsidR="0009460E" w:rsidRPr="00532128" w:rsidRDefault="0009460E"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3AFA0F35" w14:textId="77777777" w:rsidR="0090605C" w:rsidRPr="00532128" w:rsidRDefault="0090605C"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Ponadto, od 1 września 2020 r. wprowadzono w połowie refundowane szczepienie przeciwko grypie m.in. dla: </w:t>
            </w:r>
          </w:p>
          <w:p w14:paraId="26262CF0" w14:textId="7421F33B" w:rsidR="0090605C" w:rsidRPr="00532128" w:rsidRDefault="0009460E"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lastRenderedPageBreak/>
              <w:t>• </w:t>
            </w:r>
            <w:r w:rsidR="0090605C" w:rsidRPr="00532128">
              <w:rPr>
                <w:rFonts w:eastAsia="MS Mincho" w:cs="Times New Roman"/>
                <w:color w:val="auto"/>
                <w:sz w:val="20"/>
              </w:rPr>
              <w:t>dorosłych do 65 roku życia z ch</w:t>
            </w:r>
            <w:r>
              <w:rPr>
                <w:rFonts w:eastAsia="MS Mincho" w:cs="Times New Roman"/>
                <w:color w:val="auto"/>
                <w:sz w:val="20"/>
              </w:rPr>
              <w:t>orobami współistniejącymi np. z </w:t>
            </w:r>
            <w:r w:rsidR="0090605C" w:rsidRPr="00532128">
              <w:rPr>
                <w:rFonts w:eastAsia="MS Mincho" w:cs="Times New Roman"/>
                <w:color w:val="auto"/>
                <w:sz w:val="20"/>
              </w:rPr>
              <w:t>chorobami metabolicznymi, kardiologicznymi, oddechowymi, po transplantacjach</w:t>
            </w:r>
            <w:r>
              <w:rPr>
                <w:rFonts w:eastAsia="MS Mincho" w:cs="Times New Roman"/>
                <w:color w:val="auto"/>
                <w:sz w:val="20"/>
              </w:rPr>
              <w:t>,</w:t>
            </w:r>
            <w:r w:rsidR="0090605C" w:rsidRPr="00532128">
              <w:rPr>
                <w:rFonts w:eastAsia="MS Mincho" w:cs="Times New Roman"/>
                <w:color w:val="auto"/>
                <w:sz w:val="20"/>
              </w:rPr>
              <w:t xml:space="preserve"> </w:t>
            </w:r>
          </w:p>
          <w:p w14:paraId="2196AE02" w14:textId="4F0EE908" w:rsidR="0090605C" w:rsidRPr="00532128" w:rsidRDefault="0009460E" w:rsidP="0009460E">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90605C" w:rsidRPr="00532128">
              <w:rPr>
                <w:rFonts w:eastAsia="MS Mincho" w:cs="Times New Roman"/>
                <w:color w:val="auto"/>
                <w:sz w:val="20"/>
              </w:rPr>
              <w:t>dorosłych od 65 roku życia do 75 roku życia.</w:t>
            </w:r>
          </w:p>
          <w:p w14:paraId="2C9E4CC2" w14:textId="77777777" w:rsidR="00311D18" w:rsidRPr="00532128" w:rsidRDefault="0090605C" w:rsidP="0009460E">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r w:rsidRPr="00532128">
              <w:rPr>
                <w:rFonts w:eastAsia="MS Mincho" w:cs="Times New Roman"/>
                <w:color w:val="auto"/>
                <w:sz w:val="20"/>
              </w:rPr>
              <w:t>Od 1 września 2020 r. szczepionka przeciw grypie jest bezpłatna dla osób powyżej 75 roku życia</w:t>
            </w:r>
            <w:r w:rsidRPr="00532128">
              <w:rPr>
                <w:rFonts w:eastAsia="MS Mincho" w:cs="Times New Roman"/>
                <w:b/>
                <w:color w:val="auto"/>
                <w:sz w:val="20"/>
                <w:u w:val="single"/>
              </w:rPr>
              <w:t>.</w:t>
            </w:r>
          </w:p>
        </w:tc>
      </w:tr>
      <w:tr w:rsidR="0092226B" w:rsidRPr="0092226B" w14:paraId="2039172B"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49A800CB" w14:textId="77777777" w:rsidR="00311D18" w:rsidRPr="0092226B" w:rsidRDefault="00311D18" w:rsidP="003C1988">
            <w:pPr>
              <w:rPr>
                <w:rFonts w:cs="Times New Roman"/>
                <w:color w:val="FF0000"/>
                <w:sz w:val="20"/>
              </w:rPr>
            </w:pPr>
          </w:p>
        </w:tc>
        <w:tc>
          <w:tcPr>
            <w:tcW w:w="3594" w:type="dxa"/>
            <w:vMerge w:val="restart"/>
          </w:tcPr>
          <w:p w14:paraId="4D3337A6"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Wdrażanie opieki farmaceutycznej, prowadzenie analiz stosowanej farmakoterapii na rzecz redukcji leków potencjalnie niewłaściwych dla osób starszych, zgodnie z kryteriami obowiązującymi w tym zakresie</w:t>
            </w:r>
          </w:p>
        </w:tc>
        <w:tc>
          <w:tcPr>
            <w:tcW w:w="2032" w:type="dxa"/>
            <w:vMerge w:val="restart"/>
          </w:tcPr>
          <w:p w14:paraId="40EAB538"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tc>
        <w:tc>
          <w:tcPr>
            <w:tcW w:w="1500" w:type="dxa"/>
            <w:vMerge w:val="restart"/>
          </w:tcPr>
          <w:p w14:paraId="0736FDFD"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2018-2020</w:t>
            </w:r>
          </w:p>
        </w:tc>
        <w:tc>
          <w:tcPr>
            <w:tcW w:w="5638" w:type="dxa"/>
          </w:tcPr>
          <w:p w14:paraId="63BA81D0"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przeprowadzonych analiz stosowanej farmakoterapii</w:t>
            </w:r>
          </w:p>
          <w:p w14:paraId="0512FD88"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b/>
                <w:color w:val="auto"/>
                <w:sz w:val="20"/>
              </w:rPr>
            </w:pPr>
            <w:r w:rsidRPr="00532128">
              <w:rPr>
                <w:rFonts w:ascii="Times New Roman" w:eastAsia="MS Mincho" w:hAnsi="Times New Roman"/>
                <w:b/>
                <w:color w:val="auto"/>
                <w:sz w:val="20"/>
              </w:rPr>
              <w:t>oraz</w:t>
            </w:r>
          </w:p>
          <w:p w14:paraId="4494EC46"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podjętych działań na rzecz poprawy przestrzegania zaleceń terapeutycznych</w:t>
            </w:r>
          </w:p>
        </w:tc>
      </w:tr>
      <w:tr w:rsidR="0092226B" w:rsidRPr="0092226B" w14:paraId="2D440D33" w14:textId="77777777" w:rsidTr="0053212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493A8903" w14:textId="77777777" w:rsidR="00311D18" w:rsidRPr="0092226B" w:rsidRDefault="00311D18" w:rsidP="003C1988">
            <w:pPr>
              <w:rPr>
                <w:rFonts w:cs="Times New Roman"/>
                <w:color w:val="FF0000"/>
                <w:sz w:val="20"/>
              </w:rPr>
            </w:pPr>
          </w:p>
        </w:tc>
        <w:tc>
          <w:tcPr>
            <w:tcW w:w="3594" w:type="dxa"/>
            <w:vMerge/>
          </w:tcPr>
          <w:p w14:paraId="65A7215D"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57B7CE7E"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41798C38"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6F050F04" w14:textId="69B99570" w:rsidR="003B3AED" w:rsidRPr="00532128" w:rsidRDefault="003B3AED"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Wejście w życie z dniem 16 kw</w:t>
            </w:r>
            <w:r w:rsidR="0009460E">
              <w:rPr>
                <w:rFonts w:eastAsia="MS Mincho" w:cs="Times New Roman"/>
                <w:bCs/>
                <w:color w:val="auto"/>
                <w:sz w:val="20"/>
                <w:szCs w:val="20"/>
              </w:rPr>
              <w:t>ietnia 2021 r. ustawy z dnia 10 </w:t>
            </w:r>
            <w:r w:rsidRPr="00532128">
              <w:rPr>
                <w:rFonts w:eastAsia="MS Mincho" w:cs="Times New Roman"/>
                <w:bCs/>
                <w:color w:val="auto"/>
                <w:sz w:val="20"/>
                <w:szCs w:val="20"/>
              </w:rPr>
              <w:t xml:space="preserve">grudnia 2020 r. o zawodzie farmaceuty umożliwiło realizację przez farmaceutów usług z zakresu opieki farmaceutycznej. Zgodnie z art. 2 ww. ustawy – </w:t>
            </w:r>
            <w:r w:rsidR="0088717F">
              <w:rPr>
                <w:rFonts w:eastAsia="MS Mincho" w:cs="Times New Roman"/>
                <w:bCs/>
                <w:color w:val="auto"/>
                <w:sz w:val="20"/>
                <w:szCs w:val="20"/>
              </w:rPr>
              <w:t>o</w:t>
            </w:r>
            <w:r w:rsidRPr="00532128">
              <w:rPr>
                <w:rFonts w:eastAsia="MS Mincho" w:cs="Times New Roman"/>
                <w:bCs/>
                <w:color w:val="auto"/>
                <w:sz w:val="20"/>
                <w:szCs w:val="20"/>
              </w:rPr>
              <w:t>pieka farmaceutyczna to świadczenie zdrowotn</w:t>
            </w:r>
            <w:r w:rsidR="0009460E">
              <w:rPr>
                <w:rFonts w:eastAsia="MS Mincho" w:cs="Times New Roman"/>
                <w:bCs/>
                <w:color w:val="auto"/>
                <w:sz w:val="20"/>
                <w:szCs w:val="20"/>
              </w:rPr>
              <w:t xml:space="preserve">e, udzielane przez farmaceutę i </w:t>
            </w:r>
            <w:r w:rsidRPr="00532128">
              <w:rPr>
                <w:rFonts w:eastAsia="MS Mincho" w:cs="Times New Roman"/>
                <w:bCs/>
                <w:color w:val="auto"/>
                <w:sz w:val="20"/>
                <w:szCs w:val="20"/>
              </w:rPr>
              <w:t>stanowiące dokumentowany proces, w któ</w:t>
            </w:r>
            <w:r w:rsidR="0009460E">
              <w:rPr>
                <w:rFonts w:eastAsia="MS Mincho" w:cs="Times New Roman"/>
                <w:bCs/>
                <w:color w:val="auto"/>
                <w:sz w:val="20"/>
                <w:szCs w:val="20"/>
              </w:rPr>
              <w:t>rym farmaceuta, współpracując z </w:t>
            </w:r>
            <w:r w:rsidRPr="00532128">
              <w:rPr>
                <w:rFonts w:eastAsia="MS Mincho" w:cs="Times New Roman"/>
                <w:bCs/>
                <w:color w:val="auto"/>
                <w:sz w:val="20"/>
                <w:szCs w:val="20"/>
              </w:rPr>
              <w:t xml:space="preserve">pacjentem i lekarzem prowadzącym leczenie pacjenta, a w razie potrzeby z przedstawicielami innych zawodów medycznych, czuwa nad prawidłowym przebiegiem indywidualnej farmakoterapii obejmujące: </w:t>
            </w:r>
          </w:p>
          <w:p w14:paraId="301E0204" w14:textId="6D25EC67" w:rsidR="003B3AED" w:rsidRPr="00532128" w:rsidRDefault="0009460E" w:rsidP="0009460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Pr>
                <w:rFonts w:eastAsia="MS Mincho" w:cs="Times New Roman"/>
                <w:bCs/>
                <w:color w:val="auto"/>
                <w:sz w:val="20"/>
                <w:szCs w:val="20"/>
              </w:rPr>
              <w:t>1. </w:t>
            </w:r>
            <w:r w:rsidR="003B3AED" w:rsidRPr="00532128">
              <w:rPr>
                <w:rFonts w:eastAsia="MS Mincho" w:cs="Times New Roman"/>
                <w:bCs/>
                <w:color w:val="auto"/>
                <w:sz w:val="20"/>
                <w:szCs w:val="20"/>
              </w:rPr>
              <w:t xml:space="preserve">prowadzenie konsultacji farmaceutycznych – w celu zapewnienia bezpieczeństwa pacjenta w związku ze stosowaniem produktów leczniczych, wyrobów medycznych lub środków spożywczych specjalnego przeznaczenia żywieniowego; </w:t>
            </w:r>
          </w:p>
          <w:p w14:paraId="0A402D25" w14:textId="3AF177B4" w:rsidR="003B3AED" w:rsidRPr="00532128" w:rsidRDefault="0009460E" w:rsidP="0009460E">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Pr>
                <w:rFonts w:eastAsia="MS Mincho" w:cs="Times New Roman"/>
                <w:bCs/>
                <w:color w:val="auto"/>
                <w:sz w:val="20"/>
                <w:szCs w:val="20"/>
              </w:rPr>
              <w:t>2. </w:t>
            </w:r>
            <w:r w:rsidR="003B3AED" w:rsidRPr="00532128">
              <w:rPr>
                <w:rFonts w:eastAsia="MS Mincho" w:cs="Times New Roman"/>
                <w:bCs/>
                <w:color w:val="auto"/>
                <w:sz w:val="20"/>
                <w:szCs w:val="20"/>
              </w:rPr>
              <w:t>wykonywanie przeglądów lekowych wraz z oceną farmakoterapii, z uwzględnieniem problemów lekowych pacjenta – w celu wykrywania i rozwiązywania problemów lekowych oraz zapewnienia bezpieczeństwa w procesie farmakoterapii (…).</w:t>
            </w:r>
          </w:p>
          <w:p w14:paraId="5B10A82D" w14:textId="77777777" w:rsidR="003B3AED" w:rsidRPr="00532128" w:rsidRDefault="003B3AED" w:rsidP="003B3AED">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 xml:space="preserve">Należy dodać, że wraz z wejściem w życie ustawy o zawodzie farmaceuty umożliwiającej realizację opieki farmaceutycznej został opracowany i opublikowany przez Zespół ds. opieki farmaceutycznej, raport Ministerstwa Zdrowia „Opieka farmaceutyczna. Kompleksowa analiza procesu wdrożenia”. W raporcie przedstawiono zarówno modele opieki farmaceutycznej jak i rozwiązania, które będą mogły być wykorzystane </w:t>
            </w:r>
            <w:r w:rsidRPr="00532128">
              <w:rPr>
                <w:rFonts w:eastAsia="MS Mincho" w:cs="Times New Roman"/>
                <w:bCs/>
                <w:color w:val="auto"/>
                <w:sz w:val="20"/>
                <w:szCs w:val="20"/>
              </w:rPr>
              <w:lastRenderedPageBreak/>
              <w:t xml:space="preserve">do zaimplementowania w Polsce. Opracowana analiza siedmiu kluczowych usług, ma  za zadanie usprawnienie opieki zdrowotnej i wykorzystanie do tego potencjału zawodowego farmaceutów. </w:t>
            </w:r>
          </w:p>
          <w:p w14:paraId="2910A7FB" w14:textId="2A64787A" w:rsidR="003B3AED" w:rsidRPr="00532128" w:rsidRDefault="003B3AED" w:rsidP="003B3AED">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Wizja całościowego i jednoraz</w:t>
            </w:r>
            <w:r w:rsidR="0009460E">
              <w:rPr>
                <w:rFonts w:eastAsia="MS Mincho" w:cs="Times New Roman"/>
                <w:bCs/>
                <w:color w:val="auto"/>
                <w:sz w:val="20"/>
                <w:szCs w:val="20"/>
              </w:rPr>
              <w:t>owego wdrożenia siedmiu usług w </w:t>
            </w:r>
            <w:r w:rsidRPr="00532128">
              <w:rPr>
                <w:rFonts w:eastAsia="MS Mincho" w:cs="Times New Roman"/>
                <w:bCs/>
                <w:color w:val="auto"/>
                <w:sz w:val="20"/>
                <w:szCs w:val="20"/>
              </w:rPr>
              <w:t xml:space="preserve">aptekach, na obecną chwilę jest trudna do zrealizowania. Zgodnie bowiem z przyjętą praktyką, we wdrażaniu opieki farmaceutycznej na całym świecie, usługi wprowadzane są etapowo, w wieloletniej perspektywie czasowej, w której poddawane są ewaluacji i walidacji. </w:t>
            </w:r>
          </w:p>
          <w:p w14:paraId="7F0915A8" w14:textId="6A892CCD" w:rsidR="003B3AED" w:rsidRPr="00532128" w:rsidRDefault="003B3AED" w:rsidP="003B3AED">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Jako pierwszą z usług opieki fa</w:t>
            </w:r>
            <w:r w:rsidR="0009460E">
              <w:rPr>
                <w:rFonts w:eastAsia="MS Mincho" w:cs="Times New Roman"/>
                <w:bCs/>
                <w:color w:val="auto"/>
                <w:sz w:val="20"/>
                <w:szCs w:val="20"/>
              </w:rPr>
              <w:t>rmaceutycznej, która zostanie w 2021 </w:t>
            </w:r>
            <w:r w:rsidRPr="00532128">
              <w:rPr>
                <w:rFonts w:eastAsia="MS Mincho" w:cs="Times New Roman"/>
                <w:bCs/>
                <w:color w:val="auto"/>
                <w:sz w:val="20"/>
                <w:szCs w:val="20"/>
              </w:rPr>
              <w:t>r. wprowadzona w polskich aptekach w formie pilotażu będzie usługa przeglądu lekowego. Pilotaż w tym zakresie będzie skierowany do pacjentów starszych obciążonych wielolekowością, a celem będzie wykrycie problemów lekowych oraz poprawa efektywności klinicznej stosowanej farmakoterapii.</w:t>
            </w:r>
          </w:p>
          <w:p w14:paraId="1A90C731" w14:textId="0D5CBC1F" w:rsidR="003B3AED" w:rsidRPr="00532128" w:rsidRDefault="003B3AED" w:rsidP="003B3AED">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Przeglądy lekowe wykonywane są w celu wykrycia problemów lekowych, które obejmują potencjalnie niepoprawną farmakoterapię, interakcje między lekami, stosowanie nieprawidłowych d</w:t>
            </w:r>
            <w:r w:rsidR="0009460E">
              <w:rPr>
                <w:rFonts w:eastAsia="MS Mincho" w:cs="Times New Roman"/>
                <w:bCs/>
                <w:color w:val="auto"/>
                <w:sz w:val="20"/>
                <w:szCs w:val="20"/>
              </w:rPr>
              <w:t>awek, działania niepożądane czy </w:t>
            </w:r>
            <w:r w:rsidRPr="00532128">
              <w:rPr>
                <w:rFonts w:eastAsia="MS Mincho" w:cs="Times New Roman"/>
                <w:bCs/>
                <w:color w:val="auto"/>
                <w:sz w:val="20"/>
                <w:szCs w:val="20"/>
              </w:rPr>
              <w:t xml:space="preserve">nieprzestrzeganie zaleceń terapeutycznych. </w:t>
            </w:r>
          </w:p>
          <w:p w14:paraId="3F3671B3" w14:textId="19BC4C8C" w:rsidR="003B3AED" w:rsidRPr="00532128" w:rsidRDefault="003B3AED" w:rsidP="003B3AED">
            <w:pPr>
              <w:spacing w:after="160" w:line="259" w:lineRule="auto"/>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Pozostałe usługi opieki farmaceutycznej będą wdrażane sukcesywnie na podstawie p</w:t>
            </w:r>
            <w:r w:rsidR="0009460E">
              <w:rPr>
                <w:rFonts w:eastAsia="MS Mincho" w:cs="Times New Roman"/>
                <w:bCs/>
                <w:color w:val="auto"/>
                <w:sz w:val="20"/>
                <w:szCs w:val="20"/>
              </w:rPr>
              <w:t>ozyskiwanych wyników i analiz z </w:t>
            </w:r>
            <w:r w:rsidRPr="00532128">
              <w:rPr>
                <w:rFonts w:eastAsia="MS Mincho" w:cs="Times New Roman"/>
                <w:bCs/>
                <w:color w:val="auto"/>
                <w:sz w:val="20"/>
                <w:szCs w:val="20"/>
              </w:rPr>
              <w:t>pilotażu usługi przeglądu lekowego.</w:t>
            </w:r>
          </w:p>
          <w:p w14:paraId="7FD51999" w14:textId="74422D8C" w:rsidR="00311D18" w:rsidRPr="0009460E" w:rsidRDefault="003B3AED" w:rsidP="003C1988">
            <w:pP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32128">
              <w:rPr>
                <w:rFonts w:eastAsia="MS Mincho" w:cs="Times New Roman"/>
                <w:bCs/>
                <w:color w:val="auto"/>
                <w:sz w:val="20"/>
                <w:szCs w:val="20"/>
              </w:rPr>
              <w:t>Termin rozpoczęcia pilotażu planowany przez Ministerstwo Zdrowia przypada na III kwartał 2021 r.</w:t>
            </w:r>
          </w:p>
        </w:tc>
      </w:tr>
      <w:tr w:rsidR="0092226B" w:rsidRPr="0092226B" w14:paraId="5DD923B8"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26BB38DE" w14:textId="77777777" w:rsidR="00311D18" w:rsidRPr="0092226B" w:rsidRDefault="00311D18" w:rsidP="003C1988">
            <w:pPr>
              <w:rPr>
                <w:rFonts w:cs="Times New Roman"/>
                <w:color w:val="FF0000"/>
                <w:sz w:val="20"/>
              </w:rPr>
            </w:pPr>
          </w:p>
        </w:tc>
        <w:tc>
          <w:tcPr>
            <w:tcW w:w="3594" w:type="dxa"/>
            <w:vMerge w:val="restart"/>
          </w:tcPr>
          <w:p w14:paraId="7781603B"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Uwzględnienie specyfiki problemów zdrowotnych, charakterystycznych </w:t>
            </w:r>
            <w:r w:rsidRPr="00532128">
              <w:rPr>
                <w:rFonts w:ascii="Times New Roman" w:eastAsia="MS Mincho" w:hAnsi="Times New Roman"/>
                <w:color w:val="auto"/>
                <w:sz w:val="20"/>
              </w:rPr>
              <w:br/>
              <w:t xml:space="preserve">w grupie osób starszych, </w:t>
            </w:r>
            <w:r w:rsidRPr="00532128">
              <w:rPr>
                <w:rFonts w:ascii="Times New Roman" w:eastAsia="MS Mincho" w:hAnsi="Times New Roman"/>
                <w:color w:val="auto"/>
                <w:sz w:val="20"/>
              </w:rPr>
              <w:br/>
              <w:t>w realizowanych programach prozdrowotnych</w:t>
            </w:r>
          </w:p>
        </w:tc>
        <w:tc>
          <w:tcPr>
            <w:tcW w:w="2032" w:type="dxa"/>
            <w:vMerge w:val="restart"/>
          </w:tcPr>
          <w:p w14:paraId="3955B17E"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tc>
        <w:tc>
          <w:tcPr>
            <w:tcW w:w="1500" w:type="dxa"/>
            <w:vMerge w:val="restart"/>
          </w:tcPr>
          <w:p w14:paraId="27870491"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2018-2020</w:t>
            </w:r>
          </w:p>
          <w:p w14:paraId="01C707B2"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5638" w:type="dxa"/>
          </w:tcPr>
          <w:p w14:paraId="4B7EE30C"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programów prozdrowotnych uzupełnionych o specyfikę problemów zdrowotnych, charakterystycznych w grupie osób starszych</w:t>
            </w:r>
          </w:p>
        </w:tc>
      </w:tr>
      <w:tr w:rsidR="0092226B" w:rsidRPr="0092226B" w14:paraId="1C15145B"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6E3C2AF3" w14:textId="77777777" w:rsidR="00311D18" w:rsidRPr="0092226B" w:rsidRDefault="00311D18" w:rsidP="003C1988">
            <w:pPr>
              <w:rPr>
                <w:rFonts w:cs="Times New Roman"/>
                <w:color w:val="FF0000"/>
                <w:sz w:val="20"/>
              </w:rPr>
            </w:pPr>
          </w:p>
        </w:tc>
        <w:tc>
          <w:tcPr>
            <w:tcW w:w="3594" w:type="dxa"/>
            <w:vMerge/>
          </w:tcPr>
          <w:p w14:paraId="154895B4"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1CA3E3BF"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5664E98E"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7860DE40" w14:textId="77777777" w:rsidR="003B3AED" w:rsidRPr="00532128" w:rsidRDefault="003B3AED"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MZ realizuje następujące programy:</w:t>
            </w:r>
          </w:p>
          <w:p w14:paraId="373B2C25" w14:textId="77777777" w:rsidR="003B3AED" w:rsidRPr="00532128" w:rsidRDefault="003B3AED"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 xml:space="preserve">Program Profilaktyki i Leczenia Chorób Układu Sercowo-Naczyniowego POLKARD na lata 2017-2020 </w:t>
            </w:r>
          </w:p>
          <w:p w14:paraId="74195AAF" w14:textId="5B238E72" w:rsidR="003B3AED" w:rsidRDefault="003B3AED"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lastRenderedPageBreak/>
              <w:t xml:space="preserve">W celu poprawy jakości, </w:t>
            </w:r>
            <w:r w:rsidR="0009460E">
              <w:rPr>
                <w:rFonts w:eastAsia="MS Mincho" w:cs="Times New Roman"/>
                <w:bCs/>
                <w:color w:val="auto"/>
                <w:sz w:val="20"/>
              </w:rPr>
              <w:t>bezpieczeństwa i dostępności do </w:t>
            </w:r>
            <w:r w:rsidRPr="00532128">
              <w:rPr>
                <w:rFonts w:eastAsia="MS Mincho" w:cs="Times New Roman"/>
                <w:bCs/>
                <w:color w:val="auto"/>
                <w:sz w:val="20"/>
              </w:rPr>
              <w:t>świadczeń zdrowotnych finansowanych ze środków publicznych w ramach programu zakupiono specjalistyczny sprzęt. W 2020 r. prowadzone działania umożliwiły wyposażenie m.in.:</w:t>
            </w:r>
          </w:p>
          <w:p w14:paraId="6631E7BC" w14:textId="24E6452A" w:rsidR="0009460E" w:rsidRDefault="0009460E"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 </w:t>
            </w:r>
            <w:r w:rsidR="003B3AED" w:rsidRPr="00532128">
              <w:rPr>
                <w:rFonts w:eastAsia="MS Mincho" w:cs="Times New Roman"/>
                <w:bCs/>
                <w:color w:val="auto"/>
                <w:sz w:val="20"/>
              </w:rPr>
              <w:t>w aparaty RTG z ramieniem C celem umożliwienia udzielania świadczeń z zakresu chirurgii naczyniowej i leczenia cho</w:t>
            </w:r>
            <w:r>
              <w:rPr>
                <w:rFonts w:eastAsia="MS Mincho" w:cs="Times New Roman"/>
                <w:bCs/>
                <w:color w:val="auto"/>
                <w:sz w:val="20"/>
              </w:rPr>
              <w:t>rych z zaburzeniami rytmu serca</w:t>
            </w:r>
          </w:p>
          <w:p w14:paraId="4F17B02D" w14:textId="6C765A0E" w:rsidR="003B3AED" w:rsidRPr="00532128" w:rsidRDefault="0009460E"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 </w:t>
            </w:r>
            <w:r w:rsidR="003B3AED" w:rsidRPr="00532128">
              <w:rPr>
                <w:rFonts w:eastAsia="MS Mincho" w:cs="Times New Roman"/>
                <w:bCs/>
                <w:color w:val="auto"/>
                <w:sz w:val="20"/>
              </w:rPr>
              <w:t>w aparaty USG z możliwością echokardiografii celem diagnozowania i leczenia chorób układu krążenia.</w:t>
            </w:r>
          </w:p>
          <w:p w14:paraId="5ACE8FE7" w14:textId="4C6761EF" w:rsidR="003B3AED" w:rsidRPr="00532128" w:rsidRDefault="003B3AED"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 xml:space="preserve">Od 2018 r. w ramach programu POLKARD prowadzony jest Ogólnopolski program badań przesiewowych w kierunku tętniaka aorty brzusznej w latach 2018 - 2020. W ramach programu pacjentom oferowane jest bezpłatne badanie ultrasonograficzne, którego celem jest stwierdzenie występowania tętniaka aorty brzusznej. Badania wykonywane są u osób w wieku 65 lat i powyżej, u których stwierdzono występowanie co najmniej trzech czynników ryzyka sercowo - naczyniowego spośród następujących: </w:t>
            </w:r>
          </w:p>
          <w:p w14:paraId="41737DCA" w14:textId="371C3711" w:rsidR="003B3AED" w:rsidRPr="00532128" w:rsidRDefault="00931D04"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 </w:t>
            </w:r>
            <w:r w:rsidR="003B3AED" w:rsidRPr="00532128">
              <w:rPr>
                <w:rFonts w:eastAsia="MS Mincho" w:cs="Times New Roman"/>
                <w:bCs/>
                <w:color w:val="auto"/>
                <w:sz w:val="20"/>
              </w:rPr>
              <w:t xml:space="preserve">choroba wieńcowa, </w:t>
            </w:r>
          </w:p>
          <w:p w14:paraId="06AD854E" w14:textId="689813F7" w:rsidR="003B3AED" w:rsidRPr="00532128" w:rsidRDefault="00931D04"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 </w:t>
            </w:r>
            <w:r w:rsidR="003B3AED" w:rsidRPr="00532128">
              <w:rPr>
                <w:rFonts w:eastAsia="MS Mincho" w:cs="Times New Roman"/>
                <w:bCs/>
                <w:color w:val="auto"/>
                <w:sz w:val="20"/>
              </w:rPr>
              <w:t xml:space="preserve">palenie tytoniu, </w:t>
            </w:r>
          </w:p>
          <w:p w14:paraId="49DFA96C" w14:textId="47CCA656" w:rsidR="003B3AED" w:rsidRPr="00532128" w:rsidRDefault="00931D04"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 </w:t>
            </w:r>
            <w:r w:rsidR="003B3AED" w:rsidRPr="00532128">
              <w:rPr>
                <w:rFonts w:eastAsia="MS Mincho" w:cs="Times New Roman"/>
                <w:bCs/>
                <w:color w:val="auto"/>
                <w:sz w:val="20"/>
              </w:rPr>
              <w:t xml:space="preserve">nadciśnienie tętnicze, </w:t>
            </w:r>
          </w:p>
          <w:p w14:paraId="247374E5" w14:textId="0BCACB57" w:rsidR="003B3AED" w:rsidRPr="00532128" w:rsidRDefault="00931D04"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 </w:t>
            </w:r>
            <w:proofErr w:type="spellStart"/>
            <w:r w:rsidR="003B3AED" w:rsidRPr="00532128">
              <w:rPr>
                <w:rFonts w:eastAsia="MS Mincho" w:cs="Times New Roman"/>
                <w:bCs/>
                <w:color w:val="auto"/>
                <w:sz w:val="20"/>
              </w:rPr>
              <w:t>hiperlipidemia</w:t>
            </w:r>
            <w:proofErr w:type="spellEnd"/>
            <w:r w:rsidR="003B3AED" w:rsidRPr="00532128">
              <w:rPr>
                <w:rFonts w:eastAsia="MS Mincho" w:cs="Times New Roman"/>
                <w:bCs/>
                <w:color w:val="auto"/>
                <w:sz w:val="20"/>
              </w:rPr>
              <w:t xml:space="preserve">, </w:t>
            </w:r>
          </w:p>
          <w:p w14:paraId="7C5834CD" w14:textId="7C926CDE" w:rsidR="003B3AED" w:rsidRPr="00532128" w:rsidRDefault="00931D04"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 </w:t>
            </w:r>
            <w:r w:rsidR="003B3AED" w:rsidRPr="00532128">
              <w:rPr>
                <w:rFonts w:eastAsia="MS Mincho" w:cs="Times New Roman"/>
                <w:bCs/>
                <w:color w:val="auto"/>
                <w:sz w:val="20"/>
              </w:rPr>
              <w:t xml:space="preserve">płeć męska. </w:t>
            </w:r>
          </w:p>
          <w:p w14:paraId="5EEEA4D7" w14:textId="566A53DB" w:rsidR="003B3AED" w:rsidRPr="00532128" w:rsidRDefault="003B3AED"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W 2020 r. sumaryczna liczba przebadanych osób starszych wyniosła 18 043, z czego wykryto 895 tętniaków o średnicy większej niż 30 mm (pacjentów skierowano do dalszego leczenia lub obserwacji).</w:t>
            </w:r>
          </w:p>
          <w:p w14:paraId="4606A8B5" w14:textId="77777777" w:rsidR="00931D04" w:rsidRDefault="00931D04"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p>
          <w:p w14:paraId="0436BC6D" w14:textId="2010F7FF" w:rsidR="003B3AED" w:rsidRPr="00532128" w:rsidRDefault="003B3AED"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Program Zapobiegania Depresji w Polsce na lata 2016-2020</w:t>
            </w:r>
          </w:p>
          <w:p w14:paraId="42E75FCA" w14:textId="0AF03D27" w:rsidR="003B3AED" w:rsidRPr="00532128" w:rsidRDefault="003B3AED"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W ramach realizacji Programu Za</w:t>
            </w:r>
            <w:r w:rsidR="00931D04">
              <w:rPr>
                <w:rFonts w:eastAsia="MS Mincho" w:cs="Times New Roman"/>
                <w:bCs/>
                <w:color w:val="auto"/>
                <w:sz w:val="20"/>
              </w:rPr>
              <w:t>pobiegania Depresji w Polsce na </w:t>
            </w:r>
            <w:r w:rsidRPr="00532128">
              <w:rPr>
                <w:rFonts w:eastAsia="MS Mincho" w:cs="Times New Roman"/>
                <w:bCs/>
                <w:color w:val="auto"/>
                <w:sz w:val="20"/>
              </w:rPr>
              <w:t>lata 2016-2020 prowadzona jest kampania informacyjno-edukacyjna dotycząca depresji "Depresja. Rozumiesz – Pomagasz", której celem jest zwiększenie świadomości społecznej w zakresie występowania depresji oraz przekazanie rzetelnej wiedzy dotyczącej jej objawów, profilak</w:t>
            </w:r>
            <w:r w:rsidR="00931D04">
              <w:rPr>
                <w:rFonts w:eastAsia="MS Mincho" w:cs="Times New Roman"/>
                <w:bCs/>
                <w:color w:val="auto"/>
                <w:sz w:val="20"/>
              </w:rPr>
              <w:t>tyki, diagnozowania, leczenia i </w:t>
            </w:r>
            <w:r w:rsidRPr="00532128">
              <w:rPr>
                <w:rFonts w:eastAsia="MS Mincho" w:cs="Times New Roman"/>
                <w:bCs/>
                <w:color w:val="auto"/>
                <w:sz w:val="20"/>
              </w:rPr>
              <w:t>możliwych form wsparcia.</w:t>
            </w:r>
          </w:p>
          <w:p w14:paraId="41529915" w14:textId="51C80C75" w:rsidR="003B3AED" w:rsidRPr="00532128" w:rsidRDefault="003B3AED"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lastRenderedPageBreak/>
              <w:t>Jedną z grup szczególnie narażonych na wystąpienie depresji są osoby w starszym wieku. Działania podjęte w ramach kampanii zostały skierowane do osób w starszym wieku, ale również do osób z ich otoczenia, w tym personelu medycznego.</w:t>
            </w:r>
          </w:p>
          <w:p w14:paraId="18C78629" w14:textId="5159D3E7" w:rsidR="003B3AED" w:rsidRDefault="003B3AED"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Na stronie internetowej kampanii www.wyleczdepresje.pl zostały udostępnione w formie elektronicznej wszystkie opracowane materiały, w tym broszury, filmy oraz rekomendacje postępowania w zakresie profilaktyki, diagnostyki i leczenia.</w:t>
            </w:r>
          </w:p>
          <w:p w14:paraId="7E232845" w14:textId="77777777" w:rsidR="00931D04" w:rsidRPr="00532128" w:rsidRDefault="00931D04"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p>
          <w:p w14:paraId="397289F8" w14:textId="77777777" w:rsidR="003B3AED" w:rsidRPr="00532128" w:rsidRDefault="003B3AED"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Narodowa Strategia Onkologiczna</w:t>
            </w:r>
          </w:p>
          <w:p w14:paraId="7A23B5F9" w14:textId="77777777" w:rsidR="003B3AED" w:rsidRPr="00532128" w:rsidRDefault="003B3AED"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W ramach Narodowej Strategii Onkologicznej nie były realizowane programy skierowane wyłącznie do osób starszych. Osoby z tej grupy mogły jednakże uczestniczyć w następujących zadaniach ww. programu, w szczególności ukierunkowanych na działania profilaktyczne:</w:t>
            </w:r>
          </w:p>
          <w:p w14:paraId="47090B37" w14:textId="44642991" w:rsidR="003B3AED" w:rsidRPr="00532128" w:rsidRDefault="00931D04"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 </w:t>
            </w:r>
            <w:r w:rsidR="003B3AED" w:rsidRPr="00532128">
              <w:rPr>
                <w:rFonts w:eastAsia="MS Mincho" w:cs="Times New Roman"/>
                <w:bCs/>
                <w:color w:val="auto"/>
                <w:sz w:val="20"/>
              </w:rPr>
              <w:t>Program badań przesiewowych raka jelita grubego,</w:t>
            </w:r>
          </w:p>
          <w:p w14:paraId="41001D43" w14:textId="21DD4026" w:rsidR="003B3AED" w:rsidRPr="00532128" w:rsidRDefault="00931D04"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 </w:t>
            </w:r>
            <w:r w:rsidR="003B3AED" w:rsidRPr="00532128">
              <w:rPr>
                <w:rFonts w:eastAsia="MS Mincho" w:cs="Times New Roman"/>
                <w:bCs/>
                <w:color w:val="auto"/>
                <w:sz w:val="20"/>
              </w:rPr>
              <w:t>Program opieki nad rodzinami wysokiego, dziedzicznie uwarunkowanego ryzyka zachorowania na nowotwory złośliwe.</w:t>
            </w:r>
          </w:p>
          <w:p w14:paraId="3C6F7CD7" w14:textId="0E335EF3" w:rsidR="00311D18" w:rsidRPr="00532128" w:rsidRDefault="003B3AED" w:rsidP="003B3AED">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r w:rsidRPr="00532128">
              <w:rPr>
                <w:rFonts w:eastAsia="MS Mincho" w:cs="Times New Roman"/>
                <w:bCs/>
                <w:color w:val="auto"/>
                <w:sz w:val="20"/>
              </w:rPr>
              <w:t>Ponadto w ramach Narodowej Strategii Onkologicznej prowadzona była koordynacja i monitorowanie jakości Programu profilaktyki raka piersi i Programu profilaktyki raka szyjki macicy, finansowanych przez NFZ. Program profilaktyki raka piersi obejmuje realizację badań mammograficznych dla kobiet z grupy wiekowej 50-69 lat, tj. dla grupy najwyższego ryzyka zachorowania na raka piersi, a badanie wykonywane jest w interwale raz na dwa lata. W ramach Programu profilaktyki raka szyjki macicy wykonywane jest badanie cytologiczne. To badanie również dedykowane jest grupie najwyższego ryzyka zachorowania na raka szyjki macicy, tj. kobietom w wieku 25-59 lat, tj. i przeprowadzane jest w interwale raz na trzy lata.</w:t>
            </w:r>
          </w:p>
        </w:tc>
      </w:tr>
      <w:tr w:rsidR="0092226B" w:rsidRPr="0092226B" w14:paraId="71DDD14F"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6FBAAF23" w14:textId="77777777" w:rsidR="00311D18" w:rsidRPr="0092226B" w:rsidRDefault="00311D18" w:rsidP="003C1988">
            <w:pPr>
              <w:rPr>
                <w:rFonts w:cs="Times New Roman"/>
                <w:color w:val="FF0000"/>
                <w:sz w:val="20"/>
              </w:rPr>
            </w:pPr>
          </w:p>
        </w:tc>
        <w:tc>
          <w:tcPr>
            <w:tcW w:w="3594" w:type="dxa"/>
            <w:vMerge w:val="restart"/>
          </w:tcPr>
          <w:p w14:paraId="67DDC7E0"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Tworzenie infrastruktury i usług </w:t>
            </w:r>
            <w:r w:rsidRPr="00532128">
              <w:rPr>
                <w:rFonts w:ascii="Times New Roman" w:eastAsia="MS Mincho" w:hAnsi="Times New Roman"/>
                <w:color w:val="auto"/>
                <w:sz w:val="20"/>
              </w:rPr>
              <w:br/>
              <w:t xml:space="preserve">dla rozwoju aktywności prozdrowotnej ze </w:t>
            </w:r>
            <w:r w:rsidRPr="00532128">
              <w:rPr>
                <w:rFonts w:ascii="Times New Roman" w:eastAsia="MS Mincho" w:hAnsi="Times New Roman"/>
                <w:color w:val="auto"/>
                <w:sz w:val="20"/>
              </w:rPr>
              <w:lastRenderedPageBreak/>
              <w:t>szczególnym uwzględnieniem najstarszych grup wiek</w:t>
            </w:r>
          </w:p>
        </w:tc>
        <w:tc>
          <w:tcPr>
            <w:tcW w:w="2032" w:type="dxa"/>
            <w:vMerge w:val="restart"/>
          </w:tcPr>
          <w:p w14:paraId="4249C773" w14:textId="77777777" w:rsidR="00311D18" w:rsidRPr="00532128" w:rsidRDefault="00311D18" w:rsidP="00081C36">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lastRenderedPageBreak/>
              <w:t>Ministerstwo Zdrowia</w:t>
            </w:r>
            <w:r w:rsidR="00110FAB" w:rsidRPr="00532128">
              <w:rPr>
                <w:rFonts w:ascii="Times New Roman" w:eastAsia="MS Mincho" w:hAnsi="Times New Roman"/>
                <w:color w:val="auto"/>
                <w:sz w:val="20"/>
              </w:rPr>
              <w:t xml:space="preserve">, Ministerstwo Kultury, </w:t>
            </w:r>
            <w:r w:rsidR="00110FAB" w:rsidRPr="00532128">
              <w:rPr>
                <w:rFonts w:ascii="Times New Roman" w:eastAsia="MS Mincho" w:hAnsi="Times New Roman"/>
                <w:color w:val="auto"/>
                <w:sz w:val="20"/>
              </w:rPr>
              <w:lastRenderedPageBreak/>
              <w:t>Dziedzictwa Narodowego i Sportu</w:t>
            </w:r>
          </w:p>
        </w:tc>
        <w:tc>
          <w:tcPr>
            <w:tcW w:w="1500" w:type="dxa"/>
            <w:vMerge w:val="restart"/>
          </w:tcPr>
          <w:p w14:paraId="23754FE9"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lastRenderedPageBreak/>
              <w:t>Działanie ciągłe</w:t>
            </w:r>
            <w:r w:rsidRPr="00532128">
              <w:rPr>
                <w:rFonts w:cs="Times New Roman"/>
                <w:color w:val="auto"/>
                <w:sz w:val="20"/>
              </w:rPr>
              <w:t>*</w:t>
            </w:r>
          </w:p>
        </w:tc>
        <w:tc>
          <w:tcPr>
            <w:tcW w:w="5638" w:type="dxa"/>
          </w:tcPr>
          <w:p w14:paraId="66875BE8"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utworzonej nowej infrastruktury i usług dla rozwoju aktywności prozdrowotnej ze szczególnym uwzględnieniem najstarszych grup wieku</w:t>
            </w:r>
          </w:p>
        </w:tc>
      </w:tr>
      <w:tr w:rsidR="0092226B" w:rsidRPr="0092226B" w14:paraId="5DF965A4" w14:textId="77777777" w:rsidTr="002D4784">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1232" w:type="dxa"/>
            <w:vMerge/>
          </w:tcPr>
          <w:p w14:paraId="65B3B178" w14:textId="77777777" w:rsidR="00311D18" w:rsidRPr="0092226B" w:rsidRDefault="00311D18" w:rsidP="003C1988">
            <w:pPr>
              <w:rPr>
                <w:rFonts w:cs="Times New Roman"/>
                <w:color w:val="FF0000"/>
                <w:sz w:val="20"/>
              </w:rPr>
            </w:pPr>
          </w:p>
        </w:tc>
        <w:tc>
          <w:tcPr>
            <w:tcW w:w="3594" w:type="dxa"/>
            <w:vMerge/>
          </w:tcPr>
          <w:p w14:paraId="39AC267B"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1C4D0704"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5212DF1F"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39068AB8" w14:textId="77777777" w:rsidR="003B3AED" w:rsidRPr="00532128" w:rsidRDefault="003B3AED"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MZ aktualnie realizuje 2 zadania inwestycyjne:</w:t>
            </w:r>
          </w:p>
          <w:p w14:paraId="4B04823F" w14:textId="1A9AFD4C" w:rsidR="003B3AED" w:rsidRPr="00532128" w:rsidRDefault="00003231"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1. </w:t>
            </w:r>
            <w:r w:rsidR="003B3AED" w:rsidRPr="00532128">
              <w:rPr>
                <w:rFonts w:eastAsia="MS Mincho" w:cs="Times New Roman"/>
                <w:bCs/>
                <w:color w:val="auto"/>
                <w:sz w:val="20"/>
              </w:rPr>
              <w:t>Zadanie pn. Modernizacja Klinik i Budynków Narodowego Instytutu Geriatrii Reumatologii</w:t>
            </w:r>
            <w:r>
              <w:rPr>
                <w:rFonts w:eastAsia="MS Mincho" w:cs="Times New Roman"/>
                <w:bCs/>
                <w:color w:val="auto"/>
                <w:sz w:val="20"/>
              </w:rPr>
              <w:t xml:space="preserve"> i Rehabilitacji, realizowane w </w:t>
            </w:r>
            <w:r w:rsidR="003B3AED" w:rsidRPr="00532128">
              <w:rPr>
                <w:rFonts w:eastAsia="MS Mincho" w:cs="Times New Roman"/>
                <w:bCs/>
                <w:color w:val="auto"/>
                <w:sz w:val="20"/>
              </w:rPr>
              <w:t>latach 2014-2021, w ramach którego  zrealizowane są prace adaptacyjne na potrzeby Kliniki i Polikliniki Reumoortopedii dla funkcji Klinik Geriatrii i Reumatologii.  Powierzchnia użytkowa inwestycji 3 670,17 m2 liczba łóżek: 78.</w:t>
            </w:r>
          </w:p>
          <w:p w14:paraId="070576B8" w14:textId="3EFE5489" w:rsidR="00311D18" w:rsidRPr="00532128" w:rsidRDefault="00003231"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2. </w:t>
            </w:r>
            <w:r w:rsidR="003B3AED" w:rsidRPr="00532128">
              <w:rPr>
                <w:rFonts w:eastAsia="MS Mincho" w:cs="Times New Roman"/>
                <w:bCs/>
                <w:color w:val="auto"/>
                <w:sz w:val="20"/>
              </w:rPr>
              <w:t>Zadanie pn.  Powstanie Śląskiego Ośrodka Kliniczno-Naukowego Zapobiegania i Leczenia Chorób Środowiskowych, Cywilizacyjnych i Wieku Podeszłe</w:t>
            </w:r>
            <w:r>
              <w:rPr>
                <w:rFonts w:eastAsia="MS Mincho" w:cs="Times New Roman"/>
                <w:bCs/>
                <w:color w:val="auto"/>
                <w:sz w:val="20"/>
              </w:rPr>
              <w:t>go im. prof. Zbigniewa Religi w </w:t>
            </w:r>
            <w:r w:rsidR="003B3AED" w:rsidRPr="00532128">
              <w:rPr>
                <w:rFonts w:eastAsia="MS Mincho" w:cs="Times New Roman"/>
                <w:bCs/>
                <w:color w:val="auto"/>
                <w:sz w:val="20"/>
              </w:rPr>
              <w:t>Zabrzu, realizowane w latach 2018-</w:t>
            </w:r>
            <w:r>
              <w:rPr>
                <w:rFonts w:eastAsia="MS Mincho" w:cs="Times New Roman"/>
                <w:bCs/>
                <w:color w:val="auto"/>
                <w:sz w:val="20"/>
              </w:rPr>
              <w:t>2022, powierzchnia użytkowa: 12 </w:t>
            </w:r>
            <w:r w:rsidR="003B3AED" w:rsidRPr="00532128">
              <w:rPr>
                <w:rFonts w:eastAsia="MS Mincho" w:cs="Times New Roman"/>
                <w:bCs/>
                <w:color w:val="auto"/>
                <w:sz w:val="20"/>
              </w:rPr>
              <w:t>000 m</w:t>
            </w:r>
            <w:r w:rsidR="003B3AED" w:rsidRPr="00003231">
              <w:rPr>
                <w:color w:val="auto"/>
                <w:sz w:val="20"/>
                <w:vertAlign w:val="superscript"/>
              </w:rPr>
              <w:t>2</w:t>
            </w:r>
            <w:r w:rsidR="003B3AED" w:rsidRPr="00532128">
              <w:rPr>
                <w:rFonts w:eastAsia="MS Mincho" w:cs="Times New Roman"/>
                <w:bCs/>
                <w:color w:val="auto"/>
                <w:sz w:val="20"/>
              </w:rPr>
              <w:t>, liczba łóżek 138, z czego 17 na Oddział Kardiologii – Chorób Środowiskowych i Cywilizacyjnych oraz Wieku Podeszłego w chorobach serca, płuc i naczyń.</w:t>
            </w:r>
          </w:p>
          <w:p w14:paraId="77A81D6C" w14:textId="77777777" w:rsidR="00110FAB" w:rsidRPr="00532128" w:rsidRDefault="00110FAB" w:rsidP="00110FAB">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p>
          <w:p w14:paraId="077DBB5D" w14:textId="3059CAB7" w:rsidR="00110FAB" w:rsidRDefault="00110FAB" w:rsidP="00110FAB">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Program Sportowa Polska to program rozwoju lokalnej infrastruktury sportowej. W 2020 r. w ramach III grupy zadań dofinansowanie uzyskało 28 inwestycji na łączną kwotę 47 154 000,00 zł. Przedmiotem dofinansowanych zadań jest budowa nowej (nieprzyszkolnej) infrastruktury sportowej, dającej możliwość aktywnego spędzania czasu wolnego, stanowiącej ważny element profilaktyki zdrowotnej dla wszystkich grup wiekowych, w tym także dla osób starszych.</w:t>
            </w:r>
          </w:p>
          <w:p w14:paraId="7FC2A073" w14:textId="77777777" w:rsidR="00003231" w:rsidRPr="00532128" w:rsidRDefault="00003231" w:rsidP="00110FAB">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p>
          <w:p w14:paraId="7D898D76" w14:textId="56ED0D83" w:rsidR="00110FAB" w:rsidRPr="00532128" w:rsidRDefault="00110FAB" w:rsidP="00110FAB">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Program rozwoju małej infrastru</w:t>
            </w:r>
            <w:r w:rsidR="00003231">
              <w:rPr>
                <w:rFonts w:eastAsia="MS Mincho" w:cs="Times New Roman"/>
                <w:bCs/>
                <w:color w:val="auto"/>
                <w:sz w:val="20"/>
              </w:rPr>
              <w:t>ktury sportowo – rekreacyjnej o </w:t>
            </w:r>
            <w:r w:rsidRPr="00532128">
              <w:rPr>
                <w:rFonts w:eastAsia="MS Mincho" w:cs="Times New Roman"/>
                <w:bCs/>
                <w:color w:val="auto"/>
                <w:sz w:val="20"/>
              </w:rPr>
              <w:t>charakterze wielopokoleniowy</w:t>
            </w:r>
            <w:r w:rsidR="00003231">
              <w:rPr>
                <w:rFonts w:eastAsia="MS Mincho" w:cs="Times New Roman"/>
                <w:bCs/>
                <w:color w:val="auto"/>
                <w:sz w:val="20"/>
              </w:rPr>
              <w:t>m – Otwarte Strefy Aktywności. W </w:t>
            </w:r>
            <w:r w:rsidRPr="00532128">
              <w:rPr>
                <w:rFonts w:eastAsia="MS Mincho" w:cs="Times New Roman"/>
                <w:bCs/>
                <w:color w:val="auto"/>
                <w:sz w:val="20"/>
              </w:rPr>
              <w:t>2020</w:t>
            </w:r>
            <w:r w:rsidR="0088717F">
              <w:rPr>
                <w:rFonts w:eastAsia="MS Mincho" w:cs="Times New Roman"/>
                <w:bCs/>
                <w:color w:val="auto"/>
                <w:sz w:val="20"/>
              </w:rPr>
              <w:t xml:space="preserve"> </w:t>
            </w:r>
            <w:r w:rsidRPr="00532128">
              <w:rPr>
                <w:rFonts w:eastAsia="MS Mincho" w:cs="Times New Roman"/>
                <w:bCs/>
                <w:color w:val="auto"/>
                <w:sz w:val="20"/>
              </w:rPr>
              <w:t>r. dofinansowanie otrzym</w:t>
            </w:r>
            <w:r w:rsidR="00003231">
              <w:rPr>
                <w:rFonts w:eastAsia="MS Mincho" w:cs="Times New Roman"/>
                <w:bCs/>
                <w:color w:val="auto"/>
                <w:sz w:val="20"/>
              </w:rPr>
              <w:t>ało 123 inwestycji związanych z </w:t>
            </w:r>
            <w:r w:rsidRPr="00532128">
              <w:rPr>
                <w:rFonts w:eastAsia="MS Mincho" w:cs="Times New Roman"/>
                <w:bCs/>
                <w:color w:val="auto"/>
                <w:sz w:val="20"/>
              </w:rPr>
              <w:t>budową ogólnodostępnych stref aktywności fizycznej.</w:t>
            </w:r>
          </w:p>
          <w:p w14:paraId="2104EE4A" w14:textId="77777777" w:rsidR="00110FAB" w:rsidRPr="00532128" w:rsidRDefault="00110FAB" w:rsidP="00110FAB">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Liczba inicjatyw mających na celu zwiększenie dostępności placówek i instytucji kultury dla osób starszych:</w:t>
            </w:r>
          </w:p>
          <w:p w14:paraId="55500286" w14:textId="77777777" w:rsidR="00003231" w:rsidRDefault="00003231" w:rsidP="00110FAB">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p>
          <w:p w14:paraId="553661A0" w14:textId="18F7267D" w:rsidR="00110FAB" w:rsidRPr="00532128" w:rsidRDefault="00110FAB" w:rsidP="00110FAB">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Liczba dofinansowań udz</w:t>
            </w:r>
            <w:r w:rsidR="00003231">
              <w:rPr>
                <w:rFonts w:eastAsia="MS Mincho" w:cs="Times New Roman"/>
                <w:bCs/>
                <w:color w:val="auto"/>
                <w:sz w:val="20"/>
              </w:rPr>
              <w:t xml:space="preserve">ielonych przez Ministra </w:t>
            </w:r>
            <w:proofErr w:type="spellStart"/>
            <w:r w:rsidR="00003231">
              <w:rPr>
                <w:rFonts w:eastAsia="MS Mincho" w:cs="Times New Roman"/>
                <w:bCs/>
                <w:color w:val="auto"/>
                <w:sz w:val="20"/>
              </w:rPr>
              <w:t>KDNiS</w:t>
            </w:r>
            <w:proofErr w:type="spellEnd"/>
            <w:r w:rsidR="00003231">
              <w:rPr>
                <w:rFonts w:eastAsia="MS Mincho" w:cs="Times New Roman"/>
                <w:bCs/>
                <w:color w:val="auto"/>
                <w:sz w:val="20"/>
              </w:rPr>
              <w:t xml:space="preserve"> w </w:t>
            </w:r>
            <w:r w:rsidRPr="00532128">
              <w:rPr>
                <w:rFonts w:eastAsia="MS Mincho" w:cs="Times New Roman"/>
                <w:bCs/>
                <w:color w:val="auto"/>
                <w:sz w:val="20"/>
              </w:rPr>
              <w:t xml:space="preserve">programach dotacyjnych na wydarzenia artystyczne i kulturalne </w:t>
            </w:r>
            <w:r w:rsidRPr="00532128">
              <w:rPr>
                <w:rFonts w:eastAsia="MS Mincho" w:cs="Times New Roman"/>
                <w:bCs/>
                <w:color w:val="auto"/>
                <w:sz w:val="20"/>
              </w:rPr>
              <w:lastRenderedPageBreak/>
              <w:t>kierowane do osób starszych lub dostępnych dla szerokiej publiczności, z uwzględnieniem seniorów: 2603</w:t>
            </w:r>
          </w:p>
          <w:p w14:paraId="763AD06F" w14:textId="77777777" w:rsidR="00003231" w:rsidRDefault="00003231" w:rsidP="00110FAB">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p>
          <w:p w14:paraId="224C21AD" w14:textId="63DA1A47" w:rsidR="00110FAB" w:rsidRPr="00532128" w:rsidRDefault="00110FAB" w:rsidP="00110FAB">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 xml:space="preserve">Liczba instytucji kultury prowadzonych i współprowadzonych przez </w:t>
            </w:r>
            <w:proofErr w:type="spellStart"/>
            <w:r w:rsidRPr="00532128">
              <w:rPr>
                <w:rFonts w:eastAsia="MS Mincho" w:cs="Times New Roman"/>
                <w:bCs/>
                <w:color w:val="auto"/>
                <w:sz w:val="20"/>
              </w:rPr>
              <w:t>MKDNiS</w:t>
            </w:r>
            <w:proofErr w:type="spellEnd"/>
            <w:r w:rsidRPr="00532128">
              <w:rPr>
                <w:rFonts w:eastAsia="MS Mincho" w:cs="Times New Roman"/>
                <w:bCs/>
                <w:color w:val="auto"/>
                <w:sz w:val="20"/>
              </w:rPr>
              <w:t>, które posiadają stał</w:t>
            </w:r>
            <w:r w:rsidR="00003231">
              <w:rPr>
                <w:rFonts w:eastAsia="MS Mincho" w:cs="Times New Roman"/>
                <w:bCs/>
                <w:color w:val="auto"/>
                <w:sz w:val="20"/>
              </w:rPr>
              <w:t>ą, systemową, wieloelementową i </w:t>
            </w:r>
            <w:r w:rsidRPr="00532128">
              <w:rPr>
                <w:rFonts w:eastAsia="MS Mincho" w:cs="Times New Roman"/>
                <w:bCs/>
                <w:color w:val="auto"/>
                <w:sz w:val="20"/>
              </w:rPr>
              <w:t>powszechnie dostępną ofertę kulturalną dedykowaną seniorom: 58</w:t>
            </w:r>
          </w:p>
          <w:p w14:paraId="5DB4A890" w14:textId="77777777" w:rsidR="00110FAB" w:rsidRPr="00532128" w:rsidRDefault="00110FAB" w:rsidP="003B3AED">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p>
          <w:p w14:paraId="76B3776C" w14:textId="77777777" w:rsidR="00110FAB" w:rsidRPr="00532128" w:rsidRDefault="00110FAB" w:rsidP="003B3AED">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p>
        </w:tc>
      </w:tr>
      <w:tr w:rsidR="0092226B" w:rsidRPr="0092226B" w14:paraId="3E7B6EB9"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43BD24B6" w14:textId="77777777" w:rsidR="00311D18" w:rsidRPr="0092226B" w:rsidRDefault="00311D18" w:rsidP="003C1988">
            <w:pPr>
              <w:rPr>
                <w:rFonts w:cs="Times New Roman"/>
                <w:color w:val="FF0000"/>
                <w:sz w:val="20"/>
              </w:rPr>
            </w:pPr>
          </w:p>
        </w:tc>
        <w:tc>
          <w:tcPr>
            <w:tcW w:w="3594" w:type="dxa"/>
            <w:vMerge w:val="restart"/>
          </w:tcPr>
          <w:p w14:paraId="4A3635AE"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Rozwijanie </w:t>
            </w:r>
            <w:proofErr w:type="spellStart"/>
            <w:r w:rsidRPr="00532128">
              <w:rPr>
                <w:rFonts w:ascii="Times New Roman" w:eastAsia="MS Mincho" w:hAnsi="Times New Roman"/>
                <w:color w:val="auto"/>
                <w:sz w:val="20"/>
              </w:rPr>
              <w:t>telemedycyny</w:t>
            </w:r>
            <w:proofErr w:type="spellEnd"/>
            <w:r w:rsidRPr="00532128">
              <w:rPr>
                <w:rFonts w:ascii="Times New Roman" w:eastAsia="MS Mincho" w:hAnsi="Times New Roman"/>
                <w:color w:val="auto"/>
                <w:sz w:val="20"/>
              </w:rPr>
              <w:t xml:space="preserve">, w tym </w:t>
            </w:r>
            <w:proofErr w:type="spellStart"/>
            <w:r w:rsidRPr="00532128">
              <w:rPr>
                <w:rFonts w:ascii="Times New Roman" w:eastAsia="MS Mincho" w:hAnsi="Times New Roman"/>
                <w:color w:val="auto"/>
                <w:sz w:val="20"/>
              </w:rPr>
              <w:t>teleopieki</w:t>
            </w:r>
            <w:proofErr w:type="spellEnd"/>
            <w:r w:rsidRPr="00532128">
              <w:rPr>
                <w:rFonts w:ascii="Times New Roman" w:eastAsia="MS Mincho" w:hAnsi="Times New Roman"/>
                <w:color w:val="auto"/>
                <w:sz w:val="20"/>
              </w:rPr>
              <w:t>:</w:t>
            </w:r>
          </w:p>
          <w:p w14:paraId="1CB62CB4" w14:textId="77777777" w:rsidR="00311D18" w:rsidRPr="00532128" w:rsidRDefault="00311D18" w:rsidP="002D4784">
            <w:pPr>
              <w:pStyle w:val="Kolorowalistaakcent11"/>
              <w:numPr>
                <w:ilvl w:val="0"/>
                <w:numId w:val="6"/>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upowszechnienie różnych form </w:t>
            </w:r>
            <w:proofErr w:type="spellStart"/>
            <w:r w:rsidRPr="00532128">
              <w:rPr>
                <w:rFonts w:ascii="Times New Roman" w:eastAsia="MS Mincho" w:hAnsi="Times New Roman"/>
                <w:color w:val="auto"/>
                <w:sz w:val="20"/>
              </w:rPr>
              <w:t>teleopieki</w:t>
            </w:r>
            <w:proofErr w:type="spellEnd"/>
            <w:r w:rsidRPr="00532128">
              <w:rPr>
                <w:rFonts w:ascii="Times New Roman" w:eastAsia="MS Mincho" w:hAnsi="Times New Roman"/>
                <w:color w:val="auto"/>
                <w:sz w:val="20"/>
              </w:rPr>
              <w:t xml:space="preserve"> i </w:t>
            </w:r>
            <w:proofErr w:type="spellStart"/>
            <w:r w:rsidRPr="00532128">
              <w:rPr>
                <w:rFonts w:ascii="Times New Roman" w:eastAsia="MS Mincho" w:hAnsi="Times New Roman"/>
                <w:color w:val="auto"/>
                <w:sz w:val="20"/>
              </w:rPr>
              <w:t>telekonsultacji</w:t>
            </w:r>
            <w:proofErr w:type="spellEnd"/>
            <w:r w:rsidRPr="00532128">
              <w:rPr>
                <w:rFonts w:ascii="Times New Roman" w:eastAsia="MS Mincho" w:hAnsi="Times New Roman"/>
                <w:color w:val="auto"/>
                <w:sz w:val="20"/>
              </w:rPr>
              <w:t>;</w:t>
            </w:r>
          </w:p>
          <w:p w14:paraId="13DDBCBA" w14:textId="77777777" w:rsidR="00311D18" w:rsidRPr="00532128" w:rsidRDefault="00311D18" w:rsidP="002D4784">
            <w:pPr>
              <w:pStyle w:val="Kolorowalistaakcent11"/>
              <w:numPr>
                <w:ilvl w:val="0"/>
                <w:numId w:val="6"/>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rozwój rozwiązań w zakresie </w:t>
            </w:r>
            <w:r w:rsidRPr="00532128">
              <w:rPr>
                <w:rFonts w:ascii="Times New Roman" w:eastAsia="MS Mincho" w:hAnsi="Times New Roman"/>
                <w:i/>
                <w:color w:val="auto"/>
                <w:sz w:val="20"/>
              </w:rPr>
              <w:t xml:space="preserve">mobile </w:t>
            </w:r>
            <w:proofErr w:type="spellStart"/>
            <w:r w:rsidRPr="00532128">
              <w:rPr>
                <w:rFonts w:ascii="Times New Roman" w:eastAsia="MS Mincho" w:hAnsi="Times New Roman"/>
                <w:i/>
                <w:color w:val="auto"/>
                <w:sz w:val="20"/>
              </w:rPr>
              <w:t>health</w:t>
            </w:r>
            <w:proofErr w:type="spellEnd"/>
            <w:r w:rsidRPr="00532128">
              <w:rPr>
                <w:rFonts w:ascii="Times New Roman" w:eastAsia="MS Mincho" w:hAnsi="Times New Roman"/>
                <w:i/>
                <w:color w:val="auto"/>
                <w:sz w:val="20"/>
              </w:rPr>
              <w:t>.</w:t>
            </w:r>
          </w:p>
        </w:tc>
        <w:tc>
          <w:tcPr>
            <w:tcW w:w="2032" w:type="dxa"/>
            <w:vMerge w:val="restart"/>
          </w:tcPr>
          <w:p w14:paraId="3C9DDC0D"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tc>
        <w:tc>
          <w:tcPr>
            <w:tcW w:w="1500" w:type="dxa"/>
            <w:vMerge w:val="restart"/>
          </w:tcPr>
          <w:p w14:paraId="0F0FA635"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6667FDAB"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 xml:space="preserve">Liczba działań podjętych w celu rozwoju </w:t>
            </w:r>
            <w:proofErr w:type="spellStart"/>
            <w:r w:rsidRPr="00532128">
              <w:rPr>
                <w:rFonts w:eastAsia="MS Mincho" w:cs="Times New Roman"/>
                <w:i/>
                <w:color w:val="auto"/>
                <w:sz w:val="20"/>
              </w:rPr>
              <w:t>telemedycyny</w:t>
            </w:r>
            <w:proofErr w:type="spellEnd"/>
            <w:r w:rsidRPr="00532128">
              <w:rPr>
                <w:rFonts w:eastAsia="MS Mincho" w:cs="Times New Roman"/>
                <w:i/>
                <w:color w:val="auto"/>
                <w:sz w:val="20"/>
              </w:rPr>
              <w:t xml:space="preserve">, w tym </w:t>
            </w:r>
            <w:proofErr w:type="spellStart"/>
            <w:r w:rsidRPr="00532128">
              <w:rPr>
                <w:rFonts w:eastAsia="MS Mincho" w:cs="Times New Roman"/>
                <w:i/>
                <w:color w:val="auto"/>
                <w:sz w:val="20"/>
              </w:rPr>
              <w:t>teleopieki</w:t>
            </w:r>
            <w:proofErr w:type="spellEnd"/>
          </w:p>
        </w:tc>
      </w:tr>
      <w:tr w:rsidR="0092226B" w:rsidRPr="0092226B" w14:paraId="4A9B356A"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205394BD" w14:textId="77777777" w:rsidR="00311D18" w:rsidRPr="0092226B" w:rsidRDefault="00311D18" w:rsidP="003C1988">
            <w:pPr>
              <w:rPr>
                <w:rFonts w:cs="Times New Roman"/>
                <w:color w:val="FF0000"/>
                <w:sz w:val="20"/>
              </w:rPr>
            </w:pPr>
          </w:p>
        </w:tc>
        <w:tc>
          <w:tcPr>
            <w:tcW w:w="3594" w:type="dxa"/>
            <w:vMerge/>
          </w:tcPr>
          <w:p w14:paraId="417DCEDB"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12758A3E"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42452877"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722E430E" w14:textId="4C5E9C17" w:rsidR="00BC74B2" w:rsidRPr="00532128" w:rsidRDefault="00003231" w:rsidP="00003231">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cs="Times New Roman"/>
                <w:color w:val="auto"/>
                <w:sz w:val="20"/>
                <w:szCs w:val="20"/>
              </w:rPr>
              <w:t>1. </w:t>
            </w:r>
            <w:r w:rsidR="00BC74B2" w:rsidRPr="00532128">
              <w:rPr>
                <w:rFonts w:cs="Times New Roman"/>
                <w:color w:val="auto"/>
                <w:sz w:val="20"/>
                <w:szCs w:val="20"/>
              </w:rPr>
              <w:t xml:space="preserve">Rozszerzenie katalogu podmiotów pełniących funkcję punktów potwierdzających profil zaufany, który jest istotny w procesie dostępu do Internetowego Konta Pacjenta. </w:t>
            </w:r>
          </w:p>
          <w:p w14:paraId="73CF6A84" w14:textId="0DABEB60" w:rsidR="00BC74B2" w:rsidRPr="00532128" w:rsidRDefault="00003231" w:rsidP="00003231">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cs="Times New Roman"/>
                <w:color w:val="auto"/>
                <w:sz w:val="20"/>
                <w:szCs w:val="20"/>
              </w:rPr>
              <w:t>2. </w:t>
            </w:r>
            <w:r w:rsidR="00BC74B2" w:rsidRPr="00532128">
              <w:rPr>
                <w:rFonts w:cs="Times New Roman"/>
                <w:color w:val="auto"/>
                <w:sz w:val="20"/>
                <w:szCs w:val="20"/>
              </w:rPr>
              <w:t>Wprowadzenie nowych funkcjonalności  IKP.</w:t>
            </w:r>
          </w:p>
          <w:p w14:paraId="6F93926A" w14:textId="77777777" w:rsidR="00003231" w:rsidRDefault="00003231" w:rsidP="00003231">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cs="Times New Roman"/>
                <w:color w:val="auto"/>
                <w:sz w:val="20"/>
                <w:szCs w:val="20"/>
              </w:rPr>
              <w:t>3. </w:t>
            </w:r>
            <w:r w:rsidR="00BC74B2" w:rsidRPr="00532128">
              <w:rPr>
                <w:rFonts w:cs="Times New Roman"/>
                <w:color w:val="auto"/>
                <w:sz w:val="20"/>
                <w:szCs w:val="20"/>
              </w:rPr>
              <w:t>Rozwój powszechnych usług cyfrowych w ochronie zdrowia. Ministerstwo Zdrowia wdraża nowoczesne e-usługi w sektorze ochrony zdrowia, które stanowią</w:t>
            </w:r>
            <w:r>
              <w:rPr>
                <w:rFonts w:cs="Times New Roman"/>
                <w:color w:val="auto"/>
                <w:sz w:val="20"/>
                <w:szCs w:val="20"/>
              </w:rPr>
              <w:t xml:space="preserve"> odpowiedź także na postulaty i potrzeby seniorów, w tym: </w:t>
            </w:r>
          </w:p>
          <w:p w14:paraId="77A83F35" w14:textId="0F63EF43" w:rsidR="00BC74B2" w:rsidRPr="00532128" w:rsidRDefault="00003231" w:rsidP="00003231">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eastAsia="MS Mincho" w:cs="Times New Roman"/>
                <w:bCs/>
                <w:color w:val="auto"/>
                <w:sz w:val="20"/>
              </w:rPr>
              <w:t>• </w:t>
            </w:r>
            <w:r w:rsidR="00BC74B2" w:rsidRPr="00532128">
              <w:rPr>
                <w:rFonts w:cs="Times New Roman"/>
                <w:color w:val="auto"/>
                <w:sz w:val="20"/>
                <w:szCs w:val="20"/>
              </w:rPr>
              <w:t xml:space="preserve">e-receptę (od 8 stycznia 2020 r. wystawianie recept w postaci elektronicznej jest obowiązkowe) oraz </w:t>
            </w:r>
          </w:p>
          <w:p w14:paraId="0C8DD12A" w14:textId="2C6DC4BF" w:rsidR="00BC74B2" w:rsidRPr="00532128" w:rsidRDefault="00003231" w:rsidP="00003231">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eastAsia="MS Mincho" w:cs="Times New Roman"/>
                <w:bCs/>
                <w:color w:val="auto"/>
                <w:sz w:val="20"/>
              </w:rPr>
              <w:t>• </w:t>
            </w:r>
            <w:r w:rsidR="00BC74B2" w:rsidRPr="00532128">
              <w:rPr>
                <w:rFonts w:cs="Times New Roman"/>
                <w:color w:val="auto"/>
                <w:sz w:val="20"/>
                <w:szCs w:val="20"/>
              </w:rPr>
              <w:t xml:space="preserve">e-skierowanie (elektroniczna forma realizacji skierowania na wybrane świadczenia zaczęła obowiązywać od 8 stycznia 2021 r.). </w:t>
            </w:r>
          </w:p>
          <w:p w14:paraId="379DE3F1" w14:textId="30BC2D93" w:rsidR="00BC74B2" w:rsidRPr="00532128" w:rsidRDefault="00003231" w:rsidP="00003231">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cs="Times New Roman"/>
                <w:color w:val="auto"/>
                <w:sz w:val="20"/>
                <w:szCs w:val="20"/>
              </w:rPr>
              <w:t>4. </w:t>
            </w:r>
            <w:r w:rsidR="00BC74B2" w:rsidRPr="00532128">
              <w:rPr>
                <w:rFonts w:cs="Times New Roman"/>
                <w:color w:val="auto"/>
                <w:sz w:val="20"/>
                <w:szCs w:val="20"/>
              </w:rPr>
              <w:t>Poszerzanie katalogu Elektroni</w:t>
            </w:r>
            <w:r>
              <w:rPr>
                <w:rFonts w:cs="Times New Roman"/>
                <w:color w:val="auto"/>
                <w:sz w:val="20"/>
                <w:szCs w:val="20"/>
              </w:rPr>
              <w:t>cznej Dokumentacji Medycznej. Z </w:t>
            </w:r>
            <w:r w:rsidR="00BC74B2" w:rsidRPr="00532128">
              <w:rPr>
                <w:rFonts w:cs="Times New Roman"/>
                <w:color w:val="auto"/>
                <w:sz w:val="20"/>
                <w:szCs w:val="20"/>
              </w:rPr>
              <w:t xml:space="preserve">dniem 25.04.2020 r. wszedł w życie obowiązek prowadzenia kolejnego dokumentu w postaci Elektronicznej Dokumentacji Medycznej – opisu badań diagnostycznych. </w:t>
            </w:r>
          </w:p>
          <w:p w14:paraId="3F3E6A6B" w14:textId="04606050" w:rsidR="00BC74B2" w:rsidRPr="00532128" w:rsidRDefault="00003231" w:rsidP="00003231">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cs="Times New Roman"/>
                <w:color w:val="auto"/>
                <w:sz w:val="20"/>
                <w:szCs w:val="20"/>
              </w:rPr>
              <w:t>5. </w:t>
            </w:r>
            <w:r w:rsidR="00BC74B2" w:rsidRPr="00532128">
              <w:rPr>
                <w:rFonts w:cs="Times New Roman"/>
                <w:color w:val="auto"/>
                <w:sz w:val="20"/>
                <w:szCs w:val="20"/>
              </w:rPr>
              <w:t xml:space="preserve">Aktualnie prowadzone są prace mające na celu zmianę przepisów  regulujących kwestię wystawiania recept 75 plus. </w:t>
            </w:r>
          </w:p>
          <w:p w14:paraId="58856ADA" w14:textId="31564FCE" w:rsidR="00BC74B2" w:rsidRPr="00532128" w:rsidRDefault="00BC74B2" w:rsidP="00003231">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32128">
              <w:rPr>
                <w:rFonts w:cs="Times New Roman"/>
                <w:color w:val="auto"/>
                <w:sz w:val="20"/>
                <w:szCs w:val="20"/>
              </w:rPr>
              <w:t xml:space="preserve">Obecnie prawo pacjenta do otrzymania recepty 75 plus uzależnione jest od wyrażenia zgody przez pacjenta na  dostęp konkretnego pracownika medycznego </w:t>
            </w:r>
            <w:r w:rsidR="00003231">
              <w:rPr>
                <w:rFonts w:cs="Times New Roman"/>
                <w:color w:val="auto"/>
                <w:sz w:val="20"/>
                <w:szCs w:val="20"/>
              </w:rPr>
              <w:t>do jego danych, zgromadzonych w </w:t>
            </w:r>
            <w:r w:rsidRPr="00532128">
              <w:rPr>
                <w:rFonts w:cs="Times New Roman"/>
                <w:color w:val="auto"/>
                <w:sz w:val="20"/>
                <w:szCs w:val="20"/>
              </w:rPr>
              <w:t>Systemie e-Zdrowie – wiąże się to z koniecznością posiadania przez pacjenta Internetowego</w:t>
            </w:r>
            <w:r w:rsidR="00003231">
              <w:rPr>
                <w:rFonts w:cs="Times New Roman"/>
                <w:color w:val="auto"/>
                <w:sz w:val="20"/>
                <w:szCs w:val="20"/>
              </w:rPr>
              <w:t xml:space="preserve"> Konta Pacjenta (IKP). Mając na </w:t>
            </w:r>
            <w:r w:rsidRPr="00532128">
              <w:rPr>
                <w:rFonts w:cs="Times New Roman"/>
                <w:color w:val="auto"/>
                <w:sz w:val="20"/>
                <w:szCs w:val="20"/>
              </w:rPr>
              <w:t xml:space="preserve">uwadze m.in. ułatwienie dostępu do ww. recept, obecnie prowadzone są prace w  celu zmiany przepisów regulujących kwestię ich wystawiania. Propozycja zmiany przepisów, która jest </w:t>
            </w:r>
            <w:r w:rsidRPr="00532128">
              <w:rPr>
                <w:rFonts w:cs="Times New Roman"/>
                <w:color w:val="auto"/>
                <w:sz w:val="20"/>
                <w:szCs w:val="20"/>
              </w:rPr>
              <w:lastRenderedPageBreak/>
              <w:t>procedowana, polega na prz</w:t>
            </w:r>
            <w:r w:rsidR="00003231">
              <w:rPr>
                <w:rFonts w:cs="Times New Roman"/>
                <w:color w:val="auto"/>
                <w:sz w:val="20"/>
                <w:szCs w:val="20"/>
              </w:rPr>
              <w:t>yznaniu osobom uprawionym do </w:t>
            </w:r>
            <w:r w:rsidRPr="00532128">
              <w:rPr>
                <w:rFonts w:cs="Times New Roman"/>
                <w:color w:val="auto"/>
                <w:sz w:val="20"/>
                <w:szCs w:val="20"/>
              </w:rPr>
              <w:t>wystawiania recept dla pacjentów 75+ prawa do automatycznego dostępu do danych o wystawionyc</w:t>
            </w:r>
            <w:r w:rsidR="00003231">
              <w:rPr>
                <w:rFonts w:cs="Times New Roman"/>
                <w:color w:val="auto"/>
                <w:sz w:val="20"/>
                <w:szCs w:val="20"/>
              </w:rPr>
              <w:t>h receptach, analogicznie jak w </w:t>
            </w:r>
            <w:r w:rsidRPr="00532128">
              <w:rPr>
                <w:rFonts w:cs="Times New Roman"/>
                <w:color w:val="auto"/>
                <w:sz w:val="20"/>
                <w:szCs w:val="20"/>
              </w:rPr>
              <w:t>przypadku lekarzy zatrudnionych w podstawowej opiece zdrowotnej.</w:t>
            </w:r>
          </w:p>
          <w:p w14:paraId="11612130" w14:textId="1A8EAA28" w:rsidR="00BC74B2" w:rsidRPr="00532128" w:rsidRDefault="00003231" w:rsidP="00BC74B2">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cs="Times New Roman"/>
                <w:color w:val="auto"/>
                <w:sz w:val="20"/>
                <w:szCs w:val="20"/>
              </w:rPr>
              <w:t>6. </w:t>
            </w:r>
            <w:r w:rsidR="00BC74B2" w:rsidRPr="00532128">
              <w:rPr>
                <w:rFonts w:cs="Times New Roman"/>
                <w:color w:val="auto"/>
                <w:sz w:val="20"/>
                <w:szCs w:val="20"/>
              </w:rPr>
              <w:t>Projekt Dostępność Plus dla Zdrowia</w:t>
            </w:r>
          </w:p>
          <w:p w14:paraId="5642E8CE" w14:textId="514F89AF" w:rsidR="00BC74B2" w:rsidRPr="00532128" w:rsidRDefault="00BC74B2" w:rsidP="00BC74B2">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32128">
              <w:rPr>
                <w:rFonts w:cs="Times New Roman"/>
                <w:color w:val="auto"/>
                <w:sz w:val="20"/>
                <w:szCs w:val="20"/>
              </w:rPr>
              <w:t>Od stycznia 2019 r. Ministerstwo Zdrowia realizuje projekt Dostępność Plus dla zdrowia -  wdrażany w ramach POWER na lata 2014-2020, przy współfinansowaniu ze środków EFS. Do stycznia 2021 r. przeprowadzono 52</w:t>
            </w:r>
            <w:r w:rsidR="00003231">
              <w:rPr>
                <w:rFonts w:cs="Times New Roman"/>
                <w:color w:val="auto"/>
                <w:sz w:val="20"/>
                <w:szCs w:val="20"/>
              </w:rPr>
              <w:t xml:space="preserve"> audyty dostępności POZ oraz 18 </w:t>
            </w:r>
            <w:r w:rsidRPr="00532128">
              <w:rPr>
                <w:rFonts w:cs="Times New Roman"/>
                <w:color w:val="auto"/>
                <w:sz w:val="20"/>
                <w:szCs w:val="20"/>
              </w:rPr>
              <w:t>szpitali, które przeszły pozytywnie I etap oceny.</w:t>
            </w:r>
          </w:p>
          <w:p w14:paraId="5FEA13C8" w14:textId="66A924C1" w:rsidR="00BC74B2" w:rsidRPr="00532128" w:rsidRDefault="00003231" w:rsidP="00BC74B2">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cs="Times New Roman"/>
                <w:color w:val="auto"/>
                <w:sz w:val="20"/>
                <w:szCs w:val="20"/>
              </w:rPr>
              <w:t>7. </w:t>
            </w:r>
            <w:r w:rsidR="00BC74B2" w:rsidRPr="00532128">
              <w:rPr>
                <w:rFonts w:cs="Times New Roman"/>
                <w:color w:val="auto"/>
                <w:sz w:val="20"/>
                <w:szCs w:val="20"/>
              </w:rPr>
              <w:t xml:space="preserve">Ministerstwo Zdrowia w maju 2020 r. rozpoczęło wdrażanie projektu „Ograniczanie społecznych nierówności w zdrowiu poprzez stosowanie rozwiązań </w:t>
            </w:r>
            <w:proofErr w:type="spellStart"/>
            <w:r w:rsidR="00BC74B2" w:rsidRPr="00532128">
              <w:rPr>
                <w:rFonts w:cs="Times New Roman"/>
                <w:color w:val="auto"/>
                <w:sz w:val="20"/>
                <w:szCs w:val="20"/>
              </w:rPr>
              <w:t>telemedycyny</w:t>
            </w:r>
            <w:proofErr w:type="spellEnd"/>
            <w:r w:rsidR="00BC74B2" w:rsidRPr="00532128">
              <w:rPr>
                <w:rFonts w:cs="Times New Roman"/>
                <w:color w:val="auto"/>
                <w:sz w:val="20"/>
                <w:szCs w:val="20"/>
              </w:rPr>
              <w:t xml:space="preserve"> i e-zdrowia” w ramach Norweskiego Mechanizmu Finansowego 2014-2021. Wynikiem projektu będzie wypracowanie rekomendacji dotyczących możliwości finansowania ze środków publicznych najbardziej efektywnych kosztowo świadczeń </w:t>
            </w:r>
            <w:proofErr w:type="spellStart"/>
            <w:r w:rsidR="00BC74B2" w:rsidRPr="00532128">
              <w:rPr>
                <w:rFonts w:cs="Times New Roman"/>
                <w:color w:val="auto"/>
                <w:sz w:val="20"/>
                <w:szCs w:val="20"/>
              </w:rPr>
              <w:t>telemedycznych</w:t>
            </w:r>
            <w:proofErr w:type="spellEnd"/>
            <w:r w:rsidR="00BC74B2" w:rsidRPr="00532128">
              <w:rPr>
                <w:rFonts w:cs="Times New Roman"/>
                <w:color w:val="auto"/>
                <w:sz w:val="20"/>
                <w:szCs w:val="20"/>
              </w:rPr>
              <w:t xml:space="preserve">. </w:t>
            </w:r>
          </w:p>
          <w:p w14:paraId="3205BD8B" w14:textId="17A8A910" w:rsidR="00BC74B2" w:rsidRPr="00532128" w:rsidRDefault="00003231" w:rsidP="00BC74B2">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cs="Times New Roman"/>
                <w:color w:val="auto"/>
                <w:sz w:val="20"/>
                <w:szCs w:val="20"/>
              </w:rPr>
              <w:t>8. </w:t>
            </w:r>
            <w:r w:rsidR="00BC74B2" w:rsidRPr="00532128">
              <w:rPr>
                <w:rFonts w:cs="Times New Roman"/>
                <w:color w:val="auto"/>
                <w:sz w:val="20"/>
                <w:szCs w:val="20"/>
              </w:rPr>
              <w:t>Do działań skierowanych do osób starszych zaliczyć można także rozszerzenie funkcjonalności Projektu e-zdrowie (P1) o</w:t>
            </w:r>
            <w:r>
              <w:rPr>
                <w:rFonts w:cs="Times New Roman"/>
                <w:color w:val="auto"/>
                <w:sz w:val="20"/>
                <w:szCs w:val="20"/>
              </w:rPr>
              <w:t>:</w:t>
            </w:r>
            <w:r w:rsidR="00BC74B2" w:rsidRPr="00532128">
              <w:rPr>
                <w:rFonts w:cs="Times New Roman"/>
                <w:color w:val="auto"/>
                <w:sz w:val="20"/>
                <w:szCs w:val="20"/>
              </w:rPr>
              <w:t xml:space="preserve"> </w:t>
            </w:r>
          </w:p>
          <w:p w14:paraId="214547D4" w14:textId="785A16CB" w:rsidR="00BC74B2" w:rsidRPr="00532128" w:rsidRDefault="00003231" w:rsidP="00BC74B2">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eastAsia="MS Mincho" w:cs="Times New Roman"/>
                <w:bCs/>
                <w:color w:val="auto"/>
                <w:sz w:val="20"/>
              </w:rPr>
              <w:t>• </w:t>
            </w:r>
            <w:r w:rsidR="00BC74B2" w:rsidRPr="00532128">
              <w:rPr>
                <w:rFonts w:cs="Times New Roman"/>
                <w:color w:val="auto"/>
                <w:sz w:val="20"/>
                <w:szCs w:val="20"/>
              </w:rPr>
              <w:t xml:space="preserve">centralną elektroniczną rejestrację na wybrane świadczenia (w przygotowaniu), </w:t>
            </w:r>
          </w:p>
          <w:p w14:paraId="79E14AAE" w14:textId="5470C92C" w:rsidR="00BC74B2" w:rsidRPr="00532128" w:rsidRDefault="00003231" w:rsidP="00BC74B2">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eastAsia="MS Mincho" w:cs="Times New Roman"/>
                <w:bCs/>
                <w:color w:val="auto"/>
                <w:sz w:val="20"/>
              </w:rPr>
              <w:t xml:space="preserve">• </w:t>
            </w:r>
            <w:r w:rsidR="00BC74B2" w:rsidRPr="00532128">
              <w:rPr>
                <w:rFonts w:cs="Times New Roman"/>
                <w:color w:val="auto"/>
                <w:sz w:val="20"/>
                <w:szCs w:val="20"/>
              </w:rPr>
              <w:t>usługę e-wizyty oraz</w:t>
            </w:r>
          </w:p>
          <w:p w14:paraId="52FAFE07" w14:textId="0FFD5F0D" w:rsidR="00BC74B2" w:rsidRPr="00532128" w:rsidRDefault="00003231" w:rsidP="00BC74B2">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eastAsia="MS Mincho" w:cs="Times New Roman"/>
                <w:bCs/>
                <w:color w:val="auto"/>
                <w:sz w:val="20"/>
              </w:rPr>
              <w:t>• </w:t>
            </w:r>
            <w:r w:rsidR="00BC74B2" w:rsidRPr="00532128">
              <w:rPr>
                <w:rFonts w:cs="Times New Roman"/>
                <w:color w:val="auto"/>
                <w:sz w:val="20"/>
                <w:szCs w:val="20"/>
              </w:rPr>
              <w:t xml:space="preserve">możliwość zamówienia e-recepty. </w:t>
            </w:r>
          </w:p>
          <w:p w14:paraId="01F04676" w14:textId="77777777" w:rsidR="00BC74B2" w:rsidRPr="00532128" w:rsidRDefault="00BC74B2" w:rsidP="00BC74B2">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532128">
              <w:rPr>
                <w:rFonts w:cs="Times New Roman"/>
                <w:color w:val="auto"/>
                <w:sz w:val="20"/>
                <w:szCs w:val="20"/>
              </w:rPr>
              <w:t xml:space="preserve">Wdrożenie tych usług jest przewidziane do końca 2021 r. Rozwiązania te przyczynią się do bardziej efektywnego udzielania świadczeń zdrowotnych, poprawy ich jakości, dostępności, również w zakresie subpopulacji osób starszych. </w:t>
            </w:r>
          </w:p>
          <w:p w14:paraId="79CBD044" w14:textId="35897266" w:rsidR="00BC74B2" w:rsidRPr="00532128" w:rsidRDefault="00003231" w:rsidP="00BC74B2">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cs="Times New Roman"/>
                <w:color w:val="auto"/>
                <w:sz w:val="20"/>
                <w:szCs w:val="20"/>
              </w:rPr>
              <w:t>9. </w:t>
            </w:r>
            <w:r w:rsidR="00BC74B2" w:rsidRPr="00532128">
              <w:rPr>
                <w:rFonts w:cs="Times New Roman"/>
                <w:color w:val="auto"/>
                <w:sz w:val="20"/>
                <w:szCs w:val="20"/>
              </w:rPr>
              <w:t xml:space="preserve">W 2020 r., w odpowiedzi na sytuację epidemiologiczną, udostępniono system do </w:t>
            </w:r>
            <w:proofErr w:type="spellStart"/>
            <w:r w:rsidR="00BC74B2" w:rsidRPr="00532128">
              <w:rPr>
                <w:rFonts w:cs="Times New Roman"/>
                <w:color w:val="auto"/>
                <w:sz w:val="20"/>
                <w:szCs w:val="20"/>
              </w:rPr>
              <w:t>Telekonsultacji</w:t>
            </w:r>
            <w:proofErr w:type="spellEnd"/>
            <w:r w:rsidR="00BC74B2" w:rsidRPr="00532128">
              <w:rPr>
                <w:rFonts w:cs="Times New Roman"/>
                <w:color w:val="auto"/>
                <w:sz w:val="20"/>
                <w:szCs w:val="20"/>
              </w:rPr>
              <w:t xml:space="preserve">, który umożliwił świadczenie </w:t>
            </w:r>
            <w:proofErr w:type="spellStart"/>
            <w:r w:rsidR="00BC74B2" w:rsidRPr="00532128">
              <w:rPr>
                <w:rFonts w:cs="Times New Roman"/>
                <w:color w:val="auto"/>
                <w:sz w:val="20"/>
                <w:szCs w:val="20"/>
              </w:rPr>
              <w:t>teleporad</w:t>
            </w:r>
            <w:proofErr w:type="spellEnd"/>
            <w:r w:rsidR="00BC74B2" w:rsidRPr="00532128">
              <w:rPr>
                <w:rFonts w:cs="Times New Roman"/>
                <w:color w:val="auto"/>
                <w:sz w:val="20"/>
                <w:szCs w:val="20"/>
              </w:rPr>
              <w:t xml:space="preserve"> dla pacjentów, którzy z powodu </w:t>
            </w:r>
            <w:proofErr w:type="spellStart"/>
            <w:r w:rsidR="00BC74B2" w:rsidRPr="00532128">
              <w:rPr>
                <w:rFonts w:cs="Times New Roman"/>
                <w:color w:val="auto"/>
                <w:sz w:val="20"/>
                <w:szCs w:val="20"/>
              </w:rPr>
              <w:t>koronawirusa</w:t>
            </w:r>
            <w:proofErr w:type="spellEnd"/>
            <w:r w:rsidR="00BC74B2" w:rsidRPr="00532128">
              <w:rPr>
                <w:rFonts w:cs="Times New Roman"/>
                <w:color w:val="auto"/>
                <w:sz w:val="20"/>
                <w:szCs w:val="20"/>
              </w:rPr>
              <w:t xml:space="preserve"> mieli ograniczony dostęp do świadczeń lub podlegali kwarantannie (wideo połączenie, wysyłanie powiadomień poprzez </w:t>
            </w:r>
            <w:proofErr w:type="spellStart"/>
            <w:r w:rsidR="00BC74B2" w:rsidRPr="00532128">
              <w:rPr>
                <w:rFonts w:cs="Times New Roman"/>
                <w:color w:val="auto"/>
                <w:sz w:val="20"/>
                <w:szCs w:val="20"/>
              </w:rPr>
              <w:t>sms-y</w:t>
            </w:r>
            <w:proofErr w:type="spellEnd"/>
            <w:r w:rsidR="00BC74B2" w:rsidRPr="00532128">
              <w:rPr>
                <w:rFonts w:cs="Times New Roman"/>
                <w:color w:val="auto"/>
                <w:sz w:val="20"/>
                <w:szCs w:val="20"/>
              </w:rPr>
              <w:t xml:space="preserve"> i e-mail, utrzymanie systemu). </w:t>
            </w:r>
          </w:p>
          <w:p w14:paraId="1B01B1C6" w14:textId="18B28114" w:rsidR="00BC74B2" w:rsidRPr="00532128" w:rsidRDefault="00003231" w:rsidP="00BC74B2">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Pr>
                <w:rFonts w:cs="Times New Roman"/>
                <w:color w:val="auto"/>
                <w:sz w:val="20"/>
                <w:szCs w:val="20"/>
              </w:rPr>
              <w:t>10. </w:t>
            </w:r>
            <w:r w:rsidR="00BC74B2" w:rsidRPr="00532128">
              <w:rPr>
                <w:rFonts w:cs="Times New Roman"/>
                <w:color w:val="auto"/>
                <w:sz w:val="20"/>
                <w:szCs w:val="20"/>
              </w:rPr>
              <w:t xml:space="preserve">W 2020 r. trwały także prace nad zbudowaniem aplikacji mobilnej IKP, która m.in. umożliwi szybszy dostęp do e-recept </w:t>
            </w:r>
            <w:r>
              <w:rPr>
                <w:rFonts w:cs="Times New Roman"/>
                <w:color w:val="auto"/>
                <w:sz w:val="20"/>
                <w:szCs w:val="20"/>
              </w:rPr>
              <w:t xml:space="preserve">                </w:t>
            </w:r>
            <w:r w:rsidR="00BC74B2" w:rsidRPr="00532128">
              <w:rPr>
                <w:rFonts w:cs="Times New Roman"/>
                <w:color w:val="auto"/>
                <w:sz w:val="20"/>
                <w:szCs w:val="20"/>
              </w:rPr>
              <w:t xml:space="preserve">i e-skierowań. </w:t>
            </w:r>
          </w:p>
          <w:p w14:paraId="46FAC491" w14:textId="77777777" w:rsidR="00003231" w:rsidRDefault="00003231" w:rsidP="00BC74B2">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p>
          <w:p w14:paraId="2B0DC715" w14:textId="000D1A7E" w:rsidR="00311D18" w:rsidRPr="00532128" w:rsidRDefault="00BC74B2" w:rsidP="00BC74B2">
            <w:pPr>
              <w:spacing w:line="240" w:lineRule="auto"/>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r w:rsidRPr="00532128">
              <w:rPr>
                <w:rFonts w:cs="Times New Roman"/>
                <w:color w:val="auto"/>
                <w:sz w:val="20"/>
                <w:szCs w:val="20"/>
              </w:rPr>
              <w:lastRenderedPageBreak/>
              <w:t>Centrum e-Zdrowia prowadziło s</w:t>
            </w:r>
            <w:r w:rsidR="00003231">
              <w:rPr>
                <w:rFonts w:cs="Times New Roman"/>
                <w:color w:val="auto"/>
                <w:sz w:val="20"/>
                <w:szCs w:val="20"/>
              </w:rPr>
              <w:t>zereg działań informacyjnych na </w:t>
            </w:r>
            <w:r w:rsidRPr="00532128">
              <w:rPr>
                <w:rFonts w:cs="Times New Roman"/>
                <w:color w:val="auto"/>
                <w:sz w:val="20"/>
                <w:szCs w:val="20"/>
              </w:rPr>
              <w:t>rzecz upowszechniania e-usług w ochronie zdrowia wśród osób starszych. Działania te objęły m.in. kampanie informacyjno-edukacyjne realizowane w med</w:t>
            </w:r>
            <w:r w:rsidR="00003231">
              <w:rPr>
                <w:rFonts w:cs="Times New Roman"/>
                <w:color w:val="auto"/>
                <w:sz w:val="20"/>
                <w:szCs w:val="20"/>
              </w:rPr>
              <w:t>iach o zasięgu ogólnopolskim. Z </w:t>
            </w:r>
            <w:r w:rsidRPr="00532128">
              <w:rPr>
                <w:rFonts w:cs="Times New Roman"/>
                <w:color w:val="auto"/>
                <w:sz w:val="20"/>
                <w:szCs w:val="20"/>
              </w:rPr>
              <w:t xml:space="preserve">myślą o seniorach został przygotowany m.in. spot edukacyjny „Rowerek” zawierający informacje o tym, że e-skierowanie można zarejestrować telefonicznie, a na wizytę nie trzeba się udawać już osobiście, bo można skorzystać z e-wizyty. Równolegle do kampanii w telewizji uruchomiona była kampania w stacjach radiowych. Emisja wątków informacyjno-edukacyjnych nt. Projektu e-zdrowie (P1) pojawiła się też w najpopularniejszych serialach telewizyjnych TVP. Ponadto przeprowadzono działania w prasie ogólnopolskiej. Równolegle do kampanii w mediach </w:t>
            </w:r>
            <w:proofErr w:type="spellStart"/>
            <w:r w:rsidRPr="00532128">
              <w:rPr>
                <w:rFonts w:cs="Times New Roman"/>
                <w:color w:val="auto"/>
                <w:sz w:val="20"/>
                <w:szCs w:val="20"/>
              </w:rPr>
              <w:t>CeZ</w:t>
            </w:r>
            <w:proofErr w:type="spellEnd"/>
            <w:r w:rsidRPr="00532128">
              <w:rPr>
                <w:rFonts w:cs="Times New Roman"/>
                <w:color w:val="auto"/>
                <w:sz w:val="20"/>
                <w:szCs w:val="20"/>
              </w:rPr>
              <w:t xml:space="preserve"> na bieżąco współpracuje z Ogólnopolską Federacją Stowarzyszeń Uniwersytetów Trzeciego Wieku przy opracowywaniu materiałów dla s</w:t>
            </w:r>
            <w:r w:rsidR="00003231">
              <w:rPr>
                <w:rFonts w:cs="Times New Roman"/>
                <w:color w:val="auto"/>
                <w:sz w:val="20"/>
                <w:szCs w:val="20"/>
              </w:rPr>
              <w:t>eniorów, m.in. </w:t>
            </w:r>
            <w:r w:rsidRPr="00532128">
              <w:rPr>
                <w:rFonts w:cs="Times New Roman"/>
                <w:color w:val="auto"/>
                <w:sz w:val="20"/>
                <w:szCs w:val="20"/>
              </w:rPr>
              <w:t>artykuły o  e-wizycie czy reklamy o możliwości sprawdzenia wyniku testów na COVID-19 z poziomu IKP.</w:t>
            </w:r>
          </w:p>
        </w:tc>
      </w:tr>
      <w:tr w:rsidR="0092226B" w:rsidRPr="0092226B" w14:paraId="66063BF3"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3F5CF39B" w14:textId="77777777" w:rsidR="00311D18" w:rsidRPr="0092226B" w:rsidRDefault="00311D18" w:rsidP="003C1988">
            <w:pPr>
              <w:rPr>
                <w:rFonts w:cs="Times New Roman"/>
                <w:color w:val="FF0000"/>
                <w:sz w:val="20"/>
              </w:rPr>
            </w:pPr>
          </w:p>
        </w:tc>
        <w:tc>
          <w:tcPr>
            <w:tcW w:w="3594" w:type="dxa"/>
            <w:vMerge w:val="restart"/>
          </w:tcPr>
          <w:p w14:paraId="6BFA61D0"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Ułatwienie dostępu do materiałów </w:t>
            </w:r>
            <w:r w:rsidRPr="00532128">
              <w:rPr>
                <w:rFonts w:ascii="Times New Roman" w:eastAsia="MS Mincho" w:hAnsi="Times New Roman"/>
                <w:color w:val="auto"/>
                <w:sz w:val="20"/>
              </w:rPr>
              <w:br/>
              <w:t>i sprzętu oraz świadczeń opieki zdrowotnej, wyrobów medycznych rekompensujących utraconą sprawność</w:t>
            </w:r>
          </w:p>
        </w:tc>
        <w:tc>
          <w:tcPr>
            <w:tcW w:w="2032" w:type="dxa"/>
            <w:vMerge w:val="restart"/>
          </w:tcPr>
          <w:p w14:paraId="7F8766F7"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p w14:paraId="0885FC0F" w14:textId="254E0C23" w:rsidR="00311D18" w:rsidRPr="00532128" w:rsidRDefault="00081C36"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t>Ministerstwo Rozwoju i Technologii</w:t>
            </w:r>
          </w:p>
        </w:tc>
        <w:tc>
          <w:tcPr>
            <w:tcW w:w="1500" w:type="dxa"/>
            <w:vMerge w:val="restart"/>
          </w:tcPr>
          <w:p w14:paraId="17237556"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2018-2020</w:t>
            </w:r>
          </w:p>
        </w:tc>
        <w:tc>
          <w:tcPr>
            <w:tcW w:w="5638" w:type="dxa"/>
          </w:tcPr>
          <w:p w14:paraId="46592C53" w14:textId="1868ED7E" w:rsidR="00311D18" w:rsidRPr="00532128" w:rsidRDefault="00F81CD9" w:rsidP="00A94926">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szCs w:val="20"/>
              </w:rPr>
            </w:pPr>
            <w:r w:rsidRPr="00532128">
              <w:rPr>
                <w:rFonts w:ascii="Times New Roman" w:eastAsia="MS Mincho" w:hAnsi="Times New Roman"/>
                <w:i/>
                <w:color w:val="auto"/>
                <w:sz w:val="20"/>
                <w:szCs w:val="20"/>
                <w:lang w:eastAsia="en-US"/>
              </w:rPr>
              <w:t>Poziom zaspokojenia potrzeb osó</w:t>
            </w:r>
            <w:r w:rsidR="00003231">
              <w:rPr>
                <w:rFonts w:ascii="Times New Roman" w:eastAsia="MS Mincho" w:hAnsi="Times New Roman"/>
                <w:i/>
                <w:color w:val="auto"/>
                <w:sz w:val="20"/>
                <w:szCs w:val="20"/>
                <w:lang w:eastAsia="en-US"/>
              </w:rPr>
              <w:t>b korzystających z materiałów i </w:t>
            </w:r>
            <w:r w:rsidRPr="00532128">
              <w:rPr>
                <w:rFonts w:ascii="Times New Roman" w:eastAsia="MS Mincho" w:hAnsi="Times New Roman"/>
                <w:i/>
                <w:color w:val="auto"/>
                <w:sz w:val="20"/>
                <w:szCs w:val="20"/>
                <w:lang w:eastAsia="en-US"/>
              </w:rPr>
              <w:t>sprzętu oraz świadczeń opieki zdrowotnej, wyrobów medycznych rekompensujących utraconą sprawność</w:t>
            </w:r>
          </w:p>
        </w:tc>
      </w:tr>
      <w:tr w:rsidR="0092226B" w:rsidRPr="0092226B" w14:paraId="021A4A00" w14:textId="77777777" w:rsidTr="002D4784">
        <w:trPr>
          <w:cnfStyle w:val="000000100000" w:firstRow="0" w:lastRow="0" w:firstColumn="0" w:lastColumn="0" w:oddVBand="0" w:evenVBand="0" w:oddHBand="1" w:evenHBand="0" w:firstRowFirstColumn="0" w:firstRowLastColumn="0" w:lastRowFirstColumn="0" w:lastRowLastColumn="0"/>
          <w:trHeight w:val="2403"/>
        </w:trPr>
        <w:tc>
          <w:tcPr>
            <w:cnfStyle w:val="001000000000" w:firstRow="0" w:lastRow="0" w:firstColumn="1" w:lastColumn="0" w:oddVBand="0" w:evenVBand="0" w:oddHBand="0" w:evenHBand="0" w:firstRowFirstColumn="0" w:firstRowLastColumn="0" w:lastRowFirstColumn="0" w:lastRowLastColumn="0"/>
            <w:tcW w:w="1232" w:type="dxa"/>
            <w:vMerge/>
          </w:tcPr>
          <w:p w14:paraId="1836C447" w14:textId="77777777" w:rsidR="00311D18" w:rsidRPr="0092226B" w:rsidRDefault="00311D18" w:rsidP="003C1988">
            <w:pPr>
              <w:rPr>
                <w:rFonts w:cs="Times New Roman"/>
                <w:color w:val="FF0000"/>
                <w:sz w:val="20"/>
              </w:rPr>
            </w:pPr>
          </w:p>
        </w:tc>
        <w:tc>
          <w:tcPr>
            <w:tcW w:w="3594" w:type="dxa"/>
            <w:vMerge/>
          </w:tcPr>
          <w:p w14:paraId="081499F5"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19630E65"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082BE9A0"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17AE43B1" w14:textId="5DCEE9B9" w:rsidR="00F81CD9" w:rsidRPr="00532128" w:rsidRDefault="00F81CD9" w:rsidP="00F81CD9">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 xml:space="preserve">Rozwiązania wprowadzone w 2020 r. w zakresie wyrobów medycznych wydawanych na zlecenie dotyczyły ułatwienia dostępu do wyrobów medycznych dla pacjentów, w szczególności osób z </w:t>
            </w:r>
            <w:r w:rsidR="00003231">
              <w:rPr>
                <w:rFonts w:eastAsia="MS Mincho" w:cs="Times New Roman"/>
                <w:color w:val="auto"/>
                <w:sz w:val="20"/>
                <w:szCs w:val="20"/>
              </w:rPr>
              <w:t> </w:t>
            </w:r>
            <w:r w:rsidRPr="00532128">
              <w:rPr>
                <w:rFonts w:eastAsia="MS Mincho" w:cs="Times New Roman"/>
                <w:color w:val="auto"/>
                <w:sz w:val="20"/>
                <w:szCs w:val="20"/>
              </w:rPr>
              <w:t>niepełnosprawnościami i osób starszych poprzez wdrożenie obowiązującej od 1 stycznia 2020 r. elektronicznej we</w:t>
            </w:r>
            <w:r w:rsidR="00003231">
              <w:rPr>
                <w:rFonts w:eastAsia="MS Mincho" w:cs="Times New Roman"/>
                <w:color w:val="auto"/>
                <w:sz w:val="20"/>
                <w:szCs w:val="20"/>
              </w:rPr>
              <w:t>ryfikacji i </w:t>
            </w:r>
            <w:r w:rsidRPr="00532128">
              <w:rPr>
                <w:rFonts w:eastAsia="MS Mincho" w:cs="Times New Roman"/>
                <w:color w:val="auto"/>
                <w:sz w:val="20"/>
                <w:szCs w:val="20"/>
              </w:rPr>
              <w:t xml:space="preserve">potwierdzania zleceń na zaopatrzenie w wyroby medyczne </w:t>
            </w:r>
            <w:r w:rsidR="00003231">
              <w:rPr>
                <w:rFonts w:eastAsia="MS Mincho" w:cs="Times New Roman"/>
                <w:color w:val="auto"/>
                <w:sz w:val="20"/>
                <w:szCs w:val="20"/>
              </w:rPr>
              <w:t xml:space="preserve">                 (tzw. </w:t>
            </w:r>
            <w:r w:rsidRPr="00532128">
              <w:rPr>
                <w:rFonts w:eastAsia="MS Mincho" w:cs="Times New Roman"/>
                <w:color w:val="auto"/>
                <w:sz w:val="20"/>
                <w:szCs w:val="20"/>
              </w:rPr>
              <w:t>e-potwierdzenie) niewymagającej,</w:t>
            </w:r>
            <w:r w:rsidR="00003231">
              <w:rPr>
                <w:rFonts w:eastAsia="MS Mincho" w:cs="Times New Roman"/>
                <w:color w:val="auto"/>
                <w:sz w:val="20"/>
                <w:szCs w:val="20"/>
              </w:rPr>
              <w:t xml:space="preserve"> co do zasady, odbycia wizyty w </w:t>
            </w:r>
            <w:r w:rsidRPr="00532128">
              <w:rPr>
                <w:rFonts w:eastAsia="MS Mincho" w:cs="Times New Roman"/>
                <w:color w:val="auto"/>
                <w:sz w:val="20"/>
                <w:szCs w:val="20"/>
              </w:rPr>
              <w:t xml:space="preserve">oddziale NFZ. </w:t>
            </w:r>
          </w:p>
          <w:p w14:paraId="1367A95B" w14:textId="0DF91ECA" w:rsidR="00F81CD9" w:rsidRPr="00532128" w:rsidRDefault="00F81CD9" w:rsidP="00F81CD9">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 xml:space="preserve">Ponadto, w związku z epidemią </w:t>
            </w:r>
            <w:proofErr w:type="spellStart"/>
            <w:r w:rsidRPr="00532128">
              <w:rPr>
                <w:rFonts w:eastAsia="MS Mincho" w:cs="Times New Roman"/>
                <w:color w:val="auto"/>
                <w:sz w:val="20"/>
                <w:szCs w:val="20"/>
              </w:rPr>
              <w:t>koronawirusa</w:t>
            </w:r>
            <w:proofErr w:type="spellEnd"/>
            <w:r w:rsidRPr="00532128">
              <w:rPr>
                <w:rFonts w:eastAsia="MS Mincho" w:cs="Times New Roman"/>
                <w:color w:val="auto"/>
                <w:sz w:val="20"/>
                <w:szCs w:val="20"/>
              </w:rPr>
              <w:t xml:space="preserve"> SARS-CoV-2 w celu minimalizacji ryzyka transmisji infekcji COVID-19 poprzez ograniczanie osobistych kontaktów z pacjentami, umożliwiono wystawienie zlecenia na z</w:t>
            </w:r>
            <w:r w:rsidR="00003231">
              <w:rPr>
                <w:rFonts w:eastAsia="MS Mincho" w:cs="Times New Roman"/>
                <w:color w:val="auto"/>
                <w:sz w:val="20"/>
                <w:szCs w:val="20"/>
              </w:rPr>
              <w:t>aopatrzenie w wyroby medyczne w </w:t>
            </w:r>
            <w:r w:rsidRPr="00532128">
              <w:rPr>
                <w:rFonts w:eastAsia="MS Mincho" w:cs="Times New Roman"/>
                <w:color w:val="auto"/>
                <w:sz w:val="20"/>
                <w:szCs w:val="20"/>
              </w:rPr>
              <w:t xml:space="preserve">ramach </w:t>
            </w:r>
            <w:proofErr w:type="spellStart"/>
            <w:r w:rsidRPr="00532128">
              <w:rPr>
                <w:rFonts w:eastAsia="MS Mincho" w:cs="Times New Roman"/>
                <w:color w:val="auto"/>
                <w:sz w:val="20"/>
                <w:szCs w:val="20"/>
              </w:rPr>
              <w:t>teleporady</w:t>
            </w:r>
            <w:proofErr w:type="spellEnd"/>
            <w:r w:rsidRPr="00532128">
              <w:rPr>
                <w:rFonts w:eastAsia="MS Mincho" w:cs="Times New Roman"/>
                <w:color w:val="auto"/>
                <w:sz w:val="20"/>
                <w:szCs w:val="20"/>
              </w:rPr>
              <w:t>. W zwią</w:t>
            </w:r>
            <w:r w:rsidR="00003231">
              <w:rPr>
                <w:rFonts w:eastAsia="MS Mincho" w:cs="Times New Roman"/>
                <w:color w:val="auto"/>
                <w:sz w:val="20"/>
                <w:szCs w:val="20"/>
              </w:rPr>
              <w:t>zku z pozytywnym przyjęciem ww. </w:t>
            </w:r>
            <w:r w:rsidRPr="00532128">
              <w:rPr>
                <w:rFonts w:eastAsia="MS Mincho" w:cs="Times New Roman"/>
                <w:color w:val="auto"/>
                <w:sz w:val="20"/>
                <w:szCs w:val="20"/>
              </w:rPr>
              <w:t xml:space="preserve">rozwiązań, podjęto prace nad wdrożeniem od 2021 r. tzw. </w:t>
            </w:r>
            <w:r w:rsidR="00003231">
              <w:rPr>
                <w:rFonts w:eastAsia="MS Mincho" w:cs="Times New Roman"/>
                <w:color w:val="auto"/>
                <w:sz w:val="20"/>
                <w:szCs w:val="20"/>
              </w:rPr>
              <w:t xml:space="preserve">                 </w:t>
            </w:r>
            <w:r w:rsidRPr="00532128">
              <w:rPr>
                <w:rFonts w:eastAsia="MS Mincho" w:cs="Times New Roman"/>
                <w:color w:val="auto"/>
                <w:sz w:val="20"/>
                <w:szCs w:val="20"/>
              </w:rPr>
              <w:t>e-zlecenia, stanowiącego kolejny etap procesu informatyzacji sektora ochrony zdrowia.</w:t>
            </w:r>
          </w:p>
          <w:p w14:paraId="39B8D042" w14:textId="0B928F44" w:rsidR="00B06E26" w:rsidRPr="00532128" w:rsidRDefault="00F81CD9" w:rsidP="00F81CD9">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lastRenderedPageBreak/>
              <w:t>Tego typu interwencja jest również realizowana m.in. w projektach współfinansowanych z EFS w Regionalnych Programach Operacyjnych. Działania maj</w:t>
            </w:r>
            <w:r w:rsidR="00003231">
              <w:rPr>
                <w:rFonts w:eastAsia="MS Mincho" w:cs="Times New Roman"/>
                <w:color w:val="auto"/>
                <w:sz w:val="20"/>
                <w:szCs w:val="20"/>
              </w:rPr>
              <w:t>ą na celu ułatwianie dostępu do </w:t>
            </w:r>
            <w:r w:rsidRPr="00532128">
              <w:rPr>
                <w:rFonts w:eastAsia="MS Mincho" w:cs="Times New Roman"/>
                <w:color w:val="auto"/>
                <w:sz w:val="20"/>
                <w:szCs w:val="20"/>
              </w:rPr>
              <w:t>przystępnych cenowo, trwałych</w:t>
            </w:r>
            <w:r w:rsidR="00003231">
              <w:rPr>
                <w:rFonts w:eastAsia="MS Mincho" w:cs="Times New Roman"/>
                <w:color w:val="auto"/>
                <w:sz w:val="20"/>
                <w:szCs w:val="20"/>
              </w:rPr>
              <w:t xml:space="preserve"> oraz wysokiej jakości usług, w </w:t>
            </w:r>
            <w:r w:rsidRPr="00532128">
              <w:rPr>
                <w:rFonts w:eastAsia="MS Mincho" w:cs="Times New Roman"/>
                <w:color w:val="auto"/>
                <w:sz w:val="20"/>
                <w:szCs w:val="20"/>
              </w:rPr>
              <w:t xml:space="preserve">tym opieki zdrowotnej. Przykładami realizowanych działań jest np. świadczenie długoterminowej medycznej opieki domowej nad osobą potrzebującą wsparcia w codziennym funkcjonowaniu, w tym pielęgniarskiej opieki długoterminowej, wsparcie działalności lub tworzenia nowych miejsc opieki medycznej w formach </w:t>
            </w:r>
            <w:proofErr w:type="spellStart"/>
            <w:r w:rsidRPr="00532128">
              <w:rPr>
                <w:rFonts w:eastAsia="MS Mincho" w:cs="Times New Roman"/>
                <w:color w:val="auto"/>
                <w:sz w:val="20"/>
                <w:szCs w:val="20"/>
              </w:rPr>
              <w:t>zdeinstytucjonalizowanych</w:t>
            </w:r>
            <w:proofErr w:type="spellEnd"/>
            <w:r w:rsidRPr="00532128">
              <w:rPr>
                <w:rFonts w:eastAsia="MS Mincho" w:cs="Times New Roman"/>
                <w:color w:val="auto"/>
                <w:sz w:val="20"/>
                <w:szCs w:val="20"/>
              </w:rPr>
              <w:t xml:space="preserve"> oraz przygotowania i tworzenia wypożyczalni sprzętu rehab</w:t>
            </w:r>
            <w:r w:rsidR="00003231">
              <w:rPr>
                <w:rFonts w:eastAsia="MS Mincho" w:cs="Times New Roman"/>
                <w:color w:val="auto"/>
                <w:sz w:val="20"/>
                <w:szCs w:val="20"/>
              </w:rPr>
              <w:t>ilitacyjnego, pielęgnacyjnego i </w:t>
            </w:r>
            <w:r w:rsidRPr="00532128">
              <w:rPr>
                <w:rFonts w:eastAsia="MS Mincho" w:cs="Times New Roman"/>
                <w:color w:val="auto"/>
                <w:sz w:val="20"/>
                <w:szCs w:val="20"/>
              </w:rPr>
              <w:t>wspomagającego, połączonego z doradztwem w doborze sprzętu, treningami z zakresu samoobs</w:t>
            </w:r>
            <w:r w:rsidR="00003231">
              <w:rPr>
                <w:rFonts w:eastAsia="MS Mincho" w:cs="Times New Roman"/>
                <w:color w:val="auto"/>
                <w:sz w:val="20"/>
                <w:szCs w:val="20"/>
              </w:rPr>
              <w:t>ługi wypożyczonego sprzętu oraz </w:t>
            </w:r>
            <w:r w:rsidRPr="00532128">
              <w:rPr>
                <w:rFonts w:eastAsia="MS Mincho" w:cs="Times New Roman"/>
                <w:color w:val="auto"/>
                <w:sz w:val="20"/>
                <w:szCs w:val="20"/>
              </w:rPr>
              <w:t>przygotowan</w:t>
            </w:r>
            <w:r w:rsidR="00003231">
              <w:rPr>
                <w:rFonts w:eastAsia="MS Mincho" w:cs="Times New Roman"/>
                <w:color w:val="auto"/>
                <w:sz w:val="20"/>
                <w:szCs w:val="20"/>
              </w:rPr>
              <w:t>iem warunków do opieki domowej.</w:t>
            </w:r>
          </w:p>
        </w:tc>
      </w:tr>
      <w:tr w:rsidR="0092226B" w:rsidRPr="0092226B" w14:paraId="28955808"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45958331" w14:textId="77777777" w:rsidR="00311D18" w:rsidRPr="0092226B" w:rsidRDefault="00311D18" w:rsidP="003C1988">
            <w:pPr>
              <w:rPr>
                <w:rFonts w:cs="Times New Roman"/>
                <w:color w:val="FF0000"/>
                <w:sz w:val="20"/>
              </w:rPr>
            </w:pPr>
          </w:p>
        </w:tc>
        <w:tc>
          <w:tcPr>
            <w:tcW w:w="3594" w:type="dxa"/>
            <w:vMerge w:val="restart"/>
          </w:tcPr>
          <w:p w14:paraId="13D6DA8E"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Wykorzystanie nowoczesnych technologii dla rekompensowania utraconej sprawności </w:t>
            </w:r>
            <w:r w:rsidRPr="00532128">
              <w:rPr>
                <w:rFonts w:ascii="Times New Roman" w:hAnsi="Times New Roman"/>
                <w:color w:val="auto"/>
                <w:sz w:val="20"/>
              </w:rPr>
              <w:t>i wzmacniania samodzielności</w:t>
            </w:r>
          </w:p>
        </w:tc>
        <w:tc>
          <w:tcPr>
            <w:tcW w:w="2032" w:type="dxa"/>
            <w:vMerge w:val="restart"/>
          </w:tcPr>
          <w:p w14:paraId="348B2558"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tc>
        <w:tc>
          <w:tcPr>
            <w:tcW w:w="1500" w:type="dxa"/>
            <w:vMerge w:val="restart"/>
          </w:tcPr>
          <w:p w14:paraId="59247DCE"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2018-2020</w:t>
            </w:r>
          </w:p>
        </w:tc>
        <w:tc>
          <w:tcPr>
            <w:tcW w:w="5638" w:type="dxa"/>
          </w:tcPr>
          <w:p w14:paraId="67FB23B2"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wykorzystanych nowoczesnych technologii dla rekompensowania utraconej sprawności</w:t>
            </w:r>
          </w:p>
        </w:tc>
      </w:tr>
      <w:tr w:rsidR="0092226B" w:rsidRPr="0092226B" w14:paraId="68A52758"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045EE1C2" w14:textId="77777777" w:rsidR="00311D18" w:rsidRPr="0092226B" w:rsidRDefault="00311D18" w:rsidP="003C1988">
            <w:pPr>
              <w:rPr>
                <w:rFonts w:cs="Times New Roman"/>
                <w:color w:val="FF0000"/>
                <w:sz w:val="20"/>
              </w:rPr>
            </w:pPr>
          </w:p>
        </w:tc>
        <w:tc>
          <w:tcPr>
            <w:tcW w:w="3594" w:type="dxa"/>
            <w:vMerge/>
          </w:tcPr>
          <w:p w14:paraId="47078174"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05FE1EE7"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00F43CA5"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34C72650" w14:textId="217965B0" w:rsidR="00AF3BFA" w:rsidRPr="00532128" w:rsidRDefault="00AF3BFA" w:rsidP="00003231">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 xml:space="preserve">Usługi/funkcjonalności udostępniane w ramach Platformy </w:t>
            </w:r>
            <w:r w:rsidR="00003231">
              <w:rPr>
                <w:rFonts w:eastAsia="MS Mincho" w:cs="Times New Roman"/>
                <w:bCs/>
                <w:color w:val="auto"/>
                <w:sz w:val="20"/>
              </w:rPr>
              <w:t xml:space="preserve">                        </w:t>
            </w:r>
            <w:r w:rsidRPr="00532128">
              <w:rPr>
                <w:rFonts w:eastAsia="MS Mincho" w:cs="Times New Roman"/>
                <w:bCs/>
                <w:color w:val="auto"/>
                <w:sz w:val="20"/>
              </w:rPr>
              <w:t xml:space="preserve">e-Zdrowie wzmacniają samodzielność osób starszych. </w:t>
            </w:r>
          </w:p>
          <w:p w14:paraId="57159085" w14:textId="3126DE28" w:rsidR="00AF3BFA" w:rsidRPr="00532128" w:rsidRDefault="00AF3BFA" w:rsidP="00003231">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 xml:space="preserve">Internetowe Konto Pacjenta (IKP) stanowi centrum zarządzania informacjami zdrowotnymi. Zakres funkcjonalności IKP jest systematycznie rozbudowywany. Za jego pośrednictwem pacjenci mogą sprawdzić informacje o wystawionych e-receptach, </w:t>
            </w:r>
            <w:r w:rsidR="00003231">
              <w:rPr>
                <w:rFonts w:eastAsia="MS Mincho" w:cs="Times New Roman"/>
                <w:bCs/>
                <w:color w:val="auto"/>
                <w:sz w:val="20"/>
              </w:rPr>
              <w:t xml:space="preserve">                          </w:t>
            </w:r>
            <w:r w:rsidRPr="00532128">
              <w:rPr>
                <w:rFonts w:eastAsia="MS Mincho" w:cs="Times New Roman"/>
                <w:bCs/>
                <w:color w:val="auto"/>
                <w:sz w:val="20"/>
              </w:rPr>
              <w:t>e- skierowaniach, historię swoich wizyt refundowanych przez NFZ oraz tych zaplanowanych, a także sprawdzić wynik badania diagnostycznego w kierun</w:t>
            </w:r>
            <w:r w:rsidR="00003231">
              <w:rPr>
                <w:rFonts w:eastAsia="MS Mincho" w:cs="Times New Roman"/>
                <w:bCs/>
                <w:color w:val="auto"/>
                <w:sz w:val="20"/>
              </w:rPr>
              <w:t>ku SARS-CoV-2 oraz informację o </w:t>
            </w:r>
            <w:r w:rsidRPr="00532128">
              <w:rPr>
                <w:rFonts w:eastAsia="MS Mincho" w:cs="Times New Roman"/>
                <w:bCs/>
                <w:color w:val="auto"/>
                <w:sz w:val="20"/>
              </w:rPr>
              <w:t>nałożeniu kwarantanny lub izolacji domowej wraz z możliwością wygenerowania zaświadczenia.</w:t>
            </w:r>
          </w:p>
          <w:p w14:paraId="71563244" w14:textId="77777777" w:rsidR="00AF3BFA" w:rsidRPr="00532128" w:rsidRDefault="00AF3BFA" w:rsidP="00003231">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 xml:space="preserve">Ważną informacją dla seniorów i osób przewlekle chorych, jest to, że dzięki IKP zyskali możliwość udostępniania bliskiej osobie lub lekarzowi informacji o stanie zdrowia i historii przepisywanych leków. </w:t>
            </w:r>
          </w:p>
          <w:p w14:paraId="4EF4C33E" w14:textId="7B8533BE" w:rsidR="00AF3BFA" w:rsidRPr="00532128" w:rsidRDefault="00AF3BFA" w:rsidP="00003231">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 xml:space="preserve">Ponadto, upowszechniona w trakcie pandemii COVID-19 </w:t>
            </w:r>
            <w:proofErr w:type="spellStart"/>
            <w:r w:rsidRPr="00532128">
              <w:rPr>
                <w:rFonts w:eastAsia="MS Mincho" w:cs="Times New Roman"/>
                <w:bCs/>
                <w:color w:val="auto"/>
                <w:sz w:val="20"/>
              </w:rPr>
              <w:t>teleporada</w:t>
            </w:r>
            <w:proofErr w:type="spellEnd"/>
            <w:r w:rsidRPr="00532128">
              <w:rPr>
                <w:rFonts w:eastAsia="MS Mincho" w:cs="Times New Roman"/>
                <w:bCs/>
                <w:color w:val="auto"/>
                <w:sz w:val="20"/>
              </w:rPr>
              <w:t xml:space="preserve">, dzięki wdrożeniu e-recepty, mogła mieć bardziej </w:t>
            </w:r>
            <w:r w:rsidRPr="00532128">
              <w:rPr>
                <w:rFonts w:eastAsia="MS Mincho" w:cs="Times New Roman"/>
                <w:bCs/>
                <w:color w:val="auto"/>
                <w:sz w:val="20"/>
              </w:rPr>
              <w:lastRenderedPageBreak/>
              <w:t>kompleksowy charakter. Pacjenci, w tym często osoby starsze, bez konieczności osobisteg</w:t>
            </w:r>
            <w:r w:rsidR="00003231">
              <w:rPr>
                <w:rFonts w:eastAsia="MS Mincho" w:cs="Times New Roman"/>
                <w:bCs/>
                <w:color w:val="auto"/>
                <w:sz w:val="20"/>
              </w:rPr>
              <w:t xml:space="preserve">o kontaktu, otrzymywali poradę </w:t>
            </w:r>
            <w:r w:rsidRPr="00532128">
              <w:rPr>
                <w:rFonts w:eastAsia="MS Mincho" w:cs="Times New Roman"/>
                <w:bCs/>
                <w:color w:val="auto"/>
                <w:sz w:val="20"/>
              </w:rPr>
              <w:t>i e-receptę.</w:t>
            </w:r>
          </w:p>
          <w:p w14:paraId="1EF2EE1A" w14:textId="77777777" w:rsidR="00311D18" w:rsidRPr="00532128" w:rsidRDefault="00AF3BFA" w:rsidP="00003231">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r w:rsidRPr="00532128">
              <w:rPr>
                <w:rFonts w:eastAsia="MS Mincho" w:cs="Times New Roman"/>
                <w:bCs/>
                <w:color w:val="auto"/>
                <w:sz w:val="20"/>
              </w:rPr>
              <w:t>Dla osób starszych, często z dysfunkcjami narządów ruchu, tradycyjna wizyta w poradni wiąże się z koniecznością angażowania osób trzecich, w związku z czym rozszerzenie funkcjonalności projektu P1 o usługę e-wizyty również wzmocni samodzielność osób starszych.</w:t>
            </w:r>
          </w:p>
        </w:tc>
      </w:tr>
      <w:tr w:rsidR="0092226B" w:rsidRPr="0092226B" w14:paraId="370B6FB3"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22E35B40" w14:textId="77777777" w:rsidR="00311D18" w:rsidRPr="0092226B" w:rsidRDefault="00311D18" w:rsidP="003C1988">
            <w:pPr>
              <w:rPr>
                <w:rFonts w:cs="Times New Roman"/>
                <w:color w:val="FF0000"/>
                <w:sz w:val="20"/>
              </w:rPr>
            </w:pPr>
          </w:p>
        </w:tc>
        <w:tc>
          <w:tcPr>
            <w:tcW w:w="3594" w:type="dxa"/>
            <w:vMerge w:val="restart"/>
          </w:tcPr>
          <w:p w14:paraId="07305888"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Wspieranie opracowywania oraz upowszechniania innowacyjnych rozwiązań i technologii w obszarze zdrowia i </w:t>
            </w:r>
            <w:proofErr w:type="spellStart"/>
            <w:r w:rsidRPr="00532128">
              <w:rPr>
                <w:rFonts w:ascii="Times New Roman" w:eastAsia="MS Mincho" w:hAnsi="Times New Roman"/>
                <w:color w:val="auto"/>
                <w:sz w:val="20"/>
              </w:rPr>
              <w:t>telemedycyny</w:t>
            </w:r>
            <w:proofErr w:type="spellEnd"/>
          </w:p>
        </w:tc>
        <w:tc>
          <w:tcPr>
            <w:tcW w:w="2032" w:type="dxa"/>
            <w:vMerge w:val="restart"/>
          </w:tcPr>
          <w:p w14:paraId="64C1084F"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tc>
        <w:tc>
          <w:tcPr>
            <w:tcW w:w="1500" w:type="dxa"/>
            <w:vMerge w:val="restart"/>
          </w:tcPr>
          <w:p w14:paraId="5C68B3A9"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37C148FD"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 xml:space="preserve">Liczba wspartych programów mających na celu opracowywanie oraz upowszechnianie innowacyjnych rozwiązań i technologii w obszarze zdrowia i </w:t>
            </w:r>
            <w:proofErr w:type="spellStart"/>
            <w:r w:rsidRPr="00532128">
              <w:rPr>
                <w:rFonts w:ascii="Times New Roman" w:eastAsia="MS Mincho" w:hAnsi="Times New Roman"/>
                <w:i/>
                <w:color w:val="auto"/>
                <w:sz w:val="20"/>
              </w:rPr>
              <w:t>telemedycyny</w:t>
            </w:r>
            <w:proofErr w:type="spellEnd"/>
          </w:p>
          <w:p w14:paraId="0D19EFA6"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b/>
                <w:color w:val="auto"/>
                <w:sz w:val="20"/>
                <w:u w:val="single"/>
              </w:rPr>
            </w:pPr>
          </w:p>
        </w:tc>
      </w:tr>
      <w:tr w:rsidR="0092226B" w:rsidRPr="0092226B" w14:paraId="07F53AFD" w14:textId="77777777" w:rsidTr="00DE4208">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232" w:type="dxa"/>
            <w:vMerge/>
          </w:tcPr>
          <w:p w14:paraId="4CC8E8F0" w14:textId="77777777" w:rsidR="00311D18" w:rsidRPr="0092226B" w:rsidRDefault="00311D18" w:rsidP="003C1988">
            <w:pPr>
              <w:rPr>
                <w:rFonts w:cs="Times New Roman"/>
                <w:color w:val="FF0000"/>
                <w:sz w:val="20"/>
              </w:rPr>
            </w:pPr>
          </w:p>
        </w:tc>
        <w:tc>
          <w:tcPr>
            <w:tcW w:w="3594" w:type="dxa"/>
            <w:vMerge/>
          </w:tcPr>
          <w:p w14:paraId="529D20E5"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7103C5A2"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38C1CCE4"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7DDE162C" w14:textId="77777777" w:rsidR="00F81CD9" w:rsidRPr="00532128" w:rsidRDefault="00F81CD9" w:rsidP="00F81CD9">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 xml:space="preserve">Rozwijanie </w:t>
            </w:r>
            <w:proofErr w:type="spellStart"/>
            <w:r w:rsidRPr="00532128">
              <w:rPr>
                <w:rFonts w:cs="Times New Roman"/>
                <w:color w:val="auto"/>
                <w:sz w:val="20"/>
              </w:rPr>
              <w:t>telemedycyny</w:t>
            </w:r>
            <w:proofErr w:type="spellEnd"/>
            <w:r w:rsidRPr="00532128">
              <w:rPr>
                <w:rFonts w:cs="Times New Roman"/>
                <w:color w:val="auto"/>
                <w:sz w:val="20"/>
              </w:rPr>
              <w:t xml:space="preserve">, w tym </w:t>
            </w:r>
            <w:proofErr w:type="spellStart"/>
            <w:r w:rsidRPr="00532128">
              <w:rPr>
                <w:rFonts w:cs="Times New Roman"/>
                <w:color w:val="auto"/>
                <w:sz w:val="20"/>
              </w:rPr>
              <w:t>teleopieki</w:t>
            </w:r>
            <w:proofErr w:type="spellEnd"/>
            <w:r w:rsidRPr="00532128">
              <w:rPr>
                <w:rFonts w:cs="Times New Roman"/>
                <w:color w:val="auto"/>
                <w:sz w:val="20"/>
              </w:rPr>
              <w:t>:</w:t>
            </w:r>
          </w:p>
          <w:p w14:paraId="4C05A3E6" w14:textId="680C0C9A" w:rsidR="00F81CD9" w:rsidRPr="00532128" w:rsidRDefault="00003231" w:rsidP="00F81CD9">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Pr>
                <w:rFonts w:cs="Times New Roman"/>
                <w:color w:val="auto"/>
                <w:sz w:val="20"/>
              </w:rPr>
              <w:t>• </w:t>
            </w:r>
            <w:r w:rsidR="00F81CD9" w:rsidRPr="00532128">
              <w:rPr>
                <w:rFonts w:cs="Times New Roman"/>
                <w:color w:val="auto"/>
                <w:sz w:val="20"/>
              </w:rPr>
              <w:t xml:space="preserve">upowszechnienie różnych form </w:t>
            </w:r>
            <w:proofErr w:type="spellStart"/>
            <w:r w:rsidR="00F81CD9" w:rsidRPr="00532128">
              <w:rPr>
                <w:rFonts w:cs="Times New Roman"/>
                <w:color w:val="auto"/>
                <w:sz w:val="20"/>
              </w:rPr>
              <w:t>teleopieki</w:t>
            </w:r>
            <w:proofErr w:type="spellEnd"/>
            <w:r w:rsidR="00F81CD9" w:rsidRPr="00532128">
              <w:rPr>
                <w:rFonts w:cs="Times New Roman"/>
                <w:color w:val="auto"/>
                <w:sz w:val="20"/>
              </w:rPr>
              <w:t xml:space="preserve"> i </w:t>
            </w:r>
            <w:proofErr w:type="spellStart"/>
            <w:r w:rsidR="00F81CD9" w:rsidRPr="00532128">
              <w:rPr>
                <w:rFonts w:cs="Times New Roman"/>
                <w:color w:val="auto"/>
                <w:sz w:val="20"/>
              </w:rPr>
              <w:t>telekonsultacji</w:t>
            </w:r>
            <w:proofErr w:type="spellEnd"/>
            <w:r w:rsidR="00F81CD9" w:rsidRPr="00532128">
              <w:rPr>
                <w:rFonts w:cs="Times New Roman"/>
                <w:color w:val="auto"/>
                <w:sz w:val="20"/>
              </w:rPr>
              <w:t>;</w:t>
            </w:r>
          </w:p>
          <w:p w14:paraId="0F6D8999" w14:textId="7B432B81" w:rsidR="00F81CD9" w:rsidRPr="00532128" w:rsidRDefault="00003231" w:rsidP="00F81CD9">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Pr>
                <w:rFonts w:cs="Times New Roman"/>
                <w:color w:val="auto"/>
                <w:sz w:val="20"/>
              </w:rPr>
              <w:t>• </w:t>
            </w:r>
            <w:r w:rsidR="00F81CD9" w:rsidRPr="00532128">
              <w:rPr>
                <w:rFonts w:cs="Times New Roman"/>
                <w:color w:val="auto"/>
                <w:sz w:val="20"/>
              </w:rPr>
              <w:t xml:space="preserve">rozwój rozwiązań w zakresie mobile </w:t>
            </w:r>
            <w:proofErr w:type="spellStart"/>
            <w:r w:rsidR="00F81CD9" w:rsidRPr="00532128">
              <w:rPr>
                <w:rFonts w:cs="Times New Roman"/>
                <w:color w:val="auto"/>
                <w:sz w:val="20"/>
              </w:rPr>
              <w:t>health</w:t>
            </w:r>
            <w:proofErr w:type="spellEnd"/>
            <w:r w:rsidR="00F81CD9" w:rsidRPr="00532128">
              <w:rPr>
                <w:rFonts w:cs="Times New Roman"/>
                <w:color w:val="auto"/>
                <w:sz w:val="20"/>
              </w:rPr>
              <w:t>.</w:t>
            </w:r>
          </w:p>
          <w:p w14:paraId="7148D36C" w14:textId="4FCC17EA" w:rsidR="00F81CD9" w:rsidRDefault="00F81CD9" w:rsidP="00F81CD9">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 xml:space="preserve">Dodatkowo należy wskazać, że system e-zdrowia (P1) stanowi rdzeń całego ekosystemu. </w:t>
            </w:r>
          </w:p>
          <w:p w14:paraId="63BE3DD4" w14:textId="77777777" w:rsidR="00DE4208" w:rsidRPr="00532128" w:rsidRDefault="00DE4208" w:rsidP="00F81CD9">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rPr>
            </w:pPr>
          </w:p>
          <w:p w14:paraId="11E3D0E5" w14:textId="02266692" w:rsidR="00F81CD9" w:rsidRPr="00532128" w:rsidRDefault="00F81CD9" w:rsidP="00F81CD9">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 xml:space="preserve">Wraz z wprowadzeniem w 2020 r. obowiązku wystawiania </w:t>
            </w:r>
            <w:r w:rsidR="00DE4208">
              <w:rPr>
                <w:rFonts w:cs="Times New Roman"/>
                <w:color w:val="auto"/>
                <w:sz w:val="20"/>
              </w:rPr>
              <w:t xml:space="preserve">                            </w:t>
            </w:r>
            <w:r w:rsidRPr="00532128">
              <w:rPr>
                <w:rFonts w:cs="Times New Roman"/>
                <w:color w:val="auto"/>
                <w:sz w:val="20"/>
              </w:rPr>
              <w:t xml:space="preserve">e-recepty, rozpoczął się proces upowszechniania innowacyjnych rozwiązań w obszarze ochrony zdrowia. </w:t>
            </w:r>
          </w:p>
          <w:p w14:paraId="27AF26AD" w14:textId="7718B58D" w:rsidR="00F81CD9" w:rsidRPr="00532128" w:rsidRDefault="00F81CD9" w:rsidP="00F81CD9">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W 2020 r. rozpoczęto wystawianie e-skierowania, uruchomiono pilotaż wymiany EDM i raportowania tzw. zdarzeń medycznych (świadczeń zdrowotnych), co dopełni cały proces wdrożenia cen</w:t>
            </w:r>
            <w:r w:rsidR="00DE4208">
              <w:rPr>
                <w:rFonts w:cs="Times New Roman"/>
                <w:color w:val="auto"/>
                <w:sz w:val="20"/>
              </w:rPr>
              <w:t xml:space="preserve">tralnych usług dotyczących EDM </w:t>
            </w:r>
            <w:r w:rsidRPr="00532128">
              <w:rPr>
                <w:rFonts w:cs="Times New Roman"/>
                <w:color w:val="auto"/>
                <w:sz w:val="20"/>
              </w:rPr>
              <w:t xml:space="preserve">w Polsce w ramach pierwszego etapu informatyzacji systemu ochrony zdrowia. Ponadto, w ramach systemu e-zdrowie (P1), udostępniono dwa ważne narzędzia - dedykowaną kadrze medycznej aplikację gabinet.gov.pl oraz dedykowane pacjentom Internetowe Konto Pacjenta (IKP). IKP będzie stopniowo rozbudowywane o kolejne e-usługi dla pacjentów, dzięki czemu docelowo stanie się centralnym puntem styku pacjenta z systemem zdrowia. </w:t>
            </w:r>
          </w:p>
          <w:p w14:paraId="056B7F09" w14:textId="6EFCC142" w:rsidR="00311D18" w:rsidRPr="00532128" w:rsidRDefault="00F81CD9" w:rsidP="00F81CD9">
            <w:pPr>
              <w:spacing w:line="240" w:lineRule="auto"/>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Pandemia SARS-CoV-2 pokazała, że rozwijanie rozwiązań cyfrowych jest zasadne i pozwala, z jednej strony na odciążenie sektora ochrony zdrowia przy zachowaniu odpowiedniej jakości usług, z drugiej – na zap</w:t>
            </w:r>
            <w:r w:rsidR="00DE4208">
              <w:rPr>
                <w:rFonts w:cs="Times New Roman"/>
                <w:color w:val="auto"/>
                <w:sz w:val="20"/>
              </w:rPr>
              <w:t>ewnienie dostępu do świadczeń w </w:t>
            </w:r>
            <w:r w:rsidRPr="00532128">
              <w:rPr>
                <w:rFonts w:cs="Times New Roman"/>
                <w:color w:val="auto"/>
                <w:sz w:val="20"/>
              </w:rPr>
              <w:t xml:space="preserve">sytuacjach kryzysowych, w tym również ułatwia dostęp </w:t>
            </w:r>
            <w:r w:rsidRPr="00532128">
              <w:rPr>
                <w:rFonts w:cs="Times New Roman"/>
                <w:color w:val="auto"/>
                <w:sz w:val="20"/>
              </w:rPr>
              <w:lastRenderedPageBreak/>
              <w:t>do</w:t>
            </w:r>
            <w:r w:rsidR="00DE4208">
              <w:rPr>
                <w:rFonts w:cs="Times New Roman"/>
                <w:color w:val="auto"/>
                <w:sz w:val="20"/>
              </w:rPr>
              <w:t> </w:t>
            </w:r>
            <w:r w:rsidRPr="00532128">
              <w:rPr>
                <w:rFonts w:cs="Times New Roman"/>
                <w:color w:val="auto"/>
                <w:sz w:val="20"/>
              </w:rPr>
              <w:t>świadczeń osobom starszym (IKP, e- recepta, e-skierowanie, e- wizyta).</w:t>
            </w:r>
          </w:p>
        </w:tc>
      </w:tr>
      <w:tr w:rsidR="0092226B" w:rsidRPr="0092226B" w14:paraId="0B6EDC41"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65E4B0A8" w14:textId="77777777" w:rsidR="00311D18" w:rsidRPr="0092226B" w:rsidRDefault="00311D18" w:rsidP="003C1988">
            <w:pPr>
              <w:rPr>
                <w:rFonts w:cs="Times New Roman"/>
                <w:color w:val="FF0000"/>
                <w:sz w:val="20"/>
              </w:rPr>
            </w:pPr>
          </w:p>
        </w:tc>
        <w:tc>
          <w:tcPr>
            <w:tcW w:w="3594" w:type="dxa"/>
            <w:vMerge w:val="restart"/>
          </w:tcPr>
          <w:p w14:paraId="115A1871"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Tworzenie warunków rozwoju kompleksowej opieki nad chorym starszym, w tym:</w:t>
            </w:r>
          </w:p>
          <w:p w14:paraId="486860BF" w14:textId="77777777" w:rsidR="00311D18" w:rsidRPr="00532128" w:rsidRDefault="00311D18" w:rsidP="002D4784">
            <w:pPr>
              <w:pStyle w:val="Kolorowalistaakcent11"/>
              <w:numPr>
                <w:ilvl w:val="0"/>
                <w:numId w:val="9"/>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opracowanie standardów profilaktyki i opieki nad osobami starszymi, a także poprawa koordynacji opieki; </w:t>
            </w:r>
          </w:p>
          <w:p w14:paraId="675453FB" w14:textId="77777777" w:rsidR="00311D18" w:rsidRPr="00532128" w:rsidRDefault="00311D18" w:rsidP="002D4784">
            <w:pPr>
              <w:pStyle w:val="Kolorowalistaakcent11"/>
              <w:numPr>
                <w:ilvl w:val="0"/>
                <w:numId w:val="9"/>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określenie zasad postępowania medycznego w różnych grupach wiekowych,</w:t>
            </w:r>
            <w:r w:rsidRPr="00532128">
              <w:rPr>
                <w:rFonts w:ascii="Times New Roman" w:hAnsi="Times New Roman"/>
                <w:color w:val="auto"/>
                <w:sz w:val="20"/>
              </w:rPr>
              <w:t xml:space="preserve"> ze szczególnym wyróżnieniem grupy osób starszych</w:t>
            </w:r>
            <w:r w:rsidRPr="00532128">
              <w:rPr>
                <w:rFonts w:ascii="Times New Roman" w:eastAsia="MS Mincho" w:hAnsi="Times New Roman"/>
                <w:color w:val="auto"/>
                <w:sz w:val="20"/>
              </w:rPr>
              <w:t>;</w:t>
            </w:r>
          </w:p>
          <w:p w14:paraId="2926A0CC" w14:textId="77777777" w:rsidR="00311D18" w:rsidRPr="00532128" w:rsidRDefault="00311D18" w:rsidP="002D4784">
            <w:pPr>
              <w:pStyle w:val="Kolorowalistaakcent11"/>
              <w:numPr>
                <w:ilvl w:val="0"/>
                <w:numId w:val="9"/>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monitorowanie efektywności opieki nad osobami starszymi.</w:t>
            </w:r>
          </w:p>
        </w:tc>
        <w:tc>
          <w:tcPr>
            <w:tcW w:w="2032" w:type="dxa"/>
            <w:vMerge w:val="restart"/>
          </w:tcPr>
          <w:p w14:paraId="49F37911"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tc>
        <w:tc>
          <w:tcPr>
            <w:tcW w:w="1500" w:type="dxa"/>
            <w:vMerge w:val="restart"/>
          </w:tcPr>
          <w:p w14:paraId="1C785B8B"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2018-2020</w:t>
            </w:r>
          </w:p>
        </w:tc>
        <w:tc>
          <w:tcPr>
            <w:tcW w:w="5638" w:type="dxa"/>
          </w:tcPr>
          <w:p w14:paraId="505C9938"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wdrożonych rozwiązań mających na celu tworzenie warunków rozwoju kompleksowej opieki nad chorym starszym</w:t>
            </w:r>
          </w:p>
        </w:tc>
      </w:tr>
      <w:tr w:rsidR="0092226B" w:rsidRPr="0092226B" w14:paraId="161BBCF6"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37045419" w14:textId="77777777" w:rsidR="00311D18" w:rsidRPr="0092226B" w:rsidRDefault="00311D18" w:rsidP="003C1988">
            <w:pPr>
              <w:rPr>
                <w:rFonts w:cs="Times New Roman"/>
                <w:color w:val="FF0000"/>
                <w:sz w:val="20"/>
              </w:rPr>
            </w:pPr>
          </w:p>
        </w:tc>
        <w:tc>
          <w:tcPr>
            <w:tcW w:w="3594" w:type="dxa"/>
            <w:vMerge/>
          </w:tcPr>
          <w:p w14:paraId="3C1B1C8C"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7722FC0D"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142C6CB8"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07539B33" w14:textId="3AE63038" w:rsidR="00F81CD9" w:rsidRPr="00532128" w:rsidRDefault="00F81CD9" w:rsidP="00F81CD9">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W ramach Narodowego Programu Zdrowia na lata 2016-2020 realizowano zadanie pn. Analiza adekwatności i efektywności udzielanych świadczeń opi</w:t>
            </w:r>
            <w:r w:rsidR="00DE4208">
              <w:rPr>
                <w:rFonts w:eastAsia="MS Mincho" w:cs="Times New Roman"/>
                <w:bCs/>
                <w:color w:val="auto"/>
                <w:sz w:val="20"/>
              </w:rPr>
              <w:t>eki zdrowotnej w odniesieniu do </w:t>
            </w:r>
            <w:r w:rsidRPr="00532128">
              <w:rPr>
                <w:rFonts w:eastAsia="MS Mincho" w:cs="Times New Roman"/>
                <w:bCs/>
                <w:color w:val="auto"/>
                <w:sz w:val="20"/>
              </w:rPr>
              <w:t>rozpoznanych potrzeb zdrowotnych osób starszych;</w:t>
            </w:r>
          </w:p>
          <w:p w14:paraId="2D75AA87" w14:textId="77777777" w:rsidR="00311D18" w:rsidRPr="00532128" w:rsidRDefault="00F81CD9" w:rsidP="00F81CD9">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r w:rsidRPr="00532128">
              <w:rPr>
                <w:rFonts w:eastAsia="MS Mincho" w:cs="Times New Roman"/>
                <w:bCs/>
                <w:color w:val="auto"/>
                <w:sz w:val="20"/>
              </w:rPr>
              <w:t xml:space="preserve">W ramach ww. zadania prowadzono działalność naukową badawczą dotyczącą zagadnienia adekwatności świadczeń udzielanych osobom starszym w Polsce. Przeprowadzono między innymi analizę struktury </w:t>
            </w:r>
            <w:proofErr w:type="spellStart"/>
            <w:r w:rsidRPr="00532128">
              <w:rPr>
                <w:rFonts w:eastAsia="MS Mincho" w:cs="Times New Roman"/>
                <w:bCs/>
                <w:color w:val="auto"/>
                <w:sz w:val="20"/>
              </w:rPr>
              <w:t>rozpoznań</w:t>
            </w:r>
            <w:proofErr w:type="spellEnd"/>
            <w:r w:rsidRPr="00532128">
              <w:rPr>
                <w:rFonts w:eastAsia="MS Mincho" w:cs="Times New Roman"/>
                <w:bCs/>
                <w:color w:val="auto"/>
                <w:sz w:val="20"/>
              </w:rPr>
              <w:t xml:space="preserve"> i świadczeń udzielanych seniorom oraz identyfikację takich procesów, które okazały się najbardziej efektywne, przeprowadzono również analizę wyceny świadczeń zdrowotnych. Rezultatem prowadzonych działań jest Raport końcowy zawierający analizę adekwatności i efektywności świadczeń udzielanych osobom starszym.</w:t>
            </w:r>
          </w:p>
        </w:tc>
      </w:tr>
      <w:tr w:rsidR="0092226B" w:rsidRPr="0092226B" w14:paraId="523C9A6C" w14:textId="77777777" w:rsidTr="002D4784">
        <w:trPr>
          <w:trHeight w:val="471"/>
        </w:trPr>
        <w:tc>
          <w:tcPr>
            <w:cnfStyle w:val="001000000000" w:firstRow="0" w:lastRow="0" w:firstColumn="1" w:lastColumn="0" w:oddVBand="0" w:evenVBand="0" w:oddHBand="0" w:evenHBand="0" w:firstRowFirstColumn="0" w:firstRowLastColumn="0" w:lastRowFirstColumn="0" w:lastRowLastColumn="0"/>
            <w:tcW w:w="1232" w:type="dxa"/>
            <w:vMerge/>
          </w:tcPr>
          <w:p w14:paraId="412CDA85" w14:textId="77777777" w:rsidR="00311D18" w:rsidRPr="0092226B" w:rsidRDefault="00311D18" w:rsidP="003C1988">
            <w:pPr>
              <w:rPr>
                <w:rFonts w:cs="Times New Roman"/>
                <w:color w:val="FF0000"/>
                <w:sz w:val="20"/>
              </w:rPr>
            </w:pPr>
          </w:p>
        </w:tc>
        <w:tc>
          <w:tcPr>
            <w:tcW w:w="3594" w:type="dxa"/>
            <w:vMerge w:val="restart"/>
          </w:tcPr>
          <w:p w14:paraId="70C80026"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Zapewnienie ciągłości opieki nad chorym starszym, w tym:</w:t>
            </w:r>
          </w:p>
          <w:p w14:paraId="43BA97DB" w14:textId="77777777" w:rsidR="00311D18" w:rsidRPr="00532128" w:rsidRDefault="00311D18" w:rsidP="002D4784">
            <w:pPr>
              <w:pStyle w:val="Kolorowalistaakcent11"/>
              <w:numPr>
                <w:ilvl w:val="0"/>
                <w:numId w:val="9"/>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wdrożenie działań mających </w:t>
            </w:r>
            <w:r w:rsidRPr="00532128">
              <w:rPr>
                <w:rFonts w:ascii="Times New Roman" w:eastAsia="MS Mincho" w:hAnsi="Times New Roman"/>
                <w:color w:val="auto"/>
                <w:sz w:val="20"/>
              </w:rPr>
              <w:br/>
              <w:t>na celu monitorowanie potrzeb zdrowotnych chorego w jego środowisku zamieszkania;</w:t>
            </w:r>
          </w:p>
          <w:p w14:paraId="686095AE" w14:textId="77777777" w:rsidR="00311D18" w:rsidRPr="00532128" w:rsidRDefault="00311D18" w:rsidP="002D4784">
            <w:pPr>
              <w:pStyle w:val="Kolorowalistaakcent11"/>
              <w:numPr>
                <w:ilvl w:val="0"/>
                <w:numId w:val="9"/>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rozwój współpracy pracowników opieki zdrowotnej z służbami pomocy społecznej;</w:t>
            </w:r>
          </w:p>
          <w:p w14:paraId="5C5B2E58" w14:textId="77777777" w:rsidR="00311D18" w:rsidRPr="00532128" w:rsidRDefault="00311D18" w:rsidP="002D4784">
            <w:pPr>
              <w:pStyle w:val="Kolorowalistaakcent11"/>
              <w:numPr>
                <w:ilvl w:val="0"/>
                <w:numId w:val="9"/>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monitorowanie stanu zdrowia chorych osób starszych </w:t>
            </w:r>
            <w:r w:rsidRPr="00532128">
              <w:rPr>
                <w:rFonts w:ascii="Times New Roman" w:eastAsia="MS Mincho" w:hAnsi="Times New Roman"/>
                <w:color w:val="auto"/>
                <w:sz w:val="20"/>
              </w:rPr>
              <w:br/>
              <w:t>po zakończonej hospitalizacji</w:t>
            </w:r>
          </w:p>
        </w:tc>
        <w:tc>
          <w:tcPr>
            <w:tcW w:w="2032" w:type="dxa"/>
            <w:vMerge w:val="restart"/>
          </w:tcPr>
          <w:p w14:paraId="310DC2A8"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tc>
        <w:tc>
          <w:tcPr>
            <w:tcW w:w="1500" w:type="dxa"/>
            <w:vMerge w:val="restart"/>
          </w:tcPr>
          <w:p w14:paraId="77F174F4"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2018-2020</w:t>
            </w:r>
          </w:p>
        </w:tc>
        <w:tc>
          <w:tcPr>
            <w:tcW w:w="5638" w:type="dxa"/>
          </w:tcPr>
          <w:p w14:paraId="0520B140"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wdrożonych rozwiązań mających na celu zapewnienie ciągłości opieki nad chorym starszym</w:t>
            </w:r>
          </w:p>
        </w:tc>
      </w:tr>
      <w:tr w:rsidR="0092226B" w:rsidRPr="0092226B" w14:paraId="2C8DC8BF"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79FD0795" w14:textId="77777777" w:rsidR="00311D18" w:rsidRPr="0092226B" w:rsidRDefault="00311D18" w:rsidP="003C1988">
            <w:pPr>
              <w:rPr>
                <w:rFonts w:cs="Times New Roman"/>
                <w:color w:val="FF0000"/>
                <w:sz w:val="20"/>
              </w:rPr>
            </w:pPr>
          </w:p>
        </w:tc>
        <w:tc>
          <w:tcPr>
            <w:tcW w:w="3594" w:type="dxa"/>
            <w:vMerge/>
          </w:tcPr>
          <w:p w14:paraId="7B18E3F9"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04EEC99D"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57B92CC7"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75F7B697" w14:textId="2F973F63" w:rsidR="00F81CD9" w:rsidRPr="00532128" w:rsidRDefault="00F81CD9" w:rsidP="00F81CD9">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 xml:space="preserve">Zgodnie z rozporządzeniem Ministra Zdrowia z 24 września 2013 r. w sprawie świadczeń gwarantowanych z zakresu podstawowej opieki zdrowotnej (Dz. </w:t>
            </w:r>
            <w:r w:rsidR="0088717F">
              <w:rPr>
                <w:rFonts w:eastAsia="MS Mincho" w:cs="Times New Roman"/>
                <w:bCs/>
                <w:color w:val="auto"/>
                <w:sz w:val="20"/>
                <w:szCs w:val="20"/>
              </w:rPr>
              <w:t>U</w:t>
            </w:r>
            <w:r w:rsidRPr="00532128">
              <w:rPr>
                <w:rFonts w:eastAsia="MS Mincho" w:cs="Times New Roman"/>
                <w:bCs/>
                <w:color w:val="auto"/>
                <w:sz w:val="20"/>
                <w:szCs w:val="20"/>
              </w:rPr>
              <w:t>. z 2021 r. poz. 540) w przypadkach uzasadnionych stanem zdrowia świadczenia pielęgniarki podstawowej opieki zdrowotnej udzielane są w domu świadczeniobiorcy – dotyczy to pobierania materiału do badań diagnostycznych.</w:t>
            </w:r>
          </w:p>
          <w:p w14:paraId="3B24B910" w14:textId="77777777" w:rsidR="00F81CD9" w:rsidRPr="00532128" w:rsidRDefault="00F81CD9" w:rsidP="00F81CD9">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p>
          <w:p w14:paraId="0ADC7E8C" w14:textId="2F511D1E" w:rsidR="00F81CD9" w:rsidRPr="00532128" w:rsidRDefault="00F81CD9" w:rsidP="00F81CD9">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 xml:space="preserve">W obrębie świadczeń pielęgnacyjnych i opiekuńczych z zakresu opieki długoterminowej, w 2020 </w:t>
            </w:r>
            <w:r w:rsidR="00DE4208">
              <w:rPr>
                <w:rFonts w:eastAsia="MS Mincho" w:cs="Times New Roman"/>
                <w:bCs/>
                <w:color w:val="auto"/>
                <w:sz w:val="20"/>
                <w:szCs w:val="20"/>
              </w:rPr>
              <w:t>r. w ramach NFZ funkcjonowało 1 </w:t>
            </w:r>
            <w:r w:rsidRPr="00532128">
              <w:rPr>
                <w:rFonts w:eastAsia="MS Mincho" w:cs="Times New Roman"/>
                <w:bCs/>
                <w:color w:val="auto"/>
                <w:sz w:val="20"/>
                <w:szCs w:val="20"/>
              </w:rPr>
              <w:t xml:space="preserve">938 podmiotów realizujących ten rodzaj świadczeń, w tym 460 ośrodków pomocy stacjonarnej oraz 1 557 ośrodków pomocy domowej (część ośrodków udzielała świadczeń w warunkach stacjonarnych i domowych). Ze świadczeń pielęgnacyjnych </w:t>
            </w:r>
            <w:r w:rsidRPr="00532128">
              <w:rPr>
                <w:rFonts w:eastAsia="MS Mincho" w:cs="Times New Roman"/>
                <w:bCs/>
                <w:color w:val="auto"/>
                <w:sz w:val="20"/>
                <w:szCs w:val="20"/>
              </w:rPr>
              <w:lastRenderedPageBreak/>
              <w:t>i</w:t>
            </w:r>
            <w:r w:rsidR="00DE4208">
              <w:rPr>
                <w:rFonts w:eastAsia="MS Mincho" w:cs="Times New Roman"/>
                <w:bCs/>
                <w:color w:val="auto"/>
                <w:sz w:val="20"/>
                <w:szCs w:val="20"/>
              </w:rPr>
              <w:t> </w:t>
            </w:r>
            <w:r w:rsidRPr="00532128">
              <w:rPr>
                <w:rFonts w:eastAsia="MS Mincho" w:cs="Times New Roman"/>
                <w:bCs/>
                <w:color w:val="auto"/>
                <w:sz w:val="20"/>
                <w:szCs w:val="20"/>
              </w:rPr>
              <w:t>opiekuńczych w ramach NFZ sk</w:t>
            </w:r>
            <w:r w:rsidR="00DE4208">
              <w:rPr>
                <w:rFonts w:eastAsia="MS Mincho" w:cs="Times New Roman"/>
                <w:bCs/>
                <w:color w:val="auto"/>
                <w:sz w:val="20"/>
                <w:szCs w:val="20"/>
              </w:rPr>
              <w:t>orzystało 108 tys. pacjentów, z </w:t>
            </w:r>
            <w:r w:rsidRPr="00532128">
              <w:rPr>
                <w:rFonts w:eastAsia="MS Mincho" w:cs="Times New Roman"/>
                <w:bCs/>
                <w:color w:val="auto"/>
                <w:sz w:val="20"/>
                <w:szCs w:val="20"/>
              </w:rPr>
              <w:t xml:space="preserve">czego 91,5 tys. stanowili pacjenci w wieku 65 lat i więcej, wykazujący problemy z samodzielnym wykonywaniem codziennych czynności. </w:t>
            </w:r>
          </w:p>
          <w:p w14:paraId="47EF6B45" w14:textId="77777777" w:rsidR="00F81CD9" w:rsidRPr="00532128" w:rsidRDefault="00F81CD9" w:rsidP="00F81CD9">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 xml:space="preserve"> </w:t>
            </w:r>
          </w:p>
          <w:p w14:paraId="46F30890" w14:textId="77777777" w:rsidR="00F81CD9" w:rsidRPr="00532128" w:rsidRDefault="00F81CD9" w:rsidP="00F81CD9">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 xml:space="preserve">Natomiast, w  zakresie wizyt pielęgniarki środowiskowej, w 2020  r. przeprowadzono ich 1,91 mln, z czego 1,61 mln wizyt (84,2%) udzielono pacjentom w wieku 65+ (0,52 mln wizyt dotyczyło pacjentów w grupie wiekowej 65-79 lat, a 1,09 mln wizyt pacjentów w grupie wiekowej 80+). </w:t>
            </w:r>
          </w:p>
          <w:p w14:paraId="3324F2DD" w14:textId="77777777" w:rsidR="00DE4208" w:rsidRDefault="00DE4208" w:rsidP="00F81CD9">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szCs w:val="20"/>
              </w:rPr>
            </w:pPr>
          </w:p>
          <w:p w14:paraId="749C55A0" w14:textId="7A23313D" w:rsidR="00311D18" w:rsidRPr="00532128" w:rsidRDefault="00F81CD9" w:rsidP="00F81CD9">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szCs w:val="20"/>
                <w:u w:val="single"/>
              </w:rPr>
            </w:pPr>
            <w:r w:rsidRPr="00532128">
              <w:rPr>
                <w:rFonts w:eastAsia="MS Mincho" w:cs="Times New Roman"/>
                <w:bCs/>
                <w:color w:val="auto"/>
                <w:sz w:val="20"/>
                <w:szCs w:val="20"/>
              </w:rPr>
              <w:t xml:space="preserve">W zakresie opieki psychiatrycznej </w:t>
            </w:r>
            <w:r w:rsidR="00DE4208">
              <w:rPr>
                <w:rFonts w:eastAsia="MS Mincho" w:cs="Times New Roman"/>
                <w:bCs/>
                <w:color w:val="auto"/>
                <w:sz w:val="20"/>
                <w:szCs w:val="20"/>
              </w:rPr>
              <w:t>i leczenia uzależnień od dnia 1 </w:t>
            </w:r>
            <w:r w:rsidRPr="00532128">
              <w:rPr>
                <w:rFonts w:eastAsia="MS Mincho" w:cs="Times New Roman"/>
                <w:bCs/>
                <w:color w:val="auto"/>
                <w:sz w:val="20"/>
                <w:szCs w:val="20"/>
              </w:rPr>
              <w:t xml:space="preserve">lipca 2018 r. w ramach umowy z NFZ funkcjonują centra zdrowia psychicznego, których działalność wpisuje się w projekt  </w:t>
            </w:r>
            <w:proofErr w:type="spellStart"/>
            <w:r w:rsidRPr="00532128">
              <w:rPr>
                <w:rFonts w:eastAsia="MS Mincho" w:cs="Times New Roman"/>
                <w:bCs/>
                <w:color w:val="auto"/>
                <w:sz w:val="20"/>
                <w:szCs w:val="20"/>
              </w:rPr>
              <w:t>deinstytucjonalizacji</w:t>
            </w:r>
            <w:proofErr w:type="spellEnd"/>
            <w:r w:rsidRPr="00532128">
              <w:rPr>
                <w:rFonts w:eastAsia="MS Mincho" w:cs="Times New Roman"/>
                <w:bCs/>
                <w:color w:val="auto"/>
                <w:sz w:val="20"/>
                <w:szCs w:val="20"/>
              </w:rPr>
              <w:t xml:space="preserve"> i rozwoju opieki środowiskowej. W ramach pilotażu powstało 29 centrów w Polsce. Obejmują one opieką osoby dorosłe (w tym osoby pow. 60 r.ż.) zamieszkujące dany obszar terytorialny i korzystające z opieki psychiatrycznej. Działalność CZP polega na zapewnieniu adekwatnej do potrzeb pomocy psychiatrycznej, psychologicznej i psychoterapeutycznej wszystkim potrzebującym mieszkańcom, przy czym osoba zwana koordynatorem monitoruje stan zdrowia pacjenta oraz współpracuje z pomocą społeczną.</w:t>
            </w:r>
          </w:p>
        </w:tc>
      </w:tr>
      <w:tr w:rsidR="0092226B" w:rsidRPr="0092226B" w14:paraId="1BBA0C9E" w14:textId="77777777" w:rsidTr="002D4784">
        <w:trPr>
          <w:trHeight w:val="199"/>
        </w:trPr>
        <w:tc>
          <w:tcPr>
            <w:cnfStyle w:val="001000000000" w:firstRow="0" w:lastRow="0" w:firstColumn="1" w:lastColumn="0" w:oddVBand="0" w:evenVBand="0" w:oddHBand="0" w:evenHBand="0" w:firstRowFirstColumn="0" w:firstRowLastColumn="0" w:lastRowFirstColumn="0" w:lastRowLastColumn="0"/>
            <w:tcW w:w="1232" w:type="dxa"/>
            <w:vMerge/>
          </w:tcPr>
          <w:p w14:paraId="565B1756" w14:textId="77777777" w:rsidR="00311D18" w:rsidRPr="0092226B" w:rsidRDefault="00311D18" w:rsidP="003C1988">
            <w:pPr>
              <w:rPr>
                <w:rFonts w:cs="Times New Roman"/>
                <w:color w:val="FF0000"/>
                <w:sz w:val="20"/>
              </w:rPr>
            </w:pPr>
          </w:p>
        </w:tc>
        <w:tc>
          <w:tcPr>
            <w:tcW w:w="3594" w:type="dxa"/>
            <w:vMerge w:val="restart"/>
          </w:tcPr>
          <w:p w14:paraId="7F9B10CF"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532128">
              <w:rPr>
                <w:rFonts w:ascii="Times New Roman" w:eastAsia="MS Mincho" w:hAnsi="Times New Roman"/>
                <w:color w:val="auto"/>
                <w:sz w:val="20"/>
              </w:rPr>
              <w:t>Prowadzenie działań mających na celu zwiększenie dostępności świadczeń rehabilitacyjnych</w:t>
            </w:r>
          </w:p>
          <w:p w14:paraId="7AE0DBD8"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val="restart"/>
          </w:tcPr>
          <w:p w14:paraId="1F5ED70C"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tc>
        <w:tc>
          <w:tcPr>
            <w:tcW w:w="1500" w:type="dxa"/>
            <w:vMerge w:val="restart"/>
          </w:tcPr>
          <w:p w14:paraId="146C984A"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2018-2020</w:t>
            </w:r>
          </w:p>
        </w:tc>
        <w:tc>
          <w:tcPr>
            <w:tcW w:w="5638" w:type="dxa"/>
          </w:tcPr>
          <w:p w14:paraId="251B19D0"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Poziom  dostępności świadczeń rehabilitacyjnych</w:t>
            </w:r>
          </w:p>
        </w:tc>
      </w:tr>
      <w:tr w:rsidR="0092226B" w:rsidRPr="0092226B" w14:paraId="0BB26CAF"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4B82CAE3" w14:textId="77777777" w:rsidR="00311D18" w:rsidRPr="0092226B" w:rsidRDefault="00311D18" w:rsidP="003C1988">
            <w:pPr>
              <w:rPr>
                <w:rFonts w:cs="Times New Roman"/>
                <w:color w:val="FF0000"/>
                <w:sz w:val="20"/>
              </w:rPr>
            </w:pPr>
          </w:p>
        </w:tc>
        <w:tc>
          <w:tcPr>
            <w:tcW w:w="3594" w:type="dxa"/>
            <w:vMerge/>
          </w:tcPr>
          <w:p w14:paraId="73AE36DC"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7D7B924D"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08A881E5"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438BF3A6" w14:textId="454EFD58" w:rsidR="00F81CD9" w:rsidRPr="00532128" w:rsidRDefault="00F81CD9" w:rsidP="00F81CD9">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Od 2020 r. realizowany jest program pn. „Świadczenia medyczne Narodowego Funduszu Zdrowia dla osób niepełnosprawnych na lata 2020–2021”, mający na celu wsparcie zdrowotne osób niepełnosprawnych powyżej 16. roku życia posiadających orzeczenie o lekkim albo umiarkowanym stopniu niepełnosprawności albo orzeczenie równoważne do tych dwóch stopni (w rozumieniu przepisów usta</w:t>
            </w:r>
            <w:r w:rsidR="00DE4208">
              <w:rPr>
                <w:rFonts w:cs="Times New Roman"/>
                <w:color w:val="auto"/>
                <w:sz w:val="20"/>
              </w:rPr>
              <w:t>wy z dnia 27 sierpnia 1997 r. o </w:t>
            </w:r>
            <w:r w:rsidRPr="00532128">
              <w:rPr>
                <w:rFonts w:cs="Times New Roman"/>
                <w:color w:val="auto"/>
                <w:sz w:val="20"/>
              </w:rPr>
              <w:t xml:space="preserve">rehabilitacji zawodowej i społecznej oraz zatrudnianiu osób niepełnosprawnych. Świadczenia z zakresu rehabilitacji leczniczej mogą pozwolić beneficjentom programu na jak najpełniejszy powrót </w:t>
            </w:r>
            <w:r w:rsidRPr="00532128">
              <w:rPr>
                <w:rFonts w:cs="Times New Roman"/>
                <w:color w:val="auto"/>
                <w:sz w:val="20"/>
              </w:rPr>
              <w:lastRenderedPageBreak/>
              <w:t>do aktywności społecznej i życie w jak najmniejszym stopniu ograniczone barierami. Jedną z dodatkowych korzyści tego Programu może być podjęcie lub utrzymanie aktywności  społecznej przez osoby dotknięte niepełnosp</w:t>
            </w:r>
            <w:r w:rsidR="00DE4208">
              <w:rPr>
                <w:rFonts w:cs="Times New Roman"/>
                <w:color w:val="auto"/>
                <w:sz w:val="20"/>
              </w:rPr>
              <w:t>rawnością, którym świadczenia z </w:t>
            </w:r>
            <w:r w:rsidRPr="00532128">
              <w:rPr>
                <w:rFonts w:cs="Times New Roman"/>
                <w:color w:val="auto"/>
                <w:sz w:val="20"/>
              </w:rPr>
              <w:t>zakresu rehabilitacji leczniczej pozwolą na utrzymanie kondycji zdrowotnej i dobrej jakości funkcjonowania.</w:t>
            </w:r>
          </w:p>
          <w:p w14:paraId="6B0F0FC1" w14:textId="582B72D3" w:rsidR="00F81CD9" w:rsidRPr="00532128" w:rsidRDefault="00F81CD9" w:rsidP="00F81CD9">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Realizacja Programu pozwoli na przekazanie dodatkowych środków na leczenie osób niepełnosprawnyc</w:t>
            </w:r>
            <w:r w:rsidR="00DE4208">
              <w:rPr>
                <w:rFonts w:cs="Times New Roman"/>
                <w:color w:val="auto"/>
                <w:sz w:val="20"/>
              </w:rPr>
              <w:t>h, co powinno ułatwić dostęp do </w:t>
            </w:r>
            <w:r w:rsidRPr="00532128">
              <w:rPr>
                <w:rFonts w:cs="Times New Roman"/>
                <w:color w:val="auto"/>
                <w:sz w:val="20"/>
              </w:rPr>
              <w:t>świadczeń z zakresu rehabilitacji i przełożyć się na zwiększenie skuteczności podejmowanych działań rehabilitacyjnych.</w:t>
            </w:r>
          </w:p>
          <w:p w14:paraId="3BDC40E5"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p>
        </w:tc>
      </w:tr>
      <w:tr w:rsidR="0092226B" w:rsidRPr="0092226B" w14:paraId="19529403" w14:textId="77777777" w:rsidTr="002D4784">
        <w:trPr>
          <w:trHeight w:val="415"/>
        </w:trPr>
        <w:tc>
          <w:tcPr>
            <w:cnfStyle w:val="001000000000" w:firstRow="0" w:lastRow="0" w:firstColumn="1" w:lastColumn="0" w:oddVBand="0" w:evenVBand="0" w:oddHBand="0" w:evenHBand="0" w:firstRowFirstColumn="0" w:firstRowLastColumn="0" w:lastRowFirstColumn="0" w:lastRowLastColumn="0"/>
            <w:tcW w:w="1232" w:type="dxa"/>
            <w:vMerge/>
          </w:tcPr>
          <w:p w14:paraId="570020BB" w14:textId="77777777" w:rsidR="00311D18" w:rsidRPr="0092226B" w:rsidRDefault="00311D18" w:rsidP="003C1988">
            <w:pPr>
              <w:rPr>
                <w:rFonts w:cs="Times New Roman"/>
                <w:color w:val="FF0000"/>
                <w:sz w:val="20"/>
              </w:rPr>
            </w:pPr>
          </w:p>
        </w:tc>
        <w:tc>
          <w:tcPr>
            <w:tcW w:w="3594" w:type="dxa"/>
            <w:vMerge w:val="restart"/>
          </w:tcPr>
          <w:p w14:paraId="3AF497C0"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Zwiększenie dostępności świadczeń </w:t>
            </w:r>
            <w:r w:rsidRPr="00532128">
              <w:rPr>
                <w:rFonts w:ascii="Times New Roman" w:eastAsia="MS Mincho" w:hAnsi="Times New Roman"/>
                <w:color w:val="auto"/>
                <w:sz w:val="20"/>
              </w:rPr>
              <w:br/>
              <w:t>z zakresu geriatrii w systemie szpitalnym, w tym:</w:t>
            </w:r>
          </w:p>
          <w:p w14:paraId="546E7737" w14:textId="77777777" w:rsidR="00311D18" w:rsidRPr="00532128" w:rsidRDefault="00311D18" w:rsidP="002D4784">
            <w:pPr>
              <w:pStyle w:val="Kolorowalistaakcent11"/>
              <w:numPr>
                <w:ilvl w:val="0"/>
                <w:numId w:val="9"/>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upowszechnienie sytemu konsultacji geriatrycznych hospitalizowanych chorych osób starszych;</w:t>
            </w:r>
          </w:p>
          <w:p w14:paraId="2CE06A59" w14:textId="77777777" w:rsidR="00311D18" w:rsidRPr="00532128" w:rsidRDefault="00311D18" w:rsidP="002D4784">
            <w:pPr>
              <w:pStyle w:val="Kolorowalistaakcent11"/>
              <w:numPr>
                <w:ilvl w:val="0"/>
                <w:numId w:val="9"/>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zwiększenie liczby geriatrów zatrudnionych w systemie</w:t>
            </w:r>
          </w:p>
        </w:tc>
        <w:tc>
          <w:tcPr>
            <w:tcW w:w="2032" w:type="dxa"/>
            <w:vMerge w:val="restart"/>
          </w:tcPr>
          <w:p w14:paraId="385CAB5A"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tc>
        <w:tc>
          <w:tcPr>
            <w:tcW w:w="1500" w:type="dxa"/>
            <w:vMerge w:val="restart"/>
          </w:tcPr>
          <w:p w14:paraId="56267F6D"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1DF3495F"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wdrożonych rozwiązań mających na zwiększenie dostępności świadczeń z zakresu geriatrii w systemie szpitalnym</w:t>
            </w:r>
          </w:p>
        </w:tc>
      </w:tr>
      <w:tr w:rsidR="0092226B" w:rsidRPr="0092226B" w14:paraId="302E307A"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1004EA0B" w14:textId="77777777" w:rsidR="00311D18" w:rsidRPr="0092226B" w:rsidRDefault="00311D18" w:rsidP="003C1988">
            <w:pPr>
              <w:rPr>
                <w:rFonts w:cs="Times New Roman"/>
                <w:color w:val="FF0000"/>
                <w:sz w:val="20"/>
              </w:rPr>
            </w:pPr>
          </w:p>
        </w:tc>
        <w:tc>
          <w:tcPr>
            <w:tcW w:w="3594" w:type="dxa"/>
            <w:vMerge/>
          </w:tcPr>
          <w:p w14:paraId="27936F41"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5E1FE07C"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07F3E704"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32F2427F" w14:textId="77777777" w:rsidR="003C78EA" w:rsidRPr="00532128" w:rsidRDefault="003C78EA" w:rsidP="003C78EA">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 xml:space="preserve">Minister Zdrowia  traktuje geriatrię w sposób szczególny przyznając tyle rezydentur, o ile wnioskują wojewodowie i konsultant krajowy w dziedzinie geriatrii.  Wykonywanie zawodu lekarza geriatry niewątpliwie wymaga odpowiednich predyspozycji i dojrzałości emocjonalnej oraz doświadczenia zawodowego, rzadko zatem dziedzina ta wybierana jest przez młodych lekarzy po stażu podyplomowym. Stąd Minister Zdrowia nie wypełnia wszystkich wolnych miejsc szkoleniowych rezydenturami, aby nie blokować rozwoju zawodowego lekarzom, którzy mogą specjalizować się wyłącznie w trybie </w:t>
            </w:r>
            <w:proofErr w:type="spellStart"/>
            <w:r w:rsidRPr="00532128">
              <w:rPr>
                <w:rFonts w:eastAsia="MS Mincho" w:cs="Times New Roman"/>
                <w:bCs/>
                <w:color w:val="auto"/>
                <w:sz w:val="20"/>
              </w:rPr>
              <w:t>pozarezydenckim</w:t>
            </w:r>
            <w:proofErr w:type="spellEnd"/>
            <w:r w:rsidRPr="00532128">
              <w:rPr>
                <w:rFonts w:eastAsia="MS Mincho" w:cs="Times New Roman"/>
                <w:bCs/>
                <w:color w:val="auto"/>
                <w:sz w:val="20"/>
              </w:rPr>
              <w:t>.</w:t>
            </w:r>
          </w:p>
          <w:p w14:paraId="7DE3A66A" w14:textId="77777777" w:rsidR="0088717F" w:rsidRDefault="003C78EA" w:rsidP="003C78EA">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 xml:space="preserve"> Ponadto:</w:t>
            </w:r>
          </w:p>
          <w:p w14:paraId="12EDC4E7" w14:textId="16989DF8" w:rsidR="003C78EA" w:rsidRPr="00532128" w:rsidRDefault="003C78EA" w:rsidP="003C78EA">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 zwiększono liczbę uczelni kształ</w:t>
            </w:r>
            <w:r w:rsidR="00DE4208">
              <w:rPr>
                <w:rFonts w:eastAsia="MS Mincho" w:cs="Times New Roman"/>
                <w:bCs/>
                <w:color w:val="auto"/>
                <w:sz w:val="20"/>
              </w:rPr>
              <w:t>cących na kierunku lekarskim, a </w:t>
            </w:r>
            <w:r w:rsidRPr="00532128">
              <w:rPr>
                <w:rFonts w:eastAsia="MS Mincho" w:cs="Times New Roman"/>
                <w:bCs/>
                <w:color w:val="auto"/>
                <w:sz w:val="20"/>
              </w:rPr>
              <w:t>tym samym zwiększono limit przyjęć na uczelnie kształcące na kierunku lekarskim,</w:t>
            </w:r>
          </w:p>
          <w:p w14:paraId="46A77F53" w14:textId="57A3B4D9" w:rsidR="003C78EA" w:rsidRPr="00532128" w:rsidRDefault="00DE4208" w:rsidP="003C78EA">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 </w:t>
            </w:r>
            <w:r w:rsidR="003C78EA" w:rsidRPr="00532128">
              <w:rPr>
                <w:rFonts w:eastAsia="MS Mincho" w:cs="Times New Roman"/>
                <w:bCs/>
                <w:color w:val="auto"/>
                <w:sz w:val="20"/>
              </w:rPr>
              <w:t>przyspieszono o rok możliwość zdawania Lekarskiego Egzaminu Końcowego na ostatnim roku studiów (dotychczas po ukończeniu studiów),</w:t>
            </w:r>
          </w:p>
          <w:p w14:paraId="22CC6FD7" w14:textId="658253E8" w:rsidR="003C78EA" w:rsidRPr="00532128" w:rsidRDefault="00DE4208" w:rsidP="003C78EA">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 </w:t>
            </w:r>
            <w:r w:rsidR="003C78EA" w:rsidRPr="00532128">
              <w:rPr>
                <w:rFonts w:eastAsia="MS Mincho" w:cs="Times New Roman"/>
                <w:bCs/>
                <w:color w:val="auto"/>
                <w:sz w:val="20"/>
              </w:rPr>
              <w:t>wprowadzono do stażu podyplomowego lekarzy części personalizowanej, w ramach której będą mogli oni odbyć również staż na oddziale geriatrii,</w:t>
            </w:r>
          </w:p>
          <w:p w14:paraId="17EB5909" w14:textId="03280AE9" w:rsidR="003C78EA" w:rsidRPr="00532128" w:rsidRDefault="00DE4208" w:rsidP="003C78EA">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lastRenderedPageBreak/>
              <w:t>• </w:t>
            </w:r>
            <w:r w:rsidR="003C78EA" w:rsidRPr="00532128">
              <w:rPr>
                <w:rFonts w:eastAsia="MS Mincho" w:cs="Times New Roman"/>
                <w:bCs/>
                <w:color w:val="auto"/>
                <w:sz w:val="20"/>
              </w:rPr>
              <w:t>wprowadzono centralny nabór na wolne miejs</w:t>
            </w:r>
            <w:r>
              <w:rPr>
                <w:rFonts w:eastAsia="MS Mincho" w:cs="Times New Roman"/>
                <w:bCs/>
                <w:color w:val="auto"/>
                <w:sz w:val="20"/>
              </w:rPr>
              <w:t>ca specjalizacyjne w </w:t>
            </w:r>
            <w:r w:rsidR="003C78EA" w:rsidRPr="00532128">
              <w:rPr>
                <w:rFonts w:eastAsia="MS Mincho" w:cs="Times New Roman"/>
                <w:bCs/>
                <w:color w:val="auto"/>
                <w:sz w:val="20"/>
              </w:rPr>
              <w:t>całym kraju, w tym w dziedzinie geriatrii, a nie jak dotychczas ograniczającego się do granic województwa. Nabór na wolne miejsca specjalizacyjne dla lekarzy i lekarzy dentystów, a także całość monitorowania kształcenia specjalizacyjnego odbywać się będzie od 2022 r. wyłącznie za pośrednictwem systemu elektronicznego pn. Systemu Monitorowania Kształcenia  Pracowników Medycznych (SMK), co z jednej strony zapewni transparentny centralny rozdział miejsc specjalizacyjnych dla lekarzy i lekarzy dentystów, z drugiej strony umożliwi wielu uprawnionym instytucjom wgląd w proces szkolenia oraz monitorowania jakości ustawicznego szkolenia zawodowego kadry lekarskiej.</w:t>
            </w:r>
          </w:p>
          <w:p w14:paraId="3AC35E26" w14:textId="6ADA5DC7" w:rsidR="003C78EA" w:rsidRPr="00532128" w:rsidRDefault="00DE4208" w:rsidP="003C78EA">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 </w:t>
            </w:r>
            <w:r w:rsidR="003C78EA" w:rsidRPr="00532128">
              <w:rPr>
                <w:rFonts w:eastAsia="MS Mincho" w:cs="Times New Roman"/>
                <w:bCs/>
                <w:color w:val="auto"/>
                <w:sz w:val="20"/>
              </w:rPr>
              <w:t>uelastyczniono sam proces szkolenia specjalizacyjnego, w tym odbywania dyżurów medycznych,</w:t>
            </w:r>
          </w:p>
          <w:p w14:paraId="73FFB443" w14:textId="11BCE26B" w:rsidR="003C78EA" w:rsidRPr="00532128" w:rsidRDefault="00DE4208" w:rsidP="003C78EA">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 </w:t>
            </w:r>
            <w:r w:rsidR="003C78EA" w:rsidRPr="00532128">
              <w:rPr>
                <w:rFonts w:eastAsia="MS Mincho" w:cs="Times New Roman"/>
                <w:bCs/>
                <w:color w:val="auto"/>
                <w:sz w:val="20"/>
              </w:rPr>
              <w:t xml:space="preserve">wprowadzono tzw. „bonu patriotycznego”, dzięki któremu lekarze odbywający szkolenie specjalizacyjne w ramach rezydentury mogą otrzymać wynagrodzenie większe o 600 zł miesięcznie (dziedzina </w:t>
            </w:r>
            <w:proofErr w:type="spellStart"/>
            <w:r w:rsidR="003C78EA" w:rsidRPr="00532128">
              <w:rPr>
                <w:rFonts w:eastAsia="MS Mincho" w:cs="Times New Roman"/>
                <w:bCs/>
                <w:color w:val="auto"/>
                <w:sz w:val="20"/>
              </w:rPr>
              <w:t>niepriorytetowa</w:t>
            </w:r>
            <w:proofErr w:type="spellEnd"/>
            <w:r w:rsidR="003C78EA" w:rsidRPr="00532128">
              <w:rPr>
                <w:rFonts w:eastAsia="MS Mincho" w:cs="Times New Roman"/>
                <w:bCs/>
                <w:color w:val="auto"/>
                <w:sz w:val="20"/>
              </w:rPr>
              <w:t>) lub 700 zł miesięcznie (dziedzina pr</w:t>
            </w:r>
            <w:r>
              <w:rPr>
                <w:rFonts w:eastAsia="MS Mincho" w:cs="Times New Roman"/>
                <w:bCs/>
                <w:color w:val="auto"/>
                <w:sz w:val="20"/>
              </w:rPr>
              <w:t>iorytetowa, w </w:t>
            </w:r>
            <w:r w:rsidR="003C78EA" w:rsidRPr="00532128">
              <w:rPr>
                <w:rFonts w:eastAsia="MS Mincho" w:cs="Times New Roman"/>
                <w:bCs/>
                <w:color w:val="auto"/>
                <w:sz w:val="20"/>
              </w:rPr>
              <w:t>tym z geriatrii). Aby otrzymać wyższe wynagrodzenie zasadnicze lekarz musi zobowiązać się do przepracowania w podmiocie leczniczym, finansowanym ze środków publicznych łącznie dwa lata w ciągu kolejnych pięciu lat następujących po zakończeniu szkolenia specjalizacyjnego,</w:t>
            </w:r>
          </w:p>
          <w:p w14:paraId="33B37417" w14:textId="6C1B0D68" w:rsidR="003C78EA" w:rsidRPr="00532128" w:rsidRDefault="00DE4208" w:rsidP="003C78EA">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 </w:t>
            </w:r>
            <w:r w:rsidR="003C78EA" w:rsidRPr="00532128">
              <w:rPr>
                <w:rFonts w:eastAsia="MS Mincho" w:cs="Times New Roman"/>
                <w:bCs/>
                <w:color w:val="auto"/>
                <w:sz w:val="20"/>
              </w:rPr>
              <w:t>przyspieszono o rok możliwość zdawania Państwowego Egzaminu Specjalizacyjnego na ostatnim roku szkolenia specjalizacyjnego (dotychczas po ukończeniu s</w:t>
            </w:r>
            <w:r>
              <w:rPr>
                <w:rFonts w:eastAsia="MS Mincho" w:cs="Times New Roman"/>
                <w:bCs/>
                <w:color w:val="auto"/>
                <w:sz w:val="20"/>
              </w:rPr>
              <w:t>zkolenia specjalizacyjnego), co </w:t>
            </w:r>
            <w:r w:rsidR="003C78EA" w:rsidRPr="00532128">
              <w:rPr>
                <w:rFonts w:eastAsia="MS Mincho" w:cs="Times New Roman"/>
                <w:bCs/>
                <w:color w:val="auto"/>
                <w:sz w:val="20"/>
              </w:rPr>
              <w:t>ostatecznie zniweluje luki czasowe w oczek</w:t>
            </w:r>
            <w:r>
              <w:rPr>
                <w:rFonts w:eastAsia="MS Mincho" w:cs="Times New Roman"/>
                <w:bCs/>
                <w:color w:val="auto"/>
                <w:sz w:val="20"/>
              </w:rPr>
              <w:t>iwaniu na egzamin i </w:t>
            </w:r>
            <w:r w:rsidR="003C78EA" w:rsidRPr="00532128">
              <w:rPr>
                <w:rFonts w:eastAsia="MS Mincho" w:cs="Times New Roman"/>
                <w:bCs/>
                <w:color w:val="auto"/>
                <w:sz w:val="20"/>
              </w:rPr>
              <w:t>przyspieszać będzie wchodzenie do systemu opieki zdrowotnej nowych lekarzy specjalistów</w:t>
            </w:r>
            <w:r w:rsidR="0088717F">
              <w:rPr>
                <w:rFonts w:eastAsia="MS Mincho" w:cs="Times New Roman"/>
                <w:bCs/>
                <w:color w:val="auto"/>
                <w:sz w:val="20"/>
              </w:rPr>
              <w:t>,</w:t>
            </w:r>
          </w:p>
          <w:p w14:paraId="067952AD" w14:textId="2C0E8290" w:rsidR="003C78EA" w:rsidRPr="00532128" w:rsidRDefault="00DE4208" w:rsidP="003C78EA">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 </w:t>
            </w:r>
            <w:r w:rsidR="003C78EA" w:rsidRPr="00532128">
              <w:rPr>
                <w:rFonts w:eastAsia="MS Mincho" w:cs="Times New Roman"/>
                <w:bCs/>
                <w:color w:val="auto"/>
                <w:sz w:val="20"/>
              </w:rPr>
              <w:t xml:space="preserve">zweryfikowano wszystkie przepisy prawne pod katem utrzymania ciągłości kształcenia kadr medycznych w czasie ogłoszenia stanu epidemii, w tym za pomocą kształcenia zdalnego oraz przeorganizowaniu całego systemu ochrony zdrowia na potrzeby </w:t>
            </w:r>
            <w:r w:rsidR="003C78EA" w:rsidRPr="00532128">
              <w:rPr>
                <w:rFonts w:eastAsia="MS Mincho" w:cs="Times New Roman"/>
                <w:bCs/>
                <w:color w:val="auto"/>
                <w:sz w:val="20"/>
              </w:rPr>
              <w:lastRenderedPageBreak/>
              <w:t xml:space="preserve">likwidacji skutków epidemii z jednoczesnym zachowaniem jakości kształcenia studentów oraz lekarzy odbywających staż podyplomowy, czy szkolenie specjalizacyjne, </w:t>
            </w:r>
          </w:p>
          <w:p w14:paraId="776572CA" w14:textId="17A3AA80" w:rsidR="003C78EA" w:rsidRPr="00532128" w:rsidRDefault="00DE4208" w:rsidP="003C78EA">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Pr>
                <w:rFonts w:eastAsia="MS Mincho" w:cs="Times New Roman"/>
                <w:bCs/>
                <w:color w:val="auto"/>
                <w:sz w:val="20"/>
              </w:rPr>
              <w:t>• </w:t>
            </w:r>
            <w:r w:rsidR="003C78EA" w:rsidRPr="00532128">
              <w:rPr>
                <w:rFonts w:eastAsia="MS Mincho" w:cs="Times New Roman"/>
                <w:bCs/>
                <w:color w:val="auto"/>
                <w:sz w:val="20"/>
              </w:rPr>
              <w:t>podwyższono do kwoty 6750 zł brutto miesięcznie wynagrodzenie zasadnicze lekarzy specjalistów spełniających odpowiednie warunki. Taki instrument wprowadz</w:t>
            </w:r>
            <w:r>
              <w:rPr>
                <w:rFonts w:eastAsia="MS Mincho" w:cs="Times New Roman"/>
                <w:bCs/>
                <w:color w:val="auto"/>
                <w:sz w:val="20"/>
              </w:rPr>
              <w:t>ono ustawą  z dnia 5 lipca 2018 </w:t>
            </w:r>
            <w:r w:rsidR="003C78EA" w:rsidRPr="00532128">
              <w:rPr>
                <w:rFonts w:eastAsia="MS Mincho" w:cs="Times New Roman"/>
                <w:bCs/>
                <w:color w:val="auto"/>
                <w:sz w:val="20"/>
              </w:rPr>
              <w:t>r. o zmianie ustawy o świadczeniach opieki zdrowotnej finansowanych ze środków publicznych oraz niektórych innych ustaw (Dz.</w:t>
            </w:r>
            <w:r w:rsidR="0088717F">
              <w:rPr>
                <w:rFonts w:eastAsia="MS Mincho" w:cs="Times New Roman"/>
                <w:bCs/>
                <w:color w:val="auto"/>
                <w:sz w:val="20"/>
              </w:rPr>
              <w:t xml:space="preserve"> </w:t>
            </w:r>
            <w:r>
              <w:rPr>
                <w:rFonts w:eastAsia="MS Mincho" w:cs="Times New Roman"/>
                <w:bCs/>
                <w:color w:val="auto"/>
                <w:sz w:val="20"/>
              </w:rPr>
              <w:t>U. poz. 1532).</w:t>
            </w:r>
          </w:p>
          <w:p w14:paraId="09F19537" w14:textId="62B16791" w:rsidR="003C78EA" w:rsidRPr="00532128" w:rsidRDefault="003C78EA" w:rsidP="003C78EA">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Ministerstwo Zdrowia  opracowało projekt ustawy o zmianie ustawy – Prawo o szkolnictwie wyższym i nauce oraz ustawy o zawodach lekarza i lekarza dentysty. Projekt ten dotyczyć będzie możliwości uzyskania kredytów przez studen</w:t>
            </w:r>
            <w:r w:rsidR="00DE4208">
              <w:rPr>
                <w:rFonts w:eastAsia="MS Mincho" w:cs="Times New Roman"/>
                <w:bCs/>
                <w:color w:val="auto"/>
                <w:sz w:val="20"/>
              </w:rPr>
              <w:t xml:space="preserve">tów odbywających kształcenie na </w:t>
            </w:r>
            <w:r w:rsidRPr="00532128">
              <w:rPr>
                <w:rFonts w:eastAsia="MS Mincho" w:cs="Times New Roman"/>
                <w:bCs/>
                <w:color w:val="auto"/>
                <w:sz w:val="20"/>
              </w:rPr>
              <w:t>studiach na kierunku lekarskim prowadzone w formie niestacjonarnej, w języku polsk</w:t>
            </w:r>
            <w:r w:rsidR="00DE4208">
              <w:rPr>
                <w:rFonts w:eastAsia="MS Mincho" w:cs="Times New Roman"/>
                <w:bCs/>
                <w:color w:val="auto"/>
                <w:sz w:val="20"/>
              </w:rPr>
              <w:t>im, na uczelniach publicznych i </w:t>
            </w:r>
            <w:r w:rsidRPr="00532128">
              <w:rPr>
                <w:rFonts w:eastAsia="MS Mincho" w:cs="Times New Roman"/>
                <w:bCs/>
                <w:color w:val="auto"/>
                <w:sz w:val="20"/>
              </w:rPr>
              <w:t xml:space="preserve">niepublicznych. Studenci, którzy </w:t>
            </w:r>
            <w:r w:rsidR="00DE4208">
              <w:rPr>
                <w:rFonts w:eastAsia="MS Mincho" w:cs="Times New Roman"/>
                <w:bCs/>
                <w:color w:val="auto"/>
                <w:sz w:val="20"/>
              </w:rPr>
              <w:t>zdecydują się na skorzystanie z </w:t>
            </w:r>
            <w:r w:rsidRPr="00532128">
              <w:rPr>
                <w:rFonts w:eastAsia="MS Mincho" w:cs="Times New Roman"/>
                <w:bCs/>
                <w:color w:val="auto"/>
                <w:sz w:val="20"/>
              </w:rPr>
              <w:t>kredytu na studia medyczne, uzyskają możliwość pokrycia częściowego albo całkowitego ko</w:t>
            </w:r>
            <w:r w:rsidR="00DE4208">
              <w:rPr>
                <w:rFonts w:eastAsia="MS Mincho" w:cs="Times New Roman"/>
                <w:bCs/>
                <w:color w:val="auto"/>
                <w:sz w:val="20"/>
              </w:rPr>
              <w:t>sztu kształcenia na studiach ze </w:t>
            </w:r>
            <w:r w:rsidRPr="00532128">
              <w:rPr>
                <w:rFonts w:eastAsia="MS Mincho" w:cs="Times New Roman"/>
                <w:bCs/>
                <w:color w:val="auto"/>
                <w:sz w:val="20"/>
              </w:rPr>
              <w:t xml:space="preserve">środków pochodzących z </w:t>
            </w:r>
            <w:r w:rsidR="00DE4208">
              <w:rPr>
                <w:rFonts w:eastAsia="MS Mincho" w:cs="Times New Roman"/>
                <w:bCs/>
                <w:color w:val="auto"/>
                <w:sz w:val="20"/>
              </w:rPr>
              <w:t>budżetu państwa, a następnie po </w:t>
            </w:r>
            <w:r w:rsidRPr="00532128">
              <w:rPr>
                <w:rFonts w:eastAsia="MS Mincho" w:cs="Times New Roman"/>
                <w:bCs/>
                <w:color w:val="auto"/>
                <w:sz w:val="20"/>
              </w:rPr>
              <w:t>spełnieniu warunków określonych w projektowanej ustawie, jego częściowego lub całkowitego umorzenia. Ww. kredyt będzie miał preferencyjny charakter przejawiający się, m.in.: niskim oprocentowaniem, możliwością wy</w:t>
            </w:r>
            <w:r w:rsidR="00DE4208">
              <w:rPr>
                <w:rFonts w:eastAsia="MS Mincho" w:cs="Times New Roman"/>
                <w:bCs/>
                <w:color w:val="auto"/>
                <w:sz w:val="20"/>
              </w:rPr>
              <w:t>stąpienia przez kredytobiorcę o </w:t>
            </w:r>
            <w:r w:rsidRPr="00532128">
              <w:rPr>
                <w:rFonts w:eastAsia="MS Mincho" w:cs="Times New Roman"/>
                <w:bCs/>
                <w:color w:val="auto"/>
                <w:sz w:val="20"/>
              </w:rPr>
              <w:t>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Przyjęte w opisanym projekcie regulacje z pewnością będą stanowić istotny czynnik zmierzający do podejmowania studiów medycznych w naszym kraju.</w:t>
            </w:r>
          </w:p>
          <w:p w14:paraId="13F60CC4" w14:textId="77777777" w:rsidR="003C78EA" w:rsidRPr="00532128" w:rsidRDefault="003C78EA" w:rsidP="003C78EA">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lastRenderedPageBreak/>
              <w:t xml:space="preserve">Zniesiono również barierę proceduralną tj. obowiązek uzyskania zgody Ministra Zdrowia na odbywanie szkolenia specjalizacyjnego w Polsce przez cudzoziemców spoza UE. Lekarze cudzoziemcy dzięki temu mogą odbywać szkolenie specjalizacyjne na zasadach obowiązujących obywateli polskich. </w:t>
            </w:r>
          </w:p>
          <w:p w14:paraId="61546E01" w14:textId="56B278BC" w:rsidR="00F97CCB" w:rsidRPr="00532128" w:rsidRDefault="003C78EA" w:rsidP="003C78EA">
            <w:pPr>
              <w:cnfStyle w:val="000000100000" w:firstRow="0" w:lastRow="0" w:firstColumn="0" w:lastColumn="0" w:oddVBand="0" w:evenVBand="0" w:oddHBand="1" w:evenHBand="0" w:firstRowFirstColumn="0" w:firstRowLastColumn="0" w:lastRowFirstColumn="0" w:lastRowLastColumn="0"/>
              <w:rPr>
                <w:rFonts w:eastAsia="MS Mincho" w:cs="Times New Roman"/>
                <w:bCs/>
                <w:color w:val="auto"/>
                <w:sz w:val="20"/>
              </w:rPr>
            </w:pPr>
            <w:r w:rsidRPr="00532128">
              <w:rPr>
                <w:rFonts w:eastAsia="MS Mincho" w:cs="Times New Roman"/>
                <w:bCs/>
                <w:color w:val="auto"/>
                <w:sz w:val="20"/>
              </w:rPr>
              <w:t xml:space="preserve">Dodatkowo skrócono </w:t>
            </w:r>
            <w:r w:rsidR="00DE4208">
              <w:rPr>
                <w:rFonts w:eastAsia="MS Mincho" w:cs="Times New Roman"/>
                <w:bCs/>
                <w:color w:val="auto"/>
                <w:sz w:val="20"/>
              </w:rPr>
              <w:t>proces uzyskiwania uprawnień do </w:t>
            </w:r>
            <w:r w:rsidRPr="00532128">
              <w:rPr>
                <w:rFonts w:eastAsia="MS Mincho" w:cs="Times New Roman"/>
                <w:bCs/>
                <w:color w:val="auto"/>
                <w:sz w:val="20"/>
              </w:rPr>
              <w:t>wykonywania zawodu lekarzy i lekarzy dentystów, którzy uzyskali swoje dyplomy poza UE, w tym obywateli polskich studiujących poza UE. W tym celu przygotowano dla nich nowy egzamin Lekarski Egzamin Weryfikacyjny (LEW) i Lekarsko-dentystyczny Egzamin Weryfikacyjny (LDEW) - przepisy wykonawcze dot. egzami</w:t>
            </w:r>
            <w:r w:rsidR="00DE4208">
              <w:rPr>
                <w:rFonts w:eastAsia="MS Mincho" w:cs="Times New Roman"/>
                <w:bCs/>
                <w:color w:val="auto"/>
                <w:sz w:val="20"/>
              </w:rPr>
              <w:t>nów LEW i LDEW weszły w życie 1 </w:t>
            </w:r>
            <w:r w:rsidRPr="00532128">
              <w:rPr>
                <w:rFonts w:eastAsia="MS Mincho" w:cs="Times New Roman"/>
                <w:bCs/>
                <w:color w:val="auto"/>
                <w:sz w:val="20"/>
              </w:rPr>
              <w:t>stycznia 2021 r., tak więcej pierwsze tego typu egzaminy odbędą się w 2021 r.</w:t>
            </w:r>
          </w:p>
          <w:p w14:paraId="7F0CFC0B"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p>
        </w:tc>
      </w:tr>
      <w:tr w:rsidR="0092226B" w:rsidRPr="0092226B" w14:paraId="36A23EF6"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7706832C" w14:textId="77777777" w:rsidR="00311D18" w:rsidRPr="0092226B" w:rsidRDefault="00311D18" w:rsidP="003C1988">
            <w:pPr>
              <w:rPr>
                <w:rFonts w:cs="Times New Roman"/>
                <w:color w:val="FF0000"/>
                <w:sz w:val="20"/>
              </w:rPr>
            </w:pPr>
          </w:p>
        </w:tc>
        <w:tc>
          <w:tcPr>
            <w:tcW w:w="3594" w:type="dxa"/>
            <w:vMerge w:val="restart"/>
          </w:tcPr>
          <w:p w14:paraId="4FE31A6E"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Zwiększenie dostępności konsultacji geriatrycznych w warunkach opieki ambulatoryjnej, w tym:</w:t>
            </w:r>
          </w:p>
          <w:p w14:paraId="5679DA15" w14:textId="77777777" w:rsidR="00311D18" w:rsidRPr="00532128" w:rsidRDefault="00311D18" w:rsidP="002D4784">
            <w:pPr>
              <w:pStyle w:val="Kolorowalistaakcent11"/>
              <w:numPr>
                <w:ilvl w:val="0"/>
                <w:numId w:val="9"/>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utrzymanie </w:t>
            </w:r>
            <w:proofErr w:type="spellStart"/>
            <w:r w:rsidRPr="00532128">
              <w:rPr>
                <w:rFonts w:ascii="Times New Roman" w:eastAsia="MS Mincho" w:hAnsi="Times New Roman"/>
                <w:color w:val="auto"/>
                <w:sz w:val="20"/>
              </w:rPr>
              <w:t>priorytetyzacji</w:t>
            </w:r>
            <w:proofErr w:type="spellEnd"/>
            <w:r w:rsidRPr="00532128">
              <w:rPr>
                <w:rFonts w:ascii="Times New Roman" w:eastAsia="MS Mincho" w:hAnsi="Times New Roman"/>
                <w:color w:val="auto"/>
                <w:sz w:val="20"/>
              </w:rPr>
              <w:t xml:space="preserve"> specjalizacji z geriatrii;</w:t>
            </w:r>
          </w:p>
          <w:p w14:paraId="1BB03597" w14:textId="77777777" w:rsidR="00311D18" w:rsidRPr="00532128" w:rsidRDefault="00311D18" w:rsidP="002D4784">
            <w:pPr>
              <w:pStyle w:val="Kolorowalistaakcent11"/>
              <w:numPr>
                <w:ilvl w:val="0"/>
                <w:numId w:val="9"/>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stworzenie sieci jednostek szkolących lekarzy geriatrów</w:t>
            </w:r>
          </w:p>
        </w:tc>
        <w:tc>
          <w:tcPr>
            <w:tcW w:w="2032" w:type="dxa"/>
            <w:vMerge w:val="restart"/>
          </w:tcPr>
          <w:p w14:paraId="5204B327"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tc>
        <w:tc>
          <w:tcPr>
            <w:tcW w:w="1500" w:type="dxa"/>
            <w:vMerge w:val="restart"/>
          </w:tcPr>
          <w:p w14:paraId="1959BC15"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22912E19"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wdrożonych rozwiązań mających na celu zwiększenie dostępności konsultacji geriatrycznych  w warunkach opieki ambulatoryjnej</w:t>
            </w:r>
          </w:p>
        </w:tc>
      </w:tr>
      <w:tr w:rsidR="0092226B" w:rsidRPr="0092226B" w14:paraId="69BF9DAB" w14:textId="77777777" w:rsidTr="00DE4208">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232" w:type="dxa"/>
            <w:vMerge/>
          </w:tcPr>
          <w:p w14:paraId="095640F5" w14:textId="77777777" w:rsidR="00311D18" w:rsidRPr="0092226B" w:rsidRDefault="00311D18" w:rsidP="003C1988">
            <w:pPr>
              <w:rPr>
                <w:rFonts w:cs="Times New Roman"/>
                <w:color w:val="FF0000"/>
                <w:sz w:val="20"/>
              </w:rPr>
            </w:pPr>
          </w:p>
        </w:tc>
        <w:tc>
          <w:tcPr>
            <w:tcW w:w="3594" w:type="dxa"/>
            <w:vMerge/>
          </w:tcPr>
          <w:p w14:paraId="4D06A575"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13066B06"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78447FC5"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76E6AA6A" w14:textId="5876484B" w:rsidR="003C78EA" w:rsidRPr="00532128" w:rsidRDefault="003C78EA" w:rsidP="00DE4208">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Minister Zdrowia uznał geriatrię jako dziedzinę medycyny zaliczaną do priorytetowych już mocą rozpor</w:t>
            </w:r>
            <w:r w:rsidR="00DE4208">
              <w:rPr>
                <w:rFonts w:cs="Times New Roman"/>
                <w:color w:val="auto"/>
                <w:sz w:val="20"/>
              </w:rPr>
              <w:t>ządzenia z dnia 22 grudnia 2003 </w:t>
            </w:r>
            <w:r w:rsidRPr="00532128">
              <w:rPr>
                <w:rFonts w:cs="Times New Roman"/>
                <w:color w:val="auto"/>
                <w:sz w:val="20"/>
              </w:rPr>
              <w:t xml:space="preserve">r. w sprawie uznania dziedzin medycyny za priorytetowe </w:t>
            </w:r>
            <w:r w:rsidR="00DE4208">
              <w:rPr>
                <w:rFonts w:cs="Times New Roman"/>
                <w:color w:val="auto"/>
                <w:sz w:val="20"/>
              </w:rPr>
              <w:t xml:space="preserve">                </w:t>
            </w:r>
            <w:r w:rsidRPr="00532128">
              <w:rPr>
                <w:rFonts w:cs="Times New Roman"/>
                <w:color w:val="auto"/>
                <w:sz w:val="20"/>
              </w:rPr>
              <w:t>(Dz. U. z 2004 r. poz. 7) i utrzymał ten stan prawny na mocy kolejnych rozporządzeń dot</w:t>
            </w:r>
            <w:r w:rsidR="0088717F">
              <w:rPr>
                <w:rFonts w:cs="Times New Roman"/>
                <w:color w:val="auto"/>
                <w:sz w:val="20"/>
              </w:rPr>
              <w:t>yczących</w:t>
            </w:r>
            <w:r w:rsidRPr="00532128">
              <w:rPr>
                <w:rFonts w:cs="Times New Roman"/>
                <w:color w:val="auto"/>
                <w:sz w:val="20"/>
              </w:rPr>
              <w:t xml:space="preserve"> priorytetowych dziedzin medycyny (ostatnie rozporządzenie z 2020 r</w:t>
            </w:r>
            <w:r w:rsidR="00ED479E">
              <w:rPr>
                <w:rFonts w:cs="Times New Roman"/>
                <w:color w:val="auto"/>
                <w:sz w:val="20"/>
              </w:rPr>
              <w:t>.</w:t>
            </w:r>
            <w:r w:rsidRPr="00532128">
              <w:rPr>
                <w:rFonts w:cs="Times New Roman"/>
                <w:color w:val="auto"/>
                <w:sz w:val="20"/>
              </w:rPr>
              <w:t xml:space="preserve"> ma numer w Dzienniku Ustaw - Dz. U. z 2020 r. poz. 1156).</w:t>
            </w:r>
          </w:p>
          <w:p w14:paraId="39937A17" w14:textId="6DF7A10C" w:rsidR="00311D18" w:rsidRPr="00532128" w:rsidRDefault="003C78EA" w:rsidP="00DE4208">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r w:rsidRPr="00532128">
              <w:rPr>
                <w:rFonts w:cs="Times New Roman"/>
                <w:color w:val="auto"/>
                <w:sz w:val="20"/>
              </w:rPr>
              <w:t xml:space="preserve">Powyższe skutkuje przyznaniem wyższego wynagrodzenia zasadniczego lekarzom, którzy wybierają tą dziedzinę medycyny, jako przedmiot specjalizacji </w:t>
            </w:r>
            <w:r w:rsidR="00DE4208">
              <w:rPr>
                <w:rFonts w:cs="Times New Roman"/>
                <w:color w:val="auto"/>
                <w:sz w:val="20"/>
              </w:rPr>
              <w:t xml:space="preserve">w trybie </w:t>
            </w:r>
            <w:proofErr w:type="spellStart"/>
            <w:r w:rsidR="00DE4208">
              <w:rPr>
                <w:rFonts w:cs="Times New Roman"/>
                <w:color w:val="auto"/>
                <w:sz w:val="20"/>
              </w:rPr>
              <w:t>rezydenckim</w:t>
            </w:r>
            <w:proofErr w:type="spellEnd"/>
            <w:r w:rsidR="00DE4208">
              <w:rPr>
                <w:rFonts w:cs="Times New Roman"/>
                <w:color w:val="auto"/>
                <w:sz w:val="20"/>
              </w:rPr>
              <w:t>. Zgodnie z </w:t>
            </w:r>
            <w:r w:rsidRPr="00532128">
              <w:rPr>
                <w:rFonts w:cs="Times New Roman"/>
                <w:color w:val="auto"/>
                <w:sz w:val="20"/>
              </w:rPr>
              <w:t xml:space="preserve">najnowszym  rozporządzeniem Ministra Zdrowia, tj. z dnia </w:t>
            </w:r>
            <w:r w:rsidR="00DE4208">
              <w:rPr>
                <w:rFonts w:cs="Times New Roman"/>
                <w:color w:val="auto"/>
                <w:sz w:val="20"/>
              </w:rPr>
              <w:t xml:space="preserve">                     </w:t>
            </w:r>
            <w:r w:rsidRPr="00532128">
              <w:rPr>
                <w:rFonts w:cs="Times New Roman"/>
                <w:color w:val="auto"/>
                <w:sz w:val="20"/>
              </w:rPr>
              <w:t xml:space="preserve">26 czerwca 2020 r. w sprawie wysokości zasadniczego wynagrodzenia miesięcznego lekarzy i lekarzy dentystów odbywających specjalizacje w ramach rezydentury </w:t>
            </w:r>
            <w:r w:rsidR="00DE4208">
              <w:rPr>
                <w:rFonts w:cs="Times New Roman"/>
                <w:color w:val="auto"/>
                <w:sz w:val="20"/>
              </w:rPr>
              <w:t xml:space="preserve">                                        </w:t>
            </w:r>
            <w:r w:rsidRPr="00532128">
              <w:rPr>
                <w:rFonts w:cs="Times New Roman"/>
                <w:color w:val="auto"/>
                <w:sz w:val="20"/>
              </w:rPr>
              <w:t xml:space="preserve">(Dz. U. poz. 1134), wynagrodzenie lekarza odbywającego specjalizację z geriatrii w pierwszych dwóch latach zatrudnienia </w:t>
            </w:r>
            <w:r w:rsidRPr="00532128">
              <w:rPr>
                <w:rFonts w:cs="Times New Roman"/>
                <w:color w:val="auto"/>
                <w:sz w:val="20"/>
              </w:rPr>
              <w:lastRenderedPageBreak/>
              <w:t>w</w:t>
            </w:r>
            <w:r w:rsidR="00DE4208">
              <w:rPr>
                <w:rFonts w:cs="Times New Roman"/>
                <w:color w:val="auto"/>
                <w:sz w:val="20"/>
              </w:rPr>
              <w:t> </w:t>
            </w:r>
            <w:r w:rsidRPr="00532128">
              <w:rPr>
                <w:rFonts w:cs="Times New Roman"/>
                <w:color w:val="auto"/>
                <w:sz w:val="20"/>
              </w:rPr>
              <w:t>trybie rezydentury wynosi 4793 zł, a po dwóch latach zatrudnienia w tym trybie – 5300 zł.</w:t>
            </w:r>
          </w:p>
        </w:tc>
      </w:tr>
      <w:tr w:rsidR="0092226B" w:rsidRPr="0092226B" w14:paraId="28B57C47"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771096BD" w14:textId="77777777" w:rsidR="00311D18" w:rsidRPr="0092226B" w:rsidRDefault="00311D18" w:rsidP="003C1988">
            <w:pPr>
              <w:rPr>
                <w:rFonts w:cs="Times New Roman"/>
                <w:color w:val="FF0000"/>
                <w:sz w:val="20"/>
              </w:rPr>
            </w:pPr>
          </w:p>
        </w:tc>
        <w:tc>
          <w:tcPr>
            <w:tcW w:w="3594" w:type="dxa"/>
            <w:vMerge w:val="restart"/>
          </w:tcPr>
          <w:p w14:paraId="5273C6E5"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Rozwój kształcenia przed dyplomowego z zakresu geriatrii na kierunkach medycznych, w tym:</w:t>
            </w:r>
          </w:p>
          <w:p w14:paraId="3EA2314F" w14:textId="77777777" w:rsidR="00311D18" w:rsidRPr="00532128" w:rsidRDefault="00311D18" w:rsidP="002D4784">
            <w:pPr>
              <w:pStyle w:val="Kolorowalistaakcent11"/>
              <w:numPr>
                <w:ilvl w:val="0"/>
                <w:numId w:val="9"/>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wsparcie rozwoju akademickich ośrodków geriatrycznych </w:t>
            </w:r>
            <w:r w:rsidRPr="00532128">
              <w:rPr>
                <w:rFonts w:ascii="Times New Roman" w:eastAsia="MS Mincho" w:hAnsi="Times New Roman"/>
                <w:color w:val="auto"/>
                <w:sz w:val="20"/>
              </w:rPr>
              <w:br/>
              <w:t>w uczelniach kształcących kadrę medyczną (klinik, zakładów, katedr) oraz studenckich kół naukowych geriatrii;</w:t>
            </w:r>
          </w:p>
          <w:p w14:paraId="6F4A6FAD" w14:textId="77777777" w:rsidR="00311D18" w:rsidRPr="00532128" w:rsidRDefault="00311D18" w:rsidP="002D4784">
            <w:pPr>
              <w:pStyle w:val="Kolorowalistaakcent11"/>
              <w:numPr>
                <w:ilvl w:val="0"/>
                <w:numId w:val="9"/>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analiza efektów kształcenia z zakresu geriatrii na poszczególnych kierunkach medycznych w kontekście doskonalenia kształcenia </w:t>
            </w:r>
            <w:r w:rsidRPr="00532128">
              <w:rPr>
                <w:rFonts w:ascii="Times New Roman" w:eastAsia="MS Mincho" w:hAnsi="Times New Roman"/>
                <w:color w:val="auto"/>
                <w:sz w:val="20"/>
              </w:rPr>
              <w:br/>
              <w:t>przed dyplomowego w tym obszarze;</w:t>
            </w:r>
          </w:p>
          <w:p w14:paraId="15AB20BC" w14:textId="77777777" w:rsidR="00311D18" w:rsidRPr="00532128" w:rsidRDefault="00311D18" w:rsidP="002D4784">
            <w:pPr>
              <w:pStyle w:val="Kolorowalistaakcent11"/>
              <w:numPr>
                <w:ilvl w:val="0"/>
                <w:numId w:val="9"/>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wsparcie rozwoju badań naukowych w obszarze zdrowego starzenia się i chorób związanych z wiekiem starczym</w:t>
            </w:r>
          </w:p>
        </w:tc>
        <w:tc>
          <w:tcPr>
            <w:tcW w:w="2032" w:type="dxa"/>
            <w:vMerge w:val="restart"/>
          </w:tcPr>
          <w:p w14:paraId="61137A87"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tc>
        <w:tc>
          <w:tcPr>
            <w:tcW w:w="1500" w:type="dxa"/>
            <w:vMerge w:val="restart"/>
          </w:tcPr>
          <w:p w14:paraId="435069A8" w14:textId="77777777" w:rsidR="00311D18" w:rsidRPr="00532128" w:rsidRDefault="00311D18" w:rsidP="003C1988">
            <w:pPr>
              <w:tabs>
                <w:tab w:val="left" w:pos="1230"/>
              </w:tabs>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7EF218FC"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podjętych inicjatyw mających na celu rozwój kształcenia przed dyplomowego z zakresu geriatrii na kierunkach medycznych.</w:t>
            </w:r>
          </w:p>
        </w:tc>
      </w:tr>
      <w:tr w:rsidR="0092226B" w:rsidRPr="0092226B" w14:paraId="559DAECC"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556D65AA" w14:textId="77777777" w:rsidR="00311D18" w:rsidRPr="0092226B" w:rsidRDefault="00311D18" w:rsidP="003C1988">
            <w:pPr>
              <w:rPr>
                <w:rFonts w:cs="Times New Roman"/>
                <w:color w:val="FF0000"/>
                <w:sz w:val="20"/>
              </w:rPr>
            </w:pPr>
          </w:p>
        </w:tc>
        <w:tc>
          <w:tcPr>
            <w:tcW w:w="3594" w:type="dxa"/>
            <w:vMerge/>
          </w:tcPr>
          <w:p w14:paraId="60E21B99"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5D49AB8D"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6E471A6F"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38CE08D7" w14:textId="0802B7B4" w:rsidR="003C78EA" w:rsidRPr="00532128" w:rsidRDefault="003C78EA" w:rsidP="003C78EA">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r w:rsidRPr="00532128">
              <w:rPr>
                <w:rFonts w:cs="Times New Roman"/>
                <w:color w:val="auto"/>
                <w:sz w:val="20"/>
              </w:rPr>
              <w:t>Studentom  kierunku lekarskiego i lekars</w:t>
            </w:r>
            <w:r w:rsidR="00DE4208">
              <w:rPr>
                <w:rFonts w:cs="Times New Roman"/>
                <w:color w:val="auto"/>
                <w:sz w:val="20"/>
              </w:rPr>
              <w:t xml:space="preserve">ko-dentystycznego umożliwiono przystępowanie </w:t>
            </w:r>
            <w:r w:rsidRPr="00532128">
              <w:rPr>
                <w:rFonts w:cs="Times New Roman"/>
                <w:color w:val="auto"/>
                <w:sz w:val="20"/>
              </w:rPr>
              <w:t>do Lekarskiego Egzaminu Końcowego i Lekarsko-Dentyst</w:t>
            </w:r>
            <w:r w:rsidR="00DE4208">
              <w:rPr>
                <w:rFonts w:cs="Times New Roman"/>
                <w:color w:val="auto"/>
                <w:sz w:val="20"/>
              </w:rPr>
              <w:t>ycznego egzaminu Lekarskiego na </w:t>
            </w:r>
            <w:r w:rsidRPr="00532128">
              <w:rPr>
                <w:rFonts w:cs="Times New Roman"/>
                <w:color w:val="auto"/>
                <w:sz w:val="20"/>
              </w:rPr>
              <w:t xml:space="preserve">ostatnim roku studiów.   </w:t>
            </w:r>
          </w:p>
          <w:p w14:paraId="5335E4F7"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p>
        </w:tc>
      </w:tr>
      <w:tr w:rsidR="0092226B" w:rsidRPr="0092226B" w14:paraId="3EF80B35"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1D47A480" w14:textId="77777777" w:rsidR="00311D18" w:rsidRPr="0092226B" w:rsidRDefault="00311D18" w:rsidP="003C1988">
            <w:pPr>
              <w:rPr>
                <w:rFonts w:cs="Times New Roman"/>
                <w:color w:val="FF0000"/>
                <w:sz w:val="20"/>
              </w:rPr>
            </w:pPr>
          </w:p>
        </w:tc>
        <w:tc>
          <w:tcPr>
            <w:tcW w:w="3594" w:type="dxa"/>
            <w:vMerge w:val="restart"/>
          </w:tcPr>
          <w:p w14:paraId="607E748D"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Rozwój kształcenia podyplomowego </w:t>
            </w:r>
            <w:r w:rsidRPr="00532128">
              <w:rPr>
                <w:rFonts w:ascii="Times New Roman" w:eastAsia="MS Mincho" w:hAnsi="Times New Roman"/>
                <w:color w:val="auto"/>
                <w:sz w:val="20"/>
              </w:rPr>
              <w:br/>
              <w:t>z zakresu geriatrii w zawodach medycznych, w tym:</w:t>
            </w:r>
          </w:p>
          <w:p w14:paraId="6E4A2BF2" w14:textId="77777777" w:rsidR="00311D18" w:rsidRPr="00532128" w:rsidRDefault="00311D18" w:rsidP="002D4784">
            <w:pPr>
              <w:pStyle w:val="Kolorowalistaakcent11"/>
              <w:numPr>
                <w:ilvl w:val="0"/>
                <w:numId w:val="9"/>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stymulowanie wzrostu liczby lekarzy specjalizujących się w dziedzinie geriatrii i wzmacnianie jakości kształcenia specjalizacyjnego w tej dziedzinie;</w:t>
            </w:r>
          </w:p>
          <w:p w14:paraId="2E84E43E" w14:textId="77777777" w:rsidR="00311D18" w:rsidRPr="00532128" w:rsidRDefault="00311D18" w:rsidP="002D4784">
            <w:pPr>
              <w:pStyle w:val="Kolorowalistaakcent11"/>
              <w:numPr>
                <w:ilvl w:val="0"/>
                <w:numId w:val="9"/>
              </w:numPr>
              <w:ind w:left="36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wsparcie systemu kształcenia ustawicznego personelu medycznego w zakresie opieki geriatrycznej, w tym lekarzy podstawowej opieki zdrowotnej (POZ), fizjoterapeutów, </w:t>
            </w:r>
            <w:r w:rsidRPr="00532128">
              <w:rPr>
                <w:rFonts w:ascii="Times New Roman" w:eastAsia="MS Mincho" w:hAnsi="Times New Roman"/>
                <w:color w:val="auto"/>
                <w:sz w:val="20"/>
              </w:rPr>
              <w:lastRenderedPageBreak/>
              <w:t>pielęgniarek i opiekunów medycznych</w:t>
            </w:r>
          </w:p>
        </w:tc>
        <w:tc>
          <w:tcPr>
            <w:tcW w:w="2032" w:type="dxa"/>
            <w:vMerge w:val="restart"/>
          </w:tcPr>
          <w:p w14:paraId="3B34E5C8"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lastRenderedPageBreak/>
              <w:t>Ministerstwo Zdrowia</w:t>
            </w:r>
          </w:p>
        </w:tc>
        <w:tc>
          <w:tcPr>
            <w:tcW w:w="1500" w:type="dxa"/>
            <w:vMerge w:val="restart"/>
          </w:tcPr>
          <w:p w14:paraId="775FF987"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37F4A202"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podjętych inicjatyw mających na celu rozwój kształcenia podyplomowego z zakresu geriatrii w zawodach medycznych</w:t>
            </w:r>
          </w:p>
        </w:tc>
      </w:tr>
      <w:tr w:rsidR="0092226B" w:rsidRPr="0092226B" w14:paraId="4D78DEBA"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4CD2B9FC" w14:textId="77777777" w:rsidR="00311D18" w:rsidRPr="0092226B" w:rsidRDefault="00311D18" w:rsidP="003C1988">
            <w:pPr>
              <w:rPr>
                <w:rFonts w:cs="Times New Roman"/>
                <w:color w:val="FF0000"/>
                <w:sz w:val="20"/>
              </w:rPr>
            </w:pPr>
          </w:p>
        </w:tc>
        <w:tc>
          <w:tcPr>
            <w:tcW w:w="3594" w:type="dxa"/>
            <w:vMerge/>
          </w:tcPr>
          <w:p w14:paraId="4B35C832"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694E0339"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70DE9279"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25A613F6" w14:textId="77777777" w:rsidR="003C78EA" w:rsidRPr="00532128" w:rsidRDefault="003C78EA" w:rsidP="003C78EA">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Minister Zdrowia corocznie dofinansowuje szkolenia specjalizacyjne dla pielęgniarek i położnych, w tym w dziedzinie pielęgniarstwa geriatrycznego. Zaplanowano do objęcia dofinansowaniem z budżetu państwa 150 miejsc szkoleniowych dla specjalizacji w dziedzinie pielęgniarstwa geriatrycznego.</w:t>
            </w:r>
          </w:p>
          <w:p w14:paraId="6F587C56" w14:textId="77777777" w:rsidR="003C78EA" w:rsidRPr="00532128" w:rsidRDefault="003C78EA" w:rsidP="003C78EA">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Liczba pielęgniarek, które uzyskały tytuł specjalisty w dziedzinie pielęgniarstwa geriatrycznego 2020 r. wynosi 194.</w:t>
            </w:r>
          </w:p>
          <w:p w14:paraId="30A6E362" w14:textId="77777777" w:rsidR="003C78EA" w:rsidRPr="00532128" w:rsidRDefault="003C78EA" w:rsidP="003C78EA">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p>
          <w:p w14:paraId="0D6DEF10" w14:textId="77777777" w:rsidR="00311D18" w:rsidRPr="00532128" w:rsidRDefault="003C78EA" w:rsidP="003C78EA">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r w:rsidRPr="00532128">
              <w:rPr>
                <w:rFonts w:cs="Times New Roman"/>
                <w:color w:val="auto"/>
                <w:sz w:val="20"/>
              </w:rPr>
              <w:t xml:space="preserve">Ponadto, dla rozwoju obszaru szkolenia podyplomowego kadry medycznej wspierającej realizację zadań ośrodków geriatrycznych przyspieszono o rok możliwość przystępowania lekarzy na ostatnim </w:t>
            </w:r>
            <w:r w:rsidRPr="00532128">
              <w:rPr>
                <w:rFonts w:cs="Times New Roman"/>
                <w:color w:val="auto"/>
                <w:sz w:val="20"/>
              </w:rPr>
              <w:lastRenderedPageBreak/>
              <w:t>roku szkolenia specjalizacyjnego do Państwowego Egzaminu Końcowego, co skróci włączanie nowych specjalistów, w tym specjalistów geriatrii do systemu opieki zdrowotnej.</w:t>
            </w:r>
          </w:p>
        </w:tc>
      </w:tr>
      <w:tr w:rsidR="0092226B" w:rsidRPr="0092226B" w14:paraId="72B40243" w14:textId="77777777" w:rsidTr="002D4784">
        <w:trPr>
          <w:trHeight w:val="521"/>
        </w:trPr>
        <w:tc>
          <w:tcPr>
            <w:cnfStyle w:val="001000000000" w:firstRow="0" w:lastRow="0" w:firstColumn="1" w:lastColumn="0" w:oddVBand="0" w:evenVBand="0" w:oddHBand="0" w:evenHBand="0" w:firstRowFirstColumn="0" w:firstRowLastColumn="0" w:lastRowFirstColumn="0" w:lastRowLastColumn="0"/>
            <w:tcW w:w="1232" w:type="dxa"/>
            <w:vMerge w:val="restart"/>
            <w:textDirection w:val="btLr"/>
          </w:tcPr>
          <w:p w14:paraId="31055BF7" w14:textId="77777777" w:rsidR="00311D18" w:rsidRPr="0092226B" w:rsidRDefault="00311D18" w:rsidP="003C1988">
            <w:pPr>
              <w:ind w:left="113" w:right="113"/>
              <w:rPr>
                <w:rFonts w:cs="Times New Roman"/>
                <w:color w:val="FF0000"/>
                <w:sz w:val="20"/>
              </w:rPr>
            </w:pPr>
            <w:r w:rsidRPr="00532128">
              <w:rPr>
                <w:rFonts w:cs="Times New Roman"/>
                <w:color w:val="auto"/>
                <w:sz w:val="20"/>
              </w:rPr>
              <w:t>Obszar V</w:t>
            </w:r>
          </w:p>
        </w:tc>
        <w:tc>
          <w:tcPr>
            <w:tcW w:w="3594" w:type="dxa"/>
            <w:vMerge w:val="restart"/>
          </w:tcPr>
          <w:p w14:paraId="35A5D6C4" w14:textId="77777777" w:rsidR="00311D18" w:rsidRPr="00532128" w:rsidRDefault="00EA04C1"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Wspieranie organizacji pozarządowych i podmiotów, o których mowa w art. 3 ust. 3 ustawy </w:t>
            </w:r>
            <w:r w:rsidR="00ED479E">
              <w:rPr>
                <w:rFonts w:ascii="Times New Roman" w:eastAsia="MS Mincho" w:hAnsi="Times New Roman"/>
                <w:color w:val="auto"/>
                <w:sz w:val="20"/>
              </w:rPr>
              <w:t>z dnia 24 kwietnia 2003 r.</w:t>
            </w:r>
            <w:r w:rsidRPr="00532128">
              <w:rPr>
                <w:rFonts w:ascii="Times New Roman" w:eastAsia="MS Mincho" w:hAnsi="Times New Roman"/>
                <w:color w:val="auto"/>
                <w:sz w:val="20"/>
              </w:rPr>
              <w:t xml:space="preserve"> o działalności pożytku publicznego i o wolontariacie, ruchów czy lokalnych inicjatyw, stojących na straży praw osób starszych</w:t>
            </w:r>
          </w:p>
        </w:tc>
        <w:tc>
          <w:tcPr>
            <w:tcW w:w="2032" w:type="dxa"/>
            <w:vMerge w:val="restart"/>
          </w:tcPr>
          <w:p w14:paraId="362CF458" w14:textId="77777777" w:rsidR="00311D18" w:rsidRPr="00532128" w:rsidRDefault="00EA04C1"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Komitet do spraw Pożytku Publicznego</w:t>
            </w:r>
          </w:p>
        </w:tc>
        <w:tc>
          <w:tcPr>
            <w:tcW w:w="1500" w:type="dxa"/>
            <w:vMerge w:val="restart"/>
          </w:tcPr>
          <w:p w14:paraId="75A6B752"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Działanie ciągłe</w:t>
            </w:r>
            <w:r w:rsidRPr="00532128">
              <w:rPr>
                <w:rFonts w:ascii="Times New Roman" w:hAnsi="Times New Roman"/>
                <w:color w:val="auto"/>
                <w:sz w:val="20"/>
              </w:rPr>
              <w:t>*</w:t>
            </w:r>
          </w:p>
          <w:p w14:paraId="17D3BF73"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tcPr>
          <w:p w14:paraId="31645F97" w14:textId="77777777" w:rsidR="00311D18" w:rsidRPr="00532128" w:rsidRDefault="00EA04C1" w:rsidP="003C1988">
            <w:pPr>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 xml:space="preserve">Liczba wspartych organizacji sektora organizacji pozarządowych i podmiotów, o których mowa w art. 3 ust. 3 ustawy </w:t>
            </w:r>
            <w:r w:rsidR="00ED479E">
              <w:rPr>
                <w:rFonts w:eastAsia="MS Mincho" w:cs="Times New Roman"/>
                <w:i/>
                <w:color w:val="auto"/>
                <w:sz w:val="20"/>
              </w:rPr>
              <w:t>z dnia 24 kwietnia 2003 r.</w:t>
            </w:r>
            <w:r w:rsidRPr="00532128">
              <w:rPr>
                <w:rFonts w:eastAsia="MS Mincho" w:cs="Times New Roman"/>
                <w:i/>
                <w:color w:val="auto"/>
                <w:sz w:val="20"/>
              </w:rPr>
              <w:t xml:space="preserve"> o działalności pożytku publicznego i o wolontariacie, w obszarze promowania wolontariatu osób starszych oraz wobec osób starszych, ruchów czy lokalnych inicjatyw stojących na straży praw osób starszych</w:t>
            </w:r>
          </w:p>
        </w:tc>
      </w:tr>
      <w:tr w:rsidR="0092226B" w:rsidRPr="0092226B" w14:paraId="3EDB099C"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7EC7BF72" w14:textId="77777777" w:rsidR="00311D18" w:rsidRPr="0092226B" w:rsidRDefault="00311D18" w:rsidP="003C1988">
            <w:pPr>
              <w:rPr>
                <w:rFonts w:cs="Times New Roman"/>
                <w:color w:val="FF0000"/>
                <w:sz w:val="20"/>
              </w:rPr>
            </w:pPr>
          </w:p>
        </w:tc>
        <w:tc>
          <w:tcPr>
            <w:tcW w:w="3594" w:type="dxa"/>
            <w:vMerge/>
          </w:tcPr>
          <w:p w14:paraId="50086309"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6CCC3C63"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7235A649"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0F393655" w14:textId="7C2DDABA" w:rsidR="00EA04C1" w:rsidRPr="00532128" w:rsidRDefault="00EA04C1" w:rsidP="00EA04C1">
            <w:pP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0"/>
              </w:rPr>
            </w:pPr>
            <w:r w:rsidRPr="00532128">
              <w:rPr>
                <w:rFonts w:eastAsia="Calibri" w:cs="Times New Roman"/>
                <w:color w:val="auto"/>
                <w:sz w:val="20"/>
              </w:rPr>
              <w:t>W ramach programów dotacyjnych organizowanych przez NIW-CRSO dofinansowano łącznie 3 organizacje stojące na straży praw osób starszych</w:t>
            </w:r>
            <w:r w:rsidR="00DE4208">
              <w:rPr>
                <w:rFonts w:eastAsia="Calibri" w:cs="Times New Roman"/>
                <w:color w:val="auto"/>
                <w:sz w:val="20"/>
              </w:rPr>
              <w:t>:</w:t>
            </w:r>
          </w:p>
          <w:p w14:paraId="20E61F71" w14:textId="256F736A" w:rsidR="00EA04C1" w:rsidRPr="00532128" w:rsidRDefault="00DE4208" w:rsidP="00EA04C1">
            <w:pP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0"/>
              </w:rPr>
            </w:pPr>
            <w:r>
              <w:rPr>
                <w:rFonts w:eastAsia="MS Mincho" w:cs="Times New Roman"/>
                <w:bCs/>
                <w:color w:val="auto"/>
                <w:sz w:val="20"/>
              </w:rPr>
              <w:t>• </w:t>
            </w:r>
            <w:r>
              <w:rPr>
                <w:rFonts w:eastAsia="Calibri" w:cs="Times New Roman"/>
                <w:color w:val="auto"/>
                <w:sz w:val="20"/>
              </w:rPr>
              <w:t>w</w:t>
            </w:r>
            <w:r w:rsidR="00EA04C1" w:rsidRPr="00532128">
              <w:rPr>
                <w:rFonts w:eastAsia="Calibri" w:cs="Times New Roman"/>
                <w:color w:val="auto"/>
                <w:sz w:val="20"/>
              </w:rPr>
              <w:t xml:space="preserve"> ramach Programu Rozwoju Orga</w:t>
            </w:r>
            <w:r>
              <w:rPr>
                <w:rFonts w:eastAsia="Calibri" w:cs="Times New Roman"/>
                <w:color w:val="auto"/>
                <w:sz w:val="20"/>
              </w:rPr>
              <w:t>nizacji Obywatelskich Priorytet </w:t>
            </w:r>
            <w:r w:rsidR="00EA04C1" w:rsidRPr="00532128">
              <w:rPr>
                <w:rFonts w:eastAsia="Calibri" w:cs="Times New Roman"/>
                <w:color w:val="auto"/>
                <w:sz w:val="20"/>
              </w:rPr>
              <w:t>1 A — Zrównoważony rozwój organizacyjny- wsparcie działań misyjnych i rozwoju inst</w:t>
            </w:r>
            <w:r>
              <w:rPr>
                <w:rFonts w:eastAsia="Calibri" w:cs="Times New Roman"/>
                <w:color w:val="auto"/>
                <w:sz w:val="20"/>
              </w:rPr>
              <w:t>ytucjonalnego została wsparta w </w:t>
            </w:r>
            <w:r w:rsidR="00EA04C1" w:rsidRPr="00532128">
              <w:rPr>
                <w:rFonts w:eastAsia="Calibri" w:cs="Times New Roman"/>
                <w:color w:val="auto"/>
                <w:sz w:val="20"/>
              </w:rPr>
              <w:t>2020 r. Fundacja</w:t>
            </w:r>
            <w:r>
              <w:rPr>
                <w:rFonts w:eastAsia="Calibri" w:cs="Times New Roman"/>
                <w:color w:val="auto"/>
                <w:sz w:val="20"/>
              </w:rPr>
              <w:t xml:space="preserve"> Godnie Żyć na kwotę 155 822 zł;</w:t>
            </w:r>
          </w:p>
          <w:p w14:paraId="36AA5065" w14:textId="402EF723" w:rsidR="00311D18" w:rsidRPr="00532128" w:rsidRDefault="00DE4208" w:rsidP="00EA04C1">
            <w:pP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0"/>
              </w:rPr>
            </w:pPr>
            <w:r>
              <w:rPr>
                <w:rFonts w:eastAsia="MS Mincho" w:cs="Times New Roman"/>
                <w:bCs/>
                <w:color w:val="auto"/>
                <w:sz w:val="20"/>
              </w:rPr>
              <w:t xml:space="preserve">• w </w:t>
            </w:r>
            <w:r w:rsidR="00EA04C1" w:rsidRPr="00532128">
              <w:rPr>
                <w:rFonts w:eastAsia="Calibri" w:cs="Times New Roman"/>
                <w:color w:val="auto"/>
                <w:sz w:val="20"/>
              </w:rPr>
              <w:t>ramach Programu Rozwoju Orga</w:t>
            </w:r>
            <w:r>
              <w:rPr>
                <w:rFonts w:eastAsia="Calibri" w:cs="Times New Roman"/>
                <w:color w:val="auto"/>
                <w:sz w:val="20"/>
              </w:rPr>
              <w:t>nizacji Obywatelskich Priorytet </w:t>
            </w:r>
            <w:r w:rsidR="00EA04C1" w:rsidRPr="00532128">
              <w:rPr>
                <w:rFonts w:eastAsia="Calibri" w:cs="Times New Roman"/>
                <w:color w:val="auto"/>
                <w:sz w:val="20"/>
              </w:rPr>
              <w:t xml:space="preserve">5 - Wsparcie doraźne zostały wsparte dwie organizacje: Krajowy Instytut Gospodarki Senioralnej oraz Fundacja Konwent Samorządowy na rzecz Społeczności III Wieku na łączną kwotę </w:t>
            </w:r>
            <w:r>
              <w:rPr>
                <w:rFonts w:eastAsia="Calibri" w:cs="Times New Roman"/>
                <w:color w:val="auto"/>
                <w:sz w:val="20"/>
              </w:rPr>
              <w:t xml:space="preserve">                    </w:t>
            </w:r>
            <w:r w:rsidR="00EA04C1" w:rsidRPr="00532128">
              <w:rPr>
                <w:rFonts w:eastAsia="Calibri" w:cs="Times New Roman"/>
                <w:color w:val="auto"/>
                <w:sz w:val="20"/>
              </w:rPr>
              <w:t>19 166 zł.</w:t>
            </w:r>
          </w:p>
        </w:tc>
      </w:tr>
      <w:tr w:rsidR="0092226B" w:rsidRPr="0092226B" w14:paraId="44A4834D" w14:textId="77777777" w:rsidTr="00DB69FC">
        <w:trPr>
          <w:trHeight w:val="510"/>
        </w:trPr>
        <w:tc>
          <w:tcPr>
            <w:cnfStyle w:val="001000000000" w:firstRow="0" w:lastRow="0" w:firstColumn="1" w:lastColumn="0" w:oddVBand="0" w:evenVBand="0" w:oddHBand="0" w:evenHBand="0" w:firstRowFirstColumn="0" w:firstRowLastColumn="0" w:lastRowFirstColumn="0" w:lastRowLastColumn="0"/>
            <w:tcW w:w="1232" w:type="dxa"/>
            <w:vMerge/>
          </w:tcPr>
          <w:p w14:paraId="740C741E" w14:textId="77777777" w:rsidR="00311D18" w:rsidRPr="0092226B" w:rsidRDefault="00311D18" w:rsidP="003C1988">
            <w:pPr>
              <w:rPr>
                <w:rFonts w:cs="Times New Roman"/>
                <w:color w:val="FF0000"/>
                <w:sz w:val="20"/>
              </w:rPr>
            </w:pPr>
          </w:p>
        </w:tc>
        <w:tc>
          <w:tcPr>
            <w:tcW w:w="3594" w:type="dxa"/>
            <w:vMerge w:val="restart"/>
          </w:tcPr>
          <w:p w14:paraId="1CCFA9EC"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Prowadzenie działań edukacyjnych </w:t>
            </w:r>
            <w:r w:rsidRPr="00532128">
              <w:rPr>
                <w:rFonts w:ascii="Times New Roman" w:eastAsia="MS Mincho" w:hAnsi="Times New Roman"/>
                <w:color w:val="auto"/>
                <w:sz w:val="20"/>
              </w:rPr>
              <w:br/>
              <w:t xml:space="preserve">w sektorze pomocy społecznej, służbie zdrowia, służbach porządku publicznego, w placówkach, które na co dzień mają kontakt z osobami starszymi, </w:t>
            </w:r>
            <w:r w:rsidRPr="00532128">
              <w:rPr>
                <w:rFonts w:ascii="Times New Roman" w:eastAsia="MS Mincho" w:hAnsi="Times New Roman"/>
                <w:color w:val="auto"/>
                <w:sz w:val="20"/>
              </w:rPr>
              <w:br/>
              <w:t>w placówkach edukacyjnych,</w:t>
            </w:r>
            <w:r w:rsidRPr="00532128">
              <w:rPr>
                <w:rFonts w:ascii="Times New Roman" w:eastAsia="MS Mincho" w:hAnsi="Times New Roman"/>
                <w:color w:val="auto"/>
                <w:sz w:val="20"/>
              </w:rPr>
              <w:br/>
              <w:t xml:space="preserve">a także wśród samych seniorów </w:t>
            </w:r>
            <w:r w:rsidRPr="00532128">
              <w:rPr>
                <w:rFonts w:ascii="Times New Roman" w:eastAsia="MS Mincho" w:hAnsi="Times New Roman"/>
                <w:color w:val="auto"/>
                <w:sz w:val="20"/>
              </w:rPr>
              <w:br/>
              <w:t xml:space="preserve">na temat przemocy </w:t>
            </w:r>
            <w:r w:rsidRPr="00532128">
              <w:rPr>
                <w:rFonts w:ascii="Times New Roman" w:hAnsi="Times New Roman"/>
                <w:color w:val="auto"/>
                <w:sz w:val="20"/>
              </w:rPr>
              <w:t>wobec osób starszych</w:t>
            </w:r>
          </w:p>
        </w:tc>
        <w:tc>
          <w:tcPr>
            <w:tcW w:w="2032" w:type="dxa"/>
            <w:vMerge w:val="restart"/>
          </w:tcPr>
          <w:p w14:paraId="65B6827F"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Sprawiedliwości</w:t>
            </w:r>
          </w:p>
        </w:tc>
        <w:tc>
          <w:tcPr>
            <w:tcW w:w="1500" w:type="dxa"/>
            <w:vMerge w:val="restart"/>
          </w:tcPr>
          <w:p w14:paraId="25B93215"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Działanie ciągłe</w:t>
            </w:r>
            <w:r w:rsidRPr="00532128">
              <w:rPr>
                <w:rFonts w:ascii="Times New Roman" w:hAnsi="Times New Roman"/>
                <w:color w:val="auto"/>
                <w:sz w:val="20"/>
              </w:rPr>
              <w:t>*</w:t>
            </w:r>
          </w:p>
          <w:p w14:paraId="4CC31157"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tcPr>
          <w:p w14:paraId="727D1BE8" w14:textId="4159DED3" w:rsidR="00DB69FC" w:rsidRPr="00532128" w:rsidRDefault="00311D18" w:rsidP="00DB69FC">
            <w:pPr>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 xml:space="preserve">Liczba zrealizowanych działań edukacyjnych na temat przemocy </w:t>
            </w:r>
            <w:r w:rsidR="00DE4208">
              <w:rPr>
                <w:rFonts w:eastAsia="MS Mincho" w:cs="Times New Roman"/>
                <w:i/>
                <w:color w:val="auto"/>
                <w:sz w:val="20"/>
              </w:rPr>
              <w:t xml:space="preserve">            </w:t>
            </w:r>
            <w:r w:rsidRPr="00532128">
              <w:rPr>
                <w:rFonts w:eastAsia="MS Mincho" w:cs="Times New Roman"/>
                <w:i/>
                <w:color w:val="auto"/>
                <w:sz w:val="20"/>
              </w:rPr>
              <w:t>w starości</w:t>
            </w:r>
          </w:p>
        </w:tc>
      </w:tr>
      <w:tr w:rsidR="0092226B" w:rsidRPr="0092226B" w14:paraId="7F39D4A0"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764DE9BA" w14:textId="77777777" w:rsidR="00311D18" w:rsidRPr="0092226B" w:rsidRDefault="00311D18" w:rsidP="003C1988">
            <w:pPr>
              <w:rPr>
                <w:rFonts w:cs="Times New Roman"/>
                <w:color w:val="FF0000"/>
                <w:sz w:val="20"/>
              </w:rPr>
            </w:pPr>
          </w:p>
        </w:tc>
        <w:tc>
          <w:tcPr>
            <w:tcW w:w="3594" w:type="dxa"/>
            <w:vMerge/>
          </w:tcPr>
          <w:p w14:paraId="260C6CB9"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45B3BB44"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1B23F32D"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4D34C629" w14:textId="2E99C118" w:rsidR="00DE471E" w:rsidRPr="00532128" w:rsidRDefault="00DE471E" w:rsidP="00DE471E">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 xml:space="preserve">Krajowa Szkoła Sądownictwa i Prokuratury w 2020 r. w zakresie szkolenia ustawicznego podejmowała tematykę dotyczącą osób starszych głównie w obszarze komunikacji z takimi osobami. Poniżej wskazane zostały szkolenia, których celem było dostarczenie adresatom wiedzy i umiejętności </w:t>
            </w:r>
            <w:r w:rsidR="00DE4208">
              <w:rPr>
                <w:rFonts w:cs="Times New Roman"/>
                <w:color w:val="auto"/>
                <w:sz w:val="20"/>
              </w:rPr>
              <w:t>pozwalających na </w:t>
            </w:r>
            <w:r w:rsidRPr="00532128">
              <w:rPr>
                <w:rFonts w:cs="Times New Roman"/>
                <w:color w:val="auto"/>
                <w:sz w:val="20"/>
              </w:rPr>
              <w:t>uwzględnienie specyfiki o</w:t>
            </w:r>
            <w:r w:rsidR="00DE4208">
              <w:rPr>
                <w:rFonts w:cs="Times New Roman"/>
                <w:color w:val="auto"/>
                <w:sz w:val="20"/>
              </w:rPr>
              <w:t>sób starszych jako interesantów:</w:t>
            </w:r>
          </w:p>
          <w:p w14:paraId="1443F043" w14:textId="77777777" w:rsidR="00DE4208" w:rsidRDefault="00DE4208" w:rsidP="00DE471E">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Pr>
                <w:rFonts w:cs="Times New Roman"/>
                <w:color w:val="auto"/>
                <w:sz w:val="20"/>
              </w:rPr>
              <w:t>- </w:t>
            </w:r>
            <w:r w:rsidR="00DE471E" w:rsidRPr="00532128">
              <w:rPr>
                <w:rFonts w:cs="Times New Roman"/>
                <w:color w:val="auto"/>
                <w:sz w:val="20"/>
              </w:rPr>
              <w:t xml:space="preserve">K29/20 pt. „Różnorodność kulturowa uczestników postępowań karnych - wyzwanie dla prokuratorów i sędziów w toku postępowania karnego”, w trakcie którego jednym z zagadnień szczegółowych była dyskryminacja wiekowo-sprawnościowa. </w:t>
            </w:r>
            <w:r>
              <w:rPr>
                <w:rFonts w:cs="Times New Roman"/>
                <w:color w:val="auto"/>
                <w:sz w:val="20"/>
              </w:rPr>
              <w:t xml:space="preserve">               </w:t>
            </w:r>
            <w:r w:rsidR="00DE471E" w:rsidRPr="00532128">
              <w:rPr>
                <w:rFonts w:cs="Times New Roman"/>
                <w:color w:val="auto"/>
                <w:sz w:val="20"/>
              </w:rPr>
              <w:t xml:space="preserve">(2 edycje, przeszkolono łącznie 84 osoby, w tym 25 sędziów, 1 </w:t>
            </w:r>
            <w:r w:rsidR="00DE471E" w:rsidRPr="00532128">
              <w:rPr>
                <w:rFonts w:cs="Times New Roman"/>
                <w:color w:val="auto"/>
                <w:sz w:val="20"/>
              </w:rPr>
              <w:lastRenderedPageBreak/>
              <w:t xml:space="preserve">asesor sądowy, 1 asystent sędziego, 47 prokuratorów, 7 asesorów prokuratury, 3 asystentów prokuratora). </w:t>
            </w:r>
          </w:p>
          <w:p w14:paraId="7CA2F14D" w14:textId="5F5DC4C5" w:rsidR="00DE471E" w:rsidRPr="00532128" w:rsidRDefault="00DE4208" w:rsidP="00DE471E">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Pr>
                <w:rFonts w:cs="Times New Roman"/>
                <w:color w:val="auto"/>
                <w:sz w:val="20"/>
              </w:rPr>
              <w:t>- </w:t>
            </w:r>
            <w:r w:rsidR="00DE471E" w:rsidRPr="00532128">
              <w:rPr>
                <w:rFonts w:cs="Times New Roman"/>
                <w:color w:val="auto"/>
                <w:sz w:val="20"/>
              </w:rPr>
              <w:t>C7/20, pt. „Komunikacja w toku postępowania karnego i cywilnego z osobami dotkniętymi niepełnosprawnością oraz respektowanie ich praw”, podczas którego jednym z zagadnień szczegółowych była niepełnosprawność wynikająca ze stanu osłabienia władz umysłowych spowodowanych wiekiem. (2 edycje, przeszkolono łącznie 179 osób, w tym 33 sędziów, 3 asesorów sądowych, 45 asystentów sędziego, 13 referendarzy, 4 prokuratorów, 10 asystentów prokuratora, 49 urzędników sądowych, 2 kuratorów zawodowych, 19 urzędników prokuratury i 1 inna osoba).</w:t>
            </w:r>
          </w:p>
          <w:p w14:paraId="12101215" w14:textId="77777777" w:rsidR="00DE471E" w:rsidRPr="00532128" w:rsidRDefault="00DE471E" w:rsidP="00DE471E">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p>
          <w:p w14:paraId="0D9273E4" w14:textId="77777777" w:rsidR="00DE471E" w:rsidRPr="00532128" w:rsidRDefault="00DE471E" w:rsidP="00DE471E">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W 2020 r. Krajowa Szkoła Sądownictwa i Prokuratury umożliwiła również jednemu sędziemu i jednemu asesorowi sądowemu udział w dwóch edycjach szkolenia międzynarodowego pt. „</w:t>
            </w:r>
            <w:proofErr w:type="spellStart"/>
            <w:r w:rsidRPr="00532128">
              <w:rPr>
                <w:rFonts w:cs="Times New Roman"/>
                <w:color w:val="auto"/>
                <w:sz w:val="20"/>
              </w:rPr>
              <w:t>Applying</w:t>
            </w:r>
            <w:proofErr w:type="spellEnd"/>
            <w:r w:rsidRPr="00532128">
              <w:rPr>
                <w:rFonts w:cs="Times New Roman"/>
                <w:color w:val="auto"/>
                <w:sz w:val="20"/>
              </w:rPr>
              <w:t xml:space="preserve"> Eu </w:t>
            </w:r>
            <w:proofErr w:type="spellStart"/>
            <w:r w:rsidRPr="00532128">
              <w:rPr>
                <w:rFonts w:cs="Times New Roman"/>
                <w:color w:val="auto"/>
                <w:sz w:val="20"/>
              </w:rPr>
              <w:t>Anti-Discrimination</w:t>
            </w:r>
            <w:proofErr w:type="spellEnd"/>
            <w:r w:rsidRPr="00532128">
              <w:rPr>
                <w:rFonts w:cs="Times New Roman"/>
                <w:color w:val="auto"/>
                <w:sz w:val="20"/>
              </w:rPr>
              <w:t xml:space="preserve"> Law”, sygn. M10/20. Jednym z zagadnień szczegółowych poruszanych podczas ww. szkolenia była dyskryminacja ze względu na wiek w świetle orzecznictwa Trybunału Sprawiedliwości Unii Europejskiej. Organizatorem ww. szkolenia była Akademia Prawa Europejskiego ERA w Trewirze.</w:t>
            </w:r>
          </w:p>
          <w:p w14:paraId="4674B783" w14:textId="77777777" w:rsidR="00DE471E" w:rsidRPr="00532128" w:rsidRDefault="00DE471E" w:rsidP="00DE471E">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p>
          <w:p w14:paraId="06B0F396" w14:textId="77777777" w:rsidR="00DE471E" w:rsidRPr="00532128" w:rsidRDefault="00DE471E" w:rsidP="00DE471E">
            <w:p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Jeżeli chodzi o zadania Działu Dydaktycznego OAS, to były realizowane działania edukacyjne aplikantów aplikacji sędziowskiej jedynie POŚREDNIO dotyczące tematyki przemocy wobec osób starszych, podejmowane w trakcie następujących zajęć:</w:t>
            </w:r>
          </w:p>
          <w:p w14:paraId="4D7D708C" w14:textId="2EF3657D" w:rsidR="00DE471E" w:rsidRPr="00532128" w:rsidRDefault="00DE471E" w:rsidP="00FE70E3">
            <w:pPr>
              <w:pStyle w:val="Akapitzlist"/>
              <w:numPr>
                <w:ilvl w:val="0"/>
                <w:numId w:val="31"/>
              </w:num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XII zjazd 10 rocznika aplikacji sędziowskiej, w dniach 9¬13 marca 2020 r.:</w:t>
            </w:r>
            <w:r w:rsidR="00ED479E">
              <w:rPr>
                <w:rFonts w:cs="Times New Roman"/>
                <w:color w:val="auto"/>
                <w:sz w:val="20"/>
              </w:rPr>
              <w:t xml:space="preserve"> </w:t>
            </w:r>
            <w:r w:rsidRPr="00532128">
              <w:rPr>
                <w:rFonts w:cs="Times New Roman"/>
                <w:color w:val="auto"/>
                <w:sz w:val="20"/>
              </w:rPr>
              <w:t>Zajęcia typu A - 4 godziny lekcyjne - Prawa człowieka w postępowaniu karnym i ich ochrona, w tym antydyskryminacyjne standardy prawne. Orzecznictwo Europejskiego Trybunału Pr</w:t>
            </w:r>
            <w:r w:rsidR="00DE4208">
              <w:rPr>
                <w:rFonts w:cs="Times New Roman"/>
                <w:color w:val="auto"/>
                <w:sz w:val="20"/>
              </w:rPr>
              <w:t>aw Człowieka - Przeszkolono ok. </w:t>
            </w:r>
            <w:r w:rsidRPr="00532128">
              <w:rPr>
                <w:rFonts w:cs="Times New Roman"/>
                <w:color w:val="auto"/>
                <w:sz w:val="20"/>
              </w:rPr>
              <w:t>114 aplikantów</w:t>
            </w:r>
          </w:p>
          <w:p w14:paraId="60538765" w14:textId="4D96B4AA" w:rsidR="00DE471E" w:rsidRPr="00532128" w:rsidRDefault="00DE471E" w:rsidP="00FE70E3">
            <w:pPr>
              <w:pStyle w:val="Akapitzlist"/>
              <w:numPr>
                <w:ilvl w:val="0"/>
                <w:numId w:val="31"/>
              </w:num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VI zjazd 11 rocznika aplikacji sędzi</w:t>
            </w:r>
            <w:r w:rsidR="00DE4208">
              <w:rPr>
                <w:rFonts w:cs="Times New Roman"/>
                <w:color w:val="auto"/>
                <w:sz w:val="20"/>
              </w:rPr>
              <w:t>owskiej, w dniach                           4-</w:t>
            </w:r>
            <w:r w:rsidRPr="00532128">
              <w:rPr>
                <w:rFonts w:cs="Times New Roman"/>
                <w:color w:val="auto"/>
                <w:sz w:val="20"/>
              </w:rPr>
              <w:t xml:space="preserve">8 i 11-15 maja 2020 r.: Zajęcia typu G -10 godzin lekcyjnych </w:t>
            </w:r>
            <w:r w:rsidRPr="00532128">
              <w:rPr>
                <w:rFonts w:cs="Times New Roman"/>
                <w:color w:val="auto"/>
                <w:sz w:val="20"/>
              </w:rPr>
              <w:lastRenderedPageBreak/>
              <w:t>- Kazusy - Prawo karne materialne -</w:t>
            </w:r>
            <w:r w:rsidR="00DE4208">
              <w:rPr>
                <w:rFonts w:cs="Times New Roman"/>
                <w:color w:val="auto"/>
                <w:sz w:val="20"/>
              </w:rPr>
              <w:t xml:space="preserve"> przestępstwa przeciwko życiu i </w:t>
            </w:r>
            <w:r w:rsidRPr="00532128">
              <w:rPr>
                <w:rFonts w:cs="Times New Roman"/>
                <w:color w:val="auto"/>
                <w:sz w:val="20"/>
              </w:rPr>
              <w:t>zdrowiu, czci i nietykalności cielesnej, przeciwko rodzinie i opiece. Przeszkolono ok. 103 aplikantów.</w:t>
            </w:r>
          </w:p>
          <w:p w14:paraId="7F7E140A" w14:textId="5AD23546" w:rsidR="00DE471E" w:rsidRPr="00532128" w:rsidRDefault="00DE471E" w:rsidP="00FE70E3">
            <w:pPr>
              <w:pStyle w:val="Akapitzlist"/>
              <w:numPr>
                <w:ilvl w:val="0"/>
                <w:numId w:val="31"/>
              </w:num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VII zjazd 11 rocznika aplikacji</w:t>
            </w:r>
            <w:r w:rsidR="00DE4208">
              <w:rPr>
                <w:rFonts w:cs="Times New Roman"/>
                <w:color w:val="auto"/>
                <w:sz w:val="20"/>
              </w:rPr>
              <w:t xml:space="preserve"> sędziowskiej, w dniach                         18-22 i </w:t>
            </w:r>
            <w:r w:rsidRPr="00532128">
              <w:rPr>
                <w:rFonts w:cs="Times New Roman"/>
                <w:color w:val="auto"/>
                <w:sz w:val="20"/>
              </w:rPr>
              <w:t>25-29 maja 2020 r.: Zajęcia typu G - 10 godzin lekcyjnych - Prawo karne materialne - przestępstwa przeciwko prawom osób wykonują</w:t>
            </w:r>
            <w:r w:rsidR="00DE4208">
              <w:rPr>
                <w:rFonts w:cs="Times New Roman"/>
                <w:color w:val="auto"/>
                <w:sz w:val="20"/>
              </w:rPr>
              <w:t>cych pracę zarobkową, wyborom i </w:t>
            </w:r>
            <w:r w:rsidRPr="00532128">
              <w:rPr>
                <w:rFonts w:cs="Times New Roman"/>
                <w:color w:val="auto"/>
                <w:sz w:val="20"/>
              </w:rPr>
              <w:t>referendum, porządkowi publicznemu, środowisku; część ogólna kodeksu wykroczeń, zwłaszcza zagadnienia właściwe dla tej kodyfikacji. Przeszkolono ok. 103 aplikantów.</w:t>
            </w:r>
          </w:p>
          <w:p w14:paraId="22D3C87C" w14:textId="337321F5" w:rsidR="00DE471E" w:rsidRPr="00532128" w:rsidRDefault="00DE471E" w:rsidP="00FE70E3">
            <w:pPr>
              <w:pStyle w:val="Akapitzlist"/>
              <w:numPr>
                <w:ilvl w:val="0"/>
                <w:numId w:val="31"/>
              </w:num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 xml:space="preserve">V zjazd 1 rocznika aplikacji uzupełniającej sędziowskiej, </w:t>
            </w:r>
            <w:r w:rsidR="00DE4208">
              <w:rPr>
                <w:rFonts w:cs="Times New Roman"/>
                <w:color w:val="auto"/>
                <w:sz w:val="20"/>
              </w:rPr>
              <w:t xml:space="preserve">                   </w:t>
            </w:r>
            <w:r w:rsidRPr="00532128">
              <w:rPr>
                <w:rFonts w:cs="Times New Roman"/>
                <w:color w:val="auto"/>
                <w:sz w:val="20"/>
              </w:rPr>
              <w:t>w dniach 10-11 października 2020 r.: Zajęcia typu G - 4 godziny lekcyjne - Kazusy - Prawo karne materialne - przestępstwa przeciwko życiu i zdrowiu, czci i nietykalności cielesnej, przeciwko rodzinie i opiece. Przeszkolono ok. 73 aplikantów.</w:t>
            </w:r>
          </w:p>
          <w:p w14:paraId="31BEF279" w14:textId="6A1C238A" w:rsidR="00DE471E" w:rsidRPr="00532128" w:rsidRDefault="00DE471E" w:rsidP="00FE70E3">
            <w:pPr>
              <w:pStyle w:val="Akapitzlist"/>
              <w:numPr>
                <w:ilvl w:val="0"/>
                <w:numId w:val="31"/>
              </w:num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 xml:space="preserve">VI zjazd 1 rocznika aplikacji uzupełniającej sędziowskiej, </w:t>
            </w:r>
            <w:r w:rsidR="00DE4208">
              <w:rPr>
                <w:rFonts w:cs="Times New Roman"/>
                <w:color w:val="auto"/>
                <w:sz w:val="20"/>
              </w:rPr>
              <w:t xml:space="preserve">                  </w:t>
            </w:r>
            <w:r w:rsidRPr="00532128">
              <w:rPr>
                <w:rFonts w:cs="Times New Roman"/>
                <w:color w:val="auto"/>
                <w:sz w:val="20"/>
              </w:rPr>
              <w:t xml:space="preserve">w dniach 24-25 października 2020 r.: Zajęcia typu G - 4 godziny lekcyjne - Prawo karne materialne - przestępstwa przeciwko prawom osób wykonujących pracę zarobkową, wyborom </w:t>
            </w:r>
            <w:r w:rsidR="00DE4208">
              <w:rPr>
                <w:rFonts w:cs="Times New Roman"/>
                <w:color w:val="auto"/>
                <w:sz w:val="20"/>
              </w:rPr>
              <w:t xml:space="preserve">                       </w:t>
            </w:r>
            <w:r w:rsidRPr="00532128">
              <w:rPr>
                <w:rFonts w:cs="Times New Roman"/>
                <w:color w:val="auto"/>
                <w:sz w:val="20"/>
              </w:rPr>
              <w:t>i referendum, porządkowi publicznemu, środowisku; część ogólna kodeksu wykroczeń, zwłaszcza zagadnienia właściwe dla tej kodyfikacji. Przeszkolono ok. 73 aplikantów.</w:t>
            </w:r>
          </w:p>
          <w:p w14:paraId="0568D2FE" w14:textId="4EB89EBE" w:rsidR="00DE471E" w:rsidRPr="00532128" w:rsidRDefault="00DE471E" w:rsidP="00FE70E3">
            <w:pPr>
              <w:pStyle w:val="Akapitzlist"/>
              <w:numPr>
                <w:ilvl w:val="0"/>
                <w:numId w:val="31"/>
              </w:num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XX zjazd 8 rocznika apl</w:t>
            </w:r>
            <w:r w:rsidR="00DE4208">
              <w:rPr>
                <w:rFonts w:cs="Times New Roman"/>
                <w:color w:val="auto"/>
                <w:sz w:val="20"/>
              </w:rPr>
              <w:t>ikacji sędziowskiej, w dniach                             7-</w:t>
            </w:r>
            <w:r w:rsidRPr="00532128">
              <w:rPr>
                <w:rFonts w:cs="Times New Roman"/>
                <w:color w:val="auto"/>
                <w:sz w:val="20"/>
              </w:rPr>
              <w:t xml:space="preserve">10 stycznia 2020 r.: Zajęcia typu A - 4 godziny lekcyjne - omówienie orzeczeń ETS dotyczących europejskiego prawa pracy, w szczególności: równego traktowania i zakazu dyskryminacji w różnych wariantach, Zajęcia typu G - 8 godzin lekcyjnych - tj. rozwiązywanie kazusów dotyczących podstawowych zagadnień prawa materialnego występujących w sprawach z zakresu prawa pracy: w tym sprawy </w:t>
            </w:r>
            <w:r w:rsidR="00DB69FC">
              <w:rPr>
                <w:rFonts w:cs="Times New Roman"/>
                <w:color w:val="auto"/>
                <w:sz w:val="20"/>
              </w:rPr>
              <w:t xml:space="preserve">                                  </w:t>
            </w:r>
            <w:r w:rsidRPr="00532128">
              <w:rPr>
                <w:rFonts w:cs="Times New Roman"/>
                <w:color w:val="auto"/>
                <w:sz w:val="20"/>
              </w:rPr>
              <w:t xml:space="preserve">o odszkodowanie związane z dyskryminacją i </w:t>
            </w:r>
            <w:proofErr w:type="spellStart"/>
            <w:r w:rsidRPr="00532128">
              <w:rPr>
                <w:rFonts w:cs="Times New Roman"/>
                <w:color w:val="auto"/>
                <w:sz w:val="20"/>
              </w:rPr>
              <w:t>mobbingiem</w:t>
            </w:r>
            <w:proofErr w:type="spellEnd"/>
            <w:r w:rsidRPr="00532128">
              <w:rPr>
                <w:rFonts w:cs="Times New Roman"/>
                <w:color w:val="auto"/>
                <w:sz w:val="20"/>
              </w:rPr>
              <w:t>, Przeszkolono ok. 107 aplikantów.</w:t>
            </w:r>
          </w:p>
          <w:p w14:paraId="2173153F" w14:textId="3030E7EC" w:rsidR="00DE471E" w:rsidRPr="00532128" w:rsidRDefault="00DE471E" w:rsidP="00FE70E3">
            <w:pPr>
              <w:pStyle w:val="Akapitzlist"/>
              <w:numPr>
                <w:ilvl w:val="0"/>
                <w:numId w:val="31"/>
              </w:num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lastRenderedPageBreak/>
              <w:t xml:space="preserve">XXVII zjazd 9 rocznika aplikacji sędziowskiej, w dniach 27-30 kwietnia 2020 r.: Zajęcia typu G - 8 godzin lekcyjnych - Rozwiązywanie kazusów dotyczących podstawowych zagadnień prawa materialnego występujących w sprawach </w:t>
            </w:r>
            <w:r w:rsidR="00DB69FC">
              <w:rPr>
                <w:rFonts w:cs="Times New Roman"/>
                <w:color w:val="auto"/>
                <w:sz w:val="20"/>
              </w:rPr>
              <w:t xml:space="preserve">                    </w:t>
            </w:r>
            <w:r w:rsidRPr="00532128">
              <w:rPr>
                <w:rFonts w:cs="Times New Roman"/>
                <w:color w:val="auto"/>
                <w:sz w:val="20"/>
              </w:rPr>
              <w:t xml:space="preserve">z zakresu prawa pracy, w tym sprawy o odszkodowanie związane z dyskryminacją i </w:t>
            </w:r>
            <w:proofErr w:type="spellStart"/>
            <w:r w:rsidRPr="00532128">
              <w:rPr>
                <w:rFonts w:cs="Times New Roman"/>
                <w:color w:val="auto"/>
                <w:sz w:val="20"/>
              </w:rPr>
              <w:t>mobbingiem</w:t>
            </w:r>
            <w:proofErr w:type="spellEnd"/>
            <w:r w:rsidRPr="00532128">
              <w:rPr>
                <w:rFonts w:cs="Times New Roman"/>
                <w:color w:val="auto"/>
                <w:sz w:val="20"/>
              </w:rPr>
              <w:t>, Zajęcia typu A - 4 godziny lekcyjne - Omówienie orzeczeń TSUE dotyczących europejskiego prawa pracy, w szczególności:</w:t>
            </w:r>
            <w:r w:rsidR="00ED479E">
              <w:rPr>
                <w:rFonts w:cs="Times New Roman"/>
                <w:color w:val="auto"/>
                <w:sz w:val="20"/>
              </w:rPr>
              <w:t xml:space="preserve"> </w:t>
            </w:r>
            <w:r w:rsidRPr="00532128">
              <w:rPr>
                <w:rFonts w:cs="Times New Roman"/>
                <w:color w:val="auto"/>
                <w:sz w:val="20"/>
              </w:rPr>
              <w:t xml:space="preserve">równego traktowania i zakazu dyskryminacji w różnych wariantach (ze względu na płeć, wiek, niepełnosprawność), ochrony pracowników w razie transferu zakładu pracy i przejęcia pracowników, ochrony roszczeń pracowniczych w razie niewypłacalności pracodawcy, niektórych aspektów organizacji czasu pracy, zwolnień grupowych; omówienie orzeczeń TK </w:t>
            </w:r>
            <w:r w:rsidR="00DB69FC">
              <w:rPr>
                <w:rFonts w:cs="Times New Roman"/>
                <w:color w:val="auto"/>
                <w:sz w:val="20"/>
              </w:rPr>
              <w:t xml:space="preserve">                    </w:t>
            </w:r>
            <w:r w:rsidRPr="00532128">
              <w:rPr>
                <w:rFonts w:cs="Times New Roman"/>
                <w:color w:val="auto"/>
                <w:sz w:val="20"/>
              </w:rPr>
              <w:t>i SN dotyczących prawa pracy. Przeszkolono ok. 142 aplikantów.</w:t>
            </w:r>
          </w:p>
          <w:p w14:paraId="5702C37D" w14:textId="0105855C" w:rsidR="00DE471E" w:rsidRPr="00532128" w:rsidRDefault="00DE471E" w:rsidP="00FE70E3">
            <w:pPr>
              <w:pStyle w:val="Akapitzlist"/>
              <w:numPr>
                <w:ilvl w:val="0"/>
                <w:numId w:val="31"/>
              </w:num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 xml:space="preserve">XXI zjazd 8 rocznika aplikacji sędziowskiej, w dniach 3-7 luty 2020 r.: Zajęcia typu G - 8 godzin lekcyjnych - rozwiązywanie kazusów dotyczących podstawowych zagadnień prawa materialnego w sprawach z zakresu ubezpieczeń społecznych: zasady podlegania ubezpieczeniu społecznemu; składki </w:t>
            </w:r>
            <w:r w:rsidR="00DB69FC">
              <w:rPr>
                <w:rFonts w:cs="Times New Roman"/>
                <w:color w:val="auto"/>
                <w:sz w:val="20"/>
              </w:rPr>
              <w:t xml:space="preserve">                    </w:t>
            </w:r>
            <w:r w:rsidRPr="00532128">
              <w:rPr>
                <w:rFonts w:cs="Times New Roman"/>
                <w:color w:val="auto"/>
                <w:sz w:val="20"/>
              </w:rPr>
              <w:t xml:space="preserve">na ubezpieczenie społeczne: zdrowotne, emerytalne, rentowe, chorobowe, wypadkowe; zasady ustalania prawa do świadczeń, zwrot świadczeń nienależnie pobranych, ubezpieczenie wypadkowe, chorobowe i macierzyńskie oraz świadczenia przysługujące z tego tytułu, ubezpieczenie emerytalne </w:t>
            </w:r>
            <w:r w:rsidR="00DB69FC">
              <w:rPr>
                <w:rFonts w:cs="Times New Roman"/>
                <w:color w:val="auto"/>
                <w:sz w:val="20"/>
              </w:rPr>
              <w:t xml:space="preserve">                             </w:t>
            </w:r>
            <w:r w:rsidRPr="00532128">
              <w:rPr>
                <w:rFonts w:cs="Times New Roman"/>
                <w:color w:val="auto"/>
                <w:sz w:val="20"/>
              </w:rPr>
              <w:t xml:space="preserve">i rentowe; typowe sprawy rozpoznawane w sądzie rejonowym, np. sprawy o zasiłki chorobowe i macierzyńskie, o świadczenia z tytułu wypadków przy pracy przysługujące od organu rentowego, Zajęcia typu A - 4 godziny lekcyjne - omówienie orzeczeń ETS dotyczących koordynacji systemów ubezpieczeń społecznych w ramach Unii Europejskiej, omówienie orzeczeń TK i SN dotyczących prawa ubezpieczeń społecznych, Zajęcia typu B - 16 godzin lekcyjnych - istotne odrębności </w:t>
            </w:r>
            <w:r w:rsidRPr="00532128">
              <w:rPr>
                <w:rFonts w:cs="Times New Roman"/>
                <w:color w:val="auto"/>
                <w:sz w:val="20"/>
              </w:rPr>
              <w:lastRenderedPageBreak/>
              <w:t xml:space="preserve">postępowania w sprawach z zakresu ubezpieczeń społecznych (specyfika postępowania toczącego się w wyniku odwołania </w:t>
            </w:r>
            <w:r w:rsidR="00DB69FC">
              <w:rPr>
                <w:rFonts w:cs="Times New Roman"/>
                <w:color w:val="auto"/>
                <w:sz w:val="20"/>
              </w:rPr>
              <w:t xml:space="preserve">                </w:t>
            </w:r>
            <w:r w:rsidRPr="00532128">
              <w:rPr>
                <w:rFonts w:cs="Times New Roman"/>
                <w:color w:val="auto"/>
                <w:sz w:val="20"/>
              </w:rPr>
              <w:t xml:space="preserve">od decyzji organu rentowego, możliwość zwrotu akt organowi rentowemu albo uchylenia przez sąd decyzji organu rentowego, strony postępowania w sprawach z zakresu ubezpieczeń społecznych - w tym zainteresowany; rodzaje orzeczeń, jakie może wydać sąd ubezpieczeń społecznych), Zajęcia typu F - 4 godziny lekcyjne - prawo ubezpieczeń społecznych (ustawa </w:t>
            </w:r>
            <w:r w:rsidR="00DB69FC">
              <w:rPr>
                <w:rFonts w:cs="Times New Roman"/>
                <w:color w:val="auto"/>
                <w:sz w:val="20"/>
              </w:rPr>
              <w:t xml:space="preserve">                </w:t>
            </w:r>
            <w:r w:rsidRPr="00532128">
              <w:rPr>
                <w:rFonts w:cs="Times New Roman"/>
                <w:color w:val="auto"/>
                <w:sz w:val="20"/>
              </w:rPr>
              <w:t xml:space="preserve">o systemie ubezpieczeń społecznych, ustawa o emeryturach </w:t>
            </w:r>
            <w:r w:rsidR="00DB69FC">
              <w:rPr>
                <w:rFonts w:cs="Times New Roman"/>
                <w:color w:val="auto"/>
                <w:sz w:val="20"/>
              </w:rPr>
              <w:t xml:space="preserve">                 </w:t>
            </w:r>
            <w:r w:rsidRPr="00532128">
              <w:rPr>
                <w:rFonts w:cs="Times New Roman"/>
                <w:color w:val="auto"/>
                <w:sz w:val="20"/>
              </w:rPr>
              <w:t xml:space="preserve">i rentach z Funduszu Ubezpieczeń Społecznych, ustawa </w:t>
            </w:r>
            <w:r w:rsidR="00DB69FC">
              <w:rPr>
                <w:rFonts w:cs="Times New Roman"/>
                <w:color w:val="auto"/>
                <w:sz w:val="20"/>
              </w:rPr>
              <w:t xml:space="preserve">                        </w:t>
            </w:r>
            <w:r w:rsidRPr="00532128">
              <w:rPr>
                <w:rFonts w:cs="Times New Roman"/>
                <w:color w:val="auto"/>
                <w:sz w:val="20"/>
              </w:rPr>
              <w:t xml:space="preserve">o ubezpieczeniu społecznym rolników, ustawa o świadczeniach z tytułu wypadków przy pracy i chorób zawodowych, ustawa </w:t>
            </w:r>
            <w:r w:rsidR="00DB69FC">
              <w:rPr>
                <w:rFonts w:cs="Times New Roman"/>
                <w:color w:val="auto"/>
                <w:sz w:val="20"/>
              </w:rPr>
              <w:t xml:space="preserve">            </w:t>
            </w:r>
            <w:r w:rsidRPr="00532128">
              <w:rPr>
                <w:rFonts w:cs="Times New Roman"/>
                <w:color w:val="auto"/>
                <w:sz w:val="20"/>
              </w:rPr>
              <w:t>o świadczenia z tytułu choroby i macierzyństwa), Przeszkolono ok. 107 aplikantów.</w:t>
            </w:r>
          </w:p>
          <w:p w14:paraId="201275B1" w14:textId="6D27238E" w:rsidR="00763EC8" w:rsidRPr="00532128" w:rsidRDefault="00DE471E" w:rsidP="00FE70E3">
            <w:pPr>
              <w:pStyle w:val="Akapitzlist"/>
              <w:numPr>
                <w:ilvl w:val="0"/>
                <w:numId w:val="31"/>
              </w:numP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532128">
              <w:rPr>
                <w:rFonts w:cs="Times New Roman"/>
                <w:color w:val="auto"/>
                <w:sz w:val="20"/>
              </w:rPr>
              <w:t xml:space="preserve">XXVIII zjazd 9 rocznika aplikacji sędziowskiej, w dniach 4-8 </w:t>
            </w:r>
            <w:r w:rsidR="00DB69FC">
              <w:rPr>
                <w:rFonts w:cs="Times New Roman"/>
                <w:color w:val="auto"/>
                <w:sz w:val="20"/>
              </w:rPr>
              <w:t xml:space="preserve">            </w:t>
            </w:r>
            <w:r w:rsidRPr="00532128">
              <w:rPr>
                <w:rFonts w:cs="Times New Roman"/>
                <w:color w:val="auto"/>
                <w:sz w:val="20"/>
              </w:rPr>
              <w:t xml:space="preserve">i 11-15 maja 2020 r.: Zajęcia typu G - 8 godzin lekcyjnych - podstawowe zagadnienia prawa materialnego w sprawach </w:t>
            </w:r>
            <w:r w:rsidR="00DB69FC">
              <w:rPr>
                <w:rFonts w:cs="Times New Roman"/>
                <w:color w:val="auto"/>
                <w:sz w:val="20"/>
              </w:rPr>
              <w:t xml:space="preserve">                    </w:t>
            </w:r>
            <w:r w:rsidRPr="00532128">
              <w:rPr>
                <w:rFonts w:cs="Times New Roman"/>
                <w:color w:val="auto"/>
                <w:sz w:val="20"/>
              </w:rPr>
              <w:t xml:space="preserve">z zakresu </w:t>
            </w:r>
            <w:r w:rsidR="00DB69FC">
              <w:rPr>
                <w:rFonts w:cs="Times New Roman"/>
                <w:color w:val="auto"/>
                <w:sz w:val="20"/>
              </w:rPr>
              <w:t xml:space="preserve">ubezpieczeń społecznych: zasady </w:t>
            </w:r>
            <w:r w:rsidRPr="00532128">
              <w:rPr>
                <w:rFonts w:cs="Times New Roman"/>
                <w:color w:val="auto"/>
                <w:sz w:val="20"/>
              </w:rPr>
              <w:t xml:space="preserve">podlegania ubezpieczeniom społecznym (w systemie powszechnym </w:t>
            </w:r>
            <w:r w:rsidR="00DB69FC">
              <w:rPr>
                <w:rFonts w:cs="Times New Roman"/>
                <w:color w:val="auto"/>
                <w:sz w:val="20"/>
              </w:rPr>
              <w:t xml:space="preserve">                       </w:t>
            </w:r>
            <w:r w:rsidRPr="00532128">
              <w:rPr>
                <w:rFonts w:cs="Times New Roman"/>
                <w:color w:val="auto"/>
                <w:sz w:val="20"/>
              </w:rPr>
              <w:t xml:space="preserve">i rolniczym); składki na ubezpieczenie społeczne: zdrowotne, emerytalne, rentowe, chorobowe, wypadkowe; zasady ustalania prawa do świadczeń z ubezpieczenia emerytalnego i rentowych, zwrot świadczeń nienależnie pobranych, ubezpieczenie wypadkowe, chorobowe oraz świadczenia przysługujące z tego tytułu; typowe sprawy rozpoznawane w sądzie rejonowym, </w:t>
            </w:r>
            <w:r w:rsidR="00DB69FC">
              <w:rPr>
                <w:rFonts w:cs="Times New Roman"/>
                <w:color w:val="auto"/>
                <w:sz w:val="20"/>
              </w:rPr>
              <w:t xml:space="preserve">             </w:t>
            </w:r>
            <w:r w:rsidRPr="00532128">
              <w:rPr>
                <w:rFonts w:cs="Times New Roman"/>
                <w:color w:val="auto"/>
                <w:sz w:val="20"/>
              </w:rPr>
              <w:t xml:space="preserve">np. sprawy o zasiłki chorobowe i macierzyńskie, o świadczenia </w:t>
            </w:r>
            <w:r w:rsidR="00DB69FC">
              <w:rPr>
                <w:rFonts w:cs="Times New Roman"/>
                <w:color w:val="auto"/>
                <w:sz w:val="20"/>
              </w:rPr>
              <w:t xml:space="preserve">              </w:t>
            </w:r>
            <w:r w:rsidRPr="00532128">
              <w:rPr>
                <w:rFonts w:cs="Times New Roman"/>
                <w:color w:val="auto"/>
                <w:sz w:val="20"/>
              </w:rPr>
              <w:t>z tytułu wypadków przy pracy przysługujące od organu rentowego (pojęcie wypadku przy pracy - analiza elementów definicji), Zajęcia typu A - 4 godziny lekcyjne - omówienie orzeczeń Trybunał S</w:t>
            </w:r>
            <w:r w:rsidR="00DB69FC">
              <w:rPr>
                <w:rFonts w:cs="Times New Roman"/>
                <w:color w:val="auto"/>
                <w:sz w:val="20"/>
              </w:rPr>
              <w:t xml:space="preserve">prawiedliwości Unii </w:t>
            </w:r>
            <w:r w:rsidRPr="00532128">
              <w:rPr>
                <w:rFonts w:cs="Times New Roman"/>
                <w:color w:val="auto"/>
                <w:sz w:val="20"/>
              </w:rPr>
              <w:t>Europ</w:t>
            </w:r>
            <w:r w:rsidR="00DB69FC">
              <w:rPr>
                <w:rFonts w:cs="Times New Roman"/>
                <w:color w:val="auto"/>
                <w:sz w:val="20"/>
              </w:rPr>
              <w:t xml:space="preserve">ejskiej dotyczących koordynacji systemów </w:t>
            </w:r>
            <w:r w:rsidRPr="00532128">
              <w:rPr>
                <w:rFonts w:cs="Times New Roman"/>
                <w:color w:val="auto"/>
                <w:sz w:val="20"/>
              </w:rPr>
              <w:t xml:space="preserve">ubezpieczeń społecznych w ramach Unii Europejskiej, omówienie orzeczeń TK i SN dotyczących prawa ubezpieczeń społecznych, Zajęcia typu B - 16 godzin lekcyjnych - istotne odrębności postępowania </w:t>
            </w:r>
            <w:r w:rsidR="00DB69FC">
              <w:rPr>
                <w:rFonts w:cs="Times New Roman"/>
                <w:color w:val="auto"/>
                <w:sz w:val="20"/>
              </w:rPr>
              <w:t xml:space="preserve">                     </w:t>
            </w:r>
            <w:r w:rsidRPr="00532128">
              <w:rPr>
                <w:rFonts w:cs="Times New Roman"/>
                <w:color w:val="auto"/>
                <w:sz w:val="20"/>
              </w:rPr>
              <w:lastRenderedPageBreak/>
              <w:t xml:space="preserve">w sprawach z zakresu ubezpieczeń społecznych (specyfika postępowania toczącego się w wyniku odwołania od decyzji organu rentowego, zakres rozpoznania sprawy, zakres związania treścią decyzji zaskarżonej i ewentualnych wcześniejszych decyzji istotnych dla rozstrzygnięcia, możliwość zwrotu akt organowi rentowemu albo uchylenia przez sąd decyzji organu rentowego, strony postępowania </w:t>
            </w:r>
            <w:r w:rsidR="00DB69FC">
              <w:rPr>
                <w:rFonts w:cs="Times New Roman"/>
                <w:color w:val="auto"/>
                <w:sz w:val="20"/>
              </w:rPr>
              <w:t xml:space="preserve">                   </w:t>
            </w:r>
            <w:r w:rsidRPr="00532128">
              <w:rPr>
                <w:rFonts w:cs="Times New Roman"/>
                <w:color w:val="auto"/>
                <w:sz w:val="20"/>
              </w:rPr>
              <w:t xml:space="preserve">w sprawach z zakresu ubezpieczeń społecznych - w tym zainteresowany; rodzaje orzeczeń, jakie może wydać sąd ubezpieczeń społecznych), Zajęcia typu F - 4 godziny lekcyjne - prawo ubezpieczeń społecznych (ustawa o systemie ubezpieczeń społecznych, ustawa o emeryturach i rentach </w:t>
            </w:r>
            <w:r w:rsidR="00DB69FC">
              <w:rPr>
                <w:rFonts w:cs="Times New Roman"/>
                <w:color w:val="auto"/>
                <w:sz w:val="20"/>
              </w:rPr>
              <w:t xml:space="preserve">                    </w:t>
            </w:r>
            <w:r w:rsidRPr="00532128">
              <w:rPr>
                <w:rFonts w:cs="Times New Roman"/>
                <w:color w:val="auto"/>
                <w:sz w:val="20"/>
              </w:rPr>
              <w:t xml:space="preserve">z Funduszu Ubezpieczeń Społecznych, ustawa o ubezpieczeniu społecznym rolników, ustawa o ubezpieczeniu społecznym </w:t>
            </w:r>
            <w:r w:rsidR="00DB69FC">
              <w:rPr>
                <w:rFonts w:cs="Times New Roman"/>
                <w:color w:val="auto"/>
                <w:sz w:val="20"/>
              </w:rPr>
              <w:t xml:space="preserve">                 </w:t>
            </w:r>
            <w:r w:rsidRPr="00532128">
              <w:rPr>
                <w:rFonts w:cs="Times New Roman"/>
                <w:color w:val="auto"/>
                <w:sz w:val="20"/>
              </w:rPr>
              <w:t xml:space="preserve">z tytułu wypadków przy pracy i chorób zawodowych, ustawa </w:t>
            </w:r>
            <w:r w:rsidR="00DB69FC">
              <w:rPr>
                <w:rFonts w:cs="Times New Roman"/>
                <w:color w:val="auto"/>
                <w:sz w:val="20"/>
              </w:rPr>
              <w:t xml:space="preserve">             </w:t>
            </w:r>
            <w:r w:rsidRPr="00532128">
              <w:rPr>
                <w:rFonts w:cs="Times New Roman"/>
                <w:color w:val="auto"/>
                <w:sz w:val="20"/>
              </w:rPr>
              <w:t xml:space="preserve">o świadczeniach pieniężnych z ubezpieczenia społecznego </w:t>
            </w:r>
            <w:r w:rsidR="00DB69FC">
              <w:rPr>
                <w:rFonts w:cs="Times New Roman"/>
                <w:color w:val="auto"/>
                <w:sz w:val="20"/>
              </w:rPr>
              <w:t xml:space="preserve">               </w:t>
            </w:r>
            <w:r w:rsidRPr="00532128">
              <w:rPr>
                <w:rFonts w:cs="Times New Roman"/>
                <w:color w:val="auto"/>
                <w:sz w:val="20"/>
              </w:rPr>
              <w:t>w razie choroby i macie</w:t>
            </w:r>
            <w:r w:rsidR="00DB69FC">
              <w:rPr>
                <w:rFonts w:cs="Times New Roman"/>
                <w:color w:val="auto"/>
                <w:sz w:val="20"/>
              </w:rPr>
              <w:t>rzyństwa). Przeszkolono ok. 142 </w:t>
            </w:r>
            <w:r w:rsidRPr="00532128">
              <w:rPr>
                <w:rFonts w:cs="Times New Roman"/>
                <w:color w:val="auto"/>
                <w:sz w:val="20"/>
              </w:rPr>
              <w:t>aplikantów.</w:t>
            </w:r>
          </w:p>
        </w:tc>
      </w:tr>
      <w:tr w:rsidR="0092226B" w:rsidRPr="0092226B" w14:paraId="4D56361B" w14:textId="77777777" w:rsidTr="002D4784">
        <w:trPr>
          <w:trHeight w:val="415"/>
        </w:trPr>
        <w:tc>
          <w:tcPr>
            <w:cnfStyle w:val="001000000000" w:firstRow="0" w:lastRow="0" w:firstColumn="1" w:lastColumn="0" w:oddVBand="0" w:evenVBand="0" w:oddHBand="0" w:evenHBand="0" w:firstRowFirstColumn="0" w:firstRowLastColumn="0" w:lastRowFirstColumn="0" w:lastRowLastColumn="0"/>
            <w:tcW w:w="1232" w:type="dxa"/>
            <w:vMerge/>
          </w:tcPr>
          <w:p w14:paraId="689EE958" w14:textId="77777777" w:rsidR="00311D18" w:rsidRPr="0092226B" w:rsidRDefault="00311D18" w:rsidP="003C1988">
            <w:pPr>
              <w:rPr>
                <w:rFonts w:cs="Times New Roman"/>
                <w:color w:val="FF0000"/>
                <w:sz w:val="20"/>
              </w:rPr>
            </w:pPr>
          </w:p>
        </w:tc>
        <w:tc>
          <w:tcPr>
            <w:tcW w:w="3594" w:type="dxa"/>
            <w:vMerge w:val="restart"/>
          </w:tcPr>
          <w:p w14:paraId="336AD27A"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hAnsi="Times New Roman"/>
                <w:color w:val="auto"/>
                <w:sz w:val="20"/>
              </w:rPr>
              <w:t>Prowadzenie szkoleń z rozpoznawania przemocy dla pracowników podmiotów, którzy najczęściej mają kontakt z seniorami</w:t>
            </w:r>
          </w:p>
        </w:tc>
        <w:tc>
          <w:tcPr>
            <w:tcW w:w="2032" w:type="dxa"/>
            <w:vMerge w:val="restart"/>
          </w:tcPr>
          <w:p w14:paraId="24194F50"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Sprawiedliwości</w:t>
            </w:r>
          </w:p>
        </w:tc>
        <w:tc>
          <w:tcPr>
            <w:tcW w:w="1500" w:type="dxa"/>
            <w:vMerge w:val="restart"/>
          </w:tcPr>
          <w:p w14:paraId="7A04845B"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Działanie ciągłe</w:t>
            </w:r>
            <w:r w:rsidRPr="00532128">
              <w:rPr>
                <w:rFonts w:ascii="Times New Roman" w:hAnsi="Times New Roman"/>
                <w:color w:val="auto"/>
                <w:sz w:val="20"/>
              </w:rPr>
              <w:t>*</w:t>
            </w:r>
          </w:p>
          <w:p w14:paraId="1A567E2A"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tcPr>
          <w:p w14:paraId="0332C257"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przeprowadzonych szkoleń z rozpoznawania przemocy przez pracowników placówek medycznych, którzy najczęściej mają kontakt z seniorami i pracowników socjalnych</w:t>
            </w:r>
          </w:p>
        </w:tc>
      </w:tr>
      <w:tr w:rsidR="0092226B" w:rsidRPr="0092226B" w14:paraId="1A864C8F" w14:textId="77777777" w:rsidTr="00DB69FC">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232" w:type="dxa"/>
            <w:vMerge/>
          </w:tcPr>
          <w:p w14:paraId="7F6693FB" w14:textId="77777777" w:rsidR="00311D18" w:rsidRPr="0092226B" w:rsidRDefault="00311D18" w:rsidP="003C1988">
            <w:pPr>
              <w:rPr>
                <w:rFonts w:cs="Times New Roman"/>
                <w:color w:val="FF0000"/>
                <w:sz w:val="20"/>
              </w:rPr>
            </w:pPr>
          </w:p>
        </w:tc>
        <w:tc>
          <w:tcPr>
            <w:tcW w:w="3594" w:type="dxa"/>
            <w:vMerge/>
          </w:tcPr>
          <w:p w14:paraId="1D4803CA"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6EC61CBE"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4149A65A"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560F0D83" w14:textId="76DBDC34" w:rsidR="00311D18" w:rsidRPr="00532128" w:rsidRDefault="00403838"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r w:rsidRPr="00532128">
              <w:rPr>
                <w:rFonts w:eastAsia="Calibri" w:cs="Times New Roman"/>
                <w:color w:val="auto"/>
                <w:sz w:val="20"/>
              </w:rPr>
              <w:t>W związku z ustawą z dnia 30 kwietnia 2020 r. o zmianie ustawy - Kodeks postępowania cywilnego oraz niektórych innych ustaw</w:t>
            </w:r>
            <w:r w:rsidR="00DB69FC">
              <w:rPr>
                <w:rFonts w:eastAsia="Calibri" w:cs="Times New Roman"/>
                <w:color w:val="auto"/>
                <w:sz w:val="20"/>
              </w:rPr>
              <w:t xml:space="preserve">              </w:t>
            </w:r>
            <w:r w:rsidRPr="00532128">
              <w:rPr>
                <w:rFonts w:eastAsia="Calibri" w:cs="Times New Roman"/>
                <w:color w:val="auto"/>
                <w:sz w:val="20"/>
              </w:rPr>
              <w:t xml:space="preserve"> (Dz.</w:t>
            </w:r>
            <w:r w:rsidR="00ED479E">
              <w:rPr>
                <w:rFonts w:eastAsia="Calibri" w:cs="Times New Roman"/>
                <w:color w:val="auto"/>
                <w:sz w:val="20"/>
              </w:rPr>
              <w:t xml:space="preserve"> </w:t>
            </w:r>
            <w:r w:rsidRPr="00532128">
              <w:rPr>
                <w:rFonts w:eastAsia="Calibri" w:cs="Times New Roman"/>
                <w:color w:val="auto"/>
                <w:sz w:val="20"/>
              </w:rPr>
              <w:t xml:space="preserve">U. poz. 956) </w:t>
            </w:r>
            <w:r w:rsidR="00ED479E">
              <w:rPr>
                <w:rFonts w:eastAsia="Calibri" w:cs="Times New Roman"/>
                <w:color w:val="auto"/>
                <w:sz w:val="20"/>
              </w:rPr>
              <w:t>–</w:t>
            </w:r>
            <w:r w:rsidRPr="00532128">
              <w:rPr>
                <w:rFonts w:eastAsia="Calibri" w:cs="Times New Roman"/>
                <w:color w:val="auto"/>
                <w:sz w:val="20"/>
              </w:rPr>
              <w:t xml:space="preserve"> dalej „ustawa </w:t>
            </w:r>
            <w:proofErr w:type="spellStart"/>
            <w:r w:rsidRPr="00532128">
              <w:rPr>
                <w:rFonts w:eastAsia="Calibri" w:cs="Times New Roman"/>
                <w:color w:val="auto"/>
                <w:sz w:val="20"/>
              </w:rPr>
              <w:t>antyprzemocowa</w:t>
            </w:r>
            <w:proofErr w:type="spellEnd"/>
            <w:r w:rsidRPr="00532128">
              <w:rPr>
                <w:rFonts w:eastAsia="Calibri" w:cs="Times New Roman"/>
                <w:color w:val="auto"/>
                <w:sz w:val="20"/>
              </w:rPr>
              <w:t xml:space="preserve">”, przeprowadzono inicjatywę w postaci szkoleń, mających na celu podniesienie świadomości społecznej w zakresie przemocy </w:t>
            </w:r>
            <w:r w:rsidR="00DB69FC">
              <w:rPr>
                <w:rFonts w:eastAsia="Calibri" w:cs="Times New Roman"/>
                <w:color w:val="auto"/>
                <w:sz w:val="20"/>
              </w:rPr>
              <w:t xml:space="preserve">                            </w:t>
            </w:r>
            <w:r w:rsidRPr="00532128">
              <w:rPr>
                <w:rFonts w:eastAsia="Calibri" w:cs="Times New Roman"/>
                <w:color w:val="auto"/>
                <w:sz w:val="20"/>
              </w:rPr>
              <w:t>w rodzinie i zwiększenia kompeten</w:t>
            </w:r>
            <w:r w:rsidR="00DB69FC">
              <w:rPr>
                <w:rFonts w:eastAsia="Calibri" w:cs="Times New Roman"/>
                <w:color w:val="auto"/>
                <w:sz w:val="20"/>
              </w:rPr>
              <w:t>cji osób udzielających pomocy w </w:t>
            </w:r>
            <w:r w:rsidRPr="00532128">
              <w:rPr>
                <w:rFonts w:eastAsia="Calibri" w:cs="Times New Roman"/>
                <w:color w:val="auto"/>
                <w:sz w:val="20"/>
              </w:rPr>
              <w:t xml:space="preserve">ramach ogólnopolskiej Sieci Pomocy Osobom Pokrzywdzonym Przestępstwem, która udziela wsparcia wszystkim osobom pokrzywdzonym przestępstwem bez względu na wiek. Z uwagi </w:t>
            </w:r>
            <w:r w:rsidR="00DB69FC">
              <w:rPr>
                <w:rFonts w:eastAsia="Calibri" w:cs="Times New Roman"/>
                <w:color w:val="auto"/>
                <w:sz w:val="20"/>
              </w:rPr>
              <w:t xml:space="preserve">                 </w:t>
            </w:r>
            <w:r w:rsidRPr="00532128">
              <w:rPr>
                <w:rFonts w:eastAsia="Calibri" w:cs="Times New Roman"/>
                <w:color w:val="auto"/>
                <w:sz w:val="20"/>
              </w:rPr>
              <w:t>na zaistniałą sytuację epidemiczną i zagrożenie występowaniem choroby COVID - 19 przeprowadzono w formie wideokonferencji trzydniowe szkolenia, w których łącznie wzięło udział 559 osób.</w:t>
            </w:r>
          </w:p>
        </w:tc>
      </w:tr>
      <w:tr w:rsidR="0092226B" w:rsidRPr="0092226B" w14:paraId="2FD7EDAB" w14:textId="77777777" w:rsidTr="002D4784">
        <w:trPr>
          <w:trHeight w:val="489"/>
        </w:trPr>
        <w:tc>
          <w:tcPr>
            <w:cnfStyle w:val="001000000000" w:firstRow="0" w:lastRow="0" w:firstColumn="1" w:lastColumn="0" w:oddVBand="0" w:evenVBand="0" w:oddHBand="0" w:evenHBand="0" w:firstRowFirstColumn="0" w:firstRowLastColumn="0" w:lastRowFirstColumn="0" w:lastRowLastColumn="0"/>
            <w:tcW w:w="1232" w:type="dxa"/>
            <w:vMerge/>
          </w:tcPr>
          <w:p w14:paraId="2D33C7FE" w14:textId="77777777" w:rsidR="00311D18" w:rsidRPr="0092226B" w:rsidRDefault="00311D18" w:rsidP="003C1988">
            <w:pPr>
              <w:rPr>
                <w:rFonts w:cs="Times New Roman"/>
                <w:color w:val="FF0000"/>
                <w:sz w:val="20"/>
              </w:rPr>
            </w:pPr>
          </w:p>
        </w:tc>
        <w:tc>
          <w:tcPr>
            <w:tcW w:w="3594" w:type="dxa"/>
            <w:vMerge w:val="restart"/>
          </w:tcPr>
          <w:p w14:paraId="368C1E09"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Prowadzenie szkoleń dla osób zajmujących się pomocą osobom starszym doznającym przemocy</w:t>
            </w:r>
          </w:p>
        </w:tc>
        <w:tc>
          <w:tcPr>
            <w:tcW w:w="2032" w:type="dxa"/>
            <w:vMerge w:val="restart"/>
          </w:tcPr>
          <w:p w14:paraId="3869130A"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Sprawiedliwości</w:t>
            </w:r>
          </w:p>
        </w:tc>
        <w:tc>
          <w:tcPr>
            <w:tcW w:w="1500" w:type="dxa"/>
            <w:vMerge w:val="restart"/>
          </w:tcPr>
          <w:p w14:paraId="320C4352"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Działanie ciągłe</w:t>
            </w:r>
            <w:r w:rsidRPr="00532128">
              <w:rPr>
                <w:rFonts w:ascii="Times New Roman" w:hAnsi="Times New Roman"/>
                <w:color w:val="auto"/>
                <w:sz w:val="20"/>
              </w:rPr>
              <w:t>*</w:t>
            </w:r>
          </w:p>
          <w:p w14:paraId="1B7F6EB8"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tcPr>
          <w:p w14:paraId="02C738BA"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przeprowadzonych szkoleń dla osób zajmujących się pomocą osobom starszym doznającym przemocy</w:t>
            </w:r>
          </w:p>
        </w:tc>
      </w:tr>
      <w:tr w:rsidR="0092226B" w:rsidRPr="0092226B" w14:paraId="17641BE4"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09C59883" w14:textId="77777777" w:rsidR="00311D18" w:rsidRPr="0092226B" w:rsidRDefault="00311D18" w:rsidP="003C1988">
            <w:pPr>
              <w:rPr>
                <w:rFonts w:cs="Times New Roman"/>
                <w:color w:val="FF0000"/>
                <w:sz w:val="20"/>
              </w:rPr>
            </w:pPr>
          </w:p>
        </w:tc>
        <w:tc>
          <w:tcPr>
            <w:tcW w:w="3594" w:type="dxa"/>
            <w:vMerge/>
          </w:tcPr>
          <w:p w14:paraId="7C788678"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36CBA23B"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3D1B75FE"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618A72D4" w14:textId="2E269E25" w:rsidR="00532128" w:rsidRPr="00DB69FC" w:rsidRDefault="00403838" w:rsidP="003C1988">
            <w:pPr>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0"/>
              </w:rPr>
            </w:pPr>
            <w:r w:rsidRPr="00532128">
              <w:rPr>
                <w:rFonts w:eastAsia="Calibri" w:cs="Times New Roman"/>
                <w:color w:val="auto"/>
                <w:sz w:val="20"/>
              </w:rPr>
              <w:t xml:space="preserve">W związku z ustawą z dnia 30 kwietnia 2020 r. o zmianie ustawy - Kodeks postępowania cywilnego oraz niektórych innych ustaw przeprowadzono inicjatywę w postaci szkoleń, mających na celu podniesienie świadomości społecznej w zakresie przemocy </w:t>
            </w:r>
            <w:r w:rsidR="00DB69FC">
              <w:rPr>
                <w:rFonts w:eastAsia="Calibri" w:cs="Times New Roman"/>
                <w:color w:val="auto"/>
                <w:sz w:val="20"/>
              </w:rPr>
              <w:t xml:space="preserve">                        </w:t>
            </w:r>
            <w:r w:rsidRPr="00532128">
              <w:rPr>
                <w:rFonts w:eastAsia="Calibri" w:cs="Times New Roman"/>
                <w:color w:val="auto"/>
                <w:sz w:val="20"/>
              </w:rPr>
              <w:t>w rodzinie i zwiększenia kompeten</w:t>
            </w:r>
            <w:r w:rsidR="00DB69FC">
              <w:rPr>
                <w:rFonts w:eastAsia="Calibri" w:cs="Times New Roman"/>
                <w:color w:val="auto"/>
                <w:sz w:val="20"/>
              </w:rPr>
              <w:t>cji osób udzielających pomocy w </w:t>
            </w:r>
            <w:r w:rsidRPr="00532128">
              <w:rPr>
                <w:rFonts w:eastAsia="Calibri" w:cs="Times New Roman"/>
                <w:color w:val="auto"/>
                <w:sz w:val="20"/>
              </w:rPr>
              <w:t xml:space="preserve">ramach ogólnopolskiej Sieci Pomocy Osobom Pokrzywdzonym Przestępstwem, która udziela wsparcia wszystkim osobom pokrzywdzonym przestępstwem bez względu na wiek. Z uwagi </w:t>
            </w:r>
            <w:r w:rsidR="00DB69FC">
              <w:rPr>
                <w:rFonts w:eastAsia="Calibri" w:cs="Times New Roman"/>
                <w:color w:val="auto"/>
                <w:sz w:val="20"/>
              </w:rPr>
              <w:t xml:space="preserve">              </w:t>
            </w:r>
            <w:r w:rsidRPr="00532128">
              <w:rPr>
                <w:rFonts w:eastAsia="Calibri" w:cs="Times New Roman"/>
                <w:color w:val="auto"/>
                <w:sz w:val="20"/>
              </w:rPr>
              <w:t>na zaistniałą sytuację epidemiczną i zagrożenie występowaniem choroby COVID - 19 przeprowadzono w formie wideokonferencji trzydniowe szkolenia, w których łącznie wzięło udział 559 osób.</w:t>
            </w:r>
          </w:p>
        </w:tc>
      </w:tr>
      <w:tr w:rsidR="0092226B" w:rsidRPr="0092226B" w14:paraId="248EE636" w14:textId="77777777" w:rsidTr="002D4784">
        <w:trPr>
          <w:trHeight w:val="511"/>
        </w:trPr>
        <w:tc>
          <w:tcPr>
            <w:cnfStyle w:val="001000000000" w:firstRow="0" w:lastRow="0" w:firstColumn="1" w:lastColumn="0" w:oddVBand="0" w:evenVBand="0" w:oddHBand="0" w:evenHBand="0" w:firstRowFirstColumn="0" w:firstRowLastColumn="0" w:lastRowFirstColumn="0" w:lastRowLastColumn="0"/>
            <w:tcW w:w="1232" w:type="dxa"/>
            <w:vMerge w:val="restart"/>
            <w:textDirection w:val="btLr"/>
          </w:tcPr>
          <w:p w14:paraId="768EAA61" w14:textId="77777777" w:rsidR="00311D18" w:rsidRPr="0092226B" w:rsidRDefault="00311D18" w:rsidP="003C1988">
            <w:pPr>
              <w:ind w:left="113" w:right="113"/>
              <w:rPr>
                <w:rFonts w:cs="Times New Roman"/>
                <w:color w:val="FF0000"/>
                <w:sz w:val="20"/>
              </w:rPr>
            </w:pPr>
            <w:r w:rsidRPr="00532128">
              <w:rPr>
                <w:rFonts w:cs="Times New Roman"/>
                <w:color w:val="auto"/>
                <w:sz w:val="20"/>
              </w:rPr>
              <w:t>Obszar VI</w:t>
            </w:r>
          </w:p>
        </w:tc>
        <w:tc>
          <w:tcPr>
            <w:tcW w:w="3594" w:type="dxa"/>
            <w:vMerge w:val="restart"/>
          </w:tcPr>
          <w:p w14:paraId="5A2B400D" w14:textId="77777777" w:rsidR="00311D18" w:rsidRPr="00532128" w:rsidRDefault="004C3A3A"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Tworzenie i wzmacnianie, na poziomie lokalnym, infrastruktury skierowanej do osób starszych takiej jak: placówki dziennego pobytu (domy, kluby, świetlice), prowadzące działania na rzecz integracji międzypokoleniowej</w:t>
            </w:r>
          </w:p>
        </w:tc>
        <w:tc>
          <w:tcPr>
            <w:tcW w:w="2032" w:type="dxa"/>
            <w:vMerge w:val="restart"/>
          </w:tcPr>
          <w:p w14:paraId="48451374" w14:textId="77777777" w:rsidR="00311D18" w:rsidRPr="00532128" w:rsidRDefault="004C3A3A"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Rodziny i Polityki Społecznej</w:t>
            </w:r>
          </w:p>
        </w:tc>
        <w:tc>
          <w:tcPr>
            <w:tcW w:w="1500" w:type="dxa"/>
            <w:vMerge w:val="restart"/>
          </w:tcPr>
          <w:p w14:paraId="1D083617"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Działanie ciągłe</w:t>
            </w:r>
            <w:r w:rsidRPr="00532128">
              <w:rPr>
                <w:rFonts w:ascii="Times New Roman" w:hAnsi="Times New Roman"/>
                <w:color w:val="auto"/>
                <w:sz w:val="20"/>
              </w:rPr>
              <w:t>*</w:t>
            </w:r>
          </w:p>
          <w:p w14:paraId="5F0FC7E0"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tcPr>
          <w:p w14:paraId="7B73CD10" w14:textId="77777777" w:rsidR="00311D18" w:rsidRPr="00532128" w:rsidRDefault="00DE3585" w:rsidP="003C1988">
            <w:pPr>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r w:rsidRPr="00532128">
              <w:rPr>
                <w:rFonts w:eastAsia="MS Mincho"/>
                <w:i/>
                <w:color w:val="auto"/>
                <w:sz w:val="20"/>
              </w:rPr>
              <w:t>Liczba funkcjonujących placówek skierowanych do osób starszych prowadzących działania na rzecz integracji międzypokoleniowej</w:t>
            </w:r>
          </w:p>
        </w:tc>
      </w:tr>
      <w:tr w:rsidR="0092226B" w:rsidRPr="0092226B" w14:paraId="503C615F"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192261CA" w14:textId="77777777" w:rsidR="00311D18" w:rsidRPr="0092226B" w:rsidRDefault="00311D18" w:rsidP="003C1988">
            <w:pPr>
              <w:rPr>
                <w:rFonts w:cs="Times New Roman"/>
                <w:color w:val="FF0000"/>
                <w:sz w:val="20"/>
              </w:rPr>
            </w:pPr>
          </w:p>
        </w:tc>
        <w:tc>
          <w:tcPr>
            <w:tcW w:w="3594" w:type="dxa"/>
            <w:vMerge/>
          </w:tcPr>
          <w:p w14:paraId="570E3063"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56633409"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36D01097"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67194A18" w14:textId="77777777" w:rsidR="00B54AA1" w:rsidRPr="00532128" w:rsidRDefault="00DE3585"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r w:rsidRPr="00532128">
              <w:rPr>
                <w:rFonts w:eastAsia="MS Mincho" w:cs="Times New Roman"/>
                <w:color w:val="auto"/>
                <w:sz w:val="20"/>
              </w:rPr>
              <w:t>W ramach dotychczasowej realizacji programu wieloletniego „Senior+” na lata 2015–2020, jednostki samorządu terytorialnego utworzyły do końca 2020 r. na terenie kraju  w sumie 970 ośrodków wsparcia „Senior+”, w tym 308 Dziennych Domów „Senior+” i 662 Kluby „Senior+”, z czego ponad połowa ośrodków wsparcia (51%) powstała na terenie gmin wiejskich (494).</w:t>
            </w:r>
          </w:p>
        </w:tc>
      </w:tr>
      <w:tr w:rsidR="0092226B" w:rsidRPr="0092226B" w14:paraId="5EF3BFFC"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37704D82" w14:textId="77777777" w:rsidR="00311D18" w:rsidRPr="0092226B" w:rsidRDefault="00311D18" w:rsidP="003C1988">
            <w:pPr>
              <w:rPr>
                <w:rFonts w:cs="Times New Roman"/>
                <w:color w:val="FF0000"/>
                <w:sz w:val="20"/>
              </w:rPr>
            </w:pPr>
          </w:p>
        </w:tc>
        <w:tc>
          <w:tcPr>
            <w:tcW w:w="3594" w:type="dxa"/>
            <w:vMerge w:val="restart"/>
          </w:tcPr>
          <w:p w14:paraId="6A5A3F74"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Promowanie w ramach misji mediów publicznych współpracy międzypokoleniowej oraz dobrych </w:t>
            </w:r>
            <w:r w:rsidRPr="00532128">
              <w:rPr>
                <w:rFonts w:ascii="Times New Roman" w:eastAsia="MS Mincho" w:hAnsi="Times New Roman"/>
                <w:color w:val="auto"/>
                <w:sz w:val="20"/>
              </w:rPr>
              <w:br/>
              <w:t>praktyk realizowanych w tym zakresie</w:t>
            </w:r>
          </w:p>
        </w:tc>
        <w:tc>
          <w:tcPr>
            <w:tcW w:w="2032" w:type="dxa"/>
            <w:vMerge w:val="restart"/>
          </w:tcPr>
          <w:p w14:paraId="23412D11"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Media publiczne</w:t>
            </w:r>
          </w:p>
        </w:tc>
        <w:tc>
          <w:tcPr>
            <w:tcW w:w="1500" w:type="dxa"/>
            <w:vMerge w:val="restart"/>
          </w:tcPr>
          <w:p w14:paraId="166ABC8C"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Działanie ciągłe</w:t>
            </w:r>
            <w:r w:rsidRPr="00532128">
              <w:rPr>
                <w:rFonts w:ascii="Times New Roman" w:hAnsi="Times New Roman"/>
                <w:color w:val="auto"/>
                <w:sz w:val="20"/>
              </w:rPr>
              <w:t>*</w:t>
            </w:r>
          </w:p>
          <w:p w14:paraId="17CFF265"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tcPr>
          <w:p w14:paraId="1F92D4A0"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zrealizowanych inicjatyw mających na celu promowanie w ramach misji mediów publicznych współpracy międzypokoleniowej oraz dobrych praktyk realizowanych w tym zakresie</w:t>
            </w:r>
          </w:p>
        </w:tc>
      </w:tr>
      <w:tr w:rsidR="0092226B" w:rsidRPr="0092226B" w14:paraId="3E7E9DF1"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481919C9" w14:textId="77777777" w:rsidR="00311D18" w:rsidRPr="0092226B" w:rsidRDefault="00311D18" w:rsidP="003C1988">
            <w:pPr>
              <w:rPr>
                <w:rFonts w:cs="Times New Roman"/>
                <w:color w:val="FF0000"/>
                <w:sz w:val="20"/>
              </w:rPr>
            </w:pPr>
          </w:p>
        </w:tc>
        <w:tc>
          <w:tcPr>
            <w:tcW w:w="3594" w:type="dxa"/>
            <w:vMerge/>
          </w:tcPr>
          <w:p w14:paraId="05FF1BCD"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26DA2A8A"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1A9ECA46"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58C2A69C" w14:textId="77777777" w:rsidR="00311D18" w:rsidRPr="00532128" w:rsidRDefault="00DE3585"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Media publiczne realizowały działania z zakresu wspierania współpracy międzypokoleniowej prowadząc kampanię informacyjną Solidarnościowego Korpusu Wsparcia Seniorów.</w:t>
            </w:r>
          </w:p>
        </w:tc>
      </w:tr>
      <w:tr w:rsidR="0092226B" w:rsidRPr="0092226B" w14:paraId="250D9D91"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val="restart"/>
            <w:textDirection w:val="btLr"/>
          </w:tcPr>
          <w:p w14:paraId="1A7DF647" w14:textId="77777777" w:rsidR="00311D18" w:rsidRPr="00532128" w:rsidRDefault="00311D18" w:rsidP="003C1988">
            <w:pPr>
              <w:pStyle w:val="Kolorowalistaakcent11"/>
              <w:ind w:left="113" w:right="113"/>
              <w:rPr>
                <w:rFonts w:ascii="Times New Roman" w:eastAsia="MS Mincho" w:hAnsi="Times New Roman"/>
                <w:b w:val="0"/>
                <w:color w:val="auto"/>
                <w:sz w:val="20"/>
              </w:rPr>
            </w:pPr>
            <w:r w:rsidRPr="00532128">
              <w:rPr>
                <w:rFonts w:ascii="Times New Roman" w:eastAsia="MS Mincho" w:hAnsi="Times New Roman"/>
                <w:color w:val="auto"/>
                <w:sz w:val="20"/>
              </w:rPr>
              <w:t>Obszar VII</w:t>
            </w:r>
          </w:p>
        </w:tc>
        <w:tc>
          <w:tcPr>
            <w:tcW w:w="3594" w:type="dxa"/>
            <w:vMerge w:val="restart"/>
          </w:tcPr>
          <w:p w14:paraId="6D5DBF75" w14:textId="77777777" w:rsidR="00DE3585" w:rsidRPr="00532128" w:rsidRDefault="00DE3585"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532128">
              <w:rPr>
                <w:rFonts w:ascii="Times New Roman" w:hAnsi="Times New Roman"/>
                <w:color w:val="auto"/>
                <w:sz w:val="20"/>
              </w:rPr>
              <w:t xml:space="preserve">Rozpowszechnianie informacji </w:t>
            </w:r>
          </w:p>
          <w:p w14:paraId="4086D826" w14:textId="77777777" w:rsidR="00311D18" w:rsidRPr="00532128" w:rsidRDefault="00DE3585"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hAnsi="Times New Roman"/>
                <w:color w:val="auto"/>
                <w:sz w:val="20"/>
              </w:rPr>
              <w:t>o możliwościach aktywności edukacyjnej osób starszych</w:t>
            </w:r>
          </w:p>
        </w:tc>
        <w:tc>
          <w:tcPr>
            <w:tcW w:w="2032" w:type="dxa"/>
            <w:vMerge w:val="restart"/>
          </w:tcPr>
          <w:p w14:paraId="101F1255" w14:textId="18794655" w:rsidR="00311D18" w:rsidRPr="00532128" w:rsidRDefault="00081C36"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t>Ministerstwo Edukacji i Nauki</w:t>
            </w:r>
          </w:p>
        </w:tc>
        <w:tc>
          <w:tcPr>
            <w:tcW w:w="1500" w:type="dxa"/>
            <w:vMerge w:val="restart"/>
          </w:tcPr>
          <w:p w14:paraId="130F0945"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42E34CFF" w14:textId="77777777" w:rsidR="00311D18" w:rsidRPr="00532128" w:rsidRDefault="00DE3585"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zrealizowanych inicjatyw mających na celu rozpowszechnienie informacji o możliwościach aktywności edukacyjnej osób starszych.</w:t>
            </w:r>
            <w:r w:rsidR="00311D18" w:rsidRPr="00532128">
              <w:rPr>
                <w:rFonts w:ascii="Times New Roman" w:eastAsia="MS Mincho" w:hAnsi="Times New Roman"/>
                <w:i/>
                <w:color w:val="auto"/>
                <w:sz w:val="20"/>
              </w:rPr>
              <w:t>.</w:t>
            </w:r>
          </w:p>
        </w:tc>
      </w:tr>
      <w:tr w:rsidR="0092226B" w:rsidRPr="0092226B" w14:paraId="0A1C6D97" w14:textId="77777777" w:rsidTr="00DB69FC">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232" w:type="dxa"/>
            <w:vMerge/>
          </w:tcPr>
          <w:p w14:paraId="16628FBB" w14:textId="77777777" w:rsidR="00311D18" w:rsidRPr="00532128" w:rsidRDefault="00311D18" w:rsidP="003C1988">
            <w:pPr>
              <w:rPr>
                <w:rFonts w:cs="Times New Roman"/>
                <w:color w:val="auto"/>
                <w:sz w:val="20"/>
              </w:rPr>
            </w:pPr>
          </w:p>
        </w:tc>
        <w:tc>
          <w:tcPr>
            <w:tcW w:w="3594" w:type="dxa"/>
            <w:vMerge/>
          </w:tcPr>
          <w:p w14:paraId="5E30BA6B"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0E6C91A3"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761BC9DE"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0C8CA180" w14:textId="40B236D9" w:rsidR="00B47826" w:rsidRPr="00DB69FC" w:rsidRDefault="00DE3585" w:rsidP="003C1988">
            <w:pPr>
              <w:cnfStyle w:val="000000100000" w:firstRow="0" w:lastRow="0" w:firstColumn="0" w:lastColumn="0" w:oddVBand="0" w:evenVBand="0" w:oddHBand="1" w:evenHBand="0" w:firstRowFirstColumn="0" w:firstRowLastColumn="0" w:lastRowFirstColumn="0" w:lastRowLastColumn="0"/>
              <w:rPr>
                <w:rFonts w:eastAsia="MS Mincho"/>
                <w:color w:val="auto"/>
                <w:sz w:val="20"/>
              </w:rPr>
            </w:pPr>
            <w:r w:rsidRPr="00532128">
              <w:rPr>
                <w:rFonts w:eastAsia="MS Mincho"/>
                <w:color w:val="auto"/>
                <w:sz w:val="20"/>
              </w:rPr>
              <w:t xml:space="preserve">Rozpowszechnianie informacji o możliwościach aktywności edukacyjnej osób starszych, prowadzone jest w ramach projektu </w:t>
            </w:r>
            <w:r w:rsidRPr="00532128">
              <w:rPr>
                <w:rFonts w:eastAsia="MS Mincho"/>
                <w:color w:val="auto"/>
                <w:sz w:val="20"/>
              </w:rPr>
              <w:lastRenderedPageBreak/>
              <w:t>dotyczącego rozwoju  Lokalnych Ośrodków Wiedzy i Edukacji, który został opisany wyżej w obszarze III.</w:t>
            </w:r>
          </w:p>
        </w:tc>
      </w:tr>
      <w:tr w:rsidR="0092226B" w:rsidRPr="0092226B" w14:paraId="74BA36AB" w14:textId="77777777" w:rsidTr="00DB69FC">
        <w:trPr>
          <w:trHeight w:val="552"/>
        </w:trPr>
        <w:tc>
          <w:tcPr>
            <w:cnfStyle w:val="001000000000" w:firstRow="0" w:lastRow="0" w:firstColumn="1" w:lastColumn="0" w:oddVBand="0" w:evenVBand="0" w:oddHBand="0" w:evenHBand="0" w:firstRowFirstColumn="0" w:firstRowLastColumn="0" w:lastRowFirstColumn="0" w:lastRowLastColumn="0"/>
            <w:tcW w:w="1232" w:type="dxa"/>
            <w:vMerge/>
          </w:tcPr>
          <w:p w14:paraId="7FA4F545" w14:textId="77777777" w:rsidR="00311D18" w:rsidRPr="00532128" w:rsidRDefault="00311D18" w:rsidP="003C1988">
            <w:pPr>
              <w:rPr>
                <w:rFonts w:cs="Times New Roman"/>
                <w:color w:val="auto"/>
                <w:sz w:val="20"/>
              </w:rPr>
            </w:pPr>
          </w:p>
        </w:tc>
        <w:tc>
          <w:tcPr>
            <w:tcW w:w="3594" w:type="dxa"/>
            <w:vMerge w:val="restart"/>
          </w:tcPr>
          <w:p w14:paraId="766259D7"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Wspieranie kształcenia ustawicznego poprzez doradztwo edukacyjne</w:t>
            </w:r>
          </w:p>
        </w:tc>
        <w:tc>
          <w:tcPr>
            <w:tcW w:w="2032" w:type="dxa"/>
            <w:vMerge w:val="restart"/>
          </w:tcPr>
          <w:p w14:paraId="361D7E06" w14:textId="2610A82B" w:rsidR="00311D18" w:rsidRPr="00532128" w:rsidRDefault="00081C36"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t>Ministerstwo Edukacji i Nauki</w:t>
            </w:r>
          </w:p>
        </w:tc>
        <w:tc>
          <w:tcPr>
            <w:tcW w:w="1500" w:type="dxa"/>
            <w:vMerge w:val="restart"/>
          </w:tcPr>
          <w:p w14:paraId="24787BD5"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Działanie ciągłe</w:t>
            </w:r>
            <w:r w:rsidRPr="00532128">
              <w:rPr>
                <w:rFonts w:cs="Times New Roman"/>
                <w:color w:val="auto"/>
                <w:sz w:val="20"/>
              </w:rPr>
              <w:t>*</w:t>
            </w:r>
          </w:p>
        </w:tc>
        <w:tc>
          <w:tcPr>
            <w:tcW w:w="5638" w:type="dxa"/>
          </w:tcPr>
          <w:p w14:paraId="3D335114"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zrealizowanych inicjatyw mających na celu wspieranie kształcenia ustawicznego poprzez doradztwo edukacyjne</w:t>
            </w:r>
          </w:p>
        </w:tc>
      </w:tr>
      <w:tr w:rsidR="0092226B" w:rsidRPr="0092226B" w14:paraId="62BD1C89" w14:textId="77777777" w:rsidTr="002D478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32" w:type="dxa"/>
            <w:vMerge/>
          </w:tcPr>
          <w:p w14:paraId="26D02620" w14:textId="77777777" w:rsidR="00311D18" w:rsidRPr="00532128" w:rsidRDefault="00311D18" w:rsidP="003C1988">
            <w:pPr>
              <w:rPr>
                <w:rFonts w:cs="Times New Roman"/>
                <w:color w:val="auto"/>
                <w:sz w:val="20"/>
              </w:rPr>
            </w:pPr>
          </w:p>
        </w:tc>
        <w:tc>
          <w:tcPr>
            <w:tcW w:w="3594" w:type="dxa"/>
            <w:vMerge/>
          </w:tcPr>
          <w:p w14:paraId="1A535199"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096E285C"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620F19BA"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32375340" w14:textId="77777777" w:rsidR="00DB69FC" w:rsidRDefault="00B145EF" w:rsidP="00B145EF">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U podstaw świadomych wyborów uczniów leży odpowiednia informacja dotycząca możliwości kształcenia i zawodów, w których prowadzone jest kształcenie w systemie oświaty. W tym kontekście szczególnego znaczenia</w:t>
            </w:r>
            <w:r w:rsidR="00DB69FC">
              <w:rPr>
                <w:rFonts w:eastAsia="MS Mincho" w:cs="Times New Roman"/>
                <w:color w:val="auto"/>
                <w:sz w:val="20"/>
              </w:rPr>
              <w:t xml:space="preserve"> nabiera zapewnienie dostępu do </w:t>
            </w:r>
            <w:r w:rsidRPr="00532128">
              <w:rPr>
                <w:rFonts w:eastAsia="MS Mincho" w:cs="Times New Roman"/>
                <w:color w:val="auto"/>
                <w:sz w:val="20"/>
              </w:rPr>
              <w:t>odpowiedniej informacji zawodowej oraz narzędzi diagnostycznych, materiałów dla doradców zawodowych, materiałów promocyjnych oraz</w:t>
            </w:r>
            <w:r w:rsidR="00DB69FC">
              <w:rPr>
                <w:rFonts w:eastAsia="MS Mincho" w:cs="Times New Roman"/>
                <w:color w:val="auto"/>
                <w:sz w:val="20"/>
              </w:rPr>
              <w:t xml:space="preserve"> danych dotyczących sytuacji na </w:t>
            </w:r>
            <w:r w:rsidRPr="00532128">
              <w:rPr>
                <w:rFonts w:eastAsia="MS Mincho" w:cs="Times New Roman"/>
                <w:color w:val="auto"/>
                <w:sz w:val="20"/>
              </w:rPr>
              <w:t xml:space="preserve">rynku pracy w poszczególnych zawodach. </w:t>
            </w:r>
          </w:p>
          <w:p w14:paraId="785AD945" w14:textId="1FB1385C" w:rsidR="00B145EF" w:rsidRDefault="00B145EF" w:rsidP="00B145EF">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Dlatego też w ramach dwóch edycji konkursu wspófinansowanego ze środków Europejskiego Funduszu Społecznego: „Przygotowanie i udostępnienie multimedialnych zasobów wspierających proces doradztwa dla wszystkich grup wiekowych” przygotowywane są e-zasoby do doradztwa zawodowego dla różnych grup wiekowych, przedstawiające kompleksową informację </w:t>
            </w:r>
            <w:proofErr w:type="spellStart"/>
            <w:r w:rsidRPr="00532128">
              <w:rPr>
                <w:rFonts w:eastAsia="MS Mincho" w:cs="Times New Roman"/>
                <w:color w:val="auto"/>
                <w:sz w:val="20"/>
              </w:rPr>
              <w:t>zawodoznawczą</w:t>
            </w:r>
            <w:proofErr w:type="spellEnd"/>
            <w:r w:rsidRPr="00532128">
              <w:rPr>
                <w:rFonts w:eastAsia="MS Mincho" w:cs="Times New Roman"/>
                <w:color w:val="auto"/>
                <w:sz w:val="20"/>
              </w:rPr>
              <w:t>, dostępne nie tylko dla specjalistów, ale również do samodzielnego wykorzystania przez uczniów, ich r</w:t>
            </w:r>
            <w:r w:rsidR="00DB69FC">
              <w:rPr>
                <w:rFonts w:eastAsia="MS Mincho" w:cs="Times New Roman"/>
                <w:color w:val="auto"/>
                <w:sz w:val="20"/>
              </w:rPr>
              <w:t>odziców i inne osoby dorosłe. W </w:t>
            </w:r>
            <w:r w:rsidRPr="00532128">
              <w:rPr>
                <w:rFonts w:eastAsia="MS Mincho" w:cs="Times New Roman"/>
                <w:color w:val="auto"/>
                <w:sz w:val="20"/>
              </w:rPr>
              <w:t>ramach tych zasobów przewidziano również materiały dla dzieci zapoznające ich ze światem zawodów, co wynika z potrzeby zapewnienia całożyciow</w:t>
            </w:r>
            <w:r w:rsidR="00DB69FC">
              <w:rPr>
                <w:rFonts w:eastAsia="MS Mincho" w:cs="Times New Roman"/>
                <w:color w:val="auto"/>
                <w:sz w:val="20"/>
              </w:rPr>
              <w:t>ego doradztwa zawodowego już od </w:t>
            </w:r>
            <w:r w:rsidRPr="00532128">
              <w:rPr>
                <w:rFonts w:eastAsia="MS Mincho" w:cs="Times New Roman"/>
                <w:color w:val="auto"/>
                <w:sz w:val="20"/>
              </w:rPr>
              <w:t>wczesnych etapów edukacyjnych.</w:t>
            </w:r>
          </w:p>
          <w:p w14:paraId="504E3110" w14:textId="12D9999F" w:rsidR="00DB69FC" w:rsidRPr="00DB69FC" w:rsidRDefault="00B145EF" w:rsidP="00B145EF">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 wyniku pierwszej edycji konkursu na Zintegrowanej Platformie Edukacyjnej epodreczniki.pl opublikowano materiały multimedialne wspierające proces doradztwa zawodowego oraz promujące zawody szkolnictwa branżowego przeznaczonych dla: preorientacji i orientacji zawodowej, klas VII i VIII szkół podstawowych oraz szkół ponadpodstawowych i osób dorosłych dla 120 zawodów.</w:t>
            </w:r>
          </w:p>
        </w:tc>
      </w:tr>
      <w:tr w:rsidR="0092226B" w:rsidRPr="0092226B" w14:paraId="7E85F52B" w14:textId="77777777" w:rsidTr="002D4784">
        <w:trPr>
          <w:trHeight w:val="214"/>
        </w:trPr>
        <w:tc>
          <w:tcPr>
            <w:cnfStyle w:val="001000000000" w:firstRow="0" w:lastRow="0" w:firstColumn="1" w:lastColumn="0" w:oddVBand="0" w:evenVBand="0" w:oddHBand="0" w:evenHBand="0" w:firstRowFirstColumn="0" w:firstRowLastColumn="0" w:lastRowFirstColumn="0" w:lastRowLastColumn="0"/>
            <w:tcW w:w="1232" w:type="dxa"/>
            <w:vMerge/>
          </w:tcPr>
          <w:p w14:paraId="0BFC98ED" w14:textId="77777777" w:rsidR="00311D18" w:rsidRPr="0092226B" w:rsidRDefault="00311D18" w:rsidP="003C1988">
            <w:pPr>
              <w:rPr>
                <w:rFonts w:cs="Times New Roman"/>
                <w:color w:val="FF0000"/>
                <w:sz w:val="20"/>
              </w:rPr>
            </w:pPr>
          </w:p>
        </w:tc>
        <w:tc>
          <w:tcPr>
            <w:tcW w:w="3594" w:type="dxa"/>
            <w:vMerge w:val="restart"/>
          </w:tcPr>
          <w:p w14:paraId="748377D0"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Upowszechnianie informacji związanych z edukacją nieformalną</w:t>
            </w:r>
          </w:p>
        </w:tc>
        <w:tc>
          <w:tcPr>
            <w:tcW w:w="2032" w:type="dxa"/>
            <w:vMerge w:val="restart"/>
          </w:tcPr>
          <w:p w14:paraId="72985DD8" w14:textId="6545C4AB" w:rsidR="00311D18" w:rsidRPr="00532128" w:rsidRDefault="00081C36" w:rsidP="00081C36">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t>Ministerstwo Edukacji i Nauki</w:t>
            </w:r>
            <w:r>
              <w:rPr>
                <w:rFonts w:ascii="Times New Roman" w:eastAsia="MS Mincho" w:hAnsi="Times New Roman"/>
                <w:color w:val="auto"/>
                <w:sz w:val="20"/>
              </w:rPr>
              <w:t xml:space="preserve">, </w:t>
            </w:r>
            <w:r>
              <w:rPr>
                <w:rFonts w:ascii="Times New Roman" w:eastAsia="MS Mincho" w:hAnsi="Times New Roman"/>
                <w:color w:val="auto"/>
                <w:sz w:val="20"/>
              </w:rPr>
              <w:lastRenderedPageBreak/>
              <w:t xml:space="preserve">Komitet do spraw </w:t>
            </w:r>
            <w:r w:rsidR="00311D18" w:rsidRPr="00532128">
              <w:rPr>
                <w:rFonts w:ascii="Times New Roman" w:eastAsia="MS Mincho" w:hAnsi="Times New Roman"/>
                <w:color w:val="auto"/>
                <w:sz w:val="20"/>
              </w:rPr>
              <w:t>Pożytku Publicznego, media publiczne</w:t>
            </w:r>
          </w:p>
        </w:tc>
        <w:tc>
          <w:tcPr>
            <w:tcW w:w="1500" w:type="dxa"/>
            <w:vMerge w:val="restart"/>
          </w:tcPr>
          <w:p w14:paraId="5A552E43"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lastRenderedPageBreak/>
              <w:t>Działanie ciągłe</w:t>
            </w:r>
            <w:r w:rsidRPr="00532128">
              <w:rPr>
                <w:rFonts w:cs="Times New Roman"/>
                <w:color w:val="auto"/>
                <w:sz w:val="20"/>
              </w:rPr>
              <w:t>*</w:t>
            </w:r>
          </w:p>
        </w:tc>
        <w:tc>
          <w:tcPr>
            <w:tcW w:w="5638" w:type="dxa"/>
          </w:tcPr>
          <w:p w14:paraId="7136416F" w14:textId="77777777" w:rsidR="00311D1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i/>
                <w:color w:val="auto"/>
                <w:sz w:val="20"/>
              </w:rPr>
            </w:pPr>
            <w:r w:rsidRPr="00532128">
              <w:rPr>
                <w:rFonts w:eastAsia="MS Mincho" w:cs="Times New Roman"/>
                <w:i/>
                <w:color w:val="auto"/>
                <w:sz w:val="20"/>
              </w:rPr>
              <w:t>Liczba inicjatyw upowszechniających edukację nieformalną</w:t>
            </w:r>
          </w:p>
          <w:p w14:paraId="10DCB7DB" w14:textId="6A8AFDC4" w:rsidR="00DB69FC" w:rsidRPr="00532128" w:rsidRDefault="00DB69FC" w:rsidP="003C1988">
            <w:pPr>
              <w:cnfStyle w:val="000000000000" w:firstRow="0" w:lastRow="0" w:firstColumn="0" w:lastColumn="0" w:oddVBand="0" w:evenVBand="0" w:oddHBand="0" w:evenHBand="0" w:firstRowFirstColumn="0" w:firstRowLastColumn="0" w:lastRowFirstColumn="0" w:lastRowLastColumn="0"/>
              <w:rPr>
                <w:rFonts w:eastAsia="MS Mincho" w:cs="Times New Roman"/>
                <w:b/>
                <w:i/>
                <w:color w:val="auto"/>
                <w:sz w:val="20"/>
                <w:u w:val="single"/>
              </w:rPr>
            </w:pPr>
          </w:p>
        </w:tc>
      </w:tr>
      <w:tr w:rsidR="0092226B" w:rsidRPr="0092226B" w14:paraId="6AC9AA4C"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741B5DB1" w14:textId="77777777" w:rsidR="00311D18" w:rsidRPr="0092226B" w:rsidRDefault="00311D18" w:rsidP="003C1988">
            <w:pPr>
              <w:rPr>
                <w:rFonts w:cs="Times New Roman"/>
                <w:color w:val="FF0000"/>
                <w:sz w:val="20"/>
              </w:rPr>
            </w:pPr>
          </w:p>
        </w:tc>
        <w:tc>
          <w:tcPr>
            <w:tcW w:w="3594" w:type="dxa"/>
            <w:vMerge/>
          </w:tcPr>
          <w:p w14:paraId="58E63EDE"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1406B653"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608D424D"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26356E00" w14:textId="5C1D84B2" w:rsidR="00311D18" w:rsidRPr="00532128" w:rsidRDefault="00B145EF"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u w:val="single"/>
              </w:rPr>
            </w:pPr>
            <w:r w:rsidRPr="00532128">
              <w:rPr>
                <w:rFonts w:eastAsia="MS Mincho" w:cs="Times New Roman"/>
                <w:bCs/>
                <w:color w:val="auto"/>
                <w:sz w:val="20"/>
              </w:rPr>
              <w:t xml:space="preserve">Upowszechnianie informacji związanych z edukacją nieformalną (dokładniej określając - edukacją </w:t>
            </w:r>
            <w:proofErr w:type="spellStart"/>
            <w:r w:rsidRPr="00532128">
              <w:rPr>
                <w:rFonts w:eastAsia="MS Mincho" w:cs="Times New Roman"/>
                <w:bCs/>
                <w:color w:val="auto"/>
                <w:sz w:val="20"/>
              </w:rPr>
              <w:t>pozaformalną</w:t>
            </w:r>
            <w:proofErr w:type="spellEnd"/>
            <w:r w:rsidRPr="00532128">
              <w:rPr>
                <w:rFonts w:eastAsia="MS Mincho" w:cs="Times New Roman"/>
                <w:bCs/>
                <w:color w:val="auto"/>
                <w:sz w:val="20"/>
              </w:rPr>
              <w:t>, tj</w:t>
            </w:r>
            <w:r w:rsidR="00ED479E">
              <w:rPr>
                <w:rFonts w:eastAsia="MS Mincho" w:cs="Times New Roman"/>
                <w:bCs/>
                <w:color w:val="auto"/>
                <w:sz w:val="20"/>
              </w:rPr>
              <w:t>.</w:t>
            </w:r>
            <w:r w:rsidRPr="00532128">
              <w:rPr>
                <w:rFonts w:eastAsia="MS Mincho" w:cs="Times New Roman"/>
                <w:bCs/>
                <w:color w:val="auto"/>
                <w:sz w:val="20"/>
              </w:rPr>
              <w:t xml:space="preserve"> </w:t>
            </w:r>
            <w:r w:rsidR="00DB69FC" w:rsidRPr="00532128">
              <w:rPr>
                <w:rFonts w:eastAsia="MS Mincho" w:cs="Times New Roman"/>
                <w:bCs/>
                <w:color w:val="auto"/>
                <w:sz w:val="20"/>
              </w:rPr>
              <w:t>prowadzoną</w:t>
            </w:r>
            <w:r w:rsidRPr="00532128">
              <w:rPr>
                <w:rFonts w:eastAsia="MS Mincho" w:cs="Times New Roman"/>
                <w:bCs/>
                <w:color w:val="auto"/>
                <w:sz w:val="20"/>
              </w:rPr>
              <w:t xml:space="preserve"> poza programami kształcenia w systemie oświaty i systemie szkolnictwa wyższego) prowadzone jest w ramach  projektu dotyczącego rozwoju  Lokalnych Ośrodków Wiedzy i Edukacji, który został opisany wyżej w obszarze III. Oferty edukacyjne ośrodków nie są opracowywane na bazie podstaw programowych kształcenia w szkołach, ale na podstawie diagnozy potrzeb osób dorosłych w środowiskach lokalnych w zakresie umiejętności. Jako takie są przykładem edukacji </w:t>
            </w:r>
            <w:proofErr w:type="spellStart"/>
            <w:r w:rsidRPr="00532128">
              <w:rPr>
                <w:rFonts w:eastAsia="MS Mincho" w:cs="Times New Roman"/>
                <w:bCs/>
                <w:color w:val="auto"/>
                <w:sz w:val="20"/>
              </w:rPr>
              <w:t>pozaformalnej</w:t>
            </w:r>
            <w:proofErr w:type="spellEnd"/>
            <w:r w:rsidRPr="00532128">
              <w:rPr>
                <w:rFonts w:eastAsia="MS Mincho" w:cs="Times New Roman"/>
                <w:bCs/>
                <w:color w:val="auto"/>
                <w:sz w:val="20"/>
              </w:rPr>
              <w:t>.</w:t>
            </w:r>
          </w:p>
        </w:tc>
      </w:tr>
      <w:tr w:rsidR="0092226B" w:rsidRPr="0092226B" w14:paraId="081ECE3B"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55971D92" w14:textId="77777777" w:rsidR="00311D18" w:rsidRPr="0092226B" w:rsidRDefault="00311D18" w:rsidP="003C1988">
            <w:pPr>
              <w:rPr>
                <w:rFonts w:cs="Times New Roman"/>
                <w:color w:val="FF0000"/>
                <w:sz w:val="20"/>
              </w:rPr>
            </w:pPr>
          </w:p>
        </w:tc>
        <w:tc>
          <w:tcPr>
            <w:tcW w:w="3594" w:type="dxa"/>
            <w:vMerge w:val="restart"/>
          </w:tcPr>
          <w:p w14:paraId="21563C8A"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Kształtowanie lub wzmacnianie kompetencji seniorów w zakresie nowych mediów przez realizację kampanii informacyjno-edukacyjnych oraz szkoleń</w:t>
            </w:r>
          </w:p>
        </w:tc>
        <w:tc>
          <w:tcPr>
            <w:tcW w:w="2032" w:type="dxa"/>
            <w:vMerge w:val="restart"/>
          </w:tcPr>
          <w:p w14:paraId="045D2D17"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Cyfryzacji</w:t>
            </w:r>
          </w:p>
        </w:tc>
        <w:tc>
          <w:tcPr>
            <w:tcW w:w="1500" w:type="dxa"/>
            <w:vMerge w:val="restart"/>
          </w:tcPr>
          <w:p w14:paraId="05976C41"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2018-2020</w:t>
            </w:r>
          </w:p>
        </w:tc>
        <w:tc>
          <w:tcPr>
            <w:tcW w:w="5638" w:type="dxa"/>
          </w:tcPr>
          <w:p w14:paraId="1D20A320"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przeprowadzonych kampanii informacyjno-edukacyjnych oraz liczba osób w wieku 65+, które wyniku szkoleń nabyły lub rozwinęły kompetencje cyfrowe</w:t>
            </w:r>
          </w:p>
        </w:tc>
      </w:tr>
      <w:tr w:rsidR="0092226B" w:rsidRPr="0092226B" w14:paraId="45B7CE0E" w14:textId="77777777" w:rsidTr="0053212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20DA6B7A" w14:textId="77777777" w:rsidR="00311D18" w:rsidRPr="0092226B" w:rsidRDefault="00311D18" w:rsidP="003C1988">
            <w:pPr>
              <w:rPr>
                <w:rFonts w:cs="Times New Roman"/>
                <w:color w:val="FF0000"/>
                <w:sz w:val="20"/>
              </w:rPr>
            </w:pPr>
          </w:p>
        </w:tc>
        <w:tc>
          <w:tcPr>
            <w:tcW w:w="3594" w:type="dxa"/>
            <w:vMerge/>
          </w:tcPr>
          <w:p w14:paraId="7659EA14"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tcPr>
          <w:p w14:paraId="7275FB65"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tcPr>
          <w:p w14:paraId="333A54E4"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tc>
        <w:tc>
          <w:tcPr>
            <w:tcW w:w="5638" w:type="dxa"/>
          </w:tcPr>
          <w:p w14:paraId="5FD78AC3" w14:textId="77777777" w:rsidR="002B060C" w:rsidRPr="00532128" w:rsidRDefault="002B060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Ministerstwo Cyfryzacji, obecnie Cyfryzacja KPRM, przykłada dużą wagę do włączenia cyfrowego i promocji wykorzystywania technologii cyfrowych wśród osób dojrzałych.</w:t>
            </w:r>
          </w:p>
          <w:p w14:paraId="6AF3562B" w14:textId="77777777" w:rsidR="002B060C" w:rsidRPr="00532128" w:rsidRDefault="002B060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W ramach realizowanej szerokiej kampanii „e-Polak potrafi!” prowadzi dedykowaną osobom starszym kampanię informacyjno-edukacyjną „e-Senior potrafi!” Celem działań jest zwiększenie kompetencji cyfrowych osób starszych, w tym, w zakresie bezpieczeństwa w sieci, a także zachęcenie seniorów do korzystania z Internetu oraz dostępnych w nim usług. </w:t>
            </w:r>
          </w:p>
          <w:p w14:paraId="143DAF14" w14:textId="77777777" w:rsidR="002B060C" w:rsidRPr="00532128" w:rsidRDefault="002B060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1D7244B2" w14:textId="77777777" w:rsidR="002B060C" w:rsidRPr="00532128" w:rsidRDefault="002B060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Do realizacji wymienionych celów kampanii podjęte zostały działania nakierowane na zwiększenie świadomości w zakresie:</w:t>
            </w:r>
          </w:p>
          <w:p w14:paraId="43C21D82" w14:textId="77777777" w:rsidR="002B060C" w:rsidRPr="00532128" w:rsidRDefault="002B060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korzystania z e-usług prywatnych i publicznych (w tym m.in.: bankowość internetowa, płacenie rachunków, zakupy, rezerwacje, umawianie wizyt lekarskich, korzystanie z komunikacji publicznej – plany i rozkłady jazdy, zakup biletów);</w:t>
            </w:r>
          </w:p>
          <w:p w14:paraId="08F2CA97" w14:textId="3A0B1E70" w:rsidR="002B060C" w:rsidRPr="00532128" w:rsidRDefault="002B060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zasad bezpiecznego korzystania</w:t>
            </w:r>
            <w:r w:rsidR="00DB69FC">
              <w:rPr>
                <w:rFonts w:eastAsia="MS Mincho" w:cs="Times New Roman"/>
                <w:color w:val="auto"/>
                <w:sz w:val="20"/>
              </w:rPr>
              <w:t xml:space="preserve"> z usług online, informowanie o </w:t>
            </w:r>
            <w:r w:rsidRPr="00532128">
              <w:rPr>
                <w:rFonts w:eastAsia="MS Mincho" w:cs="Times New Roman"/>
                <w:color w:val="auto"/>
                <w:sz w:val="20"/>
              </w:rPr>
              <w:t>zagrożeniach w Internecie oraz edukowanie o sposobach radzenia sobie z nimi</w:t>
            </w:r>
          </w:p>
          <w:p w14:paraId="6552A578" w14:textId="77777777" w:rsidR="002B060C" w:rsidRPr="00532128" w:rsidRDefault="002B060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korzystania z dóbr kultury i z rozrywki (w tym m.in.: książki, filmy, muzyka);</w:t>
            </w:r>
          </w:p>
          <w:p w14:paraId="2EA2E9A7" w14:textId="77777777" w:rsidR="002B060C" w:rsidRPr="00532128" w:rsidRDefault="002B060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lastRenderedPageBreak/>
              <w:t>• korzystania z materiałów edukacyjnych (w tym m.in.: nauka online, zasoby dydaktyczne online);</w:t>
            </w:r>
          </w:p>
          <w:p w14:paraId="3AEA6537" w14:textId="77777777" w:rsidR="002B060C" w:rsidRPr="00532128" w:rsidRDefault="002B060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komunikacji z innymi osobami (komunikatory, media społecznościowe, e-maile etc.).</w:t>
            </w:r>
          </w:p>
          <w:p w14:paraId="4D39B5A3" w14:textId="77777777" w:rsidR="002B060C" w:rsidRPr="00532128" w:rsidRDefault="002B060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39FA1312" w14:textId="4FD78218" w:rsidR="002B060C" w:rsidRPr="00532128" w:rsidRDefault="002B060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Działania zrealizowane w okresie 1</w:t>
            </w:r>
            <w:r w:rsidR="004849F1">
              <w:rPr>
                <w:rFonts w:eastAsia="MS Mincho" w:cs="Times New Roman"/>
                <w:color w:val="auto"/>
                <w:sz w:val="20"/>
              </w:rPr>
              <w:t xml:space="preserve"> stycznia </w:t>
            </w:r>
            <w:r w:rsidRPr="00532128">
              <w:rPr>
                <w:rFonts w:eastAsia="MS Mincho" w:cs="Times New Roman"/>
                <w:color w:val="auto"/>
                <w:sz w:val="20"/>
              </w:rPr>
              <w:t>2020 r. do 31</w:t>
            </w:r>
            <w:r w:rsidR="001D502C">
              <w:rPr>
                <w:rFonts w:eastAsia="MS Mincho" w:cs="Times New Roman"/>
                <w:color w:val="auto"/>
                <w:sz w:val="20"/>
              </w:rPr>
              <w:t xml:space="preserve"> grudnia </w:t>
            </w:r>
            <w:r w:rsidRPr="00532128">
              <w:rPr>
                <w:rFonts w:eastAsia="MS Mincho" w:cs="Times New Roman"/>
                <w:color w:val="auto"/>
                <w:sz w:val="20"/>
              </w:rPr>
              <w:t xml:space="preserve">2020 r. to m.in: </w:t>
            </w:r>
          </w:p>
          <w:p w14:paraId="49BA5FBF" w14:textId="3F8722ED" w:rsidR="002B060C" w:rsidRPr="00532128" w:rsidRDefault="00DB69F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1. </w:t>
            </w:r>
            <w:r w:rsidR="002B060C" w:rsidRPr="00532128">
              <w:rPr>
                <w:rFonts w:eastAsia="MS Mincho" w:cs="Times New Roman"/>
                <w:color w:val="auto"/>
                <w:sz w:val="20"/>
              </w:rPr>
              <w:t>Kampania telewizyjna zachęcająca seniorów do załatwiania spraw urzędowych przez Internet. Ambasadorką kampanii była Marta Manowska (prowadząca program „Sanatorium Miłości” adresowany do senioralnej grupy widzów).</w:t>
            </w:r>
          </w:p>
          <w:p w14:paraId="0DF803CC" w14:textId="1357255C" w:rsidR="002B060C" w:rsidRPr="00532128" w:rsidRDefault="00DB69F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2. </w:t>
            </w:r>
            <w:r w:rsidR="002B060C" w:rsidRPr="00532128">
              <w:rPr>
                <w:rFonts w:eastAsia="MS Mincho" w:cs="Times New Roman"/>
                <w:color w:val="auto"/>
                <w:sz w:val="20"/>
              </w:rPr>
              <w:t>Seria poradników/instruktaży video z udziałem Marty Manowskiej.</w:t>
            </w:r>
          </w:p>
          <w:p w14:paraId="7EB661AD" w14:textId="0D79D47A" w:rsidR="002B060C" w:rsidRPr="00532128" w:rsidRDefault="00DB69F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3. </w:t>
            </w:r>
            <w:r w:rsidR="002B060C" w:rsidRPr="00532128">
              <w:rPr>
                <w:rFonts w:eastAsia="MS Mincho" w:cs="Times New Roman"/>
                <w:color w:val="auto"/>
                <w:sz w:val="20"/>
              </w:rPr>
              <w:t xml:space="preserve">Cykl e-Senior w </w:t>
            </w:r>
            <w:r w:rsidR="00ED479E">
              <w:rPr>
                <w:rFonts w:eastAsia="MS Mincho" w:cs="Times New Roman"/>
                <w:color w:val="auto"/>
                <w:sz w:val="20"/>
              </w:rPr>
              <w:t>I</w:t>
            </w:r>
            <w:r w:rsidR="002B060C" w:rsidRPr="00532128">
              <w:rPr>
                <w:rFonts w:eastAsia="MS Mincho" w:cs="Times New Roman"/>
                <w:color w:val="auto"/>
                <w:sz w:val="20"/>
              </w:rPr>
              <w:t xml:space="preserve">nternecie – wywiady Marty Manowskiej </w:t>
            </w:r>
            <w:r>
              <w:rPr>
                <w:rFonts w:eastAsia="MS Mincho" w:cs="Times New Roman"/>
                <w:color w:val="auto"/>
                <w:sz w:val="20"/>
              </w:rPr>
              <w:t xml:space="preserve">                       </w:t>
            </w:r>
            <w:r w:rsidR="002B060C" w:rsidRPr="00532128">
              <w:rPr>
                <w:rFonts w:eastAsia="MS Mincho" w:cs="Times New Roman"/>
                <w:color w:val="auto"/>
                <w:sz w:val="20"/>
              </w:rPr>
              <w:t xml:space="preserve">ze znanymi seniorami, dotyczące korzystania (w tym bezpiecznego korzystania) z   </w:t>
            </w:r>
            <w:r w:rsidR="00ED479E">
              <w:rPr>
                <w:rFonts w:eastAsia="MS Mincho" w:cs="Times New Roman"/>
                <w:color w:val="auto"/>
                <w:sz w:val="20"/>
              </w:rPr>
              <w:t>I</w:t>
            </w:r>
            <w:r w:rsidR="002B060C" w:rsidRPr="00532128">
              <w:rPr>
                <w:rFonts w:eastAsia="MS Mincho" w:cs="Times New Roman"/>
                <w:color w:val="auto"/>
                <w:sz w:val="20"/>
              </w:rPr>
              <w:t>nternetu.</w:t>
            </w:r>
          </w:p>
          <w:p w14:paraId="35CE2F5F" w14:textId="11C05748" w:rsidR="002B060C" w:rsidRPr="00532128" w:rsidRDefault="00DB69F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4. </w:t>
            </w:r>
            <w:r w:rsidR="002B060C" w:rsidRPr="00532128">
              <w:rPr>
                <w:rFonts w:eastAsia="MS Mincho" w:cs="Times New Roman"/>
                <w:color w:val="auto"/>
                <w:sz w:val="20"/>
              </w:rPr>
              <w:t xml:space="preserve">Konkurs e-Senior potrafi! - uczestnicy konkursu odpowiadali na pytanie: Czego w życiu nauczył mnie bliski senior, a czego ja nauczę go w </w:t>
            </w:r>
            <w:r w:rsidR="00ED479E">
              <w:rPr>
                <w:rFonts w:eastAsia="MS Mincho" w:cs="Times New Roman"/>
                <w:color w:val="auto"/>
                <w:sz w:val="20"/>
              </w:rPr>
              <w:t>I</w:t>
            </w:r>
            <w:r w:rsidR="002B060C" w:rsidRPr="00532128">
              <w:rPr>
                <w:rFonts w:eastAsia="MS Mincho" w:cs="Times New Roman"/>
                <w:color w:val="auto"/>
                <w:sz w:val="20"/>
              </w:rPr>
              <w:t xml:space="preserve">nternecie? Autorzy 10 najlepszych prac wygrali laptopy dla seniorów. Konkurs trwał od 28 września do 19 października 2020 r. </w:t>
            </w:r>
          </w:p>
          <w:p w14:paraId="41FC1D5D" w14:textId="61DE86CD" w:rsidR="002B060C" w:rsidRPr="00532128" w:rsidRDefault="00DB69F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Pr>
                <w:rFonts w:eastAsia="MS Mincho" w:cs="Times New Roman"/>
                <w:color w:val="auto"/>
                <w:sz w:val="20"/>
              </w:rPr>
              <w:t>5. </w:t>
            </w:r>
            <w:r w:rsidR="002B060C" w:rsidRPr="00532128">
              <w:rPr>
                <w:rFonts w:eastAsia="MS Mincho" w:cs="Times New Roman"/>
                <w:color w:val="auto"/>
                <w:sz w:val="20"/>
              </w:rPr>
              <w:t>Kampania „Seniorze – spotkajmy się w sieci!”</w:t>
            </w:r>
          </w:p>
          <w:p w14:paraId="7FFF480E" w14:textId="53BB87CC" w:rsidR="002B060C" w:rsidRPr="00532128" w:rsidRDefault="002B060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Zainicjowana została w październiku 2020 r</w:t>
            </w:r>
            <w:r w:rsidR="00ED479E">
              <w:rPr>
                <w:rFonts w:eastAsia="MS Mincho" w:cs="Times New Roman"/>
                <w:color w:val="auto"/>
                <w:sz w:val="20"/>
              </w:rPr>
              <w:t>.</w:t>
            </w:r>
            <w:r w:rsidRPr="00532128">
              <w:rPr>
                <w:rFonts w:eastAsia="MS Mincho" w:cs="Times New Roman"/>
                <w:color w:val="auto"/>
                <w:sz w:val="20"/>
              </w:rPr>
              <w:t xml:space="preserve">, jest realizowana wspólnie z Państwowym Instytutem Badawczym NASK oraz Warszawskim Instytutem Bankowości. Ambasadorką kampanii została popularna aktorka Barbara </w:t>
            </w:r>
            <w:proofErr w:type="spellStart"/>
            <w:r w:rsidRPr="00532128">
              <w:rPr>
                <w:rFonts w:eastAsia="MS Mincho" w:cs="Times New Roman"/>
                <w:color w:val="auto"/>
                <w:sz w:val="20"/>
              </w:rPr>
              <w:t>Bursztynowicz</w:t>
            </w:r>
            <w:proofErr w:type="spellEnd"/>
            <w:r w:rsidRPr="00532128">
              <w:rPr>
                <w:rFonts w:eastAsia="MS Mincho" w:cs="Times New Roman"/>
                <w:color w:val="auto"/>
                <w:sz w:val="20"/>
              </w:rPr>
              <w:t xml:space="preserve">, która wystąpiła w naszych filmach edukacyjnych razem ze swoją córką Małgorzatą. Nadrzędnym celem kampanii była i jest chęć pomocy seniorom </w:t>
            </w:r>
            <w:r w:rsidR="00DB69FC">
              <w:rPr>
                <w:rFonts w:eastAsia="MS Mincho" w:cs="Times New Roman"/>
                <w:color w:val="auto"/>
                <w:sz w:val="20"/>
              </w:rPr>
              <w:t xml:space="preserve">                </w:t>
            </w:r>
            <w:r w:rsidRPr="00532128">
              <w:rPr>
                <w:rFonts w:eastAsia="MS Mincho" w:cs="Times New Roman"/>
                <w:color w:val="auto"/>
                <w:sz w:val="20"/>
              </w:rPr>
              <w:t>w poznaniu Internetu i edukacja jak bezpiecznie z niego korzystać.</w:t>
            </w:r>
          </w:p>
          <w:p w14:paraId="7F7C4807" w14:textId="77777777" w:rsidR="002B060C" w:rsidRPr="00532128" w:rsidRDefault="002B060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p>
          <w:p w14:paraId="5DE439FD" w14:textId="77777777" w:rsidR="002B060C" w:rsidRPr="00532128" w:rsidRDefault="002B060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W ramach kampanii przygotowane zostały instrukcje i filmy, które wprowadzają seniorów w bezpieczny świat Internetu. To m.in. pięć napisanych przystępnym językiem broszur oraz pięć krótkich filmów instruktażowych. </w:t>
            </w:r>
          </w:p>
          <w:p w14:paraId="17918C15" w14:textId="77777777" w:rsidR="0099394D" w:rsidRPr="00532128" w:rsidRDefault="002B060C" w:rsidP="002B060C">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lastRenderedPageBreak/>
              <w:t>Każda z wyżej wymienionych akcji dotarła od kilku do kilkunastu milionów Polaków.</w:t>
            </w:r>
          </w:p>
        </w:tc>
      </w:tr>
      <w:tr w:rsidR="0092226B" w:rsidRPr="0092226B" w14:paraId="4B836BAA" w14:textId="77777777" w:rsidTr="00532128">
        <w:trPr>
          <w:trHeight w:val="490"/>
        </w:trPr>
        <w:tc>
          <w:tcPr>
            <w:cnfStyle w:val="001000000000" w:firstRow="0" w:lastRow="0" w:firstColumn="1" w:lastColumn="0" w:oddVBand="0" w:evenVBand="0" w:oddHBand="0" w:evenHBand="0" w:firstRowFirstColumn="0" w:firstRowLastColumn="0" w:lastRowFirstColumn="0" w:lastRowLastColumn="0"/>
            <w:tcW w:w="13996" w:type="dxa"/>
            <w:gridSpan w:val="5"/>
          </w:tcPr>
          <w:p w14:paraId="3768D36A" w14:textId="77777777" w:rsidR="00311D18" w:rsidRPr="00532128" w:rsidRDefault="00311D18" w:rsidP="003C1988">
            <w:pPr>
              <w:rPr>
                <w:rFonts w:eastAsia="MS Mincho" w:cs="Times New Roman"/>
                <w:bCs w:val="0"/>
                <w:color w:val="auto"/>
                <w:sz w:val="20"/>
              </w:rPr>
            </w:pPr>
            <w:r w:rsidRPr="00532128">
              <w:rPr>
                <w:rFonts w:eastAsia="MS Mincho" w:cs="Times New Roman"/>
                <w:color w:val="auto"/>
                <w:sz w:val="20"/>
              </w:rPr>
              <w:lastRenderedPageBreak/>
              <w:t>OBSZARY SKIEROWANE DO NIESAMODZIELNYCH OSÓB STARSZYCH I ICH OPIEKUNÓW</w:t>
            </w:r>
          </w:p>
        </w:tc>
      </w:tr>
      <w:tr w:rsidR="0092226B" w:rsidRPr="0092226B" w14:paraId="33A21CE6" w14:textId="77777777" w:rsidTr="002D4784">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232" w:type="dxa"/>
            <w:vMerge w:val="restart"/>
            <w:textDirection w:val="btLr"/>
          </w:tcPr>
          <w:p w14:paraId="0BC630A7" w14:textId="77777777" w:rsidR="00311D18" w:rsidRPr="0092226B" w:rsidRDefault="00311D18" w:rsidP="003C1988">
            <w:pPr>
              <w:pStyle w:val="Kolorowalistaakcent11"/>
              <w:ind w:left="284" w:right="113"/>
              <w:rPr>
                <w:rFonts w:ascii="Times New Roman" w:eastAsia="MS Mincho" w:hAnsi="Times New Roman"/>
                <w:color w:val="FF0000"/>
                <w:sz w:val="20"/>
              </w:rPr>
            </w:pPr>
            <w:r w:rsidRPr="00532128">
              <w:rPr>
                <w:rFonts w:ascii="Times New Roman" w:eastAsia="MS Mincho" w:hAnsi="Times New Roman"/>
                <w:color w:val="auto"/>
                <w:sz w:val="20"/>
              </w:rPr>
              <w:t>Obszar I</w:t>
            </w:r>
          </w:p>
        </w:tc>
        <w:tc>
          <w:tcPr>
            <w:tcW w:w="3594" w:type="dxa"/>
            <w:vMerge w:val="restart"/>
          </w:tcPr>
          <w:p w14:paraId="4D452C9E" w14:textId="77777777" w:rsidR="00311D18" w:rsidRPr="00532128" w:rsidRDefault="00DE3585" w:rsidP="002D4784">
            <w:pPr>
              <w:jc w:val="left"/>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Opracowanie standardów w zakresie </w:t>
            </w:r>
            <w:proofErr w:type="spellStart"/>
            <w:r w:rsidRPr="00532128">
              <w:rPr>
                <w:rFonts w:eastAsia="MS Mincho" w:cs="Times New Roman"/>
                <w:color w:val="auto"/>
                <w:sz w:val="20"/>
              </w:rPr>
              <w:t>teleopieki</w:t>
            </w:r>
            <w:proofErr w:type="spellEnd"/>
            <w:r w:rsidRPr="00532128">
              <w:rPr>
                <w:rFonts w:eastAsia="MS Mincho" w:cs="Times New Roman"/>
                <w:color w:val="auto"/>
                <w:sz w:val="20"/>
              </w:rPr>
              <w:t xml:space="preserve"> i </w:t>
            </w:r>
            <w:proofErr w:type="spellStart"/>
            <w:r w:rsidRPr="00532128">
              <w:rPr>
                <w:rFonts w:eastAsia="MS Mincho" w:cs="Times New Roman"/>
                <w:color w:val="auto"/>
                <w:sz w:val="20"/>
              </w:rPr>
              <w:t>telepomocy</w:t>
            </w:r>
            <w:proofErr w:type="spellEnd"/>
          </w:p>
        </w:tc>
        <w:tc>
          <w:tcPr>
            <w:tcW w:w="2032" w:type="dxa"/>
            <w:vMerge w:val="restart"/>
          </w:tcPr>
          <w:p w14:paraId="71CD7AD8" w14:textId="77777777" w:rsidR="00311D18" w:rsidRPr="00532128" w:rsidRDefault="00DE3585"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lang w:eastAsia="pl-PL"/>
              </w:rPr>
              <w:t>Ministerstwo Zdrowia</w:t>
            </w:r>
          </w:p>
        </w:tc>
        <w:tc>
          <w:tcPr>
            <w:tcW w:w="1500" w:type="dxa"/>
            <w:vMerge w:val="restart"/>
          </w:tcPr>
          <w:p w14:paraId="72EE9B50"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i/>
                <w:color w:val="auto"/>
                <w:sz w:val="20"/>
                <w:u w:val="single"/>
              </w:rPr>
            </w:pPr>
            <w:r w:rsidRPr="00532128">
              <w:rPr>
                <w:rFonts w:eastAsia="MS Mincho" w:cs="Times New Roman"/>
                <w:color w:val="auto"/>
                <w:sz w:val="20"/>
              </w:rPr>
              <w:t>2018-2022</w:t>
            </w:r>
          </w:p>
        </w:tc>
        <w:tc>
          <w:tcPr>
            <w:tcW w:w="5638" w:type="dxa"/>
          </w:tcPr>
          <w:p w14:paraId="46C94D2A" w14:textId="77777777" w:rsidR="00311D18" w:rsidRPr="00532128" w:rsidRDefault="00DE3585"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 xml:space="preserve">Liczba opracowanych i wdrożonych standardów technicznych i organizacyjnych </w:t>
            </w:r>
            <w:proofErr w:type="spellStart"/>
            <w:r w:rsidRPr="00532128">
              <w:rPr>
                <w:rFonts w:eastAsia="MS Mincho" w:cs="Times New Roman"/>
                <w:i/>
                <w:color w:val="auto"/>
                <w:sz w:val="20"/>
              </w:rPr>
              <w:t>teleopieki</w:t>
            </w:r>
            <w:proofErr w:type="spellEnd"/>
            <w:r w:rsidRPr="00532128">
              <w:rPr>
                <w:rFonts w:eastAsia="MS Mincho" w:cs="Times New Roman"/>
                <w:i/>
                <w:color w:val="auto"/>
                <w:sz w:val="20"/>
              </w:rPr>
              <w:t xml:space="preserve"> i </w:t>
            </w:r>
            <w:proofErr w:type="spellStart"/>
            <w:r w:rsidRPr="00532128">
              <w:rPr>
                <w:rFonts w:eastAsia="MS Mincho" w:cs="Times New Roman"/>
                <w:i/>
                <w:color w:val="auto"/>
                <w:sz w:val="20"/>
              </w:rPr>
              <w:t>telepomocy</w:t>
            </w:r>
            <w:proofErr w:type="spellEnd"/>
          </w:p>
        </w:tc>
      </w:tr>
      <w:tr w:rsidR="0092226B" w:rsidRPr="0092226B" w14:paraId="5019966B"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6D3B78D2" w14:textId="77777777" w:rsidR="00311D18" w:rsidRPr="0092226B" w:rsidRDefault="00311D18" w:rsidP="003C1988">
            <w:pPr>
              <w:rPr>
                <w:rFonts w:cs="Times New Roman"/>
                <w:color w:val="FF0000"/>
                <w:sz w:val="20"/>
              </w:rPr>
            </w:pPr>
          </w:p>
        </w:tc>
        <w:tc>
          <w:tcPr>
            <w:tcW w:w="3594" w:type="dxa"/>
            <w:vMerge/>
          </w:tcPr>
          <w:p w14:paraId="1D970541"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tcPr>
          <w:p w14:paraId="45B156EB"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tcPr>
          <w:p w14:paraId="3F605A13"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tcPr>
          <w:p w14:paraId="6E6C6989" w14:textId="29F2AE11" w:rsidR="00311D18" w:rsidRPr="00532128" w:rsidRDefault="00DE3585"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Ministerstwo Zdrowia w maju 2020 r. rozpoczęło wdrażanie projektu „Ograniczanie społecznych nierówności w zdrowiu poprzez stosowa</w:t>
            </w:r>
            <w:r w:rsidR="00DB69FC">
              <w:rPr>
                <w:rFonts w:eastAsia="MS Mincho" w:cs="Times New Roman"/>
                <w:color w:val="auto"/>
                <w:sz w:val="20"/>
              </w:rPr>
              <w:t xml:space="preserve">nie rozwiązań </w:t>
            </w:r>
            <w:proofErr w:type="spellStart"/>
            <w:r w:rsidR="00DB69FC">
              <w:rPr>
                <w:rFonts w:eastAsia="MS Mincho" w:cs="Times New Roman"/>
                <w:color w:val="auto"/>
                <w:sz w:val="20"/>
              </w:rPr>
              <w:t>telemedycyny</w:t>
            </w:r>
            <w:proofErr w:type="spellEnd"/>
            <w:r w:rsidR="00DB69FC">
              <w:rPr>
                <w:rFonts w:eastAsia="MS Mincho" w:cs="Times New Roman"/>
                <w:color w:val="auto"/>
                <w:sz w:val="20"/>
              </w:rPr>
              <w:t xml:space="preserve"> i e-</w:t>
            </w:r>
            <w:r w:rsidRPr="00532128">
              <w:rPr>
                <w:rFonts w:eastAsia="MS Mincho" w:cs="Times New Roman"/>
                <w:color w:val="auto"/>
                <w:sz w:val="20"/>
              </w:rPr>
              <w:t xml:space="preserve">zdrowia” </w:t>
            </w:r>
            <w:r w:rsidR="00DB69FC">
              <w:rPr>
                <w:rFonts w:eastAsia="MS Mincho" w:cs="Times New Roman"/>
                <w:color w:val="auto"/>
                <w:sz w:val="20"/>
              </w:rPr>
              <w:t xml:space="preserve">                         </w:t>
            </w:r>
            <w:r w:rsidRPr="00532128">
              <w:rPr>
                <w:rFonts w:eastAsia="MS Mincho" w:cs="Times New Roman"/>
                <w:color w:val="auto"/>
                <w:sz w:val="20"/>
              </w:rPr>
              <w:t xml:space="preserve">w ramach Norweskiego Mechanizmu Finansowego 2014-2021. Projekt ma przyczynić się do zmniejszenia kosztów procedur medycznych, zmniejszenia obciążeń dla pacjentów oraz zwiększenia dostępności usług medycznych. Projekt koncentruje się na wypracowaniu modeli </w:t>
            </w:r>
            <w:proofErr w:type="spellStart"/>
            <w:r w:rsidRPr="00532128">
              <w:rPr>
                <w:rFonts w:eastAsia="MS Mincho" w:cs="Times New Roman"/>
                <w:color w:val="auto"/>
                <w:sz w:val="20"/>
              </w:rPr>
              <w:t>telemedycznych</w:t>
            </w:r>
            <w:proofErr w:type="spellEnd"/>
            <w:r w:rsidRPr="00532128">
              <w:rPr>
                <w:rFonts w:eastAsia="MS Mincho" w:cs="Times New Roman"/>
                <w:color w:val="auto"/>
                <w:sz w:val="20"/>
              </w:rPr>
              <w:t xml:space="preserve"> w 7 obszarach: kardiologii, geriatrii, psychiatrii, położnictwa, diabetologii, opieki paliatywnej oraz chorób przewlekłych, które mogłyby poszerzyć katalog procedur </w:t>
            </w:r>
            <w:proofErr w:type="spellStart"/>
            <w:r w:rsidRPr="00532128">
              <w:rPr>
                <w:rFonts w:eastAsia="MS Mincho" w:cs="Times New Roman"/>
                <w:color w:val="auto"/>
                <w:sz w:val="20"/>
              </w:rPr>
              <w:t>telemedycznych</w:t>
            </w:r>
            <w:proofErr w:type="spellEnd"/>
            <w:r w:rsidRPr="00532128">
              <w:rPr>
                <w:rFonts w:eastAsia="MS Mincho" w:cs="Times New Roman"/>
                <w:color w:val="auto"/>
                <w:sz w:val="20"/>
              </w:rPr>
              <w:t xml:space="preserve"> objętych publicznym finansowaniem oraz zwiększyć poziom wykorzystania potencjału </w:t>
            </w:r>
            <w:proofErr w:type="spellStart"/>
            <w:r w:rsidRPr="00532128">
              <w:rPr>
                <w:rFonts w:eastAsia="MS Mincho" w:cs="Times New Roman"/>
                <w:color w:val="auto"/>
                <w:sz w:val="20"/>
              </w:rPr>
              <w:t>telemedycyny</w:t>
            </w:r>
            <w:proofErr w:type="spellEnd"/>
            <w:r w:rsidRPr="00532128">
              <w:rPr>
                <w:rFonts w:eastAsia="MS Mincho" w:cs="Times New Roman"/>
                <w:color w:val="auto"/>
                <w:sz w:val="20"/>
              </w:rPr>
              <w:t xml:space="preserve"> w Polsce. Wynikiem projektu będzie wypracowanie rekomendacji dotyczących możliwości finansowania ze środków publicznych najbardziej efektywnych kosztowo świadczeń </w:t>
            </w:r>
            <w:proofErr w:type="spellStart"/>
            <w:r w:rsidRPr="00532128">
              <w:rPr>
                <w:rFonts w:eastAsia="MS Mincho" w:cs="Times New Roman"/>
                <w:color w:val="auto"/>
                <w:sz w:val="20"/>
              </w:rPr>
              <w:t>telemedycznych</w:t>
            </w:r>
            <w:proofErr w:type="spellEnd"/>
            <w:r w:rsidRPr="00532128">
              <w:rPr>
                <w:rFonts w:eastAsia="MS Mincho" w:cs="Times New Roman"/>
                <w:color w:val="auto"/>
                <w:sz w:val="20"/>
              </w:rPr>
              <w:t>. Osoby starsze są jedną z grup docelowych działań realizowanych w projekcie, szczególnie w obszarze geriatrii, opieki paliatywnej oraz chorób przewlekłych. Realizacja projektu potrwa do kwietnia 2024 r.</w:t>
            </w:r>
          </w:p>
        </w:tc>
      </w:tr>
      <w:tr w:rsidR="0092226B" w:rsidRPr="0092226B" w14:paraId="69DBF2B7" w14:textId="77777777" w:rsidTr="002D4784">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232" w:type="dxa"/>
            <w:vMerge/>
          </w:tcPr>
          <w:p w14:paraId="00AC6536" w14:textId="77777777" w:rsidR="00311D18" w:rsidRPr="0092226B" w:rsidRDefault="00311D18" w:rsidP="003C1988">
            <w:pPr>
              <w:rPr>
                <w:rFonts w:cs="Times New Roman"/>
                <w:color w:val="FF0000"/>
                <w:sz w:val="20"/>
              </w:rPr>
            </w:pPr>
          </w:p>
        </w:tc>
        <w:tc>
          <w:tcPr>
            <w:tcW w:w="3594" w:type="dxa"/>
            <w:vMerge w:val="restart"/>
          </w:tcPr>
          <w:p w14:paraId="70B37007"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hAnsi="Times New Roman"/>
                <w:color w:val="auto"/>
                <w:sz w:val="20"/>
              </w:rPr>
              <w:t xml:space="preserve">Opracowanie standardów w zakresie </w:t>
            </w:r>
            <w:proofErr w:type="spellStart"/>
            <w:r w:rsidRPr="00532128">
              <w:rPr>
                <w:rFonts w:ascii="Times New Roman" w:hAnsi="Times New Roman"/>
                <w:color w:val="auto"/>
                <w:sz w:val="20"/>
              </w:rPr>
              <w:t>teleopieki</w:t>
            </w:r>
            <w:proofErr w:type="spellEnd"/>
            <w:r w:rsidRPr="00532128">
              <w:rPr>
                <w:rFonts w:ascii="Times New Roman" w:hAnsi="Times New Roman"/>
                <w:color w:val="auto"/>
                <w:sz w:val="20"/>
              </w:rPr>
              <w:t xml:space="preserve"> i </w:t>
            </w:r>
            <w:proofErr w:type="spellStart"/>
            <w:r w:rsidRPr="00532128">
              <w:rPr>
                <w:rFonts w:ascii="Times New Roman" w:hAnsi="Times New Roman"/>
                <w:color w:val="auto"/>
                <w:sz w:val="20"/>
              </w:rPr>
              <w:t>telepomocy</w:t>
            </w:r>
            <w:proofErr w:type="spellEnd"/>
          </w:p>
        </w:tc>
        <w:tc>
          <w:tcPr>
            <w:tcW w:w="2032" w:type="dxa"/>
            <w:vMerge w:val="restart"/>
          </w:tcPr>
          <w:p w14:paraId="2EDDAB37"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p w14:paraId="08FE26F0"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val="restart"/>
          </w:tcPr>
          <w:p w14:paraId="19288361"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2018-2020</w:t>
            </w:r>
          </w:p>
        </w:tc>
        <w:tc>
          <w:tcPr>
            <w:tcW w:w="5638" w:type="dxa"/>
          </w:tcPr>
          <w:p w14:paraId="4244F0F0" w14:textId="261C2CEE"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 xml:space="preserve">Liczba opracowanych i wdrożonych standardów technicznych </w:t>
            </w:r>
            <w:r w:rsidR="00DB69FC">
              <w:rPr>
                <w:rFonts w:eastAsia="MS Mincho" w:cs="Times New Roman"/>
                <w:i/>
                <w:color w:val="auto"/>
                <w:sz w:val="20"/>
              </w:rPr>
              <w:t xml:space="preserve">                    </w:t>
            </w:r>
            <w:r w:rsidRPr="00532128">
              <w:rPr>
                <w:rFonts w:eastAsia="MS Mincho" w:cs="Times New Roman"/>
                <w:i/>
                <w:color w:val="auto"/>
                <w:sz w:val="20"/>
              </w:rPr>
              <w:t xml:space="preserve">i organizacyjnych </w:t>
            </w:r>
            <w:proofErr w:type="spellStart"/>
            <w:r w:rsidRPr="00532128">
              <w:rPr>
                <w:rFonts w:eastAsia="MS Mincho" w:cs="Times New Roman"/>
                <w:i/>
                <w:color w:val="auto"/>
                <w:sz w:val="20"/>
              </w:rPr>
              <w:t>teleopieki</w:t>
            </w:r>
            <w:proofErr w:type="spellEnd"/>
            <w:r w:rsidRPr="00532128">
              <w:rPr>
                <w:rFonts w:eastAsia="MS Mincho" w:cs="Times New Roman"/>
                <w:i/>
                <w:color w:val="auto"/>
                <w:sz w:val="20"/>
              </w:rPr>
              <w:t xml:space="preserve"> i </w:t>
            </w:r>
            <w:proofErr w:type="spellStart"/>
            <w:r w:rsidRPr="00532128">
              <w:rPr>
                <w:rFonts w:eastAsia="MS Mincho" w:cs="Times New Roman"/>
                <w:i/>
                <w:color w:val="auto"/>
                <w:sz w:val="20"/>
              </w:rPr>
              <w:t>telepomocy</w:t>
            </w:r>
            <w:proofErr w:type="spellEnd"/>
          </w:p>
        </w:tc>
      </w:tr>
      <w:tr w:rsidR="0092226B" w:rsidRPr="0092226B" w14:paraId="0D072097"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35FB33EB" w14:textId="77777777" w:rsidR="00311D18" w:rsidRPr="0092226B" w:rsidRDefault="00311D18" w:rsidP="003C1988">
            <w:pPr>
              <w:rPr>
                <w:rFonts w:cs="Times New Roman"/>
                <w:color w:val="FF0000"/>
                <w:sz w:val="20"/>
              </w:rPr>
            </w:pPr>
          </w:p>
        </w:tc>
        <w:tc>
          <w:tcPr>
            <w:tcW w:w="3594" w:type="dxa"/>
            <w:vMerge/>
          </w:tcPr>
          <w:p w14:paraId="01038542"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tcPr>
          <w:p w14:paraId="7F1BE201"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tcPr>
          <w:p w14:paraId="6BBA46EF"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tcPr>
          <w:p w14:paraId="64402CE4" w14:textId="23EEC960" w:rsidR="00311D18" w:rsidRPr="00532128" w:rsidRDefault="003C78EA" w:rsidP="003C78E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Ministerstwo Zdrowia w maju 2020 r. rozpoczęło wdrażanie projektu „Ograniczanie społecznych nierówności w zdrowiu poprzez stosowa</w:t>
            </w:r>
            <w:r w:rsidR="00DB69FC">
              <w:rPr>
                <w:rFonts w:eastAsia="MS Mincho" w:cs="Times New Roman"/>
                <w:color w:val="auto"/>
                <w:sz w:val="20"/>
              </w:rPr>
              <w:t xml:space="preserve">nie rozwiązań </w:t>
            </w:r>
            <w:proofErr w:type="spellStart"/>
            <w:r w:rsidR="00DB69FC">
              <w:rPr>
                <w:rFonts w:eastAsia="MS Mincho" w:cs="Times New Roman"/>
                <w:color w:val="auto"/>
                <w:sz w:val="20"/>
              </w:rPr>
              <w:t>telemedycyny</w:t>
            </w:r>
            <w:proofErr w:type="spellEnd"/>
            <w:r w:rsidR="00DB69FC">
              <w:rPr>
                <w:rFonts w:eastAsia="MS Mincho" w:cs="Times New Roman"/>
                <w:color w:val="auto"/>
                <w:sz w:val="20"/>
              </w:rPr>
              <w:t xml:space="preserve"> i e-</w:t>
            </w:r>
            <w:r w:rsidRPr="00532128">
              <w:rPr>
                <w:rFonts w:eastAsia="MS Mincho" w:cs="Times New Roman"/>
                <w:color w:val="auto"/>
                <w:sz w:val="20"/>
              </w:rPr>
              <w:t xml:space="preserve">zdrowia” w ramach Norweskiego Mechanizmu Finansowego 2014-2021. Projekt ma przyczynić się do zmniejszenia kosztów procedur medycznych, zmniejszenia obciążeń dla pacjentów oraz zwiększenia dostępności </w:t>
            </w:r>
            <w:r w:rsidRPr="00532128">
              <w:rPr>
                <w:rFonts w:eastAsia="MS Mincho" w:cs="Times New Roman"/>
                <w:color w:val="auto"/>
                <w:sz w:val="20"/>
              </w:rPr>
              <w:lastRenderedPageBreak/>
              <w:t xml:space="preserve">usług medycznych. Projekt koncentruje się na wypracowaniu modeli </w:t>
            </w:r>
            <w:proofErr w:type="spellStart"/>
            <w:r w:rsidRPr="00532128">
              <w:rPr>
                <w:rFonts w:eastAsia="MS Mincho" w:cs="Times New Roman"/>
                <w:color w:val="auto"/>
                <w:sz w:val="20"/>
              </w:rPr>
              <w:t>telemedycznych</w:t>
            </w:r>
            <w:proofErr w:type="spellEnd"/>
            <w:r w:rsidRPr="00532128">
              <w:rPr>
                <w:rFonts w:eastAsia="MS Mincho" w:cs="Times New Roman"/>
                <w:color w:val="auto"/>
                <w:sz w:val="20"/>
              </w:rPr>
              <w:t xml:space="preserve"> w 7 obszarach: kardiologii, geriatrii, psychiatrii, położnictwa, diabet</w:t>
            </w:r>
            <w:r w:rsidR="00DB69FC">
              <w:rPr>
                <w:rFonts w:eastAsia="MS Mincho" w:cs="Times New Roman"/>
                <w:color w:val="auto"/>
                <w:sz w:val="20"/>
              </w:rPr>
              <w:t>ologii, opieki paliatywnej oraz </w:t>
            </w:r>
            <w:r w:rsidRPr="00532128">
              <w:rPr>
                <w:rFonts w:eastAsia="MS Mincho" w:cs="Times New Roman"/>
                <w:color w:val="auto"/>
                <w:sz w:val="20"/>
              </w:rPr>
              <w:t xml:space="preserve">chorób przewlekłych, które mogłyby poszerzyć katalog procedur </w:t>
            </w:r>
            <w:proofErr w:type="spellStart"/>
            <w:r w:rsidRPr="00532128">
              <w:rPr>
                <w:rFonts w:eastAsia="MS Mincho" w:cs="Times New Roman"/>
                <w:color w:val="auto"/>
                <w:sz w:val="20"/>
              </w:rPr>
              <w:t>telemedycznych</w:t>
            </w:r>
            <w:proofErr w:type="spellEnd"/>
            <w:r w:rsidRPr="00532128">
              <w:rPr>
                <w:rFonts w:eastAsia="MS Mincho" w:cs="Times New Roman"/>
                <w:color w:val="auto"/>
                <w:sz w:val="20"/>
              </w:rPr>
              <w:t xml:space="preserve"> objętych publicznym finansowaniem oraz zwiększyć poziom wykorzys</w:t>
            </w:r>
            <w:r w:rsidR="00DB69FC">
              <w:rPr>
                <w:rFonts w:eastAsia="MS Mincho" w:cs="Times New Roman"/>
                <w:color w:val="auto"/>
                <w:sz w:val="20"/>
              </w:rPr>
              <w:t xml:space="preserve">tania potencjału </w:t>
            </w:r>
            <w:proofErr w:type="spellStart"/>
            <w:r w:rsidR="00DB69FC">
              <w:rPr>
                <w:rFonts w:eastAsia="MS Mincho" w:cs="Times New Roman"/>
                <w:color w:val="auto"/>
                <w:sz w:val="20"/>
              </w:rPr>
              <w:t>telemedycyny</w:t>
            </w:r>
            <w:proofErr w:type="spellEnd"/>
            <w:r w:rsidR="00DB69FC">
              <w:rPr>
                <w:rFonts w:eastAsia="MS Mincho" w:cs="Times New Roman"/>
                <w:color w:val="auto"/>
                <w:sz w:val="20"/>
              </w:rPr>
              <w:t xml:space="preserve"> w </w:t>
            </w:r>
            <w:r w:rsidRPr="00532128">
              <w:rPr>
                <w:rFonts w:eastAsia="MS Mincho" w:cs="Times New Roman"/>
                <w:color w:val="auto"/>
                <w:sz w:val="20"/>
              </w:rPr>
              <w:t xml:space="preserve">Polsce. Wynikiem projektu będzie wypracowanie rekomendacji dotyczących możliwości finansowania ze środków publicznych najbardziej efektywnych kosztowo świadczeń </w:t>
            </w:r>
            <w:proofErr w:type="spellStart"/>
            <w:r w:rsidRPr="00532128">
              <w:rPr>
                <w:rFonts w:eastAsia="MS Mincho" w:cs="Times New Roman"/>
                <w:color w:val="auto"/>
                <w:sz w:val="20"/>
              </w:rPr>
              <w:t>telemedycznych</w:t>
            </w:r>
            <w:proofErr w:type="spellEnd"/>
            <w:r w:rsidRPr="00532128">
              <w:rPr>
                <w:rFonts w:eastAsia="MS Mincho" w:cs="Times New Roman"/>
                <w:color w:val="auto"/>
                <w:sz w:val="20"/>
              </w:rPr>
              <w:t>. Osoby starsze są jedną z grup doc</w:t>
            </w:r>
            <w:r w:rsidR="00DB69FC">
              <w:rPr>
                <w:rFonts w:eastAsia="MS Mincho" w:cs="Times New Roman"/>
                <w:color w:val="auto"/>
                <w:sz w:val="20"/>
              </w:rPr>
              <w:t>elowych działań realizowanych w </w:t>
            </w:r>
            <w:r w:rsidRPr="00532128">
              <w:rPr>
                <w:rFonts w:eastAsia="MS Mincho" w:cs="Times New Roman"/>
                <w:color w:val="auto"/>
                <w:sz w:val="20"/>
              </w:rPr>
              <w:t>projekcie, szczególnie w obszarze geriatrii, opieki paliatywnej oraz chorób przewlekłych. Realizacja projektu potrwa do kwietnia 2024 r.</w:t>
            </w:r>
          </w:p>
        </w:tc>
      </w:tr>
      <w:tr w:rsidR="0092226B" w:rsidRPr="0092226B" w14:paraId="354DC1AD" w14:textId="77777777" w:rsidTr="002D4784">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232" w:type="dxa"/>
            <w:vMerge/>
          </w:tcPr>
          <w:p w14:paraId="6579FAB3" w14:textId="77777777" w:rsidR="00311D18" w:rsidRPr="0092226B" w:rsidRDefault="00311D18" w:rsidP="003C1988">
            <w:pPr>
              <w:rPr>
                <w:rFonts w:cs="Times New Roman"/>
                <w:color w:val="FF0000"/>
                <w:sz w:val="20"/>
              </w:rPr>
            </w:pPr>
          </w:p>
        </w:tc>
        <w:tc>
          <w:tcPr>
            <w:tcW w:w="3594" w:type="dxa"/>
            <w:vMerge w:val="restart"/>
          </w:tcPr>
          <w:p w14:paraId="13938790"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Wdrożenie na dużą skalę standaryzowanej </w:t>
            </w:r>
            <w:proofErr w:type="spellStart"/>
            <w:r w:rsidRPr="00532128">
              <w:rPr>
                <w:rFonts w:ascii="Times New Roman" w:eastAsia="MS Mincho" w:hAnsi="Times New Roman"/>
                <w:color w:val="auto"/>
                <w:sz w:val="20"/>
              </w:rPr>
              <w:t>telemedycyny</w:t>
            </w:r>
            <w:proofErr w:type="spellEnd"/>
            <w:r w:rsidRPr="00532128">
              <w:rPr>
                <w:rFonts w:ascii="Times New Roman" w:eastAsia="MS Mincho" w:hAnsi="Times New Roman"/>
                <w:color w:val="auto"/>
                <w:sz w:val="20"/>
              </w:rPr>
              <w:t xml:space="preserve">, o różnym zakresie usług, dostosowywanym do potrzeb </w:t>
            </w:r>
            <w:r w:rsidRPr="00532128">
              <w:rPr>
                <w:rFonts w:ascii="Times New Roman" w:eastAsia="MS Mincho" w:hAnsi="Times New Roman"/>
                <w:color w:val="auto"/>
                <w:sz w:val="20"/>
              </w:rPr>
              <w:br/>
              <w:t xml:space="preserve">i sprawności użytkowników, </w:t>
            </w:r>
            <w:r w:rsidRPr="00532128">
              <w:rPr>
                <w:rFonts w:ascii="Times New Roman" w:eastAsia="MS Mincho" w:hAnsi="Times New Roman"/>
                <w:color w:val="auto"/>
                <w:sz w:val="20"/>
              </w:rPr>
              <w:br/>
              <w:t xml:space="preserve">które poprawią bezpieczeństwo </w:t>
            </w:r>
            <w:r w:rsidRPr="00532128">
              <w:rPr>
                <w:rFonts w:ascii="Times New Roman" w:eastAsia="MS Mincho" w:hAnsi="Times New Roman"/>
                <w:color w:val="auto"/>
                <w:sz w:val="20"/>
              </w:rPr>
              <w:br/>
              <w:t>i jakość życia dużej liczby osób starszych</w:t>
            </w:r>
          </w:p>
        </w:tc>
        <w:tc>
          <w:tcPr>
            <w:tcW w:w="2032" w:type="dxa"/>
            <w:vMerge w:val="restart"/>
          </w:tcPr>
          <w:p w14:paraId="1DC44D52"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p w14:paraId="0ED70A80"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val="restart"/>
          </w:tcPr>
          <w:p w14:paraId="6ABA7D74"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2018-2020</w:t>
            </w:r>
          </w:p>
        </w:tc>
        <w:tc>
          <w:tcPr>
            <w:tcW w:w="5638" w:type="dxa"/>
          </w:tcPr>
          <w:p w14:paraId="0F6BCABF"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 xml:space="preserve">Liczba przyjętych rozwiązań z zakresu standaryzowanej </w:t>
            </w:r>
            <w:proofErr w:type="spellStart"/>
            <w:r w:rsidRPr="00532128">
              <w:rPr>
                <w:rFonts w:eastAsia="MS Mincho" w:cs="Times New Roman"/>
                <w:i/>
                <w:color w:val="auto"/>
                <w:sz w:val="20"/>
              </w:rPr>
              <w:t>teleopieki</w:t>
            </w:r>
            <w:proofErr w:type="spellEnd"/>
            <w:r w:rsidRPr="00532128">
              <w:rPr>
                <w:rFonts w:eastAsia="MS Mincho" w:cs="Times New Roman"/>
                <w:i/>
                <w:color w:val="auto"/>
                <w:sz w:val="20"/>
              </w:rPr>
              <w:t xml:space="preserve"> i </w:t>
            </w:r>
            <w:proofErr w:type="spellStart"/>
            <w:r w:rsidRPr="00532128">
              <w:rPr>
                <w:rFonts w:eastAsia="MS Mincho" w:cs="Times New Roman"/>
                <w:i/>
                <w:color w:val="auto"/>
                <w:sz w:val="20"/>
              </w:rPr>
              <w:t>telepomocy</w:t>
            </w:r>
            <w:proofErr w:type="spellEnd"/>
            <w:r w:rsidRPr="00532128">
              <w:rPr>
                <w:rFonts w:eastAsia="MS Mincho" w:cs="Times New Roman"/>
                <w:i/>
                <w:color w:val="auto"/>
                <w:sz w:val="20"/>
              </w:rPr>
              <w:t>, o różnych zakresach usług, dostosowywanych do potrzeb i sprawności użytkowników, które poprawią bezpieczeństwo i jakość życia dużej liczby osób starszych.</w:t>
            </w:r>
          </w:p>
        </w:tc>
      </w:tr>
      <w:tr w:rsidR="0092226B" w:rsidRPr="0092226B" w14:paraId="702318F9"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030BDDD9" w14:textId="77777777" w:rsidR="00311D18" w:rsidRPr="0092226B" w:rsidRDefault="00311D18" w:rsidP="003C1988">
            <w:pPr>
              <w:rPr>
                <w:rFonts w:cs="Times New Roman"/>
                <w:color w:val="FF0000"/>
                <w:sz w:val="20"/>
              </w:rPr>
            </w:pPr>
          </w:p>
        </w:tc>
        <w:tc>
          <w:tcPr>
            <w:tcW w:w="3594" w:type="dxa"/>
            <w:vMerge/>
          </w:tcPr>
          <w:p w14:paraId="794A72B2"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tcPr>
          <w:p w14:paraId="381EFE98"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tcPr>
          <w:p w14:paraId="1819D53A"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tcPr>
          <w:p w14:paraId="3215DAE7" w14:textId="77777777" w:rsidR="003C78EA" w:rsidRPr="00532128" w:rsidRDefault="003C78EA" w:rsidP="003C78E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 xml:space="preserve">W związku ze zmianami demograficznymi i starzeniem się społeczeństwa zwiększa się zapotrzebowanie na opiekę zdrowotną, co implikuje konieczność podnoszenia efektywności usług medycznych w skali systemowej. Odpowiedź na te wyzwania mogą stanowić innowacyjne formy opieki, obejmujące m.in. zdalne systemy monitorowania i wsparcia. </w:t>
            </w:r>
          </w:p>
          <w:p w14:paraId="0B7B98AD" w14:textId="2804E6CD" w:rsidR="003C78EA" w:rsidRPr="00532128" w:rsidRDefault="003C78EA" w:rsidP="003C78E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 xml:space="preserve">Jednym z takich działań służącym zapewnieniu osobom starszych możliwości korzystania z systemów IT jest wdrożenie programu Domowej Opieki Medycznej (DOM), czyli systemu zdalnego monitoringu pacjentów z COVID-19. Program wykorzystuje </w:t>
            </w:r>
            <w:proofErr w:type="spellStart"/>
            <w:r w:rsidRPr="00532128">
              <w:rPr>
                <w:rFonts w:eastAsia="MS Mincho" w:cs="Times New Roman"/>
                <w:color w:val="auto"/>
                <w:sz w:val="20"/>
                <w:szCs w:val="20"/>
              </w:rPr>
              <w:t>pulsoksymetr</w:t>
            </w:r>
            <w:proofErr w:type="spellEnd"/>
            <w:r w:rsidRPr="00532128">
              <w:rPr>
                <w:rFonts w:eastAsia="MS Mincho" w:cs="Times New Roman"/>
                <w:color w:val="auto"/>
                <w:sz w:val="20"/>
                <w:szCs w:val="20"/>
              </w:rPr>
              <w:t xml:space="preserve"> jako narzędzie diagnostyczne oraz aplikację </w:t>
            </w:r>
            <w:proofErr w:type="spellStart"/>
            <w:r w:rsidRPr="00532128">
              <w:rPr>
                <w:rFonts w:eastAsia="MS Mincho" w:cs="Times New Roman"/>
                <w:color w:val="auto"/>
                <w:sz w:val="20"/>
                <w:szCs w:val="20"/>
              </w:rPr>
              <w:t>PulsoCare</w:t>
            </w:r>
            <w:proofErr w:type="spellEnd"/>
            <w:r w:rsidRPr="00532128">
              <w:rPr>
                <w:rFonts w:eastAsia="MS Mincho" w:cs="Times New Roman"/>
                <w:color w:val="auto"/>
                <w:sz w:val="20"/>
                <w:szCs w:val="20"/>
              </w:rPr>
              <w:t xml:space="preserve"> do przekazywania i monitoringu danych pacjentów. Ministerstwo Zdrowia uruchomiło program DOM jesienią 2020 r., mając na względzie znaczną liczbę pacjentów, w ty</w:t>
            </w:r>
            <w:r w:rsidR="00DB69FC">
              <w:rPr>
                <w:rFonts w:eastAsia="MS Mincho" w:cs="Times New Roman"/>
                <w:color w:val="auto"/>
                <w:sz w:val="20"/>
                <w:szCs w:val="20"/>
              </w:rPr>
              <w:t>m seniorów, z </w:t>
            </w:r>
            <w:r w:rsidRPr="00532128">
              <w:rPr>
                <w:rFonts w:eastAsia="MS Mincho" w:cs="Times New Roman"/>
                <w:color w:val="auto"/>
                <w:sz w:val="20"/>
                <w:szCs w:val="20"/>
              </w:rPr>
              <w:t>potwierdzonym zakażaniem wirusem SARS-CoV-2 przebywających w izolacji domowej.</w:t>
            </w:r>
          </w:p>
          <w:p w14:paraId="1F9CE6A3" w14:textId="101B5402" w:rsidR="003C78EA" w:rsidRPr="00532128" w:rsidRDefault="003C78EA" w:rsidP="003C78E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lastRenderedPageBreak/>
              <w:t xml:space="preserve">Program jest skierowany do wszystkich osób zakażonych </w:t>
            </w:r>
            <w:proofErr w:type="spellStart"/>
            <w:r w:rsidRPr="00532128">
              <w:rPr>
                <w:rFonts w:eastAsia="MS Mincho" w:cs="Times New Roman"/>
                <w:color w:val="auto"/>
                <w:sz w:val="20"/>
                <w:szCs w:val="20"/>
              </w:rPr>
              <w:t>koronawirusem</w:t>
            </w:r>
            <w:proofErr w:type="spellEnd"/>
            <w:r w:rsidRPr="00532128">
              <w:rPr>
                <w:rFonts w:eastAsia="MS Mincho" w:cs="Times New Roman"/>
                <w:color w:val="auto"/>
                <w:sz w:val="20"/>
                <w:szCs w:val="20"/>
              </w:rPr>
              <w:t xml:space="preserve"> przebywających</w:t>
            </w:r>
            <w:r w:rsidR="00DB69FC">
              <w:rPr>
                <w:rFonts w:eastAsia="MS Mincho" w:cs="Times New Roman"/>
                <w:color w:val="auto"/>
                <w:sz w:val="20"/>
                <w:szCs w:val="20"/>
              </w:rPr>
              <w:t xml:space="preserve"> w izolacji domowej. Pacjenci z </w:t>
            </w:r>
            <w:r w:rsidRPr="00532128">
              <w:rPr>
                <w:rFonts w:eastAsia="MS Mincho" w:cs="Times New Roman"/>
                <w:color w:val="auto"/>
                <w:sz w:val="20"/>
                <w:szCs w:val="20"/>
              </w:rPr>
              <w:t>potwierdzonym zakażeniem SARS-CoV-2, którzy ukońc</w:t>
            </w:r>
            <w:r w:rsidR="00DB69FC">
              <w:rPr>
                <w:rFonts w:eastAsia="MS Mincho" w:cs="Times New Roman"/>
                <w:color w:val="auto"/>
                <w:sz w:val="20"/>
                <w:szCs w:val="20"/>
              </w:rPr>
              <w:t>zyli 55 </w:t>
            </w:r>
            <w:r w:rsidRPr="00532128">
              <w:rPr>
                <w:rFonts w:eastAsia="MS Mincho" w:cs="Times New Roman"/>
                <w:color w:val="auto"/>
                <w:sz w:val="20"/>
                <w:szCs w:val="20"/>
              </w:rPr>
              <w:t xml:space="preserve">lat, zostają automatycznie włączani do programu DOM. Pozostali pacjenci są kwalifikowani przez lekarzy </w:t>
            </w:r>
          </w:p>
          <w:p w14:paraId="6148C11F" w14:textId="09F41473" w:rsidR="003C78EA" w:rsidRPr="00532128" w:rsidRDefault="003C78EA" w:rsidP="003C78E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Dzięki DOM pacjent jest nadzorow</w:t>
            </w:r>
            <w:r w:rsidR="00DB69FC">
              <w:rPr>
                <w:rFonts w:eastAsia="MS Mincho" w:cs="Times New Roman"/>
                <w:color w:val="auto"/>
                <w:sz w:val="20"/>
                <w:szCs w:val="20"/>
              </w:rPr>
              <w:t>any przez 24 godziny na dobę, 7 </w:t>
            </w:r>
            <w:r w:rsidRPr="00532128">
              <w:rPr>
                <w:rFonts w:eastAsia="MS Mincho" w:cs="Times New Roman"/>
                <w:color w:val="auto"/>
                <w:sz w:val="20"/>
                <w:szCs w:val="20"/>
              </w:rPr>
              <w:t>dni w tygodniu.</w:t>
            </w:r>
          </w:p>
          <w:p w14:paraId="3F25AE29" w14:textId="116B752B" w:rsidR="003C78EA" w:rsidRPr="00532128" w:rsidRDefault="003C78EA" w:rsidP="003C78E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Dotychczas z programu skorzys</w:t>
            </w:r>
            <w:r w:rsidR="00DB69FC">
              <w:rPr>
                <w:rFonts w:eastAsia="MS Mincho" w:cs="Times New Roman"/>
                <w:color w:val="auto"/>
                <w:sz w:val="20"/>
                <w:szCs w:val="20"/>
              </w:rPr>
              <w:t>tało ponad 560 tys. pacjentów w </w:t>
            </w:r>
            <w:r w:rsidRPr="00532128">
              <w:rPr>
                <w:rFonts w:eastAsia="MS Mincho" w:cs="Times New Roman"/>
                <w:color w:val="auto"/>
                <w:sz w:val="20"/>
                <w:szCs w:val="20"/>
              </w:rPr>
              <w:t>wieku 55+. Program jest bezpła</w:t>
            </w:r>
            <w:r w:rsidR="00DB69FC">
              <w:rPr>
                <w:rFonts w:eastAsia="MS Mincho" w:cs="Times New Roman"/>
                <w:color w:val="auto"/>
                <w:sz w:val="20"/>
                <w:szCs w:val="20"/>
              </w:rPr>
              <w:t>tny i całkowicie finansowany ze </w:t>
            </w:r>
            <w:r w:rsidRPr="00532128">
              <w:rPr>
                <w:rFonts w:eastAsia="MS Mincho" w:cs="Times New Roman"/>
                <w:color w:val="auto"/>
                <w:sz w:val="20"/>
                <w:szCs w:val="20"/>
              </w:rPr>
              <w:t>środków własnych Ministerstwa Zdrowia.</w:t>
            </w:r>
          </w:p>
          <w:p w14:paraId="239723F4" w14:textId="77777777" w:rsidR="003C78EA" w:rsidRPr="00532128" w:rsidRDefault="003C78EA"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szCs w:val="20"/>
              </w:rPr>
            </w:pPr>
          </w:p>
          <w:p w14:paraId="784AFEEF" w14:textId="77777777" w:rsidR="00311D18" w:rsidRPr="00532128" w:rsidRDefault="00871197"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 xml:space="preserve">Rozwiązania w zakresie </w:t>
            </w:r>
            <w:proofErr w:type="spellStart"/>
            <w:r w:rsidRPr="00532128">
              <w:rPr>
                <w:rFonts w:eastAsia="MS Mincho" w:cs="Times New Roman"/>
                <w:color w:val="auto"/>
                <w:sz w:val="20"/>
                <w:szCs w:val="20"/>
              </w:rPr>
              <w:t>telemedycyny</w:t>
            </w:r>
            <w:proofErr w:type="spellEnd"/>
            <w:r w:rsidRPr="00532128">
              <w:rPr>
                <w:rFonts w:eastAsia="MS Mincho" w:cs="Times New Roman"/>
                <w:color w:val="auto"/>
                <w:sz w:val="20"/>
                <w:szCs w:val="20"/>
              </w:rPr>
              <w:t xml:space="preserve"> były stosowane w projektach PO WER i RPO, jednak jako elementy świadczenia usług społecznych, szczególnie w środowisku lokalnym pacjentów, a nie jako wystandaryzowane rozwiązania. </w:t>
            </w:r>
            <w:proofErr w:type="spellStart"/>
            <w:r w:rsidRPr="00532128">
              <w:rPr>
                <w:rFonts w:eastAsia="MS Mincho" w:cs="Times New Roman"/>
                <w:color w:val="auto"/>
                <w:sz w:val="20"/>
                <w:szCs w:val="20"/>
              </w:rPr>
              <w:t>MFiPR</w:t>
            </w:r>
            <w:proofErr w:type="spellEnd"/>
            <w:r w:rsidRPr="00532128">
              <w:rPr>
                <w:rFonts w:eastAsia="MS Mincho" w:cs="Times New Roman"/>
                <w:color w:val="auto"/>
                <w:sz w:val="20"/>
                <w:szCs w:val="20"/>
              </w:rPr>
              <w:t xml:space="preserve"> nie monitoruje jednak oddzielnie tego typu działań. Nie jest możliwe zatem podanie liczby rozwiązań z zakresu standaryzowanej </w:t>
            </w:r>
            <w:proofErr w:type="spellStart"/>
            <w:r w:rsidRPr="00532128">
              <w:rPr>
                <w:rFonts w:eastAsia="MS Mincho" w:cs="Times New Roman"/>
                <w:color w:val="auto"/>
                <w:sz w:val="20"/>
                <w:szCs w:val="20"/>
              </w:rPr>
              <w:t>teleopieki</w:t>
            </w:r>
            <w:proofErr w:type="spellEnd"/>
            <w:r w:rsidRPr="00532128">
              <w:rPr>
                <w:rFonts w:eastAsia="MS Mincho" w:cs="Times New Roman"/>
                <w:color w:val="auto"/>
                <w:sz w:val="20"/>
                <w:szCs w:val="20"/>
              </w:rPr>
              <w:t xml:space="preserve"> i </w:t>
            </w:r>
            <w:proofErr w:type="spellStart"/>
            <w:r w:rsidRPr="00532128">
              <w:rPr>
                <w:rFonts w:eastAsia="MS Mincho" w:cs="Times New Roman"/>
                <w:color w:val="auto"/>
                <w:sz w:val="20"/>
                <w:szCs w:val="20"/>
              </w:rPr>
              <w:t>telepomocy</w:t>
            </w:r>
            <w:proofErr w:type="spellEnd"/>
            <w:r w:rsidRPr="00532128">
              <w:rPr>
                <w:rFonts w:eastAsia="MS Mincho" w:cs="Times New Roman"/>
                <w:color w:val="auto"/>
                <w:sz w:val="20"/>
                <w:szCs w:val="20"/>
              </w:rPr>
              <w:t>.</w:t>
            </w:r>
          </w:p>
        </w:tc>
      </w:tr>
      <w:tr w:rsidR="0092226B" w:rsidRPr="0092226B" w14:paraId="7BBB965E"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0D81F5EE" w14:textId="77777777" w:rsidR="00311D18" w:rsidRPr="0092226B" w:rsidRDefault="00311D18" w:rsidP="003C1988">
            <w:pPr>
              <w:rPr>
                <w:rFonts w:cs="Times New Roman"/>
                <w:color w:val="FF0000"/>
                <w:sz w:val="20"/>
              </w:rPr>
            </w:pPr>
          </w:p>
        </w:tc>
        <w:tc>
          <w:tcPr>
            <w:tcW w:w="3594" w:type="dxa"/>
            <w:vMerge w:val="restart"/>
          </w:tcPr>
          <w:p w14:paraId="4DC46D79"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Zwiększenie zakresu usług społecznych użyteczności publicznej, umożliwiających wzmocnienie samodzielności osób starszych, dostarczanych przez podmioty ekonomii społecznej</w:t>
            </w:r>
          </w:p>
        </w:tc>
        <w:tc>
          <w:tcPr>
            <w:tcW w:w="2032" w:type="dxa"/>
            <w:vMerge w:val="restart"/>
          </w:tcPr>
          <w:p w14:paraId="03A895C6" w14:textId="1BE8130F" w:rsidR="00311D18" w:rsidRPr="00532128" w:rsidRDefault="00081C36"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t>Ministerstwo Rodziny i Polityki Społecznej</w:t>
            </w:r>
          </w:p>
        </w:tc>
        <w:tc>
          <w:tcPr>
            <w:tcW w:w="1500" w:type="dxa"/>
            <w:vMerge w:val="restart"/>
          </w:tcPr>
          <w:p w14:paraId="75868619"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2018-2020</w:t>
            </w:r>
          </w:p>
        </w:tc>
        <w:tc>
          <w:tcPr>
            <w:tcW w:w="5638" w:type="dxa"/>
          </w:tcPr>
          <w:p w14:paraId="44D35DA0"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podmiotów ekonomii społecznej dostarczających usługi społeczne użyteczności publicznej umożliwiające wzmocnienie samodzielności osób starszych</w:t>
            </w:r>
          </w:p>
        </w:tc>
      </w:tr>
      <w:tr w:rsidR="0092226B" w:rsidRPr="0092226B" w14:paraId="375AB14B" w14:textId="77777777" w:rsidTr="00E419A4">
        <w:trPr>
          <w:trHeight w:val="1692"/>
        </w:trPr>
        <w:tc>
          <w:tcPr>
            <w:cnfStyle w:val="001000000000" w:firstRow="0" w:lastRow="0" w:firstColumn="1" w:lastColumn="0" w:oddVBand="0" w:evenVBand="0" w:oddHBand="0" w:evenHBand="0" w:firstRowFirstColumn="0" w:firstRowLastColumn="0" w:lastRowFirstColumn="0" w:lastRowLastColumn="0"/>
            <w:tcW w:w="1232" w:type="dxa"/>
            <w:vMerge/>
          </w:tcPr>
          <w:p w14:paraId="66848CC8" w14:textId="77777777" w:rsidR="00311D18" w:rsidRPr="0092226B" w:rsidRDefault="00311D18" w:rsidP="003C1988">
            <w:pPr>
              <w:rPr>
                <w:rFonts w:cs="Times New Roman"/>
                <w:color w:val="FF0000"/>
                <w:sz w:val="20"/>
              </w:rPr>
            </w:pPr>
          </w:p>
        </w:tc>
        <w:tc>
          <w:tcPr>
            <w:tcW w:w="3594" w:type="dxa"/>
            <w:vMerge/>
          </w:tcPr>
          <w:p w14:paraId="0619BF95"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tcPr>
          <w:p w14:paraId="24D77253"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tcPr>
          <w:p w14:paraId="7849A0A8"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tcPr>
          <w:p w14:paraId="3BA54A50" w14:textId="63D60B67" w:rsidR="00B35640" w:rsidRPr="00532128" w:rsidRDefault="00B35640" w:rsidP="00B3564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532128">
              <w:rPr>
                <w:rFonts w:cs="Times New Roman"/>
                <w:color w:val="auto"/>
                <w:sz w:val="20"/>
                <w:szCs w:val="20"/>
              </w:rPr>
              <w:t>W ramach działania 2.9 Rozwó</w:t>
            </w:r>
            <w:r w:rsidR="0052221B">
              <w:rPr>
                <w:rFonts w:cs="Times New Roman"/>
                <w:color w:val="auto"/>
                <w:sz w:val="20"/>
                <w:szCs w:val="20"/>
              </w:rPr>
              <w:t>j ekonomii społecznej PO WER od </w:t>
            </w:r>
            <w:r w:rsidRPr="00532128">
              <w:rPr>
                <w:rFonts w:cs="Times New Roman"/>
                <w:color w:val="auto"/>
                <w:sz w:val="20"/>
                <w:szCs w:val="20"/>
              </w:rPr>
              <w:t>2019 r. realizowany jest projekt w</w:t>
            </w:r>
            <w:r w:rsidR="0052221B">
              <w:rPr>
                <w:rFonts w:cs="Times New Roman"/>
                <w:color w:val="auto"/>
                <w:sz w:val="20"/>
                <w:szCs w:val="20"/>
              </w:rPr>
              <w:t xml:space="preserve"> typie operacji Przygotowanie</w:t>
            </w:r>
            <w:r w:rsidR="006C2B51">
              <w:rPr>
                <w:rFonts w:cs="Times New Roman"/>
                <w:color w:val="auto"/>
                <w:sz w:val="20"/>
                <w:szCs w:val="20"/>
              </w:rPr>
              <w:t xml:space="preserve"> </w:t>
            </w:r>
            <w:r w:rsidR="00E419A4">
              <w:rPr>
                <w:rFonts w:cs="Times New Roman"/>
                <w:color w:val="auto"/>
                <w:sz w:val="20"/>
                <w:szCs w:val="20"/>
              </w:rPr>
              <w:t xml:space="preserve">i </w:t>
            </w:r>
            <w:r w:rsidRPr="00532128">
              <w:rPr>
                <w:rFonts w:cs="Times New Roman"/>
                <w:color w:val="auto"/>
                <w:sz w:val="20"/>
                <w:szCs w:val="20"/>
              </w:rPr>
              <w:t>w</w:t>
            </w:r>
            <w:r w:rsidR="00E419A4">
              <w:rPr>
                <w:rFonts w:cs="Times New Roman"/>
                <w:color w:val="auto"/>
                <w:sz w:val="20"/>
                <w:szCs w:val="20"/>
              </w:rPr>
              <w:t xml:space="preserve">drożenie modeli przedsiębiorstw </w:t>
            </w:r>
            <w:r w:rsidRPr="00532128">
              <w:rPr>
                <w:rFonts w:cs="Times New Roman"/>
                <w:color w:val="auto"/>
                <w:sz w:val="20"/>
                <w:szCs w:val="20"/>
              </w:rPr>
              <w:t>społecznych,</w:t>
            </w:r>
            <w:r w:rsidR="0052221B">
              <w:rPr>
                <w:rFonts w:cs="Times New Roman"/>
                <w:color w:val="auto"/>
                <w:sz w:val="20"/>
                <w:szCs w:val="20"/>
              </w:rPr>
              <w:t xml:space="preserve"> </w:t>
            </w:r>
            <w:r w:rsidR="00E419A4">
              <w:rPr>
                <w:rFonts w:cs="Times New Roman"/>
                <w:color w:val="auto"/>
                <w:sz w:val="20"/>
                <w:szCs w:val="20"/>
              </w:rPr>
              <w:t xml:space="preserve">                                             m. in. o </w:t>
            </w:r>
            <w:r w:rsidRPr="00532128">
              <w:rPr>
                <w:rFonts w:cs="Times New Roman"/>
                <w:color w:val="auto"/>
                <w:sz w:val="20"/>
                <w:szCs w:val="20"/>
              </w:rPr>
              <w:t xml:space="preserve">charakterze usługowym, świadczących tzw. „wiązki” usług społecznych użyteczności publicznej, kierowanych w szczególności w zindywidualizowany i kompleksowy sposób do osób niepełnosprawnych i niesamodzielnych oraz ich rodzin, w tym dla rodzin posiadających dzieci z niepełnosprawnością i realizujących zadania użyteczności publicznej w zakresie rozwoju lokalnego. </w:t>
            </w:r>
            <w:r w:rsidR="00E419A4">
              <w:rPr>
                <w:rFonts w:cs="Times New Roman"/>
                <w:color w:val="auto"/>
                <w:sz w:val="20"/>
                <w:szCs w:val="20"/>
              </w:rPr>
              <w:t xml:space="preserve">               </w:t>
            </w:r>
            <w:r w:rsidRPr="00532128">
              <w:rPr>
                <w:rFonts w:cs="Times New Roman"/>
                <w:color w:val="auto"/>
                <w:sz w:val="20"/>
                <w:szCs w:val="20"/>
              </w:rPr>
              <w:t xml:space="preserve">W ramach projektu zostaną wypracowane i wdrożone nowe rozwiązania w postaci opracowania i wdrożenia 5 modeli przedsiębiorstw społecznych w zakresie świadczenia usług na rzecz osób zagrożonych wykluczeniem społecznych. W ramach projektu powstaną: </w:t>
            </w:r>
          </w:p>
          <w:p w14:paraId="4F20AD83" w14:textId="2DE57F1A" w:rsidR="00B35640" w:rsidRPr="00532128" w:rsidRDefault="00E419A4" w:rsidP="00E419A4">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Pr>
                <w:rFonts w:eastAsia="MS Mincho" w:cs="Times New Roman"/>
                <w:bCs/>
                <w:color w:val="auto"/>
                <w:sz w:val="20"/>
              </w:rPr>
              <w:lastRenderedPageBreak/>
              <w:t>• </w:t>
            </w:r>
            <w:r w:rsidR="00B35640" w:rsidRPr="00532128">
              <w:rPr>
                <w:rFonts w:cs="Times New Roman"/>
                <w:color w:val="auto"/>
                <w:sz w:val="20"/>
                <w:szCs w:val="20"/>
              </w:rPr>
              <w:t>4 modele przedsiębiorstw społecznych o charakterze usługowym, realizujące tzw. wiązki usług skierowane do osób z niepełnosprawnościami i osób niesamodzielnych</w:t>
            </w:r>
            <w:r>
              <w:rPr>
                <w:rFonts w:cs="Times New Roman"/>
                <w:color w:val="auto"/>
                <w:sz w:val="20"/>
                <w:szCs w:val="20"/>
              </w:rPr>
              <w:t>, osób w wieku 60+ i ich rodzin;</w:t>
            </w:r>
          </w:p>
          <w:p w14:paraId="1C9265DE" w14:textId="7C9D2310" w:rsidR="00311D18" w:rsidRPr="00E419A4" w:rsidRDefault="00E419A4" w:rsidP="00B35640">
            <w:pP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Pr>
                <w:rFonts w:eastAsia="MS Mincho" w:cs="Times New Roman"/>
                <w:bCs/>
                <w:color w:val="auto"/>
                <w:sz w:val="20"/>
              </w:rPr>
              <w:t>• </w:t>
            </w:r>
            <w:r w:rsidR="00B35640" w:rsidRPr="00532128">
              <w:rPr>
                <w:rFonts w:cs="Times New Roman"/>
                <w:color w:val="auto"/>
                <w:sz w:val="20"/>
                <w:szCs w:val="20"/>
              </w:rPr>
              <w:t>1 model przedsiębiorstwa społecznego realizującego zadania użyteczności publiczne</w:t>
            </w:r>
            <w:r>
              <w:rPr>
                <w:rFonts w:cs="Times New Roman"/>
                <w:color w:val="auto"/>
                <w:sz w:val="20"/>
                <w:szCs w:val="20"/>
              </w:rPr>
              <w:t>j w zakresie rozwoju lokalnego.</w:t>
            </w:r>
          </w:p>
        </w:tc>
      </w:tr>
      <w:tr w:rsidR="0092226B" w:rsidRPr="0092226B" w14:paraId="0789DDDB" w14:textId="77777777" w:rsidTr="00E419A4">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232" w:type="dxa"/>
            <w:vMerge/>
          </w:tcPr>
          <w:p w14:paraId="2D505434" w14:textId="77777777" w:rsidR="00311D18" w:rsidRPr="00532128" w:rsidRDefault="00311D18" w:rsidP="003C1988">
            <w:pPr>
              <w:rPr>
                <w:rFonts w:cs="Times New Roman"/>
                <w:color w:val="auto"/>
                <w:sz w:val="20"/>
              </w:rPr>
            </w:pPr>
          </w:p>
        </w:tc>
        <w:tc>
          <w:tcPr>
            <w:tcW w:w="3594" w:type="dxa"/>
            <w:vMerge w:val="restart"/>
          </w:tcPr>
          <w:p w14:paraId="7DBB0D14"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Wspieranie rozwoju sieci wypożyczalni sprzętu pomocniczego dla niesamodzielnych osób starszych</w:t>
            </w:r>
          </w:p>
        </w:tc>
        <w:tc>
          <w:tcPr>
            <w:tcW w:w="2032" w:type="dxa"/>
            <w:vMerge w:val="restart"/>
          </w:tcPr>
          <w:p w14:paraId="0BF1AF55" w14:textId="77777777" w:rsidR="00311D18" w:rsidRPr="00532128" w:rsidRDefault="00311D18" w:rsidP="00081C36">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Narodowy Fundusz Zdrowia, Państwowy Fundusz Rehabilitacji Osób Niepełnosprawnych</w:t>
            </w:r>
          </w:p>
          <w:p w14:paraId="51DFF51E" w14:textId="77777777" w:rsidR="00311D18" w:rsidRPr="00532128" w:rsidRDefault="00311D18" w:rsidP="00081C36">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val="restart"/>
          </w:tcPr>
          <w:p w14:paraId="17CB644E"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Działanie ciągłe</w:t>
            </w:r>
            <w:r w:rsidRPr="00532128">
              <w:rPr>
                <w:rFonts w:ascii="Times New Roman" w:hAnsi="Times New Roman"/>
                <w:color w:val="auto"/>
                <w:sz w:val="20"/>
              </w:rPr>
              <w:t>*</w:t>
            </w:r>
          </w:p>
        </w:tc>
        <w:tc>
          <w:tcPr>
            <w:tcW w:w="5638" w:type="dxa"/>
          </w:tcPr>
          <w:p w14:paraId="70D3C718"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funkcjonujących wypożyczalni sprzętu pomocniczego dla niepełnosprawnych.</w:t>
            </w:r>
          </w:p>
        </w:tc>
      </w:tr>
      <w:tr w:rsidR="0092226B" w:rsidRPr="0092226B" w14:paraId="40233A16"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4F10D108" w14:textId="77777777" w:rsidR="00311D18" w:rsidRPr="00532128" w:rsidRDefault="00311D18" w:rsidP="003C1988">
            <w:pPr>
              <w:rPr>
                <w:rFonts w:cs="Times New Roman"/>
                <w:color w:val="auto"/>
                <w:sz w:val="20"/>
              </w:rPr>
            </w:pPr>
          </w:p>
        </w:tc>
        <w:tc>
          <w:tcPr>
            <w:tcW w:w="3594" w:type="dxa"/>
            <w:vMerge/>
          </w:tcPr>
          <w:p w14:paraId="532FFBC4"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tcPr>
          <w:p w14:paraId="72DA8290"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tcPr>
          <w:p w14:paraId="43CFD1E3"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tcPr>
          <w:p w14:paraId="16B3C9CF" w14:textId="54E911A3" w:rsidR="0023382A" w:rsidRPr="00532128" w:rsidRDefault="0023382A" w:rsidP="0023382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Narodowy Fundusz Zdrowia  nie posiada danych na temat liczby funkcjonujących wy</w:t>
            </w:r>
            <w:r w:rsidR="00E419A4">
              <w:rPr>
                <w:rFonts w:eastAsia="MS Mincho" w:cs="Times New Roman"/>
                <w:color w:val="auto"/>
                <w:sz w:val="20"/>
                <w:szCs w:val="20"/>
              </w:rPr>
              <w:t xml:space="preserve">pożyczalni sprzętu pomocniczego </w:t>
            </w:r>
            <w:r w:rsidRPr="00532128">
              <w:rPr>
                <w:rFonts w:eastAsia="MS Mincho" w:cs="Times New Roman"/>
                <w:color w:val="auto"/>
                <w:sz w:val="20"/>
                <w:szCs w:val="20"/>
              </w:rPr>
              <w:t>dla niepełnosprawnych. Na podstawie przepisów określonych w art. 159 ust. 2 ustawy z dnia 27 sierpnia 2004 r. o świadczeniach opieki zdrowotnej finansowanych ze środków publicznych</w:t>
            </w:r>
            <w:r w:rsidR="00ED479E">
              <w:rPr>
                <w:rFonts w:eastAsia="MS Mincho" w:cs="Times New Roman"/>
                <w:color w:val="auto"/>
                <w:sz w:val="20"/>
                <w:szCs w:val="20"/>
              </w:rPr>
              <w:t>.</w:t>
            </w:r>
            <w:r w:rsidRPr="00532128">
              <w:rPr>
                <w:rFonts w:eastAsia="MS Mincho" w:cs="Times New Roman"/>
                <w:color w:val="auto"/>
                <w:sz w:val="20"/>
                <w:szCs w:val="20"/>
              </w:rPr>
              <w:t xml:space="preserve"> </w:t>
            </w:r>
          </w:p>
          <w:p w14:paraId="0A51C399" w14:textId="77777777" w:rsidR="0023382A" w:rsidRPr="00532128" w:rsidRDefault="0023382A" w:rsidP="0023382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 xml:space="preserve">NFZ zawiera umowy ze świadczeniodawcami realizującymi zlecenia na zaopatrzenie w wyroby medyczne. Są to sklepy medyczne, apteki. </w:t>
            </w:r>
          </w:p>
          <w:p w14:paraId="7DC97D4D" w14:textId="77777777" w:rsidR="0023382A" w:rsidRPr="00532128" w:rsidRDefault="0023382A" w:rsidP="00B35640">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Liczba funkcjonujących punktów doradztwa w obszarze pozyskiwania i korzystania ze sprzętu wspomagającego funkcjonowanie i zwiększającego samodzielność niesamodzielnych osób starszych</w:t>
            </w:r>
          </w:p>
          <w:p w14:paraId="5C18D7FF" w14:textId="1B8A4008" w:rsidR="00C40C82" w:rsidRPr="00E419A4" w:rsidRDefault="00B35640" w:rsidP="00B35640">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sz w:val="20"/>
                <w:szCs w:val="20"/>
              </w:rPr>
              <w:t>Działania dotyczące przygotowania i tworzenia wypożyczalni sprzętu rehabilitacyjnego, pielęgnacyjnego i wspomagającego, połączonego z doradztwem w doborze sprzętu, treningami z zakresu samoobsługi wypożyczonego sprzętu oraz przygotowaniem warunków do opieki domowej realizowane są m.in. w projektach współfinansowanych z EFS w Region</w:t>
            </w:r>
            <w:r w:rsidR="00E419A4">
              <w:rPr>
                <w:rFonts w:eastAsia="MS Mincho" w:cs="Times New Roman"/>
                <w:color w:val="auto"/>
                <w:sz w:val="20"/>
                <w:szCs w:val="20"/>
              </w:rPr>
              <w:t>alnych Programach Operacyjnych.</w:t>
            </w:r>
          </w:p>
        </w:tc>
      </w:tr>
      <w:tr w:rsidR="0092226B" w:rsidRPr="0092226B" w14:paraId="000C2F2C"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22783FC7" w14:textId="77777777" w:rsidR="00311D18" w:rsidRPr="00532128" w:rsidRDefault="00311D18" w:rsidP="003C1988">
            <w:pPr>
              <w:rPr>
                <w:rFonts w:cs="Times New Roman"/>
                <w:color w:val="auto"/>
                <w:sz w:val="20"/>
              </w:rPr>
            </w:pPr>
          </w:p>
        </w:tc>
        <w:tc>
          <w:tcPr>
            <w:tcW w:w="3594" w:type="dxa"/>
            <w:vMerge w:val="restart"/>
          </w:tcPr>
          <w:p w14:paraId="7A336A57"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Kształcenie terapeutów zajęciowych</w:t>
            </w:r>
          </w:p>
        </w:tc>
        <w:tc>
          <w:tcPr>
            <w:tcW w:w="2032" w:type="dxa"/>
            <w:vMerge w:val="restart"/>
          </w:tcPr>
          <w:p w14:paraId="21837C86"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tc>
        <w:tc>
          <w:tcPr>
            <w:tcW w:w="1500" w:type="dxa"/>
            <w:vMerge w:val="restart"/>
          </w:tcPr>
          <w:p w14:paraId="4C4CF054"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Działanie ciągłe</w:t>
            </w:r>
            <w:r w:rsidRPr="00532128">
              <w:rPr>
                <w:rFonts w:ascii="Times New Roman" w:hAnsi="Times New Roman"/>
                <w:color w:val="auto"/>
                <w:sz w:val="20"/>
              </w:rPr>
              <w:t>*</w:t>
            </w:r>
          </w:p>
        </w:tc>
        <w:tc>
          <w:tcPr>
            <w:tcW w:w="5638" w:type="dxa"/>
          </w:tcPr>
          <w:p w14:paraId="3EACA394"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hAnsi="Times New Roman"/>
                <w:i/>
                <w:color w:val="auto"/>
                <w:sz w:val="20"/>
              </w:rPr>
            </w:pPr>
            <w:r w:rsidRPr="00532128">
              <w:rPr>
                <w:rFonts w:ascii="Times New Roman" w:hAnsi="Times New Roman"/>
                <w:i/>
                <w:color w:val="auto"/>
                <w:sz w:val="20"/>
              </w:rPr>
              <w:t>Procent pozytywnie zaopiniowanych wniosków szkół niepublicznych ubiegających się o uprawnienia szkoły publicznej</w:t>
            </w:r>
          </w:p>
        </w:tc>
      </w:tr>
      <w:tr w:rsidR="0092226B" w:rsidRPr="0092226B" w14:paraId="7B44CABE"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6E7A6C9E" w14:textId="77777777" w:rsidR="00311D18" w:rsidRPr="00532128" w:rsidRDefault="00311D18" w:rsidP="003C1988">
            <w:pPr>
              <w:rPr>
                <w:rFonts w:cs="Times New Roman"/>
                <w:color w:val="auto"/>
                <w:sz w:val="20"/>
              </w:rPr>
            </w:pPr>
          </w:p>
        </w:tc>
        <w:tc>
          <w:tcPr>
            <w:tcW w:w="3594" w:type="dxa"/>
            <w:vMerge/>
          </w:tcPr>
          <w:p w14:paraId="69A5EE18"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tcPr>
          <w:p w14:paraId="1DAC1092"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tcPr>
          <w:p w14:paraId="6D04828F"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tcPr>
          <w:p w14:paraId="611199C3" w14:textId="77777777" w:rsidR="00311D18" w:rsidRPr="00532128" w:rsidRDefault="00301065"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99% szkół, które wystąpiły z wnioskiem otrzymało pozytywną opinię.</w:t>
            </w:r>
          </w:p>
        </w:tc>
      </w:tr>
      <w:tr w:rsidR="0092226B" w:rsidRPr="0092226B" w14:paraId="525BBF43"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val="restart"/>
            <w:textDirection w:val="btLr"/>
          </w:tcPr>
          <w:p w14:paraId="1922D35C" w14:textId="77777777" w:rsidR="00311D18" w:rsidRPr="00532128" w:rsidRDefault="00311D18" w:rsidP="003C1988">
            <w:pPr>
              <w:pStyle w:val="Kolorowalistaakcent11"/>
              <w:ind w:left="113" w:right="113"/>
              <w:rPr>
                <w:rFonts w:ascii="Times New Roman" w:eastAsia="MS Mincho" w:hAnsi="Times New Roman"/>
                <w:b w:val="0"/>
                <w:color w:val="auto"/>
                <w:sz w:val="20"/>
              </w:rPr>
            </w:pPr>
            <w:r w:rsidRPr="00532128">
              <w:rPr>
                <w:rFonts w:ascii="Times New Roman" w:eastAsia="MS Mincho" w:hAnsi="Times New Roman"/>
                <w:color w:val="auto"/>
                <w:sz w:val="20"/>
              </w:rPr>
              <w:lastRenderedPageBreak/>
              <w:t>Obszar II</w:t>
            </w:r>
          </w:p>
        </w:tc>
        <w:tc>
          <w:tcPr>
            <w:tcW w:w="3594" w:type="dxa"/>
            <w:vMerge w:val="restart"/>
          </w:tcPr>
          <w:p w14:paraId="68133F78" w14:textId="77777777" w:rsidR="00311D18" w:rsidRPr="00532128" w:rsidRDefault="00D139AA"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Opracowanie programu działań skierowanych do osób starszych chorych na choroby otępienne </w:t>
            </w:r>
            <w:r w:rsidR="00311D18" w:rsidRPr="00532128">
              <w:rPr>
                <w:rFonts w:ascii="Times New Roman" w:eastAsia="MS Mincho" w:hAnsi="Times New Roman"/>
                <w:color w:val="auto"/>
                <w:sz w:val="20"/>
              </w:rPr>
              <w:t>kształcenia lekarzy specjalistów w dziedzinie geriatrii</w:t>
            </w:r>
          </w:p>
        </w:tc>
        <w:tc>
          <w:tcPr>
            <w:tcW w:w="2032" w:type="dxa"/>
            <w:vMerge w:val="restart"/>
          </w:tcPr>
          <w:p w14:paraId="4576D0A2"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tc>
        <w:tc>
          <w:tcPr>
            <w:tcW w:w="1500" w:type="dxa"/>
            <w:vMerge w:val="restart"/>
          </w:tcPr>
          <w:p w14:paraId="7A2EC238" w14:textId="77777777" w:rsidR="00311D18" w:rsidRPr="00532128" w:rsidRDefault="00D139AA"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2018-2025</w:t>
            </w:r>
          </w:p>
        </w:tc>
        <w:tc>
          <w:tcPr>
            <w:tcW w:w="5638" w:type="dxa"/>
          </w:tcPr>
          <w:p w14:paraId="6EDDE9B5" w14:textId="77777777" w:rsidR="00311D18" w:rsidRPr="00532128" w:rsidRDefault="00D139AA"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Opracowanie programu działań skierowanych do osób starszych chorych na choroby otępienne</w:t>
            </w:r>
          </w:p>
        </w:tc>
      </w:tr>
      <w:tr w:rsidR="0092226B" w:rsidRPr="0092226B" w14:paraId="09923833" w14:textId="77777777" w:rsidTr="002D4784">
        <w:trPr>
          <w:trHeight w:val="680"/>
        </w:trPr>
        <w:tc>
          <w:tcPr>
            <w:cnfStyle w:val="001000000000" w:firstRow="0" w:lastRow="0" w:firstColumn="1" w:lastColumn="0" w:oddVBand="0" w:evenVBand="0" w:oddHBand="0" w:evenHBand="0" w:firstRowFirstColumn="0" w:firstRowLastColumn="0" w:lastRowFirstColumn="0" w:lastRowLastColumn="0"/>
            <w:tcW w:w="1232" w:type="dxa"/>
            <w:vMerge/>
          </w:tcPr>
          <w:p w14:paraId="24C54695" w14:textId="77777777" w:rsidR="00311D18" w:rsidRPr="0092226B" w:rsidRDefault="00311D18" w:rsidP="003C1988">
            <w:pPr>
              <w:rPr>
                <w:rFonts w:cs="Times New Roman"/>
                <w:color w:val="FF0000"/>
                <w:sz w:val="20"/>
              </w:rPr>
            </w:pPr>
          </w:p>
        </w:tc>
        <w:tc>
          <w:tcPr>
            <w:tcW w:w="3594" w:type="dxa"/>
            <w:vMerge/>
          </w:tcPr>
          <w:p w14:paraId="3F31826B"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tcPr>
          <w:p w14:paraId="696516DD"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tcPr>
          <w:p w14:paraId="662B0DE0"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tcPr>
          <w:p w14:paraId="1CC0324E" w14:textId="7184786B" w:rsidR="00D139AA" w:rsidRPr="00532128" w:rsidRDefault="00D139AA" w:rsidP="00D139A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Ministerstwo Zdrowia dostrzeg</w:t>
            </w:r>
            <w:r w:rsidR="00E419A4">
              <w:rPr>
                <w:rFonts w:eastAsia="MS Mincho" w:cs="Times New Roman"/>
                <w:color w:val="auto"/>
                <w:sz w:val="20"/>
              </w:rPr>
              <w:t>ając szczególne potrzeby osób z </w:t>
            </w:r>
            <w:r w:rsidRPr="00532128">
              <w:rPr>
                <w:rFonts w:eastAsia="MS Mincho" w:cs="Times New Roman"/>
                <w:color w:val="auto"/>
                <w:sz w:val="20"/>
              </w:rPr>
              <w:t xml:space="preserve">demencją, zadeklarowało opracowanie dokumentu wyznaczającego kierunki działań prowadzonych na rzecz tej grupy pacjentów i ich bliskich. Ministerstwo Zdrowia w 2020  r. podjęło w tym zakresie współpracę z Światową Organizacją Zdrowia, w tym m.in. rozpoczęto proces przekazywania danych do Global </w:t>
            </w:r>
            <w:proofErr w:type="spellStart"/>
            <w:r w:rsidRPr="00532128">
              <w:rPr>
                <w:rFonts w:eastAsia="MS Mincho" w:cs="Times New Roman"/>
                <w:color w:val="auto"/>
                <w:sz w:val="20"/>
              </w:rPr>
              <w:t>Dementia</w:t>
            </w:r>
            <w:proofErr w:type="spellEnd"/>
            <w:r w:rsidRPr="00532128">
              <w:rPr>
                <w:rFonts w:eastAsia="MS Mincho" w:cs="Times New Roman"/>
                <w:color w:val="auto"/>
                <w:sz w:val="20"/>
              </w:rPr>
              <w:t xml:space="preserve"> </w:t>
            </w:r>
            <w:proofErr w:type="spellStart"/>
            <w:r w:rsidRPr="00532128">
              <w:rPr>
                <w:rFonts w:eastAsia="MS Mincho" w:cs="Times New Roman"/>
                <w:color w:val="auto"/>
                <w:sz w:val="20"/>
              </w:rPr>
              <w:t>Observatory</w:t>
            </w:r>
            <w:proofErr w:type="spellEnd"/>
            <w:r w:rsidRPr="00532128">
              <w:rPr>
                <w:rFonts w:eastAsia="MS Mincho" w:cs="Times New Roman"/>
                <w:color w:val="auto"/>
                <w:sz w:val="20"/>
              </w:rPr>
              <w:t xml:space="preserve"> (GDO) i uczestniczono w spotkaniach organizowanych przez Alzheimer Europe (ALZ EUR) – przy udziale WHO – mających na celu prezentację działań organizacji międzynarodowych i poszczególnych krajów.</w:t>
            </w:r>
          </w:p>
          <w:p w14:paraId="14568B58" w14:textId="77777777" w:rsidR="00D139AA" w:rsidRPr="00532128" w:rsidRDefault="00D139AA" w:rsidP="00D139A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WHO wspiera kraje, które postanowiły wdrożyć plany dedykowane osobom z demencją poprzez przygotowanie oraz udostępnianie m.in.:</w:t>
            </w:r>
          </w:p>
          <w:p w14:paraId="572C5A80" w14:textId="62FA80C0" w:rsidR="00D139AA" w:rsidRPr="00532128" w:rsidRDefault="00E419A4" w:rsidP="00D139A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D139AA" w:rsidRPr="00532128">
              <w:rPr>
                <w:rFonts w:eastAsia="MS Mincho" w:cs="Times New Roman"/>
                <w:color w:val="auto"/>
                <w:sz w:val="20"/>
              </w:rPr>
              <w:t xml:space="preserve">wytycznych obejmujących informacje pomocne w procesie przygotowywania dokumentów krajowych, </w:t>
            </w:r>
          </w:p>
          <w:p w14:paraId="5B98CECB" w14:textId="2BA4F5C4" w:rsidR="00D139AA" w:rsidRPr="00532128" w:rsidRDefault="00E419A4" w:rsidP="00D139A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D139AA" w:rsidRPr="00532128">
              <w:rPr>
                <w:rFonts w:eastAsia="MS Mincho" w:cs="Times New Roman"/>
                <w:color w:val="auto"/>
                <w:sz w:val="20"/>
              </w:rPr>
              <w:t>platformy wymiany wiedzy, zawierającej dane na temat kluczowych inicjatyw wspierających wdrażanie globalnego planu działania na rzecz demencji.</w:t>
            </w:r>
          </w:p>
          <w:p w14:paraId="104229F9" w14:textId="59DBDF8C" w:rsidR="00D139AA" w:rsidRPr="00532128" w:rsidRDefault="00D139AA" w:rsidP="00D139A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WHO prowadzi także bieżący monitoring stanu prac nad opracowywaniem krajowych strategii wobec demencji, reagując </w:t>
            </w:r>
            <w:r w:rsidR="00E419A4">
              <w:rPr>
                <w:rFonts w:eastAsia="MS Mincho" w:cs="Times New Roman"/>
                <w:color w:val="auto"/>
                <w:sz w:val="20"/>
              </w:rPr>
              <w:t xml:space="preserve">            </w:t>
            </w:r>
            <w:r w:rsidRPr="00532128">
              <w:rPr>
                <w:rFonts w:eastAsia="MS Mincho" w:cs="Times New Roman"/>
                <w:color w:val="auto"/>
                <w:sz w:val="20"/>
              </w:rPr>
              <w:t xml:space="preserve">na wszelkie wątpliwości oraz problemy pojawiające się w trakcie tego procesu. </w:t>
            </w:r>
          </w:p>
          <w:p w14:paraId="55510255" w14:textId="692998A3" w:rsidR="00D139AA" w:rsidRPr="00532128" w:rsidRDefault="00D139AA" w:rsidP="00D139A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Opracowanie kompleksowego programu, który w jak największym stopniu odpowiadał będzie na obecn</w:t>
            </w:r>
            <w:r w:rsidR="00E419A4">
              <w:rPr>
                <w:rFonts w:eastAsia="MS Mincho" w:cs="Times New Roman"/>
                <w:color w:val="auto"/>
                <w:sz w:val="20"/>
              </w:rPr>
              <w:t>e oraz przyszłe potrzeby osób z </w:t>
            </w:r>
            <w:r w:rsidRPr="00532128">
              <w:rPr>
                <w:rFonts w:eastAsia="MS Mincho" w:cs="Times New Roman"/>
                <w:color w:val="auto"/>
                <w:sz w:val="20"/>
              </w:rPr>
              <w:t xml:space="preserve">demencją, w tym z chorobą Alzheimera, wymaga analizy aktualnej sytuacji tychże osób oraz zgromadzenia informacji na temat dotychczas realizowanych inicjatyw, a także możliwych źródeł finansowania poszczególnych działań. </w:t>
            </w:r>
          </w:p>
          <w:p w14:paraId="1FD35EA8" w14:textId="21A8F69B" w:rsidR="00D139AA" w:rsidRPr="00532128" w:rsidRDefault="00D139AA" w:rsidP="00D139A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Na podstawie przekazanych informacji zostanie opracowana diagnoza sytuacji osób z demencją w Polsce i kierunki działań. Pomocne podczas analizy rozpowszechnienia chorób otępiennych </w:t>
            </w:r>
            <w:r w:rsidRPr="00532128">
              <w:rPr>
                <w:rFonts w:eastAsia="MS Mincho" w:cs="Times New Roman"/>
                <w:color w:val="auto"/>
                <w:sz w:val="20"/>
              </w:rPr>
              <w:lastRenderedPageBreak/>
              <w:t>w</w:t>
            </w:r>
            <w:r w:rsidR="00E419A4">
              <w:rPr>
                <w:rFonts w:eastAsia="MS Mincho" w:cs="Times New Roman"/>
                <w:color w:val="auto"/>
                <w:sz w:val="20"/>
              </w:rPr>
              <w:t> </w:t>
            </w:r>
            <w:r w:rsidRPr="00532128">
              <w:rPr>
                <w:rFonts w:eastAsia="MS Mincho" w:cs="Times New Roman"/>
                <w:color w:val="auto"/>
                <w:sz w:val="20"/>
              </w:rPr>
              <w:t xml:space="preserve">Polsce z pewnością będą również wyniki badania PolSenior2 dostępne w II połowie 2021 r. </w:t>
            </w:r>
          </w:p>
          <w:p w14:paraId="0AE31C77" w14:textId="2A830855" w:rsidR="00D139AA" w:rsidRPr="00532128" w:rsidRDefault="00D139AA" w:rsidP="00D139A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Ze względu na trwającą epidemię wirusa SARS-CoV-2, prace nad opracowaniem diagnozy ww. pla</w:t>
            </w:r>
            <w:r w:rsidR="00E419A4">
              <w:rPr>
                <w:rFonts w:eastAsia="MS Mincho" w:cs="Times New Roman"/>
                <w:color w:val="auto"/>
                <w:sz w:val="20"/>
              </w:rPr>
              <w:t>nu musiały zostać przesunięte w </w:t>
            </w:r>
            <w:r w:rsidRPr="00532128">
              <w:rPr>
                <w:rFonts w:eastAsia="MS Mincho" w:cs="Times New Roman"/>
                <w:color w:val="auto"/>
                <w:sz w:val="20"/>
              </w:rPr>
              <w:t>czasie.</w:t>
            </w:r>
          </w:p>
          <w:p w14:paraId="45C7B502" w14:textId="77777777" w:rsidR="00D139AA" w:rsidRPr="00532128" w:rsidRDefault="00D139AA" w:rsidP="00D139A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Tymczasem Ministerstwo Zdrowia planuje na najbliższe lata działania obejmujące wsparcie dla osób chorych i ich bliskich (możliwe wykorzystanie środków Narodowego Programu Zdrowia i funduszy unijnych z perspektywy 2021-2027):</w:t>
            </w:r>
          </w:p>
          <w:p w14:paraId="1977D4E9" w14:textId="7185D0E0" w:rsidR="00D139AA" w:rsidRPr="00532128" w:rsidRDefault="00E419A4" w:rsidP="00D139A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D139AA" w:rsidRPr="00532128">
              <w:rPr>
                <w:rFonts w:eastAsia="MS Mincho" w:cs="Times New Roman"/>
                <w:color w:val="auto"/>
                <w:sz w:val="20"/>
              </w:rPr>
              <w:t>wsparcie psychologiczne dla opiekunów osób z demencją (grupy wsparcia terapeutycznego);</w:t>
            </w:r>
          </w:p>
          <w:p w14:paraId="252FB78D" w14:textId="1363A7DF" w:rsidR="00D139AA" w:rsidRPr="00532128" w:rsidRDefault="00E419A4" w:rsidP="00D139A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D139AA" w:rsidRPr="00532128">
              <w:rPr>
                <w:rFonts w:eastAsia="MS Mincho" w:cs="Times New Roman"/>
                <w:color w:val="auto"/>
                <w:sz w:val="20"/>
              </w:rPr>
              <w:t>opracowanie standardu i pilotaż dziennych centrów wsparcia pamięci (wstępne badania przesiewowe dla osób z objawami zaburzeń otępiennych, wsparcie dla osób, które otrzymały diagnozę dot. demencji i ich bliskich, informacje o przebiegu choroby, dzienna opieka medyczna dla osób z chorobą Alzheimera lub innymi zaburzeniami otępiennymi oraz innymi przewlekłymi chorobami mózgu skutkującymi zaburzeniami pamięci; edukacja i wsparcie psychologiczne opiekunów n</w:t>
            </w:r>
            <w:r>
              <w:rPr>
                <w:rFonts w:eastAsia="MS Mincho" w:cs="Times New Roman"/>
                <w:color w:val="auto"/>
                <w:sz w:val="20"/>
              </w:rPr>
              <w:t>ieformalnych; punkt informacji                    n</w:t>
            </w:r>
            <w:r w:rsidR="00D139AA" w:rsidRPr="00532128">
              <w:rPr>
                <w:rFonts w:eastAsia="MS Mincho" w:cs="Times New Roman"/>
                <w:color w:val="auto"/>
                <w:sz w:val="20"/>
              </w:rPr>
              <w:t>a temat dostępnego wsparcia ze strony pomocy społecznej);</w:t>
            </w:r>
          </w:p>
          <w:p w14:paraId="32A16BF3" w14:textId="767688A3" w:rsidR="00D139AA" w:rsidRPr="00532128" w:rsidRDefault="00E419A4" w:rsidP="00D139A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D139AA" w:rsidRPr="00532128">
              <w:rPr>
                <w:rFonts w:eastAsia="MS Mincho" w:cs="Times New Roman"/>
                <w:color w:val="auto"/>
                <w:sz w:val="20"/>
              </w:rPr>
              <w:t>kampania informacyjna kierowana do ogółu społeczeństwa i edukacja przedstawicieli służb publicznych dot. m.in. objawów chorób otępiennych, zasad komunikacji i wsparcia dla osób starszych m.in. z demencją;</w:t>
            </w:r>
          </w:p>
          <w:p w14:paraId="75B706F1" w14:textId="7159B710" w:rsidR="00311D18" w:rsidRPr="00532128" w:rsidRDefault="00E419A4" w:rsidP="00D139AA">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Pr>
                <w:rFonts w:eastAsia="MS Mincho" w:cs="Times New Roman"/>
                <w:color w:val="auto"/>
                <w:sz w:val="20"/>
              </w:rPr>
              <w:t>• </w:t>
            </w:r>
            <w:r w:rsidR="00D139AA" w:rsidRPr="00532128">
              <w:rPr>
                <w:rFonts w:eastAsia="MS Mincho" w:cs="Times New Roman"/>
                <w:color w:val="auto"/>
                <w:sz w:val="20"/>
              </w:rPr>
              <w:t>wsparcie wczesnej diagnostyki (przygotowanie POZ).</w:t>
            </w:r>
          </w:p>
        </w:tc>
      </w:tr>
      <w:tr w:rsidR="0092226B" w:rsidRPr="0092226B" w14:paraId="00FF3DA0" w14:textId="77777777" w:rsidTr="002D478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232" w:type="dxa"/>
            <w:vMerge/>
          </w:tcPr>
          <w:p w14:paraId="4982BEB0" w14:textId="77777777" w:rsidR="00311D18" w:rsidRPr="0092226B" w:rsidRDefault="00311D18" w:rsidP="003C1988">
            <w:pPr>
              <w:rPr>
                <w:rFonts w:cs="Times New Roman"/>
                <w:color w:val="FF0000"/>
                <w:sz w:val="20"/>
              </w:rPr>
            </w:pPr>
          </w:p>
        </w:tc>
        <w:tc>
          <w:tcPr>
            <w:tcW w:w="3594" w:type="dxa"/>
            <w:vMerge w:val="restart"/>
          </w:tcPr>
          <w:p w14:paraId="37DA4EB0"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Prowadzenie kampanii edukacyjnych </w:t>
            </w:r>
            <w:r w:rsidRPr="00532128">
              <w:rPr>
                <w:rFonts w:ascii="Times New Roman" w:eastAsia="MS Mincho" w:hAnsi="Times New Roman"/>
                <w:color w:val="auto"/>
                <w:sz w:val="20"/>
              </w:rPr>
              <w:br/>
              <w:t>na temat chorób otępiennych</w:t>
            </w:r>
          </w:p>
        </w:tc>
        <w:tc>
          <w:tcPr>
            <w:tcW w:w="2032" w:type="dxa"/>
            <w:vMerge w:val="restart"/>
          </w:tcPr>
          <w:p w14:paraId="4D098D3A"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p w14:paraId="027BDB5E"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val="restart"/>
          </w:tcPr>
          <w:p w14:paraId="649B4AD6"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Działanie ciągłe</w:t>
            </w:r>
            <w:r w:rsidRPr="00532128">
              <w:rPr>
                <w:rFonts w:ascii="Times New Roman" w:hAnsi="Times New Roman"/>
                <w:color w:val="auto"/>
                <w:sz w:val="20"/>
              </w:rPr>
              <w:t>*</w:t>
            </w:r>
          </w:p>
        </w:tc>
        <w:tc>
          <w:tcPr>
            <w:tcW w:w="5638" w:type="dxa"/>
          </w:tcPr>
          <w:p w14:paraId="3492DB99"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przeprowadzonych kampanii edukacyjnych na temat chorób otępiennych</w:t>
            </w:r>
          </w:p>
        </w:tc>
      </w:tr>
      <w:tr w:rsidR="0092226B" w:rsidRPr="0092226B" w14:paraId="05DDB4B2" w14:textId="77777777" w:rsidTr="00E419A4">
        <w:trPr>
          <w:trHeight w:val="70"/>
        </w:trPr>
        <w:tc>
          <w:tcPr>
            <w:cnfStyle w:val="001000000000" w:firstRow="0" w:lastRow="0" w:firstColumn="1" w:lastColumn="0" w:oddVBand="0" w:evenVBand="0" w:oddHBand="0" w:evenHBand="0" w:firstRowFirstColumn="0" w:firstRowLastColumn="0" w:lastRowFirstColumn="0" w:lastRowLastColumn="0"/>
            <w:tcW w:w="1232" w:type="dxa"/>
            <w:vMerge/>
          </w:tcPr>
          <w:p w14:paraId="5AEBC9B6" w14:textId="77777777" w:rsidR="00311D18" w:rsidRPr="0092226B" w:rsidRDefault="00311D18" w:rsidP="003C1988">
            <w:pPr>
              <w:rPr>
                <w:rFonts w:cs="Times New Roman"/>
                <w:color w:val="FF0000"/>
                <w:sz w:val="20"/>
              </w:rPr>
            </w:pPr>
          </w:p>
        </w:tc>
        <w:tc>
          <w:tcPr>
            <w:tcW w:w="3594" w:type="dxa"/>
            <w:vMerge/>
          </w:tcPr>
          <w:p w14:paraId="22A639DD"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tcPr>
          <w:p w14:paraId="5E06A40E"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tcPr>
          <w:p w14:paraId="3FD0A5F2"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tcPr>
          <w:p w14:paraId="427B0E3B" w14:textId="1B00E676" w:rsidR="00532128" w:rsidRPr="00532128" w:rsidRDefault="00301065"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 ramach Narodowego Programu Zdrowia na lata 2021-2025 planowane jest przeprowadzenie w latach 2021-2022 kampanii  informacyjno-edukacyjnej, kierowanej do ogółu społeczeństwa, mającej na celu zwiększenie świadomości społeczeństwa na temat demencji, w tym jej objawów, wagi wczesnego rozpoznania choroby, a także ukierunkowanej na kształtowanie właściwych postaw wobec chorych i ich bliskich.</w:t>
            </w:r>
          </w:p>
        </w:tc>
      </w:tr>
      <w:tr w:rsidR="0092226B" w:rsidRPr="0092226B" w14:paraId="1EFC195C"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val="restart"/>
            <w:textDirection w:val="btLr"/>
          </w:tcPr>
          <w:p w14:paraId="2569BA2D" w14:textId="77777777" w:rsidR="00311D18" w:rsidRPr="0092226B" w:rsidRDefault="00311D18" w:rsidP="003C1988">
            <w:pPr>
              <w:ind w:left="113" w:right="113"/>
              <w:rPr>
                <w:rFonts w:eastAsia="MS Mincho" w:cs="Times New Roman"/>
                <w:color w:val="FF0000"/>
                <w:sz w:val="20"/>
              </w:rPr>
            </w:pPr>
            <w:r w:rsidRPr="00532128">
              <w:rPr>
                <w:rFonts w:eastAsia="MS Mincho" w:cs="Times New Roman"/>
                <w:color w:val="auto"/>
                <w:sz w:val="20"/>
              </w:rPr>
              <w:lastRenderedPageBreak/>
              <w:t>Obszar III</w:t>
            </w:r>
          </w:p>
        </w:tc>
        <w:tc>
          <w:tcPr>
            <w:tcW w:w="3594" w:type="dxa"/>
            <w:vMerge w:val="restart"/>
          </w:tcPr>
          <w:p w14:paraId="64181BF3" w14:textId="77777777" w:rsidR="00D139AA" w:rsidRPr="00532128" w:rsidRDefault="00D139AA"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Rozwój różnorodnych form opieki dziennej, w tym:</w:t>
            </w:r>
          </w:p>
          <w:p w14:paraId="0BF51DAF" w14:textId="77777777" w:rsidR="00D139AA" w:rsidRPr="00532128" w:rsidRDefault="00D139AA"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w:t>
            </w:r>
            <w:r w:rsidRPr="00532128">
              <w:rPr>
                <w:rFonts w:ascii="Times New Roman" w:eastAsia="MS Mincho" w:hAnsi="Times New Roman"/>
                <w:color w:val="auto"/>
                <w:sz w:val="20"/>
              </w:rPr>
              <w:tab/>
              <w:t>rozwijanie sieci placówek dziennego pobytu i promowanie tworzenia ich w obszarach, na których jeszcze nie funkcjonują;</w:t>
            </w:r>
          </w:p>
          <w:p w14:paraId="55808556" w14:textId="77777777" w:rsidR="00D139AA" w:rsidRPr="00532128" w:rsidRDefault="00D139AA"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w:t>
            </w:r>
            <w:r w:rsidRPr="00532128">
              <w:rPr>
                <w:rFonts w:ascii="Times New Roman" w:eastAsia="MS Mincho" w:hAnsi="Times New Roman"/>
                <w:color w:val="auto"/>
                <w:sz w:val="20"/>
              </w:rPr>
              <w:tab/>
              <w:t xml:space="preserve">propagowanie form opieki dziennej wśród osób starszych nieaktywnych, nieuczestniczących w życiu środowiska lokalnego, w tym o charakterze opiekuńczym (łącznie z opieką </w:t>
            </w:r>
            <w:proofErr w:type="spellStart"/>
            <w:r w:rsidRPr="00532128">
              <w:rPr>
                <w:rFonts w:ascii="Times New Roman" w:eastAsia="MS Mincho" w:hAnsi="Times New Roman"/>
                <w:color w:val="auto"/>
                <w:sz w:val="20"/>
              </w:rPr>
              <w:t>wytchnieniową</w:t>
            </w:r>
            <w:proofErr w:type="spellEnd"/>
            <w:r w:rsidRPr="00532128">
              <w:rPr>
                <w:rFonts w:ascii="Times New Roman" w:eastAsia="MS Mincho" w:hAnsi="Times New Roman"/>
                <w:color w:val="auto"/>
                <w:sz w:val="20"/>
              </w:rPr>
              <w:t xml:space="preserve"> i w czasie oczekiwania na instytucje opieki długoterminowej),oraz wzmacniającym aktywność  i samodzielność;</w:t>
            </w:r>
          </w:p>
          <w:p w14:paraId="3E880803" w14:textId="77777777" w:rsidR="00D139AA" w:rsidRPr="00532128" w:rsidRDefault="00D139AA"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w:t>
            </w:r>
            <w:r w:rsidRPr="00532128">
              <w:rPr>
                <w:rFonts w:ascii="Times New Roman" w:eastAsia="MS Mincho" w:hAnsi="Times New Roman"/>
                <w:color w:val="auto"/>
                <w:sz w:val="20"/>
              </w:rPr>
              <w:tab/>
              <w:t>wspieranie systemu wymiany informacji pomiędzy placówkami umożliwiającego dzielenie się dobrymi praktykami</w:t>
            </w:r>
          </w:p>
          <w:p w14:paraId="03A837C8"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2032" w:type="dxa"/>
            <w:vMerge w:val="restart"/>
          </w:tcPr>
          <w:p w14:paraId="65FF8996" w14:textId="4B37746D" w:rsidR="00311D18" w:rsidRPr="00532128" w:rsidRDefault="00081C36"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t xml:space="preserve">Ministerstwo Rodziny i Polityki Społecznej </w:t>
            </w:r>
          </w:p>
          <w:p w14:paraId="174E1BF5"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val="restart"/>
          </w:tcPr>
          <w:p w14:paraId="2A933F07"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2018-2020</w:t>
            </w:r>
          </w:p>
        </w:tc>
        <w:tc>
          <w:tcPr>
            <w:tcW w:w="5638" w:type="dxa"/>
          </w:tcPr>
          <w:p w14:paraId="6DE5ABC8" w14:textId="77777777" w:rsidR="00311D18" w:rsidRPr="00532128" w:rsidRDefault="00D139AA"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funkcjonujących placówek opieki dziennej</w:t>
            </w:r>
          </w:p>
        </w:tc>
      </w:tr>
      <w:tr w:rsidR="0092226B" w:rsidRPr="0092226B" w14:paraId="4728BDE7"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4865A215" w14:textId="77777777" w:rsidR="00311D18" w:rsidRPr="0092226B" w:rsidRDefault="00311D18" w:rsidP="003C1988">
            <w:pPr>
              <w:rPr>
                <w:rFonts w:cs="Times New Roman"/>
                <w:color w:val="FF0000"/>
                <w:sz w:val="20"/>
              </w:rPr>
            </w:pPr>
          </w:p>
        </w:tc>
        <w:tc>
          <w:tcPr>
            <w:tcW w:w="3594" w:type="dxa"/>
            <w:vMerge/>
          </w:tcPr>
          <w:p w14:paraId="7E07DA4A"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tcPr>
          <w:p w14:paraId="0E4E40D9"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tcPr>
          <w:p w14:paraId="6B1A70F6"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tcPr>
          <w:p w14:paraId="706C8D0B" w14:textId="362841A6" w:rsidR="006D3BC5" w:rsidRPr="00532128" w:rsidRDefault="006D3BC5" w:rsidP="006D3BC5">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 RPO ze środków EFS rozwijane są usługi opiekuńcze w miejscu zamieszkania w ramach PI 9iv Ułatwianie dostępu do przystępnych cenowo, trwałych oraz wysokiej jakości usług, w tym opieki zdrowotnej i usług socjalnych świadczonych w interesie ogólnym. Wsparcie dla usług opiek</w:t>
            </w:r>
            <w:r w:rsidR="00E419A4">
              <w:rPr>
                <w:rFonts w:eastAsia="MS Mincho" w:cs="Times New Roman"/>
                <w:color w:val="auto"/>
                <w:sz w:val="20"/>
              </w:rPr>
              <w:t>uńczych prowadzi każdorazowo do </w:t>
            </w:r>
            <w:r w:rsidRPr="00532128">
              <w:rPr>
                <w:rFonts w:eastAsia="MS Mincho" w:cs="Times New Roman"/>
                <w:color w:val="auto"/>
                <w:sz w:val="20"/>
              </w:rPr>
              <w:t>zwiększenia liczby miejsc ś</w:t>
            </w:r>
            <w:r w:rsidR="00E419A4">
              <w:rPr>
                <w:rFonts w:eastAsia="MS Mincho" w:cs="Times New Roman"/>
                <w:color w:val="auto"/>
                <w:sz w:val="20"/>
              </w:rPr>
              <w:t>wiadczenia usług opiekuńczych w </w:t>
            </w:r>
            <w:r w:rsidRPr="00532128">
              <w:rPr>
                <w:rFonts w:eastAsia="MS Mincho" w:cs="Times New Roman"/>
                <w:color w:val="auto"/>
                <w:sz w:val="20"/>
              </w:rPr>
              <w:t>społeczności lokalnej oraz liczby osób objętych usługami opiekuńczymi świadczonymi w społeczności lokalnej. Zwiększanie liczby miejsc świadczenia usług opiekuńczych odbywa się poprzez zwiększanie liczby opiekunów świadczących usługi. Zwiększanie liczby miejsc świadczenia usług opiekuńczych w formach stacjonarnych odbywa się poprz</w:t>
            </w:r>
            <w:r w:rsidR="00E419A4">
              <w:rPr>
                <w:rFonts w:eastAsia="MS Mincho" w:cs="Times New Roman"/>
                <w:color w:val="auto"/>
                <w:sz w:val="20"/>
              </w:rPr>
              <w:t>ez tworzenie miejsc stałego lub </w:t>
            </w:r>
            <w:r w:rsidRPr="00532128">
              <w:rPr>
                <w:rFonts w:eastAsia="MS Mincho" w:cs="Times New Roman"/>
                <w:color w:val="auto"/>
                <w:sz w:val="20"/>
              </w:rPr>
              <w:t>krótkookresowego p</w:t>
            </w:r>
            <w:r w:rsidR="00E419A4">
              <w:rPr>
                <w:rFonts w:eastAsia="MS Mincho" w:cs="Times New Roman"/>
                <w:color w:val="auto"/>
                <w:sz w:val="20"/>
              </w:rPr>
              <w:t>obytu dziennego lub stałego lub </w:t>
            </w:r>
            <w:r w:rsidRPr="00532128">
              <w:rPr>
                <w:rFonts w:eastAsia="MS Mincho" w:cs="Times New Roman"/>
                <w:color w:val="auto"/>
                <w:sz w:val="20"/>
              </w:rPr>
              <w:t>krótkookresowego pobytu całodobowego w placówkac</w:t>
            </w:r>
            <w:r w:rsidR="00E419A4">
              <w:rPr>
                <w:rFonts w:eastAsia="MS Mincho" w:cs="Times New Roman"/>
                <w:color w:val="auto"/>
                <w:sz w:val="20"/>
              </w:rPr>
              <w:t>h, w </w:t>
            </w:r>
            <w:r w:rsidRPr="00532128">
              <w:rPr>
                <w:rFonts w:eastAsia="MS Mincho" w:cs="Times New Roman"/>
                <w:color w:val="auto"/>
                <w:sz w:val="20"/>
              </w:rPr>
              <w:t>których realizowane s</w:t>
            </w:r>
            <w:r w:rsidR="00E419A4">
              <w:rPr>
                <w:rFonts w:eastAsia="MS Mincho" w:cs="Times New Roman"/>
                <w:color w:val="auto"/>
                <w:sz w:val="20"/>
              </w:rPr>
              <w:t>ą usługi społeczne świadczone w </w:t>
            </w:r>
            <w:r w:rsidRPr="00532128">
              <w:rPr>
                <w:rFonts w:eastAsia="MS Mincho" w:cs="Times New Roman"/>
                <w:color w:val="auto"/>
                <w:sz w:val="20"/>
              </w:rPr>
              <w:t xml:space="preserve">społeczności lokalnej. </w:t>
            </w:r>
          </w:p>
          <w:p w14:paraId="0F6BCC9F" w14:textId="21324FA8" w:rsidR="006D3BC5" w:rsidRPr="00532128" w:rsidRDefault="006D3BC5" w:rsidP="006D3BC5">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Miejsca krótkookresowego pobytu służą przede wszystkim poprawie dostępu do usłu</w:t>
            </w:r>
            <w:r w:rsidR="00E419A4">
              <w:rPr>
                <w:rFonts w:eastAsia="MS Mincho" w:cs="Times New Roman"/>
                <w:color w:val="auto"/>
                <w:sz w:val="20"/>
              </w:rPr>
              <w:t>g opiekuńczych w zastępstwie za </w:t>
            </w:r>
            <w:r w:rsidRPr="00532128">
              <w:rPr>
                <w:rFonts w:eastAsia="MS Mincho" w:cs="Times New Roman"/>
                <w:color w:val="auto"/>
                <w:sz w:val="20"/>
              </w:rPr>
              <w:t xml:space="preserve">opiekunów faktycznych w ramach opieki </w:t>
            </w:r>
            <w:proofErr w:type="spellStart"/>
            <w:r w:rsidRPr="00532128">
              <w:rPr>
                <w:rFonts w:eastAsia="MS Mincho" w:cs="Times New Roman"/>
                <w:color w:val="auto"/>
                <w:sz w:val="20"/>
              </w:rPr>
              <w:t>wytchnieniowej</w:t>
            </w:r>
            <w:proofErr w:type="spellEnd"/>
            <w:r w:rsidRPr="00532128">
              <w:rPr>
                <w:rFonts w:eastAsia="MS Mincho" w:cs="Times New Roman"/>
                <w:color w:val="auto"/>
                <w:sz w:val="20"/>
              </w:rPr>
              <w:t>. Usługi opiekuńcze wspierane w PI 9iv w RPO w formie stacjonarnej opieki dziennej realizowane są m.in. przez dzienne domy pomocy oraz kluby seniora.</w:t>
            </w:r>
          </w:p>
          <w:p w14:paraId="35959959" w14:textId="3DBF2FDB" w:rsidR="00311D18" w:rsidRPr="00532128" w:rsidRDefault="006D3BC5" w:rsidP="006D3BC5">
            <w:pPr>
              <w:cnfStyle w:val="000000000000" w:firstRow="0" w:lastRow="0" w:firstColumn="0" w:lastColumn="0" w:oddVBand="0" w:evenVBand="0" w:oddHBand="0" w:evenHBand="0" w:firstRowFirstColumn="0" w:firstRowLastColumn="0" w:lastRowFirstColumn="0" w:lastRowLastColumn="0"/>
              <w:rPr>
                <w:rFonts w:eastAsia="MS Mincho" w:cs="Times New Roman"/>
                <w:b/>
                <w:color w:val="auto"/>
                <w:sz w:val="20"/>
                <w:u w:val="single"/>
              </w:rPr>
            </w:pPr>
            <w:r w:rsidRPr="00532128">
              <w:rPr>
                <w:rFonts w:eastAsia="MS Mincho" w:cs="Times New Roman"/>
                <w:color w:val="auto"/>
                <w:sz w:val="20"/>
              </w:rPr>
              <w:t xml:space="preserve">Do końca 2020 r. wsparciem w zakresie usług asystenckich </w:t>
            </w:r>
            <w:r w:rsidR="00E419A4">
              <w:rPr>
                <w:rFonts w:eastAsia="MS Mincho" w:cs="Times New Roman"/>
                <w:color w:val="auto"/>
                <w:sz w:val="20"/>
              </w:rPr>
              <w:t xml:space="preserve">                           </w:t>
            </w:r>
            <w:r w:rsidRPr="00532128">
              <w:rPr>
                <w:rFonts w:eastAsia="MS Mincho" w:cs="Times New Roman"/>
                <w:color w:val="auto"/>
                <w:sz w:val="20"/>
              </w:rPr>
              <w:t xml:space="preserve">i opiekuńczych w formach </w:t>
            </w:r>
            <w:proofErr w:type="spellStart"/>
            <w:r w:rsidRPr="00532128">
              <w:rPr>
                <w:rFonts w:eastAsia="MS Mincho" w:cs="Times New Roman"/>
                <w:color w:val="auto"/>
                <w:sz w:val="20"/>
              </w:rPr>
              <w:t>zdeinstytucjonalizowanych</w:t>
            </w:r>
            <w:proofErr w:type="spellEnd"/>
            <w:r w:rsidRPr="00532128">
              <w:rPr>
                <w:rFonts w:eastAsia="MS Mincho" w:cs="Times New Roman"/>
                <w:color w:val="auto"/>
                <w:sz w:val="20"/>
              </w:rPr>
              <w:t xml:space="preserve"> dofinansowanych z EFS objęto 63 722osób.</w:t>
            </w:r>
          </w:p>
        </w:tc>
      </w:tr>
      <w:tr w:rsidR="0092226B" w:rsidRPr="0092226B" w14:paraId="60A3579C" w14:textId="77777777" w:rsidTr="002D4784">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232" w:type="dxa"/>
            <w:vMerge/>
          </w:tcPr>
          <w:p w14:paraId="010A2734" w14:textId="77777777" w:rsidR="00311D18" w:rsidRPr="0092226B" w:rsidRDefault="00311D18" w:rsidP="003C1988">
            <w:pPr>
              <w:rPr>
                <w:rFonts w:cs="Times New Roman"/>
                <w:color w:val="FF0000"/>
                <w:sz w:val="20"/>
              </w:rPr>
            </w:pPr>
          </w:p>
        </w:tc>
        <w:tc>
          <w:tcPr>
            <w:tcW w:w="3594" w:type="dxa"/>
            <w:vMerge w:val="restart"/>
          </w:tcPr>
          <w:p w14:paraId="7D8EB906"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sidRPr="00532128">
              <w:rPr>
                <w:rFonts w:ascii="Times New Roman" w:hAnsi="Times New Roman"/>
                <w:color w:val="auto"/>
                <w:sz w:val="20"/>
              </w:rPr>
              <w:t xml:space="preserve">Tworzenie dziennych domów opieki medycznej (DDOM) jako wsparcie medyczne (świadczenia pielęgnacyjne, opiekuńcze i rehabilitacyjne oraz kontynuacja leczenia) osób niesamodzielnych, w tym w </w:t>
            </w:r>
            <w:r w:rsidRPr="00532128">
              <w:rPr>
                <w:rFonts w:ascii="Times New Roman" w:hAnsi="Times New Roman"/>
                <w:color w:val="auto"/>
                <w:sz w:val="20"/>
              </w:rPr>
              <w:lastRenderedPageBreak/>
              <w:t>szczególności osób starszych, w warunkach zbliżonych do domowych, w środowisku lokalnym</w:t>
            </w:r>
          </w:p>
        </w:tc>
        <w:tc>
          <w:tcPr>
            <w:tcW w:w="2032" w:type="dxa"/>
            <w:vMerge w:val="restart"/>
          </w:tcPr>
          <w:p w14:paraId="675D11CA"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lastRenderedPageBreak/>
              <w:t>Ministerstwo Zdrowia</w:t>
            </w:r>
          </w:p>
        </w:tc>
        <w:tc>
          <w:tcPr>
            <w:tcW w:w="1500" w:type="dxa"/>
            <w:vMerge w:val="restart"/>
          </w:tcPr>
          <w:p w14:paraId="78806C70"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2018-2020</w:t>
            </w:r>
          </w:p>
        </w:tc>
        <w:tc>
          <w:tcPr>
            <w:tcW w:w="5638" w:type="dxa"/>
          </w:tcPr>
          <w:p w14:paraId="71CD00C4"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funkcjonujących dziennych domów opieki medycznej</w:t>
            </w:r>
          </w:p>
        </w:tc>
      </w:tr>
      <w:tr w:rsidR="0092226B" w:rsidRPr="0092226B" w14:paraId="18EA6C78"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7564F7FA" w14:textId="77777777" w:rsidR="00311D18" w:rsidRPr="0092226B" w:rsidRDefault="00311D18" w:rsidP="003C1988">
            <w:pPr>
              <w:rPr>
                <w:rFonts w:cs="Times New Roman"/>
                <w:color w:val="FF0000"/>
                <w:sz w:val="20"/>
              </w:rPr>
            </w:pPr>
          </w:p>
        </w:tc>
        <w:tc>
          <w:tcPr>
            <w:tcW w:w="3594" w:type="dxa"/>
            <w:vMerge/>
          </w:tcPr>
          <w:p w14:paraId="3D8A18C6"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tcPr>
          <w:p w14:paraId="75E52D95"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tcPr>
          <w:p w14:paraId="74129C2B"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shd w:val="clear" w:color="auto" w:fill="auto"/>
          </w:tcPr>
          <w:p w14:paraId="08FE2552" w14:textId="77777777" w:rsidR="00592EF4" w:rsidRPr="00532128" w:rsidRDefault="00F34066" w:rsidP="00F34066">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szCs w:val="20"/>
              </w:rPr>
            </w:pPr>
            <w:r w:rsidRPr="00532128">
              <w:rPr>
                <w:rFonts w:eastAsia="MS Mincho" w:cs="Times New Roman"/>
                <w:color w:val="auto"/>
              </w:rPr>
              <w:t xml:space="preserve"> </w:t>
            </w:r>
            <w:r w:rsidR="00301065" w:rsidRPr="00532128">
              <w:rPr>
                <w:rFonts w:eastAsia="MS Mincho" w:cs="Times New Roman"/>
                <w:color w:val="auto"/>
                <w:sz w:val="20"/>
                <w:szCs w:val="20"/>
              </w:rPr>
              <w:t>Funkcjonowanie Dziennych Domów Opieki Medycznej jest obecnie finansowane ze środków Europejskiego Funduszu Społecznego w ramach Regionalnych Programów Operacyjnych.</w:t>
            </w:r>
          </w:p>
        </w:tc>
      </w:tr>
      <w:tr w:rsidR="0092226B" w:rsidRPr="0092226B" w14:paraId="66217EB5" w14:textId="77777777" w:rsidTr="002D4784">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232" w:type="dxa"/>
            <w:vMerge/>
          </w:tcPr>
          <w:p w14:paraId="744FFB7A" w14:textId="77777777" w:rsidR="00311D18" w:rsidRPr="0092226B" w:rsidRDefault="00311D18" w:rsidP="003C1988">
            <w:pPr>
              <w:rPr>
                <w:rFonts w:cs="Times New Roman"/>
                <w:color w:val="FF0000"/>
                <w:sz w:val="20"/>
              </w:rPr>
            </w:pPr>
          </w:p>
        </w:tc>
        <w:tc>
          <w:tcPr>
            <w:tcW w:w="3594" w:type="dxa"/>
            <w:vMerge w:val="restart"/>
          </w:tcPr>
          <w:p w14:paraId="3B6F66E4"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Wspieranie inicjatyw jednostek samorządu terytorialnego na rzecz tworzenia mieszkań chronionych</w:t>
            </w:r>
          </w:p>
        </w:tc>
        <w:tc>
          <w:tcPr>
            <w:tcW w:w="2032" w:type="dxa"/>
            <w:vMerge w:val="restart"/>
          </w:tcPr>
          <w:p w14:paraId="75845F3A" w14:textId="08F7F1A0" w:rsidR="00311D18" w:rsidRPr="00532128" w:rsidRDefault="00081C36"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t xml:space="preserve">Ministerstwo Rodziny i Polityki Społecznej </w:t>
            </w:r>
          </w:p>
          <w:p w14:paraId="72461E17"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val="restart"/>
          </w:tcPr>
          <w:p w14:paraId="06FD5976"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2018-2021</w:t>
            </w:r>
          </w:p>
        </w:tc>
        <w:tc>
          <w:tcPr>
            <w:tcW w:w="5638" w:type="dxa"/>
          </w:tcPr>
          <w:p w14:paraId="405DB625"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funkcjonujących mieszkań chronionych dla osób starszych</w:t>
            </w:r>
          </w:p>
        </w:tc>
      </w:tr>
      <w:tr w:rsidR="0092226B" w:rsidRPr="0092226B" w14:paraId="23834612"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2E06DAB8" w14:textId="77777777" w:rsidR="00311D18" w:rsidRPr="0092226B" w:rsidRDefault="00311D18" w:rsidP="003C1988">
            <w:pPr>
              <w:rPr>
                <w:rFonts w:cs="Times New Roman"/>
                <w:color w:val="FF0000"/>
                <w:sz w:val="20"/>
              </w:rPr>
            </w:pPr>
          </w:p>
        </w:tc>
        <w:tc>
          <w:tcPr>
            <w:tcW w:w="3594" w:type="dxa"/>
            <w:vMerge/>
          </w:tcPr>
          <w:p w14:paraId="58018D13"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tcPr>
          <w:p w14:paraId="4E8DEFA3"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tcPr>
          <w:p w14:paraId="362F22F9"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shd w:val="clear" w:color="auto" w:fill="auto"/>
          </w:tcPr>
          <w:p w14:paraId="495D6D5E" w14:textId="3EE65B32" w:rsidR="00553898" w:rsidRPr="00532128" w:rsidRDefault="00553898" w:rsidP="00E419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eastAsia="pl-PL"/>
              </w:rPr>
            </w:pPr>
            <w:r w:rsidRPr="00532128">
              <w:rPr>
                <w:rFonts w:cs="Times New Roman"/>
                <w:color w:val="auto"/>
                <w:sz w:val="20"/>
                <w:szCs w:val="20"/>
                <w:lang w:eastAsia="pl-PL"/>
              </w:rPr>
              <w:t xml:space="preserve">W RPO ze środków EFS rozwijane są usługi w postaci mieszkań chronionych i wspomaganych w ramach PI 9iv </w:t>
            </w:r>
            <w:r w:rsidRPr="00532128">
              <w:rPr>
                <w:rFonts w:cs="Times New Roman"/>
                <w:i/>
                <w:iCs/>
                <w:color w:val="auto"/>
                <w:sz w:val="20"/>
                <w:szCs w:val="20"/>
                <w:lang w:eastAsia="pl-PL"/>
              </w:rPr>
              <w:t>Ułatwianie dostępu do</w:t>
            </w:r>
            <w:r w:rsidRPr="00532128">
              <w:rPr>
                <w:rFonts w:cs="Times New Roman"/>
                <w:color w:val="auto"/>
                <w:sz w:val="20"/>
                <w:szCs w:val="20"/>
                <w:lang w:eastAsia="pl-PL"/>
              </w:rPr>
              <w:t xml:space="preserve"> </w:t>
            </w:r>
            <w:r w:rsidRPr="00532128">
              <w:rPr>
                <w:rFonts w:cs="Times New Roman"/>
                <w:i/>
                <w:iCs/>
                <w:color w:val="auto"/>
                <w:sz w:val="20"/>
                <w:szCs w:val="20"/>
                <w:lang w:eastAsia="pl-PL"/>
              </w:rPr>
              <w:t xml:space="preserve">przystępnych cenowo, trwałych oraz wysokiej jakości usług, </w:t>
            </w:r>
            <w:r w:rsidR="00E419A4">
              <w:rPr>
                <w:rFonts w:cs="Times New Roman"/>
                <w:i/>
                <w:iCs/>
                <w:color w:val="auto"/>
                <w:sz w:val="20"/>
                <w:szCs w:val="20"/>
                <w:lang w:eastAsia="pl-PL"/>
              </w:rPr>
              <w:t xml:space="preserve">                            </w:t>
            </w:r>
            <w:r w:rsidRPr="00532128">
              <w:rPr>
                <w:rFonts w:cs="Times New Roman"/>
                <w:i/>
                <w:iCs/>
                <w:color w:val="auto"/>
                <w:sz w:val="20"/>
                <w:szCs w:val="20"/>
                <w:lang w:eastAsia="pl-PL"/>
              </w:rPr>
              <w:t>w tym opieki zdrowotnej i usług socjalnych świadczonych w interesie ogólnym</w:t>
            </w:r>
            <w:r w:rsidRPr="00532128">
              <w:rPr>
                <w:rFonts w:cs="Times New Roman"/>
                <w:color w:val="auto"/>
                <w:sz w:val="20"/>
                <w:szCs w:val="20"/>
                <w:lang w:eastAsia="pl-PL"/>
              </w:rPr>
              <w:t>.</w:t>
            </w:r>
          </w:p>
          <w:p w14:paraId="203990DB" w14:textId="77777777" w:rsidR="00553898" w:rsidRPr="00532128" w:rsidRDefault="00553898" w:rsidP="00E419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eastAsia="pl-PL"/>
              </w:rPr>
            </w:pPr>
            <w:r w:rsidRPr="00532128">
              <w:rPr>
                <w:rFonts w:cs="Times New Roman"/>
                <w:color w:val="auto"/>
                <w:sz w:val="20"/>
                <w:szCs w:val="20"/>
                <w:lang w:eastAsia="pl-PL"/>
              </w:rPr>
              <w:t>Wsparcie dla mieszkań chronionych i mieszkań wspomaganych polega na tworzeniu miejsc w nowo tworzonych lub istniejących mieszkaniach chronionych lub mieszkaniach wspomaganych, przeznaczonych dla osób lub rodzin zagrożonych ubóstwem lub wykluczeniem społecznym. Do końca 2020  r. usługami w postaci</w:t>
            </w:r>
          </w:p>
          <w:p w14:paraId="5B76F600" w14:textId="77777777" w:rsidR="00553898" w:rsidRPr="00532128" w:rsidRDefault="00553898" w:rsidP="00E419A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color w:val="auto"/>
                <w:sz w:val="20"/>
                <w:szCs w:val="20"/>
                <w:lang w:eastAsia="pl-PL"/>
              </w:rPr>
            </w:pPr>
            <w:r w:rsidRPr="00532128">
              <w:rPr>
                <w:rFonts w:cs="Times New Roman"/>
                <w:color w:val="auto"/>
                <w:sz w:val="20"/>
                <w:szCs w:val="20"/>
                <w:lang w:eastAsia="pl-PL"/>
              </w:rPr>
              <w:t xml:space="preserve">mieszkań chronionych i wspomaganych dofinansowanych z EFS objęto 3 395 osób. Ponadto zostało utworzonych 267 miejsc świadczenia usług </w:t>
            </w:r>
            <w:r w:rsidRPr="00532128">
              <w:rPr>
                <w:rFonts w:eastAsia="Times New Roman" w:cs="Times New Roman"/>
                <w:color w:val="auto"/>
                <w:sz w:val="20"/>
                <w:szCs w:val="20"/>
                <w:lang w:eastAsia="pl-PL"/>
              </w:rPr>
              <w:t xml:space="preserve">w mieszkaniach wspomaganych i chronionych. </w:t>
            </w:r>
          </w:p>
          <w:p w14:paraId="7DC85309" w14:textId="77777777" w:rsidR="00553898" w:rsidRPr="00532128" w:rsidRDefault="00553898" w:rsidP="00553898">
            <w:pPr>
              <w:cnfStyle w:val="000000000000" w:firstRow="0" w:lastRow="0" w:firstColumn="0" w:lastColumn="0" w:oddVBand="0" w:evenVBand="0" w:oddHBand="0" w:evenHBand="0" w:firstRowFirstColumn="0" w:firstRowLastColumn="0" w:lastRowFirstColumn="0" w:lastRowLastColumn="0"/>
              <w:rPr>
                <w:rFonts w:eastAsia="MS Mincho" w:cs="Times New Roman"/>
                <w:b/>
                <w:color w:val="auto"/>
                <w:sz w:val="20"/>
                <w:u w:val="single"/>
              </w:rPr>
            </w:pPr>
          </w:p>
          <w:p w14:paraId="092675D6"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b/>
                <w:color w:val="auto"/>
                <w:sz w:val="20"/>
                <w:u w:val="single"/>
              </w:rPr>
            </w:pPr>
          </w:p>
        </w:tc>
      </w:tr>
      <w:tr w:rsidR="0092226B" w:rsidRPr="0092226B" w14:paraId="3196883C"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7E23E445" w14:textId="77777777" w:rsidR="00311D18" w:rsidRPr="0092226B" w:rsidRDefault="00311D18" w:rsidP="003C1988">
            <w:pPr>
              <w:rPr>
                <w:rFonts w:cs="Times New Roman"/>
                <w:color w:val="FF0000"/>
                <w:sz w:val="20"/>
              </w:rPr>
            </w:pPr>
          </w:p>
        </w:tc>
        <w:tc>
          <w:tcPr>
            <w:tcW w:w="3594" w:type="dxa"/>
            <w:vMerge w:val="restart"/>
          </w:tcPr>
          <w:p w14:paraId="41F93310" w14:textId="77777777" w:rsidR="00311D18" w:rsidRPr="00532128" w:rsidRDefault="00311D1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Rozwój opieki całodobowej:</w:t>
            </w:r>
          </w:p>
          <w:p w14:paraId="1028BA5E" w14:textId="77777777" w:rsidR="00311D18" w:rsidRPr="00532128" w:rsidRDefault="00311D18" w:rsidP="002D4784">
            <w:pPr>
              <w:pStyle w:val="Kolorowalistaakcent11"/>
              <w:numPr>
                <w:ilvl w:val="0"/>
                <w:numId w:val="10"/>
              </w:numPr>
              <w:ind w:left="36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wypracowanie jednoznacznych </w:t>
            </w:r>
            <w:r w:rsidRPr="00532128">
              <w:rPr>
                <w:rFonts w:ascii="Times New Roman" w:eastAsia="MS Mincho" w:hAnsi="Times New Roman"/>
                <w:color w:val="auto"/>
                <w:sz w:val="20"/>
              </w:rPr>
              <w:br/>
              <w:t xml:space="preserve">i adekwatnych do potrzeb niesamodzielnej osoby starszej kryteriów ich kwalifikacji </w:t>
            </w:r>
            <w:r w:rsidRPr="00532128">
              <w:rPr>
                <w:rFonts w:ascii="Times New Roman" w:eastAsia="MS Mincho" w:hAnsi="Times New Roman"/>
                <w:color w:val="auto"/>
                <w:sz w:val="20"/>
              </w:rPr>
              <w:br/>
              <w:t>do różnych placówek opieki długoterminowej;</w:t>
            </w:r>
          </w:p>
          <w:p w14:paraId="05825B8E" w14:textId="77777777" w:rsidR="00311D18" w:rsidRPr="00532128" w:rsidRDefault="00311D18" w:rsidP="002D4784">
            <w:pPr>
              <w:pStyle w:val="Kolorowalistaakcent11"/>
              <w:numPr>
                <w:ilvl w:val="0"/>
                <w:numId w:val="10"/>
              </w:numPr>
              <w:ind w:left="36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wspieranie inicjatyw jednostek samorządu terytorialnego </w:t>
            </w:r>
            <w:r w:rsidRPr="00532128">
              <w:rPr>
                <w:rFonts w:ascii="Times New Roman" w:eastAsia="MS Mincho" w:hAnsi="Times New Roman"/>
                <w:color w:val="auto"/>
                <w:sz w:val="20"/>
              </w:rPr>
              <w:br/>
              <w:t xml:space="preserve">na rzecz tworzenia placówek całodobowej opieki </w:t>
            </w:r>
            <w:r w:rsidRPr="00532128">
              <w:rPr>
                <w:rFonts w:ascii="Times New Roman" w:eastAsia="MS Mincho" w:hAnsi="Times New Roman"/>
                <w:color w:val="auto"/>
                <w:sz w:val="20"/>
              </w:rPr>
              <w:br/>
              <w:t>dla niesamodzielnych osób starszych i samotnych;</w:t>
            </w:r>
          </w:p>
          <w:p w14:paraId="74FEFAEC" w14:textId="77777777" w:rsidR="00311D18" w:rsidRPr="00532128" w:rsidRDefault="00311D18" w:rsidP="002D4784">
            <w:pPr>
              <w:pStyle w:val="Kolorowalistaakcent11"/>
              <w:numPr>
                <w:ilvl w:val="0"/>
                <w:numId w:val="10"/>
              </w:numPr>
              <w:ind w:left="36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lastRenderedPageBreak/>
              <w:t>wspieranie tworzenia rodzinnych domów pomocy społecznej i innych form środowiskowej opieki całodobowej</w:t>
            </w:r>
          </w:p>
        </w:tc>
        <w:tc>
          <w:tcPr>
            <w:tcW w:w="2032" w:type="dxa"/>
            <w:vMerge w:val="restart"/>
          </w:tcPr>
          <w:p w14:paraId="4FFDA507" w14:textId="5ADC022E" w:rsidR="00311D18" w:rsidRPr="00532128" w:rsidRDefault="00081C36"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lastRenderedPageBreak/>
              <w:t xml:space="preserve">Ministerstwo Rodziny i Polityki Społecznej </w:t>
            </w:r>
          </w:p>
        </w:tc>
        <w:tc>
          <w:tcPr>
            <w:tcW w:w="1500" w:type="dxa"/>
            <w:vMerge w:val="restart"/>
          </w:tcPr>
          <w:p w14:paraId="50B0E518" w14:textId="77777777" w:rsidR="00311D18" w:rsidRPr="00532128" w:rsidRDefault="00311D1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Działanie ciągłe</w:t>
            </w:r>
            <w:r w:rsidRPr="00532128">
              <w:rPr>
                <w:rFonts w:ascii="Times New Roman" w:hAnsi="Times New Roman"/>
                <w:color w:val="auto"/>
                <w:sz w:val="20"/>
              </w:rPr>
              <w:t>*</w:t>
            </w:r>
          </w:p>
        </w:tc>
        <w:tc>
          <w:tcPr>
            <w:tcW w:w="5638" w:type="dxa"/>
          </w:tcPr>
          <w:p w14:paraId="2D51A49C"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i/>
                <w:color w:val="auto"/>
                <w:sz w:val="20"/>
              </w:rPr>
            </w:pPr>
            <w:r w:rsidRPr="00532128">
              <w:rPr>
                <w:rFonts w:eastAsia="MS Mincho" w:cs="Times New Roman"/>
                <w:i/>
                <w:color w:val="auto"/>
                <w:sz w:val="20"/>
              </w:rPr>
              <w:t>Liczba funkcjonujących placówek opieki całodobowej</w:t>
            </w:r>
          </w:p>
          <w:p w14:paraId="3024B4D0"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color w:val="auto"/>
                <w:sz w:val="20"/>
              </w:rPr>
            </w:pPr>
            <w:r w:rsidRPr="00532128">
              <w:rPr>
                <w:rFonts w:eastAsia="MS Mincho" w:cs="Times New Roman"/>
                <w:b/>
                <w:color w:val="auto"/>
                <w:sz w:val="20"/>
              </w:rPr>
              <w:t xml:space="preserve">oraz </w:t>
            </w:r>
          </w:p>
          <w:p w14:paraId="0B3955A0" w14:textId="77777777" w:rsidR="00311D18" w:rsidRPr="00532128" w:rsidRDefault="00311D18"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zrealizowanych działań mających na celu rozwój opieki całodobowej</w:t>
            </w:r>
          </w:p>
        </w:tc>
      </w:tr>
      <w:tr w:rsidR="0092226B" w:rsidRPr="0092226B" w14:paraId="48BE1676"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76F5269B" w14:textId="77777777" w:rsidR="00311D18" w:rsidRPr="0092226B" w:rsidRDefault="00311D18" w:rsidP="003C1988">
            <w:pPr>
              <w:rPr>
                <w:rFonts w:cs="Times New Roman"/>
                <w:color w:val="FF0000"/>
                <w:sz w:val="20"/>
              </w:rPr>
            </w:pPr>
          </w:p>
        </w:tc>
        <w:tc>
          <w:tcPr>
            <w:tcW w:w="3594" w:type="dxa"/>
            <w:vMerge/>
          </w:tcPr>
          <w:p w14:paraId="35D70D15" w14:textId="77777777" w:rsidR="00311D18" w:rsidRPr="00532128" w:rsidRDefault="00311D1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tcPr>
          <w:p w14:paraId="161DB360" w14:textId="77777777" w:rsidR="00311D18" w:rsidRPr="00532128" w:rsidRDefault="00311D1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tcPr>
          <w:p w14:paraId="0C772E10" w14:textId="77777777" w:rsidR="00311D18" w:rsidRPr="00532128" w:rsidRDefault="00311D1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shd w:val="clear" w:color="auto" w:fill="auto"/>
          </w:tcPr>
          <w:p w14:paraId="532EDA87" w14:textId="1D47736D" w:rsidR="00553898" w:rsidRPr="00532128" w:rsidRDefault="00553898" w:rsidP="0055389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 RPO ze środków EFS rozwijane są usługi społeczne  świadczone w społeczności lokalnej w rama</w:t>
            </w:r>
            <w:r w:rsidR="00E419A4">
              <w:rPr>
                <w:rFonts w:eastAsia="MS Mincho" w:cs="Times New Roman"/>
                <w:color w:val="auto"/>
                <w:sz w:val="20"/>
              </w:rPr>
              <w:t>ch PI 9iv Ułatwianie dostępu do </w:t>
            </w:r>
            <w:r w:rsidRPr="00532128">
              <w:rPr>
                <w:rFonts w:eastAsia="MS Mincho" w:cs="Times New Roman"/>
                <w:color w:val="auto"/>
                <w:sz w:val="20"/>
              </w:rPr>
              <w:t xml:space="preserve">przystępnych cenowo, trwałych oraz wysokiej jakości usług, </w:t>
            </w:r>
            <w:r w:rsidR="00E419A4">
              <w:rPr>
                <w:rFonts w:eastAsia="MS Mincho" w:cs="Times New Roman"/>
                <w:color w:val="auto"/>
                <w:sz w:val="20"/>
              </w:rPr>
              <w:t xml:space="preserve">             </w:t>
            </w:r>
            <w:r w:rsidRPr="00532128">
              <w:rPr>
                <w:rFonts w:eastAsia="MS Mincho" w:cs="Times New Roman"/>
                <w:color w:val="auto"/>
                <w:sz w:val="20"/>
              </w:rPr>
              <w:t xml:space="preserve">w tym opieki zdrowotnej i usług socjalnych świadczonych </w:t>
            </w:r>
            <w:r w:rsidR="00E419A4">
              <w:rPr>
                <w:rFonts w:eastAsia="MS Mincho" w:cs="Times New Roman"/>
                <w:color w:val="auto"/>
                <w:sz w:val="20"/>
              </w:rPr>
              <w:t xml:space="preserve">                         </w:t>
            </w:r>
            <w:r w:rsidRPr="00532128">
              <w:rPr>
                <w:rFonts w:eastAsia="MS Mincho" w:cs="Times New Roman"/>
                <w:color w:val="auto"/>
                <w:sz w:val="20"/>
              </w:rPr>
              <w:t xml:space="preserve">w interesie ogólnym.  </w:t>
            </w:r>
          </w:p>
          <w:p w14:paraId="47824828" w14:textId="77777777" w:rsidR="00553898" w:rsidRPr="00532128" w:rsidRDefault="00553898" w:rsidP="0055389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p w14:paraId="6C16FB93" w14:textId="2254F036" w:rsidR="00311D18" w:rsidRPr="00532128" w:rsidRDefault="00553898" w:rsidP="00553898">
            <w:pPr>
              <w:cnfStyle w:val="000000000000" w:firstRow="0" w:lastRow="0" w:firstColumn="0" w:lastColumn="0" w:oddVBand="0" w:evenVBand="0" w:oddHBand="0" w:evenHBand="0" w:firstRowFirstColumn="0" w:firstRowLastColumn="0" w:lastRowFirstColumn="0" w:lastRowLastColumn="0"/>
              <w:rPr>
                <w:rFonts w:eastAsia="MS Mincho" w:cs="Times New Roman"/>
                <w:b/>
                <w:color w:val="auto"/>
                <w:sz w:val="20"/>
                <w:u w:val="single"/>
              </w:rPr>
            </w:pPr>
            <w:r w:rsidRPr="00532128">
              <w:rPr>
                <w:rFonts w:eastAsia="MS Mincho" w:cs="Times New Roman"/>
                <w:color w:val="auto"/>
                <w:sz w:val="20"/>
              </w:rPr>
              <w:t xml:space="preserve">Mogą to być m.in. usługi opiekuńcze w zakresie  krótkookresowego całodobowego i krótkookresowego dziennego pobytu, których celem jest zapewnienie opieki dla osób potrzebujących wsparcia </w:t>
            </w:r>
            <w:r w:rsidR="00E419A4">
              <w:rPr>
                <w:rFonts w:eastAsia="MS Mincho" w:cs="Times New Roman"/>
                <w:color w:val="auto"/>
                <w:sz w:val="20"/>
              </w:rPr>
              <w:t xml:space="preserve">             </w:t>
            </w:r>
            <w:r w:rsidRPr="00532128">
              <w:rPr>
                <w:rFonts w:eastAsia="MS Mincho" w:cs="Times New Roman"/>
                <w:color w:val="auto"/>
                <w:sz w:val="20"/>
              </w:rPr>
              <w:t xml:space="preserve">w codziennym funkcjonowaniu, w tym w zastępstwie za opiekunów </w:t>
            </w:r>
            <w:r w:rsidRPr="00532128">
              <w:rPr>
                <w:rFonts w:eastAsia="MS Mincho" w:cs="Times New Roman"/>
                <w:color w:val="auto"/>
                <w:sz w:val="20"/>
              </w:rPr>
              <w:lastRenderedPageBreak/>
              <w:t xml:space="preserve">faktycznych oraz  usługi w ośrodkach wsparcia, o których mowa </w:t>
            </w:r>
            <w:r w:rsidR="00E419A4">
              <w:rPr>
                <w:rFonts w:eastAsia="MS Mincho" w:cs="Times New Roman"/>
                <w:color w:val="auto"/>
                <w:sz w:val="20"/>
              </w:rPr>
              <w:t xml:space="preserve">              </w:t>
            </w:r>
            <w:r w:rsidRPr="00532128">
              <w:rPr>
                <w:rFonts w:eastAsia="MS Mincho" w:cs="Times New Roman"/>
                <w:color w:val="auto"/>
                <w:sz w:val="20"/>
              </w:rPr>
              <w:t>w ustawie z dnia 12 marca 2004 r. o pomocy społecznej, o ile liczba miejsc całodobowego pobytu w tych ośrodkach jest nie większa niż 30.</w:t>
            </w:r>
          </w:p>
        </w:tc>
      </w:tr>
      <w:tr w:rsidR="00532128" w:rsidRPr="0092226B" w14:paraId="1951D0F0"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val="restart"/>
            <w:textDirection w:val="btLr"/>
          </w:tcPr>
          <w:p w14:paraId="51C9356B" w14:textId="77777777" w:rsidR="00532128" w:rsidRPr="0092226B" w:rsidRDefault="00532128" w:rsidP="003C1988">
            <w:pPr>
              <w:pStyle w:val="Kolorowalistaakcent11"/>
              <w:ind w:left="113" w:right="113"/>
              <w:rPr>
                <w:rFonts w:ascii="Times New Roman" w:eastAsia="MS Mincho" w:hAnsi="Times New Roman"/>
                <w:color w:val="FF0000"/>
                <w:sz w:val="20"/>
              </w:rPr>
            </w:pPr>
            <w:r w:rsidRPr="00532128">
              <w:rPr>
                <w:rFonts w:ascii="Times New Roman" w:eastAsia="MS Mincho" w:hAnsi="Times New Roman"/>
                <w:color w:val="auto"/>
                <w:sz w:val="20"/>
              </w:rPr>
              <w:t>Obszar IV</w:t>
            </w:r>
          </w:p>
        </w:tc>
        <w:tc>
          <w:tcPr>
            <w:tcW w:w="3594" w:type="dxa"/>
            <w:vMerge w:val="restart"/>
          </w:tcPr>
          <w:p w14:paraId="2F13267C" w14:textId="77777777" w:rsidR="00532128" w:rsidRPr="00532128" w:rsidRDefault="0053212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sidRPr="00532128">
              <w:rPr>
                <w:rFonts w:ascii="Times New Roman" w:hAnsi="Times New Roman"/>
                <w:color w:val="auto"/>
                <w:sz w:val="20"/>
              </w:rPr>
              <w:t>Zintegrowanie nieformalnej opieki</w:t>
            </w:r>
            <w:r w:rsidRPr="00532128">
              <w:rPr>
                <w:rFonts w:ascii="Times New Roman" w:hAnsi="Times New Roman"/>
                <w:color w:val="auto"/>
                <w:sz w:val="20"/>
              </w:rPr>
              <w:br/>
              <w:t>nad niesamodzielnymi osobami starszymi z opieką formalną, w sposób szczególny poprzez poradnictwo, konsultacje, treningi umiejętności opiekunów nieformalnych (świadczone przez lekarzy, pielęgniarki, fizjoterapeutów, opiekunów medycznych, pracowników socjalnych) oraz inne działania na rzecz podnoszenia jakości opieki domowej</w:t>
            </w:r>
          </w:p>
        </w:tc>
        <w:tc>
          <w:tcPr>
            <w:tcW w:w="2032" w:type="dxa"/>
            <w:vMerge w:val="restart"/>
          </w:tcPr>
          <w:p w14:paraId="0CB82A02" w14:textId="77777777" w:rsidR="00532128" w:rsidRPr="00532128" w:rsidRDefault="0053212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Ministerstwo Zdrowia</w:t>
            </w:r>
          </w:p>
        </w:tc>
        <w:tc>
          <w:tcPr>
            <w:tcW w:w="1500" w:type="dxa"/>
            <w:vMerge w:val="restart"/>
          </w:tcPr>
          <w:p w14:paraId="103042BB" w14:textId="77777777" w:rsidR="00532128" w:rsidRPr="00532128" w:rsidRDefault="0053212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2018-2020</w:t>
            </w:r>
          </w:p>
        </w:tc>
        <w:tc>
          <w:tcPr>
            <w:tcW w:w="5638" w:type="dxa"/>
          </w:tcPr>
          <w:p w14:paraId="267CB5A9" w14:textId="77777777" w:rsidR="00532128" w:rsidRPr="00532128" w:rsidRDefault="00532128"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zrealizowanych działań mających na celu zintegrowanie nieformalnej opieki nad osobami niesamodzielnymi ze wsparciem formalnym</w:t>
            </w:r>
          </w:p>
        </w:tc>
      </w:tr>
      <w:tr w:rsidR="00532128" w:rsidRPr="0092226B" w14:paraId="350AA1EA"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72C95808" w14:textId="77777777" w:rsidR="00532128" w:rsidRPr="0092226B" w:rsidRDefault="00532128" w:rsidP="003C1988">
            <w:pPr>
              <w:rPr>
                <w:rFonts w:cs="Times New Roman"/>
                <w:color w:val="FF0000"/>
                <w:sz w:val="20"/>
              </w:rPr>
            </w:pPr>
          </w:p>
        </w:tc>
        <w:tc>
          <w:tcPr>
            <w:tcW w:w="3594" w:type="dxa"/>
            <w:vMerge/>
          </w:tcPr>
          <w:p w14:paraId="31432ABC" w14:textId="77777777" w:rsidR="00532128" w:rsidRPr="00532128" w:rsidRDefault="0053212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tcPr>
          <w:p w14:paraId="78CB43A3" w14:textId="77777777" w:rsidR="00532128" w:rsidRPr="00532128" w:rsidRDefault="0053212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tcPr>
          <w:p w14:paraId="28EEC026" w14:textId="77777777" w:rsidR="00532128" w:rsidRPr="00532128" w:rsidRDefault="0053212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shd w:val="clear" w:color="auto" w:fill="auto"/>
          </w:tcPr>
          <w:p w14:paraId="557CEFDC" w14:textId="1E08D69A" w:rsidR="00532128" w:rsidRPr="00532128" w:rsidRDefault="00532128" w:rsidP="00301065">
            <w:pPr>
              <w:cnfStyle w:val="000000000000" w:firstRow="0" w:lastRow="0" w:firstColumn="0" w:lastColumn="0" w:oddVBand="0" w:evenVBand="0" w:oddHBand="0" w:evenHBand="0" w:firstRowFirstColumn="0" w:firstRowLastColumn="0" w:lastRowFirstColumn="0" w:lastRowLastColumn="0"/>
              <w:rPr>
                <w:rFonts w:eastAsia="MS Mincho" w:cs="Times New Roman"/>
                <w:bCs/>
                <w:color w:val="auto"/>
                <w:sz w:val="20"/>
                <w:szCs w:val="20"/>
              </w:rPr>
            </w:pPr>
            <w:r w:rsidRPr="00532128">
              <w:rPr>
                <w:rFonts w:eastAsia="MS Mincho" w:cs="Times New Roman"/>
                <w:bCs/>
                <w:color w:val="auto"/>
                <w:sz w:val="20"/>
                <w:szCs w:val="20"/>
              </w:rPr>
              <w:t xml:space="preserve">Działania mające na celu wsparcie opiekunów nieformalnych zaplanowano w ramach obecnie procedowanego dokumentu strategicznego w zakresie </w:t>
            </w:r>
            <w:proofErr w:type="spellStart"/>
            <w:r w:rsidRPr="00532128">
              <w:rPr>
                <w:rFonts w:eastAsia="MS Mincho" w:cs="Times New Roman"/>
                <w:bCs/>
                <w:color w:val="auto"/>
                <w:sz w:val="20"/>
                <w:szCs w:val="20"/>
              </w:rPr>
              <w:t>deinstytucjonalizacji</w:t>
            </w:r>
            <w:proofErr w:type="spellEnd"/>
            <w:r w:rsidRPr="00532128">
              <w:rPr>
                <w:rFonts w:eastAsia="MS Mincho" w:cs="Times New Roman"/>
                <w:bCs/>
                <w:color w:val="auto"/>
                <w:sz w:val="20"/>
                <w:szCs w:val="20"/>
              </w:rPr>
              <w:t xml:space="preserve"> na rzecz osób starszych, stanowiącego załącznik do dokumentu pn. Zdrowa Przyszłość. Ramy strategiczne rozwoju systemu ochrony zdrowia </w:t>
            </w:r>
            <w:r w:rsidR="00E419A4">
              <w:rPr>
                <w:rFonts w:eastAsia="MS Mincho" w:cs="Times New Roman"/>
                <w:bCs/>
                <w:color w:val="auto"/>
                <w:sz w:val="20"/>
                <w:szCs w:val="20"/>
              </w:rPr>
              <w:t xml:space="preserve">     </w:t>
            </w:r>
            <w:r w:rsidRPr="00532128">
              <w:rPr>
                <w:rFonts w:eastAsia="MS Mincho" w:cs="Times New Roman"/>
                <w:bCs/>
                <w:color w:val="auto"/>
                <w:sz w:val="20"/>
                <w:szCs w:val="20"/>
              </w:rPr>
              <w:t>na lata 2021-</w:t>
            </w:r>
            <w:r w:rsidR="00E419A4">
              <w:rPr>
                <w:rFonts w:eastAsia="MS Mincho" w:cs="Times New Roman"/>
                <w:bCs/>
                <w:color w:val="auto"/>
                <w:sz w:val="20"/>
                <w:szCs w:val="20"/>
              </w:rPr>
              <w:t xml:space="preserve">2027, z perspektywą do 2030 r., </w:t>
            </w:r>
            <w:r w:rsidRPr="00532128">
              <w:rPr>
                <w:rFonts w:eastAsia="MS Mincho" w:cs="Times New Roman"/>
                <w:bCs/>
                <w:color w:val="auto"/>
                <w:sz w:val="20"/>
                <w:szCs w:val="20"/>
              </w:rPr>
              <w:t xml:space="preserve">a także przyjętego </w:t>
            </w:r>
            <w:r w:rsidR="00E419A4">
              <w:rPr>
                <w:rFonts w:eastAsia="MS Mincho" w:cs="Times New Roman"/>
                <w:bCs/>
                <w:color w:val="auto"/>
                <w:sz w:val="20"/>
                <w:szCs w:val="20"/>
              </w:rPr>
              <w:t xml:space="preserve">               </w:t>
            </w:r>
            <w:r w:rsidRPr="00532128">
              <w:rPr>
                <w:rFonts w:eastAsia="MS Mincho" w:cs="Times New Roman"/>
                <w:bCs/>
                <w:color w:val="auto"/>
                <w:sz w:val="20"/>
                <w:szCs w:val="20"/>
              </w:rPr>
              <w:t>w marcu 2021 r. Narodowego Programu Zdrowia na lata 2021-2025.</w:t>
            </w:r>
          </w:p>
        </w:tc>
      </w:tr>
      <w:tr w:rsidR="00532128" w:rsidRPr="0092226B" w14:paraId="42715B69"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73F2636C" w14:textId="77777777" w:rsidR="00532128" w:rsidRPr="0092226B" w:rsidRDefault="00532128" w:rsidP="003C1988">
            <w:pPr>
              <w:rPr>
                <w:rFonts w:cs="Times New Roman"/>
                <w:color w:val="FF0000"/>
                <w:sz w:val="20"/>
              </w:rPr>
            </w:pPr>
          </w:p>
        </w:tc>
        <w:tc>
          <w:tcPr>
            <w:tcW w:w="3594" w:type="dxa"/>
            <w:vMerge w:val="restart"/>
          </w:tcPr>
          <w:p w14:paraId="34DD2923" w14:textId="77777777" w:rsidR="00532128" w:rsidRPr="00532128" w:rsidRDefault="0053212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Wspieranie organizowania opieki krótkoterminowej nad osobami niesamodzielnymi – tzw. opieka </w:t>
            </w:r>
            <w:proofErr w:type="spellStart"/>
            <w:r w:rsidRPr="00532128">
              <w:rPr>
                <w:rFonts w:ascii="Times New Roman" w:eastAsia="MS Mincho" w:hAnsi="Times New Roman"/>
                <w:color w:val="auto"/>
                <w:sz w:val="20"/>
              </w:rPr>
              <w:t>wytchnieniowa</w:t>
            </w:r>
            <w:proofErr w:type="spellEnd"/>
            <w:r w:rsidRPr="00532128">
              <w:rPr>
                <w:rFonts w:ascii="Times New Roman" w:eastAsia="MS Mincho" w:hAnsi="Times New Roman"/>
                <w:color w:val="auto"/>
                <w:sz w:val="20"/>
              </w:rPr>
              <w:t xml:space="preserve"> dla opiekunów</w:t>
            </w:r>
          </w:p>
        </w:tc>
        <w:tc>
          <w:tcPr>
            <w:tcW w:w="2032" w:type="dxa"/>
            <w:vMerge w:val="restart"/>
          </w:tcPr>
          <w:p w14:paraId="7C522EBE" w14:textId="4BB8A65E" w:rsidR="00532128" w:rsidRPr="00532128" w:rsidRDefault="00081C36"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t xml:space="preserve">Ministerstwo Rodziny i Polityki Społecznej </w:t>
            </w:r>
          </w:p>
          <w:p w14:paraId="77D82CFA" w14:textId="77777777" w:rsidR="00532128" w:rsidRPr="00532128" w:rsidRDefault="0053212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val="restart"/>
          </w:tcPr>
          <w:p w14:paraId="3B4259B3" w14:textId="77777777" w:rsidR="00532128" w:rsidRPr="00532128" w:rsidRDefault="0053212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2018-2020</w:t>
            </w:r>
          </w:p>
        </w:tc>
        <w:tc>
          <w:tcPr>
            <w:tcW w:w="5638" w:type="dxa"/>
          </w:tcPr>
          <w:p w14:paraId="7B77EAA3" w14:textId="77777777" w:rsidR="00532128" w:rsidRPr="00532128" w:rsidRDefault="00532128"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zrealizowanych działań mających na celu wspieranie organizowania opieki krótkoterminowej nad osobami niesamodzielnymi</w:t>
            </w:r>
          </w:p>
        </w:tc>
      </w:tr>
      <w:tr w:rsidR="00532128" w:rsidRPr="0092226B" w14:paraId="3C544A11"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11CCB013" w14:textId="77777777" w:rsidR="00532128" w:rsidRPr="0092226B" w:rsidRDefault="00532128" w:rsidP="003C1988">
            <w:pPr>
              <w:rPr>
                <w:rFonts w:cs="Times New Roman"/>
                <w:color w:val="FF0000"/>
                <w:sz w:val="20"/>
              </w:rPr>
            </w:pPr>
          </w:p>
        </w:tc>
        <w:tc>
          <w:tcPr>
            <w:tcW w:w="3594" w:type="dxa"/>
            <w:vMerge/>
          </w:tcPr>
          <w:p w14:paraId="748B9613" w14:textId="77777777" w:rsidR="00532128" w:rsidRPr="00532128" w:rsidRDefault="0053212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tcPr>
          <w:p w14:paraId="2A095A8E" w14:textId="77777777" w:rsidR="00532128" w:rsidRPr="00532128" w:rsidRDefault="0053212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tcPr>
          <w:p w14:paraId="43E3B29B" w14:textId="77777777" w:rsidR="00532128" w:rsidRPr="00532128" w:rsidRDefault="0053212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shd w:val="clear" w:color="auto" w:fill="auto"/>
          </w:tcPr>
          <w:p w14:paraId="1147C6EB" w14:textId="6E0C7E02" w:rsidR="00532128" w:rsidRPr="00532128" w:rsidRDefault="00532128" w:rsidP="00553898">
            <w:pP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0"/>
                <w:szCs w:val="20"/>
              </w:rPr>
            </w:pPr>
            <w:r w:rsidRPr="00532128">
              <w:rPr>
                <w:rFonts w:eastAsia="MS Mincho" w:cs="Times New Roman"/>
                <w:color w:val="auto"/>
                <w:sz w:val="20"/>
                <w:szCs w:val="20"/>
              </w:rPr>
              <w:t xml:space="preserve">W RPO ze środków EFS rozwijane są usługi społeczne </w:t>
            </w:r>
            <w:r w:rsidRPr="00532128">
              <w:rPr>
                <w:rFonts w:eastAsia="Calibri" w:cs="Times New Roman"/>
                <w:color w:val="auto"/>
                <w:sz w:val="20"/>
                <w:szCs w:val="20"/>
              </w:rPr>
              <w:t xml:space="preserve"> </w:t>
            </w:r>
            <w:r w:rsidRPr="00532128">
              <w:rPr>
                <w:rFonts w:eastAsia="MS Mincho" w:cs="Times New Roman"/>
                <w:color w:val="auto"/>
                <w:sz w:val="20"/>
                <w:szCs w:val="20"/>
              </w:rPr>
              <w:t xml:space="preserve">świadczone w społeczności lokalnej w ramach PI 9iv ułatwianie dostępu </w:t>
            </w:r>
            <w:r w:rsidR="00E419A4">
              <w:rPr>
                <w:rFonts w:eastAsia="MS Mincho" w:cs="Times New Roman"/>
                <w:color w:val="auto"/>
                <w:sz w:val="20"/>
                <w:szCs w:val="20"/>
              </w:rPr>
              <w:t xml:space="preserve">                      </w:t>
            </w:r>
            <w:r w:rsidRPr="00532128">
              <w:rPr>
                <w:rFonts w:eastAsia="MS Mincho" w:cs="Times New Roman"/>
                <w:color w:val="auto"/>
                <w:sz w:val="20"/>
                <w:szCs w:val="20"/>
              </w:rPr>
              <w:t xml:space="preserve">do przystępnych cenowo, trwałych oraz wysokiej jakości usług, w tym opieki zdrowotnej i usług socjalnych świadczonych w interesie ogólnym. </w:t>
            </w:r>
            <w:r w:rsidRPr="00532128">
              <w:rPr>
                <w:rFonts w:eastAsia="Calibri" w:cs="Times New Roman"/>
                <w:color w:val="auto"/>
                <w:sz w:val="20"/>
                <w:szCs w:val="20"/>
              </w:rPr>
              <w:t xml:space="preserve"> </w:t>
            </w:r>
          </w:p>
          <w:p w14:paraId="09A6DA59" w14:textId="77777777" w:rsidR="00532128" w:rsidRPr="00532128" w:rsidRDefault="00532128" w:rsidP="00553898">
            <w:pPr>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0"/>
                <w:szCs w:val="20"/>
              </w:rPr>
            </w:pPr>
          </w:p>
          <w:p w14:paraId="61134BEA" w14:textId="2419C7FB" w:rsidR="00532128" w:rsidRPr="00532128" w:rsidRDefault="00532128" w:rsidP="00553898">
            <w:pPr>
              <w:cnfStyle w:val="000000000000" w:firstRow="0" w:lastRow="0" w:firstColumn="0" w:lastColumn="0" w:oddVBand="0" w:evenVBand="0" w:oddHBand="0" w:evenHBand="0" w:firstRowFirstColumn="0" w:firstRowLastColumn="0" w:lastRowFirstColumn="0" w:lastRowLastColumn="0"/>
              <w:rPr>
                <w:rFonts w:eastAsia="MS Mincho" w:cs="Times New Roman"/>
                <w:b/>
                <w:color w:val="auto"/>
                <w:sz w:val="20"/>
                <w:u w:val="single"/>
              </w:rPr>
            </w:pPr>
            <w:r w:rsidRPr="00532128">
              <w:rPr>
                <w:rFonts w:eastAsia="MS Mincho" w:cs="Times New Roman"/>
                <w:color w:val="auto"/>
                <w:sz w:val="20"/>
                <w:szCs w:val="20"/>
              </w:rPr>
              <w:t xml:space="preserve">Mogą to być m.in. usługi opiekuńcze w zakresie  krótkookresowego dziennego pobytu, których celem jest zapewnienie opieki dla osób potrzebujących wsparcia w codziennym funkcjonowaniu, w tym </w:t>
            </w:r>
            <w:r w:rsidR="00E419A4">
              <w:rPr>
                <w:rFonts w:eastAsia="MS Mincho" w:cs="Times New Roman"/>
                <w:color w:val="auto"/>
                <w:sz w:val="20"/>
                <w:szCs w:val="20"/>
              </w:rPr>
              <w:t xml:space="preserve">              </w:t>
            </w:r>
            <w:r w:rsidRPr="00532128">
              <w:rPr>
                <w:rFonts w:eastAsia="MS Mincho" w:cs="Times New Roman"/>
                <w:color w:val="auto"/>
                <w:sz w:val="20"/>
                <w:szCs w:val="20"/>
              </w:rPr>
              <w:t>w zastępstwie za opiekunów faktycznych czy mieszkań wspomaganych. Możliwe jest</w:t>
            </w:r>
            <w:r w:rsidRPr="00532128">
              <w:rPr>
                <w:rFonts w:eastAsia="Calibri" w:cs="Times New Roman"/>
                <w:color w:val="auto"/>
                <w:sz w:val="20"/>
                <w:szCs w:val="20"/>
              </w:rPr>
              <w:t xml:space="preserve"> </w:t>
            </w:r>
            <w:r w:rsidRPr="00532128">
              <w:rPr>
                <w:rFonts w:eastAsia="MS Mincho" w:cs="Times New Roman"/>
                <w:color w:val="auto"/>
                <w:sz w:val="20"/>
                <w:szCs w:val="20"/>
              </w:rPr>
              <w:t xml:space="preserve">tworzenie miejsc pobytu okresowego (opieka </w:t>
            </w:r>
            <w:proofErr w:type="spellStart"/>
            <w:r w:rsidRPr="00532128">
              <w:rPr>
                <w:rFonts w:eastAsia="MS Mincho" w:cs="Times New Roman"/>
                <w:color w:val="auto"/>
                <w:sz w:val="20"/>
                <w:szCs w:val="20"/>
              </w:rPr>
              <w:t>wytchnieniowa</w:t>
            </w:r>
            <w:proofErr w:type="spellEnd"/>
            <w:r w:rsidRPr="00532128">
              <w:rPr>
                <w:rFonts w:eastAsia="MS Mincho" w:cs="Times New Roman"/>
                <w:color w:val="auto"/>
                <w:sz w:val="20"/>
                <w:szCs w:val="20"/>
              </w:rPr>
              <w:t>) lub stałego jako miejsc w mieszkaniach wspomaganych w formie mieszkań wspieranych.</w:t>
            </w:r>
          </w:p>
        </w:tc>
      </w:tr>
      <w:tr w:rsidR="00532128" w:rsidRPr="0092226B" w14:paraId="5DF4E794" w14:textId="77777777" w:rsidTr="002D4784">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232" w:type="dxa"/>
            <w:vMerge/>
          </w:tcPr>
          <w:p w14:paraId="08AA43E6" w14:textId="77777777" w:rsidR="00532128" w:rsidRPr="0092226B" w:rsidRDefault="00532128" w:rsidP="003C1988">
            <w:pPr>
              <w:rPr>
                <w:rFonts w:cs="Times New Roman"/>
                <w:color w:val="FF0000"/>
                <w:sz w:val="20"/>
              </w:rPr>
            </w:pPr>
          </w:p>
        </w:tc>
        <w:tc>
          <w:tcPr>
            <w:tcW w:w="3594" w:type="dxa"/>
            <w:vMerge w:val="restart"/>
          </w:tcPr>
          <w:p w14:paraId="06FB7A3E" w14:textId="77777777" w:rsidR="00532128" w:rsidRPr="00532128" w:rsidRDefault="0053212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Wsparcie opiekunów nieformalnych niesamodzielnych osób starszych, </w:t>
            </w:r>
            <w:r w:rsidRPr="00532128">
              <w:rPr>
                <w:rFonts w:ascii="Times New Roman" w:eastAsia="MS Mincho" w:hAnsi="Times New Roman"/>
                <w:color w:val="auto"/>
                <w:sz w:val="20"/>
              </w:rPr>
              <w:br/>
              <w:t>w tym:</w:t>
            </w:r>
          </w:p>
          <w:p w14:paraId="788D4C06" w14:textId="77777777" w:rsidR="00532128" w:rsidRPr="00532128" w:rsidRDefault="00532128" w:rsidP="002D4784">
            <w:pPr>
              <w:pStyle w:val="Kolorowalistaakcent11"/>
              <w:numPr>
                <w:ilvl w:val="0"/>
                <w:numId w:val="10"/>
              </w:numPr>
              <w:ind w:left="36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upowszechnianie wiedzy na temat opieki nad niesamodzielną osobą starszą dla zwiększenia zaangażowania w opiekę opiekunów nieformalnych;</w:t>
            </w:r>
          </w:p>
          <w:p w14:paraId="5FAA8886" w14:textId="77777777" w:rsidR="00532128" w:rsidRPr="00532128" w:rsidRDefault="00532128" w:rsidP="002D4784">
            <w:pPr>
              <w:pStyle w:val="Kolorowalistaakcent11"/>
              <w:numPr>
                <w:ilvl w:val="0"/>
                <w:numId w:val="10"/>
              </w:numPr>
              <w:ind w:left="360"/>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sidRPr="00532128">
              <w:rPr>
                <w:rFonts w:ascii="Times New Roman" w:eastAsia="MS Mincho" w:hAnsi="Times New Roman"/>
                <w:color w:val="auto"/>
                <w:sz w:val="20"/>
              </w:rPr>
              <w:t>tworzenie i rozwijanie form wsparcia dla opiekunów osób niesamodzielnych w tym mieszkań chronionych</w:t>
            </w:r>
          </w:p>
        </w:tc>
        <w:tc>
          <w:tcPr>
            <w:tcW w:w="2032" w:type="dxa"/>
            <w:vMerge w:val="restart"/>
          </w:tcPr>
          <w:p w14:paraId="58A610B9" w14:textId="4A82B965" w:rsidR="00532128" w:rsidRPr="00532128" w:rsidRDefault="00081C36" w:rsidP="00081C36">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081C36">
              <w:rPr>
                <w:rFonts w:ascii="Times New Roman" w:eastAsia="MS Mincho" w:hAnsi="Times New Roman"/>
                <w:color w:val="auto"/>
                <w:sz w:val="20"/>
              </w:rPr>
              <w:t xml:space="preserve">Ministerstwo Rodziny i Polityki Społecznej </w:t>
            </w:r>
          </w:p>
        </w:tc>
        <w:tc>
          <w:tcPr>
            <w:tcW w:w="1500" w:type="dxa"/>
            <w:vMerge w:val="restart"/>
          </w:tcPr>
          <w:p w14:paraId="75DC7207" w14:textId="77777777" w:rsidR="00532128" w:rsidRPr="00532128" w:rsidRDefault="0053212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2018-2020</w:t>
            </w:r>
          </w:p>
        </w:tc>
        <w:tc>
          <w:tcPr>
            <w:tcW w:w="5638" w:type="dxa"/>
          </w:tcPr>
          <w:p w14:paraId="250F7B2B" w14:textId="77777777" w:rsidR="00532128" w:rsidRPr="00532128" w:rsidRDefault="00532128" w:rsidP="003C1988">
            <w:pPr>
              <w:cnfStyle w:val="000000100000" w:firstRow="0" w:lastRow="0" w:firstColumn="0" w:lastColumn="0" w:oddVBand="0" w:evenVBand="0" w:oddHBand="1" w:evenHBand="0" w:firstRowFirstColumn="0" w:firstRowLastColumn="0" w:lastRowFirstColumn="0" w:lastRowLastColumn="0"/>
              <w:rPr>
                <w:rFonts w:eastAsia="MS Mincho" w:cs="Times New Roman"/>
                <w:b/>
                <w:i/>
                <w:color w:val="auto"/>
                <w:sz w:val="20"/>
                <w:u w:val="single"/>
              </w:rPr>
            </w:pPr>
            <w:r w:rsidRPr="00532128">
              <w:rPr>
                <w:rFonts w:eastAsia="MS Mincho" w:cs="Times New Roman"/>
                <w:i/>
                <w:color w:val="auto"/>
                <w:sz w:val="20"/>
              </w:rPr>
              <w:t>Liczba zrealizowanych działań mających na celu wsparcie opiekunów nieformalnych osób niesamodzielnych</w:t>
            </w:r>
          </w:p>
        </w:tc>
      </w:tr>
      <w:tr w:rsidR="00532128" w:rsidRPr="0092226B" w14:paraId="122CFC16" w14:textId="77777777" w:rsidTr="002D4784">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1764F322" w14:textId="77777777" w:rsidR="00532128" w:rsidRPr="0092226B" w:rsidRDefault="00532128" w:rsidP="003C1988">
            <w:pPr>
              <w:rPr>
                <w:rFonts w:cs="Times New Roman"/>
                <w:color w:val="FF0000"/>
                <w:sz w:val="20"/>
              </w:rPr>
            </w:pPr>
          </w:p>
        </w:tc>
        <w:tc>
          <w:tcPr>
            <w:tcW w:w="3594" w:type="dxa"/>
            <w:vMerge/>
          </w:tcPr>
          <w:p w14:paraId="16D01514" w14:textId="77777777" w:rsidR="00532128" w:rsidRPr="00532128" w:rsidRDefault="00532128" w:rsidP="002D4784">
            <w:pPr>
              <w:pStyle w:val="Kolorowalistaakcent11"/>
              <w:ind w:left="0"/>
              <w:jc w:val="left"/>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tcPr>
          <w:p w14:paraId="47C55CCF" w14:textId="77777777" w:rsidR="00532128" w:rsidRPr="00532128" w:rsidRDefault="0053212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tcPr>
          <w:p w14:paraId="7986420B" w14:textId="77777777" w:rsidR="00532128" w:rsidRPr="00532128" w:rsidRDefault="0053212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shd w:val="clear" w:color="auto" w:fill="auto"/>
          </w:tcPr>
          <w:p w14:paraId="2EA09FD3" w14:textId="7CB38963" w:rsidR="00532128" w:rsidRPr="00532128" w:rsidRDefault="00532128" w:rsidP="00B56B73">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Głównym celem Programu było wsparcie członków rodzin </w:t>
            </w:r>
            <w:r w:rsidR="00E419A4">
              <w:rPr>
                <w:rFonts w:eastAsia="MS Mincho" w:cs="Times New Roman"/>
                <w:color w:val="auto"/>
                <w:sz w:val="20"/>
              </w:rPr>
              <w:t xml:space="preserve">                      </w:t>
            </w:r>
            <w:r w:rsidRPr="00532128">
              <w:rPr>
                <w:rFonts w:eastAsia="MS Mincho" w:cs="Times New Roman"/>
                <w:color w:val="auto"/>
                <w:sz w:val="20"/>
              </w:rPr>
              <w:t>lub opiekunów sprawujących bezpośrednią opiekę nad:</w:t>
            </w:r>
          </w:p>
          <w:p w14:paraId="632036FE" w14:textId="58FF47AB" w:rsidR="00532128" w:rsidRPr="00532128" w:rsidRDefault="00E419A4" w:rsidP="00B56B73">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Pr>
                <w:rFonts w:eastAsia="MS Mincho" w:cs="Times New Roman"/>
                <w:color w:val="auto"/>
                <w:sz w:val="20"/>
              </w:rPr>
              <w:t>1. </w:t>
            </w:r>
            <w:r w:rsidR="00532128" w:rsidRPr="00532128">
              <w:rPr>
                <w:rFonts w:eastAsia="MS Mincho" w:cs="Times New Roman"/>
                <w:color w:val="auto"/>
                <w:sz w:val="20"/>
              </w:rPr>
              <w:t>dziećmi z orzeczeniem o niepełnosprawności,</w:t>
            </w:r>
          </w:p>
          <w:p w14:paraId="65EAAA34" w14:textId="36E96738" w:rsidR="00532128" w:rsidRPr="00532128" w:rsidRDefault="00E419A4" w:rsidP="00B56B73">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Pr>
                <w:rFonts w:eastAsia="MS Mincho" w:cs="Times New Roman"/>
                <w:color w:val="auto"/>
                <w:sz w:val="20"/>
              </w:rPr>
              <w:t>2. </w:t>
            </w:r>
            <w:r w:rsidR="00532128" w:rsidRPr="00532128">
              <w:rPr>
                <w:rFonts w:eastAsia="MS Mincho" w:cs="Times New Roman"/>
                <w:color w:val="auto"/>
                <w:sz w:val="20"/>
              </w:rPr>
              <w:t xml:space="preserve">osobami ze znacznym stopniem niepełnosprawności </w:t>
            </w:r>
            <w:r>
              <w:rPr>
                <w:rFonts w:eastAsia="MS Mincho" w:cs="Times New Roman"/>
                <w:color w:val="auto"/>
                <w:sz w:val="20"/>
              </w:rPr>
              <w:t xml:space="preserve">                           </w:t>
            </w:r>
            <w:r w:rsidR="00532128" w:rsidRPr="00532128">
              <w:rPr>
                <w:rFonts w:eastAsia="MS Mincho" w:cs="Times New Roman"/>
                <w:color w:val="auto"/>
                <w:sz w:val="20"/>
              </w:rPr>
              <w:t xml:space="preserve">oraz orzeczeniami równoważnymi </w:t>
            </w:r>
          </w:p>
          <w:p w14:paraId="7690775C" w14:textId="2BD007A7" w:rsidR="00532128" w:rsidRPr="00532128" w:rsidRDefault="00532128" w:rsidP="00B56B73">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 poprzez możliwość uzyskania doraźnej, czasowej pomocy </w:t>
            </w:r>
            <w:r w:rsidR="00E419A4">
              <w:rPr>
                <w:rFonts w:eastAsia="MS Mincho" w:cs="Times New Roman"/>
                <w:color w:val="auto"/>
                <w:sz w:val="20"/>
              </w:rPr>
              <w:t xml:space="preserve">                       </w:t>
            </w:r>
            <w:r w:rsidRPr="00532128">
              <w:rPr>
                <w:rFonts w:eastAsia="MS Mincho" w:cs="Times New Roman"/>
                <w:color w:val="auto"/>
                <w:sz w:val="20"/>
              </w:rPr>
              <w:t xml:space="preserve">w formie usługi opieki </w:t>
            </w:r>
            <w:proofErr w:type="spellStart"/>
            <w:r w:rsidRPr="00532128">
              <w:rPr>
                <w:rFonts w:eastAsia="MS Mincho" w:cs="Times New Roman"/>
                <w:color w:val="auto"/>
                <w:sz w:val="20"/>
              </w:rPr>
              <w:t>wytchnieniowej</w:t>
            </w:r>
            <w:proofErr w:type="spellEnd"/>
            <w:r w:rsidRPr="00532128">
              <w:rPr>
                <w:rFonts w:eastAsia="MS Mincho" w:cs="Times New Roman"/>
                <w:color w:val="auto"/>
                <w:sz w:val="20"/>
              </w:rPr>
              <w:t xml:space="preserve">. </w:t>
            </w:r>
          </w:p>
          <w:p w14:paraId="76A2186C" w14:textId="2BDDACF4" w:rsidR="00532128" w:rsidRPr="00532128" w:rsidRDefault="00532128" w:rsidP="00B56B73">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Program był realizowany za pośrednictwem i z udziałem samorządów szczebla gminnego i powiatowego Źródłem finansowania Programu </w:t>
            </w:r>
            <w:r w:rsidR="00E419A4">
              <w:rPr>
                <w:rFonts w:eastAsia="MS Mincho" w:cs="Times New Roman"/>
                <w:color w:val="auto"/>
                <w:sz w:val="20"/>
              </w:rPr>
              <w:t xml:space="preserve">edycja 2020, były środki ujęte </w:t>
            </w:r>
            <w:r w:rsidRPr="00532128">
              <w:rPr>
                <w:rFonts w:eastAsia="MS Mincho" w:cs="Times New Roman"/>
                <w:color w:val="auto"/>
                <w:sz w:val="20"/>
              </w:rPr>
              <w:t>w planie finansowym Funduszu Solidarnościowego.</w:t>
            </w:r>
          </w:p>
          <w:p w14:paraId="438FE244" w14:textId="77777777" w:rsidR="00532128" w:rsidRPr="00532128" w:rsidRDefault="00532128" w:rsidP="00E35EA1">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p w14:paraId="01E82E70" w14:textId="38973C25" w:rsidR="00532128" w:rsidRPr="00532128" w:rsidRDefault="00532128" w:rsidP="00E35EA1">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 xml:space="preserve">W RPO ze środków EFS rozwijane są usługi społeczne  świadczone w społeczności lokalnej w ramach PI 9iv Ułatwianie dostępu </w:t>
            </w:r>
            <w:r w:rsidR="00E419A4">
              <w:rPr>
                <w:rFonts w:eastAsia="MS Mincho" w:cs="Times New Roman"/>
                <w:color w:val="auto"/>
                <w:sz w:val="20"/>
              </w:rPr>
              <w:t xml:space="preserve">                   </w:t>
            </w:r>
            <w:r w:rsidRPr="00532128">
              <w:rPr>
                <w:rFonts w:eastAsia="MS Mincho" w:cs="Times New Roman"/>
                <w:color w:val="auto"/>
                <w:sz w:val="20"/>
              </w:rPr>
              <w:t xml:space="preserve">do przystępnych cenowo, trwałych oraz wysokiej jakości usług, </w:t>
            </w:r>
            <w:r w:rsidR="00E419A4">
              <w:rPr>
                <w:rFonts w:eastAsia="MS Mincho" w:cs="Times New Roman"/>
                <w:color w:val="auto"/>
                <w:sz w:val="20"/>
              </w:rPr>
              <w:t xml:space="preserve">              </w:t>
            </w:r>
            <w:r w:rsidRPr="00532128">
              <w:rPr>
                <w:rFonts w:eastAsia="MS Mincho" w:cs="Times New Roman"/>
                <w:color w:val="auto"/>
                <w:sz w:val="20"/>
              </w:rPr>
              <w:t xml:space="preserve">w tym opieki zdrowotnej i usług socjalnych świadczonych </w:t>
            </w:r>
            <w:r w:rsidR="00E419A4">
              <w:rPr>
                <w:rFonts w:eastAsia="MS Mincho" w:cs="Times New Roman"/>
                <w:color w:val="auto"/>
                <w:sz w:val="20"/>
              </w:rPr>
              <w:t xml:space="preserve">                           </w:t>
            </w:r>
            <w:r w:rsidRPr="00532128">
              <w:rPr>
                <w:rFonts w:eastAsia="MS Mincho" w:cs="Times New Roman"/>
                <w:color w:val="auto"/>
                <w:sz w:val="20"/>
              </w:rPr>
              <w:t xml:space="preserve">w interesie ogólnym.  </w:t>
            </w:r>
          </w:p>
          <w:p w14:paraId="434A2919" w14:textId="77777777" w:rsidR="00532128" w:rsidRPr="00532128" w:rsidRDefault="00532128" w:rsidP="00E35EA1">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p w14:paraId="0F177695" w14:textId="7289596A" w:rsidR="00532128" w:rsidRPr="00532128" w:rsidRDefault="00532128" w:rsidP="00E35EA1">
            <w:pPr>
              <w:cnfStyle w:val="000000000000" w:firstRow="0" w:lastRow="0" w:firstColumn="0" w:lastColumn="0" w:oddVBand="0" w:evenVBand="0" w:oddHBand="0" w:evenHBand="0" w:firstRowFirstColumn="0" w:firstRowLastColumn="0" w:lastRowFirstColumn="0" w:lastRowLastColumn="0"/>
              <w:rPr>
                <w:rFonts w:eastAsia="MS Mincho" w:cs="Times New Roman"/>
                <w:b/>
                <w:color w:val="auto"/>
                <w:sz w:val="20"/>
                <w:u w:val="single"/>
              </w:rPr>
            </w:pPr>
            <w:r w:rsidRPr="00532128">
              <w:rPr>
                <w:rFonts w:eastAsia="MS Mincho" w:cs="Times New Roman"/>
                <w:color w:val="auto"/>
                <w:sz w:val="20"/>
              </w:rPr>
              <w:t xml:space="preserve">Mogą to być m.in. usługi opiekuńcze w zakresie krótkookresowego dziennego pobytu, których celem jest zapewnienie opieki dla osób potrzebujących wsparcia w codziennym funkcjonowaniu, w tym </w:t>
            </w:r>
            <w:r w:rsidR="00E419A4">
              <w:rPr>
                <w:rFonts w:eastAsia="MS Mincho" w:cs="Times New Roman"/>
                <w:color w:val="auto"/>
                <w:sz w:val="20"/>
              </w:rPr>
              <w:t xml:space="preserve">               </w:t>
            </w:r>
            <w:r w:rsidRPr="00532128">
              <w:rPr>
                <w:rFonts w:eastAsia="MS Mincho" w:cs="Times New Roman"/>
                <w:color w:val="auto"/>
                <w:sz w:val="20"/>
              </w:rPr>
              <w:t xml:space="preserve">w zastępstwie za opiekunów faktycznych czy mieszkań wspomaganych. Możliwe jest tworzenie miejsc pobytu okresowego (opieka </w:t>
            </w:r>
            <w:proofErr w:type="spellStart"/>
            <w:r w:rsidRPr="00532128">
              <w:rPr>
                <w:rFonts w:eastAsia="MS Mincho" w:cs="Times New Roman"/>
                <w:color w:val="auto"/>
                <w:sz w:val="20"/>
              </w:rPr>
              <w:t>wytchnieniowa</w:t>
            </w:r>
            <w:proofErr w:type="spellEnd"/>
            <w:r w:rsidRPr="00532128">
              <w:rPr>
                <w:rFonts w:eastAsia="MS Mincho" w:cs="Times New Roman"/>
                <w:color w:val="auto"/>
                <w:sz w:val="20"/>
              </w:rPr>
              <w:t>) lub stałego jako miejsc w mieszkaniach wspomaganych w formie mieszkań wspieranych.</w:t>
            </w:r>
          </w:p>
        </w:tc>
      </w:tr>
      <w:tr w:rsidR="00532128" w:rsidRPr="0092226B" w14:paraId="62C51E32" w14:textId="77777777" w:rsidTr="002D478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62CF962E" w14:textId="77777777" w:rsidR="00532128" w:rsidRPr="0092226B" w:rsidRDefault="00532128" w:rsidP="003C1988">
            <w:pPr>
              <w:rPr>
                <w:rFonts w:cs="Times New Roman"/>
                <w:color w:val="FF0000"/>
                <w:sz w:val="20"/>
              </w:rPr>
            </w:pPr>
          </w:p>
        </w:tc>
        <w:tc>
          <w:tcPr>
            <w:tcW w:w="3594" w:type="dxa"/>
            <w:vMerge w:val="restart"/>
          </w:tcPr>
          <w:p w14:paraId="50C159C5" w14:textId="77777777" w:rsidR="00532128" w:rsidRPr="00532128" w:rsidRDefault="00532128" w:rsidP="002D4784">
            <w:pPr>
              <w:pStyle w:val="Kolorowalistaakcent11"/>
              <w:ind w:left="0"/>
              <w:jc w:val="left"/>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 xml:space="preserve">Włączanie w proces wsparcia osób niesamodzielnych i ich opiekunów przedstawicieli Kościoła Katolickiego </w:t>
            </w:r>
            <w:r w:rsidRPr="00532128">
              <w:rPr>
                <w:rFonts w:ascii="Times New Roman" w:eastAsia="MS Mincho" w:hAnsi="Times New Roman"/>
                <w:color w:val="auto"/>
                <w:sz w:val="20"/>
              </w:rPr>
              <w:br/>
              <w:t>i innych związków wyznaniowych</w:t>
            </w:r>
          </w:p>
        </w:tc>
        <w:tc>
          <w:tcPr>
            <w:tcW w:w="2032" w:type="dxa"/>
            <w:vMerge w:val="restart"/>
          </w:tcPr>
          <w:p w14:paraId="249DCC76" w14:textId="77777777" w:rsidR="00532128" w:rsidRPr="00532128" w:rsidRDefault="0053212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Komitet do spraw Pożytku Publicznego</w:t>
            </w:r>
          </w:p>
          <w:p w14:paraId="54B981F0" w14:textId="77777777" w:rsidR="00532128" w:rsidRPr="00532128" w:rsidRDefault="0053212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p w14:paraId="6BBAC16E" w14:textId="77777777" w:rsidR="00532128" w:rsidRPr="00532128" w:rsidRDefault="0053212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p>
        </w:tc>
        <w:tc>
          <w:tcPr>
            <w:tcW w:w="1500" w:type="dxa"/>
            <w:vMerge w:val="restart"/>
          </w:tcPr>
          <w:p w14:paraId="769B92B7" w14:textId="77777777" w:rsidR="00532128" w:rsidRPr="00532128" w:rsidRDefault="0053212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olor w:val="auto"/>
                <w:sz w:val="20"/>
              </w:rPr>
            </w:pPr>
            <w:r w:rsidRPr="00532128">
              <w:rPr>
                <w:rFonts w:ascii="Times New Roman" w:eastAsia="MS Mincho" w:hAnsi="Times New Roman"/>
                <w:color w:val="auto"/>
                <w:sz w:val="20"/>
              </w:rPr>
              <w:t>Działanie ciągłe*</w:t>
            </w:r>
          </w:p>
        </w:tc>
        <w:tc>
          <w:tcPr>
            <w:tcW w:w="5638" w:type="dxa"/>
          </w:tcPr>
          <w:p w14:paraId="49587D20" w14:textId="77777777" w:rsidR="00532128" w:rsidRPr="00532128" w:rsidRDefault="00532128" w:rsidP="003C1988">
            <w:pPr>
              <w:pStyle w:val="Kolorowalistaakcent11"/>
              <w:ind w:left="0"/>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i/>
                <w:color w:val="auto"/>
                <w:sz w:val="20"/>
              </w:rPr>
            </w:pPr>
            <w:r w:rsidRPr="00532128">
              <w:rPr>
                <w:rFonts w:ascii="Times New Roman" w:eastAsia="MS Mincho" w:hAnsi="Times New Roman"/>
                <w:i/>
                <w:color w:val="auto"/>
                <w:sz w:val="20"/>
              </w:rPr>
              <w:t>Liczba wspartych podmiotów Kościoła Katolickiego i innych związków wyznaniowych w obszarze wsparcia osób niesamodzielnych i ich opiekunów</w:t>
            </w:r>
          </w:p>
        </w:tc>
      </w:tr>
      <w:tr w:rsidR="00532128" w:rsidRPr="0092226B" w14:paraId="24918F2B" w14:textId="77777777" w:rsidTr="00532128">
        <w:trPr>
          <w:trHeight w:val="720"/>
        </w:trPr>
        <w:tc>
          <w:tcPr>
            <w:cnfStyle w:val="001000000000" w:firstRow="0" w:lastRow="0" w:firstColumn="1" w:lastColumn="0" w:oddVBand="0" w:evenVBand="0" w:oddHBand="0" w:evenHBand="0" w:firstRowFirstColumn="0" w:firstRowLastColumn="0" w:lastRowFirstColumn="0" w:lastRowLastColumn="0"/>
            <w:tcW w:w="1232" w:type="dxa"/>
            <w:vMerge/>
          </w:tcPr>
          <w:p w14:paraId="3F2461BF" w14:textId="77777777" w:rsidR="00532128" w:rsidRPr="0092226B" w:rsidRDefault="00532128" w:rsidP="003C1988">
            <w:pPr>
              <w:rPr>
                <w:rFonts w:cs="Times New Roman"/>
                <w:color w:val="FF0000"/>
                <w:sz w:val="20"/>
              </w:rPr>
            </w:pPr>
          </w:p>
        </w:tc>
        <w:tc>
          <w:tcPr>
            <w:tcW w:w="3594" w:type="dxa"/>
            <w:vMerge/>
          </w:tcPr>
          <w:p w14:paraId="71C6A058" w14:textId="77777777" w:rsidR="00532128" w:rsidRPr="00532128" w:rsidRDefault="0053212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2032" w:type="dxa"/>
            <w:vMerge/>
          </w:tcPr>
          <w:p w14:paraId="6C024681" w14:textId="77777777" w:rsidR="00532128" w:rsidRPr="00532128" w:rsidRDefault="00532128" w:rsidP="003C1988">
            <w:pPr>
              <w:pStyle w:val="Kolorowalistaakcent11"/>
              <w:ind w:left="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olor w:val="auto"/>
                <w:sz w:val="20"/>
              </w:rPr>
            </w:pPr>
          </w:p>
        </w:tc>
        <w:tc>
          <w:tcPr>
            <w:tcW w:w="1500" w:type="dxa"/>
            <w:vMerge/>
          </w:tcPr>
          <w:p w14:paraId="2E57AA7E" w14:textId="77777777" w:rsidR="00532128" w:rsidRPr="00532128" w:rsidRDefault="0053212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p>
        </w:tc>
        <w:tc>
          <w:tcPr>
            <w:tcW w:w="5638" w:type="dxa"/>
            <w:shd w:val="clear" w:color="auto" w:fill="auto"/>
          </w:tcPr>
          <w:p w14:paraId="74345F57" w14:textId="53747BD3" w:rsidR="00532128" w:rsidRPr="00532128" w:rsidRDefault="0053212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 ramach programów dot</w:t>
            </w:r>
            <w:r w:rsidR="00E419A4">
              <w:rPr>
                <w:rFonts w:eastAsia="MS Mincho" w:cs="Times New Roman"/>
                <w:color w:val="auto"/>
                <w:sz w:val="20"/>
              </w:rPr>
              <w:t>acyjnych organizowanych przez NI</w:t>
            </w:r>
            <w:r w:rsidRPr="00532128">
              <w:rPr>
                <w:rFonts w:eastAsia="MS Mincho" w:cs="Times New Roman"/>
                <w:color w:val="auto"/>
                <w:sz w:val="20"/>
              </w:rPr>
              <w:t>W-CRSO w 2020 r. dofinansowano łącznie 20 organizacji - przedstawicieli Kościoła Katolickiego w przedmiotowym zakresie.</w:t>
            </w:r>
          </w:p>
          <w:p w14:paraId="183A75F5" w14:textId="77777777" w:rsidR="00532128" w:rsidRPr="00532128" w:rsidRDefault="00532128" w:rsidP="003C1988">
            <w:pPr>
              <w:cnfStyle w:val="000000000000" w:firstRow="0" w:lastRow="0" w:firstColumn="0" w:lastColumn="0" w:oddVBand="0" w:evenVBand="0" w:oddHBand="0" w:evenHBand="0" w:firstRowFirstColumn="0" w:firstRowLastColumn="0" w:lastRowFirstColumn="0" w:lastRowLastColumn="0"/>
              <w:rPr>
                <w:rFonts w:eastAsia="MS Mincho" w:cs="Times New Roman"/>
                <w:b/>
                <w:color w:val="auto"/>
                <w:sz w:val="20"/>
              </w:rPr>
            </w:pPr>
          </w:p>
          <w:p w14:paraId="15CBFA78" w14:textId="20ACA206" w:rsidR="00532128" w:rsidRPr="00532128" w:rsidRDefault="00532128" w:rsidP="00A74BE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lastRenderedPageBreak/>
              <w:t>W ramach Programu Fundusz Inicjatyw Obywatelskich na lata 2014</w:t>
            </w:r>
            <w:r w:rsidR="00E419A4">
              <w:rPr>
                <w:rFonts w:eastAsia="MS Mincho" w:cs="Times New Roman"/>
                <w:color w:val="auto"/>
                <w:sz w:val="20"/>
              </w:rPr>
              <w:t>-</w:t>
            </w:r>
            <w:r w:rsidRPr="00532128">
              <w:rPr>
                <w:rFonts w:eastAsia="MS Mincho" w:cs="Times New Roman"/>
                <w:color w:val="auto"/>
                <w:sz w:val="20"/>
              </w:rPr>
              <w:t>2020 dofinansowano 2 orga</w:t>
            </w:r>
            <w:r w:rsidR="00E419A4">
              <w:rPr>
                <w:rFonts w:eastAsia="MS Mincho" w:cs="Times New Roman"/>
                <w:color w:val="auto"/>
                <w:sz w:val="20"/>
              </w:rPr>
              <w:t>nizacje na łączną kwotę 181 396 </w:t>
            </w:r>
            <w:r w:rsidRPr="00532128">
              <w:rPr>
                <w:rFonts w:eastAsia="MS Mincho" w:cs="Times New Roman"/>
                <w:color w:val="auto"/>
                <w:sz w:val="20"/>
              </w:rPr>
              <w:t>zł.</w:t>
            </w:r>
          </w:p>
          <w:p w14:paraId="4D54857D" w14:textId="08FEBE3A" w:rsidR="00532128" w:rsidRPr="00532128" w:rsidRDefault="00532128" w:rsidP="00A74BE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 ramach Programu Rozwoju Organizacji Obywatelskich Priorytet 1 A — Zrównoważony rozwój organizacyjny - wsparcie działań misyjnych i rozwoju instytucjo</w:t>
            </w:r>
            <w:r w:rsidR="00E419A4">
              <w:rPr>
                <w:rFonts w:eastAsia="MS Mincho" w:cs="Times New Roman"/>
                <w:color w:val="auto"/>
                <w:sz w:val="20"/>
              </w:rPr>
              <w:t>nalnego zostały dofinansowane 2 </w:t>
            </w:r>
            <w:r w:rsidRPr="00532128">
              <w:rPr>
                <w:rFonts w:eastAsia="MS Mincho" w:cs="Times New Roman"/>
                <w:color w:val="auto"/>
                <w:sz w:val="20"/>
              </w:rPr>
              <w:t>organizacje na łączną kwotę 406 211,11 zł.</w:t>
            </w:r>
          </w:p>
          <w:p w14:paraId="3E91F995" w14:textId="13EE73E2" w:rsidR="00532128" w:rsidRPr="00532128" w:rsidRDefault="00532128" w:rsidP="00A74BE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 ramach Programu Rozwoju Organizacji Obywatelskich Prio</w:t>
            </w:r>
            <w:r w:rsidR="00E419A4">
              <w:rPr>
                <w:rFonts w:eastAsia="MS Mincho" w:cs="Times New Roman"/>
                <w:color w:val="auto"/>
                <w:sz w:val="20"/>
              </w:rPr>
              <w:t>rytet </w:t>
            </w:r>
            <w:r w:rsidRPr="00532128">
              <w:rPr>
                <w:rFonts w:eastAsia="MS Mincho" w:cs="Times New Roman"/>
                <w:color w:val="auto"/>
                <w:sz w:val="20"/>
              </w:rPr>
              <w:t>5 - Wsparcie doraźne zost</w:t>
            </w:r>
            <w:r w:rsidR="00E419A4">
              <w:rPr>
                <w:rFonts w:eastAsia="MS Mincho" w:cs="Times New Roman"/>
                <w:color w:val="auto"/>
                <w:sz w:val="20"/>
              </w:rPr>
              <w:t xml:space="preserve">ało wspartych 10 organizacji na </w:t>
            </w:r>
            <w:r w:rsidRPr="00532128">
              <w:rPr>
                <w:rFonts w:eastAsia="MS Mincho" w:cs="Times New Roman"/>
                <w:color w:val="auto"/>
                <w:sz w:val="20"/>
              </w:rPr>
              <w:t>łączną kwotę 85 159,50 zł.</w:t>
            </w:r>
          </w:p>
          <w:p w14:paraId="5A164CEA" w14:textId="71EDDCA3" w:rsidR="00532128" w:rsidRPr="00E419A4" w:rsidRDefault="00532128" w:rsidP="003C1988">
            <w:pPr>
              <w:cnfStyle w:val="000000000000" w:firstRow="0" w:lastRow="0" w:firstColumn="0" w:lastColumn="0" w:oddVBand="0" w:evenVBand="0" w:oddHBand="0" w:evenHBand="0" w:firstRowFirstColumn="0" w:firstRowLastColumn="0" w:lastRowFirstColumn="0" w:lastRowLastColumn="0"/>
              <w:rPr>
                <w:rFonts w:eastAsia="MS Mincho" w:cs="Times New Roman"/>
                <w:color w:val="auto"/>
                <w:sz w:val="20"/>
              </w:rPr>
            </w:pPr>
            <w:r w:rsidRPr="00532128">
              <w:rPr>
                <w:rFonts w:eastAsia="MS Mincho" w:cs="Times New Roman"/>
                <w:color w:val="auto"/>
                <w:sz w:val="20"/>
              </w:rPr>
              <w:t>W ramach Programu Program Wsparcia Doraźnego Organizacji Pozarządowych w zakresie przeciwdziałania skutkom COV1D-19 zostało dofinansowanych 6 zadań publicznych na ogó</w:t>
            </w:r>
            <w:r w:rsidR="00E419A4">
              <w:rPr>
                <w:rFonts w:eastAsia="MS Mincho" w:cs="Times New Roman"/>
                <w:color w:val="auto"/>
                <w:sz w:val="20"/>
              </w:rPr>
              <w:t>lną kwotę 207 </w:t>
            </w:r>
            <w:r w:rsidRPr="00532128">
              <w:rPr>
                <w:rFonts w:eastAsia="MS Mincho" w:cs="Times New Roman"/>
                <w:color w:val="auto"/>
                <w:sz w:val="20"/>
              </w:rPr>
              <w:t>056,44 zł</w:t>
            </w:r>
            <w:r w:rsidR="00E419A4">
              <w:rPr>
                <w:rFonts w:eastAsia="MS Mincho" w:cs="Times New Roman"/>
                <w:color w:val="auto"/>
                <w:sz w:val="20"/>
              </w:rPr>
              <w:t>.</w:t>
            </w:r>
          </w:p>
        </w:tc>
      </w:tr>
    </w:tbl>
    <w:p w14:paraId="7F2E219C" w14:textId="77777777" w:rsidR="00311D18" w:rsidRPr="0092226B" w:rsidRDefault="00311D18" w:rsidP="003C1988">
      <w:pPr>
        <w:autoSpaceDE w:val="0"/>
        <w:autoSpaceDN w:val="0"/>
        <w:adjustRightInd w:val="0"/>
        <w:spacing w:before="120" w:after="120"/>
        <w:rPr>
          <w:rFonts w:cs="Times New Roman"/>
          <w:bCs/>
          <w:color w:val="FF0000"/>
          <w:szCs w:val="24"/>
        </w:rPr>
      </w:pPr>
    </w:p>
    <w:p w14:paraId="27CC5855" w14:textId="77777777" w:rsidR="009A1C19" w:rsidRPr="0092226B" w:rsidRDefault="009A1C19" w:rsidP="003C1988">
      <w:pPr>
        <w:rPr>
          <w:color w:val="FF0000"/>
          <w:lang w:eastAsia="ar-SA"/>
        </w:rPr>
      </w:pPr>
    </w:p>
    <w:p w14:paraId="656575B1" w14:textId="77777777" w:rsidR="00311D18" w:rsidRPr="0092226B" w:rsidRDefault="00311D18" w:rsidP="00FE70E3">
      <w:pPr>
        <w:pStyle w:val="Nagwek1"/>
        <w:numPr>
          <w:ilvl w:val="0"/>
          <w:numId w:val="12"/>
        </w:numPr>
        <w:rPr>
          <w:color w:val="FF0000"/>
          <w:lang w:eastAsia="ar-SA"/>
        </w:rPr>
        <w:sectPr w:rsidR="00311D18" w:rsidRPr="0092226B" w:rsidSect="00311D18">
          <w:pgSz w:w="16840" w:h="11906" w:orient="landscape"/>
          <w:pgMar w:top="1418" w:right="1418" w:bottom="1418" w:left="1417" w:header="708" w:footer="708" w:gutter="0"/>
          <w:cols w:space="708"/>
          <w:docGrid w:linePitch="360"/>
        </w:sectPr>
      </w:pPr>
    </w:p>
    <w:p w14:paraId="20594BDD" w14:textId="30E8CCFE" w:rsidR="00807D14" w:rsidRPr="005977EB" w:rsidRDefault="00B25D75" w:rsidP="005977EB">
      <w:pPr>
        <w:pStyle w:val="Nagwek1"/>
        <w:numPr>
          <w:ilvl w:val="0"/>
          <w:numId w:val="0"/>
        </w:numPr>
        <w:spacing w:after="240"/>
        <w:rPr>
          <w:rFonts w:cs="Times New Roman"/>
          <w:sz w:val="40"/>
          <w:lang w:eastAsia="ar-SA"/>
        </w:rPr>
      </w:pPr>
      <w:bookmarkStart w:id="340" w:name="_Toc80523212"/>
      <w:r w:rsidRPr="00CC4B18">
        <w:rPr>
          <w:rFonts w:cs="Times New Roman"/>
          <w:sz w:val="40"/>
          <w:lang w:eastAsia="ar-SA"/>
        </w:rPr>
        <w:lastRenderedPageBreak/>
        <w:t>Wnioski i rekomendacje</w:t>
      </w:r>
      <w:bookmarkEnd w:id="340"/>
    </w:p>
    <w:p w14:paraId="7DFC59B7" w14:textId="517FF5B2" w:rsidR="005556D4" w:rsidRPr="005556D4" w:rsidRDefault="005556D4" w:rsidP="005556D4">
      <w:pPr>
        <w:rPr>
          <w:rFonts w:eastAsia="Calibri" w:cs="Times New Roman"/>
          <w:szCs w:val="24"/>
        </w:rPr>
      </w:pPr>
      <w:r w:rsidRPr="005556D4">
        <w:rPr>
          <w:rFonts w:eastAsia="Calibri" w:cs="Times New Roman"/>
          <w:szCs w:val="24"/>
        </w:rPr>
        <w:t>Rok 2020 był czasem szczególnie trudnym dla osób w w</w:t>
      </w:r>
      <w:r w:rsidR="001F33FF">
        <w:rPr>
          <w:rFonts w:eastAsia="Calibri" w:cs="Times New Roman"/>
          <w:szCs w:val="24"/>
        </w:rPr>
        <w:t>ieku senioralnym, ze względu na </w:t>
      </w:r>
      <w:r w:rsidRPr="005556D4">
        <w:rPr>
          <w:rFonts w:eastAsia="Calibri" w:cs="Times New Roman"/>
          <w:szCs w:val="24"/>
        </w:rPr>
        <w:t xml:space="preserve">zagrożenie spowodowane wystąpieniem w Polsce pandemii </w:t>
      </w:r>
      <w:proofErr w:type="spellStart"/>
      <w:r w:rsidRPr="005556D4">
        <w:rPr>
          <w:rFonts w:eastAsia="Calibri" w:cs="Times New Roman"/>
          <w:szCs w:val="24"/>
        </w:rPr>
        <w:t>koronawirusa</w:t>
      </w:r>
      <w:proofErr w:type="spellEnd"/>
      <w:r w:rsidRPr="005556D4">
        <w:rPr>
          <w:rFonts w:eastAsia="Calibri" w:cs="Times New Roman"/>
          <w:szCs w:val="24"/>
        </w:rPr>
        <w:t>. Administracja rządowa i samorządowa nadal pozostaje w stanie podwyższonej gotowości na wypadek pogorszenia sytuacji epidemicznej.</w:t>
      </w:r>
    </w:p>
    <w:p w14:paraId="739EF563" w14:textId="77777777" w:rsidR="005556D4" w:rsidRPr="005556D4" w:rsidRDefault="005556D4" w:rsidP="005556D4">
      <w:pPr>
        <w:rPr>
          <w:rFonts w:eastAsia="Calibri" w:cs="Times New Roman"/>
          <w:szCs w:val="24"/>
        </w:rPr>
      </w:pPr>
    </w:p>
    <w:p w14:paraId="711F51B4" w14:textId="5C2271DB" w:rsidR="005556D4" w:rsidRPr="005556D4" w:rsidRDefault="005556D4" w:rsidP="005556D4">
      <w:pPr>
        <w:rPr>
          <w:rFonts w:eastAsia="Calibri" w:cs="Times New Roman"/>
          <w:szCs w:val="24"/>
        </w:rPr>
      </w:pPr>
      <w:r w:rsidRPr="005556D4">
        <w:rPr>
          <w:rFonts w:eastAsia="Calibri" w:cs="Times New Roman"/>
          <w:szCs w:val="24"/>
        </w:rPr>
        <w:t>Z tego powodu, zgodnie z obowiązującymi wytyczn</w:t>
      </w:r>
      <w:r w:rsidR="001F33FF">
        <w:rPr>
          <w:rFonts w:eastAsia="Calibri" w:cs="Times New Roman"/>
          <w:szCs w:val="24"/>
        </w:rPr>
        <w:t>ymi, wiele działań związanych z </w:t>
      </w:r>
      <w:r w:rsidRPr="005556D4">
        <w:rPr>
          <w:rFonts w:eastAsia="Calibri" w:cs="Times New Roman"/>
          <w:szCs w:val="24"/>
        </w:rPr>
        <w:t xml:space="preserve">aktywnością seniorów zostało zawieszonych lub ograniczonych do niezbędnego minimum. </w:t>
      </w:r>
    </w:p>
    <w:p w14:paraId="15B3354E" w14:textId="77777777" w:rsidR="005556D4" w:rsidRPr="005556D4" w:rsidRDefault="005556D4" w:rsidP="005556D4">
      <w:pPr>
        <w:rPr>
          <w:rFonts w:eastAsia="Calibri" w:cs="Times New Roman"/>
          <w:szCs w:val="24"/>
        </w:rPr>
      </w:pPr>
    </w:p>
    <w:p w14:paraId="788CA5D2" w14:textId="77777777" w:rsidR="005556D4" w:rsidRPr="005556D4" w:rsidRDefault="005556D4" w:rsidP="005556D4">
      <w:pPr>
        <w:rPr>
          <w:rFonts w:eastAsia="Calibri" w:cs="Times New Roman"/>
          <w:szCs w:val="24"/>
        </w:rPr>
      </w:pPr>
      <w:r w:rsidRPr="005556D4">
        <w:rPr>
          <w:rFonts w:eastAsia="Calibri" w:cs="Times New Roman"/>
          <w:szCs w:val="24"/>
        </w:rPr>
        <w:t>Cały rok 2020 to okres aktywnej polityki rządu, działań wynikających z solidaryzmu społecznego, a także wzmocnienia nieformalnych sieci wsparcia, przede wszystkim na gruncie rodzinnym i sąsiedzkim. Dzięki sprawnej współpracy instytucji oraz społeczności lokalnych, odnaleziono nowe, nieinstytucjonalne formy wsparcia dla osób starszych.</w:t>
      </w:r>
    </w:p>
    <w:p w14:paraId="7BE9C406" w14:textId="77777777" w:rsidR="005556D4" w:rsidRPr="005556D4" w:rsidRDefault="005556D4" w:rsidP="005556D4">
      <w:pPr>
        <w:rPr>
          <w:rFonts w:eastAsia="Calibri" w:cs="Times New Roman"/>
          <w:szCs w:val="24"/>
        </w:rPr>
      </w:pPr>
    </w:p>
    <w:p w14:paraId="0FC6859D" w14:textId="77777777" w:rsidR="005556D4" w:rsidRPr="005556D4" w:rsidRDefault="005556D4" w:rsidP="005556D4">
      <w:pPr>
        <w:rPr>
          <w:rFonts w:eastAsia="Calibri" w:cs="Times New Roman"/>
          <w:szCs w:val="24"/>
        </w:rPr>
      </w:pPr>
      <w:r w:rsidRPr="005556D4">
        <w:rPr>
          <w:rFonts w:eastAsia="Calibri" w:cs="Times New Roman"/>
          <w:szCs w:val="24"/>
        </w:rPr>
        <w:t xml:space="preserve">W związku z pandemią COVID-19 jednym z priorytetowych działań stało się zapewnienie bezpieczeństwa i pomocy osobom starszym. </w:t>
      </w:r>
    </w:p>
    <w:p w14:paraId="1A908682" w14:textId="77777777" w:rsidR="005556D4" w:rsidRPr="005556D4" w:rsidRDefault="005556D4" w:rsidP="005556D4">
      <w:pPr>
        <w:rPr>
          <w:rFonts w:eastAsia="Calibri" w:cs="Times New Roman"/>
          <w:szCs w:val="24"/>
        </w:rPr>
      </w:pPr>
    </w:p>
    <w:p w14:paraId="03B1587C" w14:textId="02A40F2F" w:rsidR="005556D4" w:rsidRPr="005556D4" w:rsidRDefault="005556D4" w:rsidP="005556D4">
      <w:pPr>
        <w:rPr>
          <w:rFonts w:eastAsia="Calibri" w:cs="Times New Roman"/>
          <w:szCs w:val="24"/>
        </w:rPr>
      </w:pPr>
      <w:r w:rsidRPr="005556D4">
        <w:rPr>
          <w:rFonts w:eastAsia="Calibri" w:cs="Times New Roman"/>
          <w:szCs w:val="24"/>
        </w:rPr>
        <w:t xml:space="preserve">Panująca sytuacja epidemiologiczna oraz istniejące </w:t>
      </w:r>
      <w:r w:rsidR="001F33FF">
        <w:rPr>
          <w:rFonts w:eastAsia="Calibri" w:cs="Times New Roman"/>
          <w:szCs w:val="24"/>
        </w:rPr>
        <w:t>obostrzenia w życiu osobistym i </w:t>
      </w:r>
      <w:r w:rsidRPr="005556D4">
        <w:rPr>
          <w:rFonts w:eastAsia="Calibri" w:cs="Times New Roman"/>
          <w:szCs w:val="24"/>
        </w:rPr>
        <w:t>społecznym uniemożliwiły lub utrudniły realizację wielu dzia</w:t>
      </w:r>
      <w:r w:rsidR="001F33FF">
        <w:rPr>
          <w:rFonts w:eastAsia="Calibri" w:cs="Times New Roman"/>
          <w:szCs w:val="24"/>
        </w:rPr>
        <w:t>łań określonych do realizacji w </w:t>
      </w:r>
      <w:r w:rsidRPr="005556D4">
        <w:rPr>
          <w:rFonts w:eastAsia="Calibri" w:cs="Times New Roman"/>
          <w:szCs w:val="24"/>
        </w:rPr>
        <w:t xml:space="preserve">2020 roku w dokumencie - </w:t>
      </w:r>
      <w:r w:rsidRPr="005556D4">
        <w:rPr>
          <w:rFonts w:eastAsia="Calibri" w:cs="Times New Roman"/>
          <w:i/>
          <w:szCs w:val="24"/>
        </w:rPr>
        <w:t xml:space="preserve">Polityka społecznej wobec osób starszych 2030. Bezpieczeństwo – Uczestnictwo – Solidarność. </w:t>
      </w:r>
      <w:r w:rsidRPr="005556D4">
        <w:rPr>
          <w:rFonts w:eastAsia="Calibri" w:cs="Times New Roman"/>
          <w:szCs w:val="24"/>
        </w:rPr>
        <w:t>W ich miejsce podjęto szereg niezwykle ważnych inicjatyw takich jak np. Solidarnościowy Korpus Wsparcia Seniorów, które wydatnie poprawiły sytuację osób starszych w tym trudnym czasie. Te działania, które można było realizować były prowadzone lub modyfikowane w zależności od bieżącej sytuacji.</w:t>
      </w:r>
    </w:p>
    <w:p w14:paraId="0A870928" w14:textId="77777777" w:rsidR="005556D4" w:rsidRPr="005556D4" w:rsidRDefault="005556D4" w:rsidP="005556D4">
      <w:pPr>
        <w:rPr>
          <w:rFonts w:eastAsia="Calibri" w:cs="Times New Roman"/>
          <w:szCs w:val="24"/>
        </w:rPr>
      </w:pPr>
    </w:p>
    <w:p w14:paraId="1BB4A146" w14:textId="77777777" w:rsidR="005556D4" w:rsidRPr="005556D4" w:rsidRDefault="005556D4" w:rsidP="005556D4">
      <w:pPr>
        <w:rPr>
          <w:rFonts w:eastAsia="Calibri" w:cs="Times New Roman"/>
          <w:szCs w:val="24"/>
        </w:rPr>
      </w:pPr>
      <w:r w:rsidRPr="005556D4">
        <w:rPr>
          <w:rFonts w:eastAsia="Calibri" w:cs="Times New Roman"/>
          <w:szCs w:val="24"/>
        </w:rPr>
        <w:t xml:space="preserve">Po analizie danych statystycznych i liczbowych, dotyczących sytuacji osób starszych w Polsce za 2020 r. oraz wszystkich zebranych, cząstkowych informacji na temat polityki społecznej wobec osób starszych na poziomie centralnym oraz regionalnym niezbędne jest kontynuowanie kluczowych kierunków działań określonych w </w:t>
      </w:r>
      <w:r w:rsidRPr="005556D4">
        <w:rPr>
          <w:rFonts w:eastAsia="Calibri" w:cs="Times New Roman"/>
          <w:i/>
          <w:szCs w:val="24"/>
        </w:rPr>
        <w:t>Polityka społeczna wobec osób starszych 2030. Bezpieczeństwo – Uczestnictwo – Solidarność</w:t>
      </w:r>
      <w:r w:rsidRPr="005556D4">
        <w:rPr>
          <w:rFonts w:eastAsia="Calibri" w:cs="Times New Roman"/>
          <w:szCs w:val="24"/>
        </w:rPr>
        <w:t xml:space="preserve">, w stopniu adekwatnym do panującej w kraju sytuacji epidemiologicznej. </w:t>
      </w:r>
    </w:p>
    <w:p w14:paraId="0B14131B" w14:textId="77777777" w:rsidR="005556D4" w:rsidRPr="005556D4" w:rsidRDefault="005556D4" w:rsidP="005556D4">
      <w:pPr>
        <w:rPr>
          <w:rFonts w:eastAsia="Calibri" w:cs="Times New Roman"/>
          <w:szCs w:val="24"/>
        </w:rPr>
      </w:pPr>
    </w:p>
    <w:p w14:paraId="5F2A5003" w14:textId="0A4B0B61" w:rsidR="001F33FF" w:rsidRPr="005556D4" w:rsidRDefault="005556D4" w:rsidP="005556D4">
      <w:pPr>
        <w:rPr>
          <w:rFonts w:eastAsia="Calibri" w:cs="Times New Roman"/>
          <w:szCs w:val="24"/>
        </w:rPr>
      </w:pPr>
      <w:r w:rsidRPr="005556D4">
        <w:rPr>
          <w:rFonts w:eastAsia="Calibri" w:cs="Times New Roman"/>
          <w:szCs w:val="24"/>
        </w:rPr>
        <w:t xml:space="preserve">Opracowane w niniejszym dokumencie priorytety są aktualne, zmieniła się jednak ich hierarchia, szczególnego znaczenia nabrały te działania, które dotyczą bezpośredniego bezpieczeństwa - życia i zdrowia seniorów czyli ochrony zdrowia, opieki medycznej, rehabilitacji oraz kwestie związane z usługami w miejscu zamieszkania, w tym wolontariat, pomoc wzajemna, </w:t>
      </w:r>
      <w:proofErr w:type="spellStart"/>
      <w:r w:rsidRPr="005556D4">
        <w:rPr>
          <w:rFonts w:eastAsia="Calibri" w:cs="Times New Roman"/>
          <w:szCs w:val="24"/>
        </w:rPr>
        <w:t>telepomoc</w:t>
      </w:r>
      <w:proofErr w:type="spellEnd"/>
      <w:r w:rsidRPr="005556D4">
        <w:rPr>
          <w:rFonts w:eastAsia="Calibri" w:cs="Times New Roman"/>
          <w:szCs w:val="24"/>
        </w:rPr>
        <w:t xml:space="preserve"> i </w:t>
      </w:r>
      <w:proofErr w:type="spellStart"/>
      <w:r w:rsidRPr="005556D4">
        <w:rPr>
          <w:rFonts w:eastAsia="Calibri" w:cs="Times New Roman"/>
          <w:szCs w:val="24"/>
        </w:rPr>
        <w:t>teleopieka</w:t>
      </w:r>
      <w:proofErr w:type="spellEnd"/>
      <w:r w:rsidRPr="005556D4">
        <w:rPr>
          <w:rFonts w:eastAsia="Calibri" w:cs="Times New Roman"/>
          <w:szCs w:val="24"/>
        </w:rPr>
        <w:t xml:space="preserve"> oraz cyfryzacja i jej zastosowanie w usługach społecznych, a także poprawa kompetencji seniorów w tym zakresie.</w:t>
      </w:r>
    </w:p>
    <w:p w14:paraId="7AAA7706" w14:textId="0A4B0B61" w:rsidR="005556D4" w:rsidRPr="005556D4" w:rsidRDefault="005556D4" w:rsidP="005556D4">
      <w:pPr>
        <w:rPr>
          <w:rFonts w:eastAsia="Calibri" w:cs="Times New Roman"/>
          <w:szCs w:val="24"/>
        </w:rPr>
      </w:pPr>
    </w:p>
    <w:p w14:paraId="2822A5AD" w14:textId="728F9A9E" w:rsidR="005556D4" w:rsidRPr="005556D4" w:rsidRDefault="005556D4" w:rsidP="005556D4">
      <w:pPr>
        <w:rPr>
          <w:rFonts w:eastAsia="Calibri" w:cs="Times New Roman"/>
          <w:szCs w:val="24"/>
        </w:rPr>
      </w:pPr>
      <w:r w:rsidRPr="005556D4">
        <w:rPr>
          <w:rFonts w:eastAsia="Calibri" w:cs="Times New Roman"/>
          <w:szCs w:val="24"/>
        </w:rPr>
        <w:t>Wobec tego szczególnie istotne jest podejmowanie działań mających na celu:</w:t>
      </w:r>
    </w:p>
    <w:p w14:paraId="543A99F0" w14:textId="77777777" w:rsidR="005556D4" w:rsidRPr="005556D4" w:rsidRDefault="005556D4" w:rsidP="005556D4">
      <w:pPr>
        <w:numPr>
          <w:ilvl w:val="0"/>
          <w:numId w:val="219"/>
        </w:numPr>
        <w:contextualSpacing/>
        <w:rPr>
          <w:rFonts w:eastAsia="Calibri" w:cs="Times New Roman"/>
          <w:szCs w:val="24"/>
        </w:rPr>
      </w:pPr>
      <w:r w:rsidRPr="005556D4">
        <w:rPr>
          <w:rFonts w:eastAsia="Calibri" w:cs="Times New Roman"/>
          <w:szCs w:val="24"/>
        </w:rPr>
        <w:lastRenderedPageBreak/>
        <w:t xml:space="preserve">Zapewnienie optymalnego dostępu do usług zdrowotnych, rehabilitacyjnych i opiekuńczo-pielęgnacyjnych, dostosowanych do potrzeb osób starszych, w tym </w:t>
      </w:r>
      <w:proofErr w:type="spellStart"/>
      <w:r w:rsidRPr="005556D4">
        <w:rPr>
          <w:rFonts w:eastAsia="Calibri" w:cs="Times New Roman"/>
          <w:szCs w:val="24"/>
        </w:rPr>
        <w:t>teleopieki</w:t>
      </w:r>
      <w:proofErr w:type="spellEnd"/>
      <w:r w:rsidRPr="005556D4">
        <w:rPr>
          <w:rFonts w:eastAsia="Calibri" w:cs="Times New Roman"/>
          <w:szCs w:val="24"/>
        </w:rPr>
        <w:t xml:space="preserve"> i </w:t>
      </w:r>
      <w:proofErr w:type="spellStart"/>
      <w:r w:rsidRPr="005556D4">
        <w:rPr>
          <w:rFonts w:eastAsia="Calibri" w:cs="Times New Roman"/>
          <w:szCs w:val="24"/>
        </w:rPr>
        <w:t>telemedycyny</w:t>
      </w:r>
      <w:proofErr w:type="spellEnd"/>
      <w:r w:rsidRPr="005556D4">
        <w:rPr>
          <w:rFonts w:eastAsia="Calibri" w:cs="Times New Roman"/>
          <w:szCs w:val="24"/>
        </w:rPr>
        <w:t>,</w:t>
      </w:r>
    </w:p>
    <w:p w14:paraId="67307FF3" w14:textId="77777777" w:rsidR="005556D4" w:rsidRPr="005556D4" w:rsidRDefault="005556D4" w:rsidP="005556D4">
      <w:pPr>
        <w:numPr>
          <w:ilvl w:val="0"/>
          <w:numId w:val="219"/>
        </w:numPr>
        <w:contextualSpacing/>
        <w:rPr>
          <w:rFonts w:eastAsia="Calibri" w:cs="Times New Roman"/>
          <w:szCs w:val="24"/>
        </w:rPr>
      </w:pPr>
      <w:r w:rsidRPr="005556D4">
        <w:rPr>
          <w:rFonts w:eastAsia="Calibri" w:cs="Times New Roman"/>
          <w:szCs w:val="24"/>
        </w:rPr>
        <w:t>Wsparcie niesamodzielnych osób starszych i ich opiekunów w codziennym funkcjonowaniu, z wykorzystaniem nowych technologii,</w:t>
      </w:r>
    </w:p>
    <w:p w14:paraId="4AA97F78" w14:textId="78C9AB78" w:rsidR="005556D4" w:rsidRPr="005556D4" w:rsidRDefault="005556D4" w:rsidP="005556D4">
      <w:pPr>
        <w:numPr>
          <w:ilvl w:val="0"/>
          <w:numId w:val="219"/>
        </w:numPr>
        <w:contextualSpacing/>
        <w:rPr>
          <w:rFonts w:eastAsia="Calibri" w:cs="Times New Roman"/>
          <w:szCs w:val="24"/>
        </w:rPr>
      </w:pPr>
      <w:r w:rsidRPr="005556D4">
        <w:rPr>
          <w:rFonts w:eastAsia="Calibri" w:cs="Times New Roman"/>
          <w:szCs w:val="24"/>
        </w:rPr>
        <w:t>Likwidowanie barier funkcjonalnych w pełnym udziale osób starszych w życiu społecznym i publicznym oraz wzbogacenie oferty spędzania czasu w</w:t>
      </w:r>
      <w:r w:rsidR="001F33FF">
        <w:rPr>
          <w:rFonts w:eastAsia="Calibri" w:cs="Times New Roman"/>
          <w:szCs w:val="24"/>
        </w:rPr>
        <w:t>olnego wśród osób starszych, w </w:t>
      </w:r>
      <w:r w:rsidRPr="005556D4">
        <w:rPr>
          <w:rFonts w:eastAsia="Calibri" w:cs="Times New Roman"/>
          <w:szCs w:val="24"/>
        </w:rPr>
        <w:t>tym z wykorzystaniem e-produktów/usług,</w:t>
      </w:r>
    </w:p>
    <w:p w14:paraId="638BF18A" w14:textId="6985976D" w:rsidR="005556D4" w:rsidRPr="005556D4" w:rsidRDefault="005556D4" w:rsidP="005556D4">
      <w:pPr>
        <w:numPr>
          <w:ilvl w:val="0"/>
          <w:numId w:val="219"/>
        </w:numPr>
        <w:contextualSpacing/>
        <w:rPr>
          <w:rFonts w:eastAsia="Calibri" w:cs="Times New Roman"/>
          <w:szCs w:val="24"/>
        </w:rPr>
      </w:pPr>
      <w:r w:rsidRPr="005556D4">
        <w:rPr>
          <w:rFonts w:eastAsia="Calibri" w:cs="Times New Roman"/>
          <w:szCs w:val="24"/>
        </w:rPr>
        <w:t>Organizowanie zajęć, szkoleń, kursów itp. umożliwiających nabywanie nowych umiejętności i kompetencji wśród osób starszych or</w:t>
      </w:r>
      <w:r w:rsidR="001F33FF">
        <w:rPr>
          <w:rFonts w:eastAsia="Calibri" w:cs="Times New Roman"/>
          <w:szCs w:val="24"/>
        </w:rPr>
        <w:t>az wzmacniających ich pozycję w </w:t>
      </w:r>
      <w:r w:rsidRPr="005556D4">
        <w:rPr>
          <w:rFonts w:eastAsia="Calibri" w:cs="Times New Roman"/>
          <w:szCs w:val="24"/>
        </w:rPr>
        <w:t xml:space="preserve">środowisku lokalnym oraz na rynku pracy, </w:t>
      </w:r>
    </w:p>
    <w:p w14:paraId="0ABE17E6" w14:textId="77777777" w:rsidR="005556D4" w:rsidRPr="005556D4" w:rsidRDefault="005556D4" w:rsidP="005556D4">
      <w:pPr>
        <w:numPr>
          <w:ilvl w:val="0"/>
          <w:numId w:val="219"/>
        </w:numPr>
        <w:contextualSpacing/>
        <w:rPr>
          <w:rFonts w:eastAsia="Calibri" w:cs="Times New Roman"/>
          <w:szCs w:val="24"/>
        </w:rPr>
      </w:pPr>
      <w:r w:rsidRPr="005556D4">
        <w:rPr>
          <w:rFonts w:eastAsia="Calibri" w:cs="Times New Roman"/>
          <w:szCs w:val="24"/>
        </w:rPr>
        <w:t>Organizowanie przedsięwzięć o charakterze kulturalnym, edukacyjnym, sportowym, rekreacyjnym w celu zagospodarowania czasu wolnego osób starszych oraz wzmacniania integracji wewnątrz - i międzypokoleniowej,</w:t>
      </w:r>
    </w:p>
    <w:p w14:paraId="39A78116" w14:textId="77777777" w:rsidR="005556D4" w:rsidRPr="005556D4" w:rsidRDefault="005556D4" w:rsidP="005556D4">
      <w:pPr>
        <w:numPr>
          <w:ilvl w:val="0"/>
          <w:numId w:val="219"/>
        </w:numPr>
        <w:contextualSpacing/>
        <w:rPr>
          <w:rFonts w:eastAsia="Calibri" w:cs="Times New Roman"/>
          <w:szCs w:val="24"/>
        </w:rPr>
      </w:pPr>
      <w:r w:rsidRPr="005556D4">
        <w:rPr>
          <w:rFonts w:eastAsia="Calibri" w:cs="Times New Roman"/>
          <w:szCs w:val="24"/>
        </w:rPr>
        <w:t>Kształtowanie pozytywnego wizerunku osób starszych w społeczeństwie oraz wykorzystanie ich potencjału, wiedzy i doświadczenia w ramach np.  wolontariatu na rzecz społeczności lokalnej,</w:t>
      </w:r>
    </w:p>
    <w:p w14:paraId="6A0FFB1D" w14:textId="77777777" w:rsidR="005556D4" w:rsidRPr="005556D4" w:rsidRDefault="005556D4" w:rsidP="005556D4">
      <w:pPr>
        <w:numPr>
          <w:ilvl w:val="0"/>
          <w:numId w:val="219"/>
        </w:numPr>
        <w:contextualSpacing/>
        <w:rPr>
          <w:rFonts w:eastAsia="Calibri" w:cs="Times New Roman"/>
          <w:szCs w:val="24"/>
        </w:rPr>
      </w:pPr>
      <w:r w:rsidRPr="005556D4">
        <w:rPr>
          <w:rFonts w:eastAsia="Calibri" w:cs="Times New Roman"/>
          <w:szCs w:val="24"/>
        </w:rPr>
        <w:t>Przeciwdziałanie przemocy i dyskryminacji wobec osób starszych.</w:t>
      </w:r>
    </w:p>
    <w:p w14:paraId="7E39B0CB" w14:textId="77777777" w:rsidR="005556D4" w:rsidRPr="005556D4" w:rsidRDefault="005556D4" w:rsidP="005556D4">
      <w:pPr>
        <w:rPr>
          <w:rFonts w:eastAsia="Calibri" w:cs="Times New Roman"/>
          <w:szCs w:val="24"/>
        </w:rPr>
      </w:pPr>
    </w:p>
    <w:p w14:paraId="5578711B" w14:textId="77777777" w:rsidR="005556D4" w:rsidRPr="005556D4" w:rsidRDefault="005556D4" w:rsidP="005556D4">
      <w:pPr>
        <w:rPr>
          <w:rFonts w:eastAsia="Calibri" w:cs="Times New Roman"/>
          <w:szCs w:val="24"/>
        </w:rPr>
      </w:pPr>
      <w:r w:rsidRPr="005556D4">
        <w:rPr>
          <w:rFonts w:eastAsia="Calibri" w:cs="Times New Roman"/>
          <w:szCs w:val="24"/>
        </w:rPr>
        <w:t>Pandemia COVID-19 z roku 2020 pokazała również, że konieczne jest rozwijanie kompetencji cyfrowych seniorów, którzy w obliczu przymusowej izolacji coraz większą liczbę spraw życia codziennego byli zmuszenia załatwiać przy wykorzystaniu środków teleinformatycznych. Z kolei rodzącemu się wśród nich poczuciu izolacji i samotności należy przeciwdziałać realizując projekty mające na celu aktywizację i integrację środowiska senioralnego.</w:t>
      </w:r>
    </w:p>
    <w:p w14:paraId="58B2B7CE" w14:textId="77777777" w:rsidR="005556D4" w:rsidRPr="005556D4" w:rsidRDefault="005556D4" w:rsidP="005556D4">
      <w:pPr>
        <w:rPr>
          <w:rFonts w:eastAsia="Calibri" w:cs="Times New Roman"/>
          <w:szCs w:val="24"/>
        </w:rPr>
      </w:pPr>
    </w:p>
    <w:p w14:paraId="1E6A155F" w14:textId="44ED85A0" w:rsidR="005556D4" w:rsidRPr="005556D4" w:rsidRDefault="005556D4" w:rsidP="005556D4">
      <w:pPr>
        <w:rPr>
          <w:rFonts w:eastAsia="Calibri" w:cs="Times New Roman"/>
          <w:szCs w:val="24"/>
        </w:rPr>
      </w:pPr>
      <w:r w:rsidRPr="005556D4">
        <w:rPr>
          <w:rFonts w:eastAsia="Calibri" w:cs="Times New Roman"/>
          <w:szCs w:val="24"/>
        </w:rPr>
        <w:t>Ważne jest również kontynuowanie działań mających na celu poprawę sytuacji materialnej osób starszych, w szczególności tych o najniżs</w:t>
      </w:r>
      <w:r w:rsidR="001F33FF">
        <w:rPr>
          <w:rFonts w:eastAsia="Calibri" w:cs="Times New Roman"/>
          <w:szCs w:val="24"/>
        </w:rPr>
        <w:t>zych dochodach, aby zapewnić im </w:t>
      </w:r>
      <w:r w:rsidRPr="005556D4">
        <w:rPr>
          <w:rFonts w:eastAsia="Calibri" w:cs="Times New Roman"/>
          <w:szCs w:val="24"/>
        </w:rPr>
        <w:t>bezpieczeństwo ekonomiczne i umożliwić godne życie. Służyć temu może zmiana systemu podatkowego polegająca na podwyższeniu kwoty wolnej od podatku.</w:t>
      </w:r>
    </w:p>
    <w:p w14:paraId="728CD31F" w14:textId="77777777" w:rsidR="005556D4" w:rsidRPr="005556D4" w:rsidRDefault="005556D4" w:rsidP="005556D4">
      <w:pPr>
        <w:rPr>
          <w:rFonts w:eastAsia="Calibri" w:cs="Times New Roman"/>
          <w:szCs w:val="24"/>
        </w:rPr>
      </w:pPr>
    </w:p>
    <w:p w14:paraId="2B60EE41" w14:textId="58F37E97" w:rsidR="005556D4" w:rsidRPr="005556D4" w:rsidRDefault="005556D4" w:rsidP="005556D4">
      <w:pPr>
        <w:rPr>
          <w:rFonts w:eastAsia="Calibri" w:cs="Times New Roman"/>
          <w:szCs w:val="24"/>
        </w:rPr>
      </w:pPr>
      <w:r w:rsidRPr="005556D4">
        <w:rPr>
          <w:rFonts w:eastAsia="Calibri" w:cs="Times New Roman"/>
          <w:szCs w:val="24"/>
        </w:rPr>
        <w:t>Kolejny ważny obszar dotyczy kontynuacji i realizacji działań mających na celu usprawnienia funkcjonowania systemu pomocy społecznej, a w szc</w:t>
      </w:r>
      <w:r w:rsidR="001F33FF">
        <w:rPr>
          <w:rFonts w:eastAsia="Calibri" w:cs="Times New Roman"/>
          <w:szCs w:val="24"/>
        </w:rPr>
        <w:t>zególności poprawy potencjału i </w:t>
      </w:r>
      <w:r w:rsidRPr="005556D4">
        <w:rPr>
          <w:rFonts w:eastAsia="Calibri" w:cs="Times New Roman"/>
          <w:szCs w:val="24"/>
        </w:rPr>
        <w:t xml:space="preserve">efektywności instytucji pomocy społecznej dzięki poszerzeniu dostępności usług społecznych skierowanych do osób starszych. </w:t>
      </w:r>
    </w:p>
    <w:p w14:paraId="6D4AEAB0" w14:textId="77777777" w:rsidR="005556D4" w:rsidRPr="005556D4" w:rsidRDefault="005556D4" w:rsidP="005556D4">
      <w:pPr>
        <w:rPr>
          <w:rFonts w:eastAsia="Calibri" w:cs="Times New Roman"/>
          <w:szCs w:val="24"/>
        </w:rPr>
      </w:pPr>
    </w:p>
    <w:p w14:paraId="34568D21" w14:textId="0DF78F8E" w:rsidR="005556D4" w:rsidRPr="005556D4" w:rsidRDefault="005556D4" w:rsidP="005556D4">
      <w:pPr>
        <w:rPr>
          <w:rFonts w:eastAsia="Calibri" w:cs="Times New Roman"/>
          <w:szCs w:val="24"/>
        </w:rPr>
      </w:pPr>
      <w:r w:rsidRPr="005556D4">
        <w:rPr>
          <w:rFonts w:eastAsia="Calibri" w:cs="Times New Roman"/>
          <w:szCs w:val="24"/>
        </w:rPr>
        <w:t xml:space="preserve">Kluczową rolę mogą odegrać tu działania związane z </w:t>
      </w:r>
      <w:proofErr w:type="spellStart"/>
      <w:r w:rsidRPr="005556D4">
        <w:rPr>
          <w:rFonts w:eastAsia="Calibri" w:cs="Times New Roman"/>
          <w:szCs w:val="24"/>
        </w:rPr>
        <w:t>deinstytucjonalizacją</w:t>
      </w:r>
      <w:proofErr w:type="spellEnd"/>
      <w:r w:rsidRPr="005556D4">
        <w:rPr>
          <w:rFonts w:eastAsia="Calibri" w:cs="Times New Roman"/>
          <w:szCs w:val="24"/>
        </w:rPr>
        <w:t xml:space="preserve"> usług, która umożliwi dalszą realizację procesu przejścia od opieki instytucjonalnej do opieki świadczonej w środowiskach lokalnych, z przewagą działań dostępnych w miejscu zamieszkania lub realizowanych w formach dziennych (domy i kluby seniora, opieka </w:t>
      </w:r>
      <w:proofErr w:type="spellStart"/>
      <w:r w:rsidRPr="005556D4">
        <w:rPr>
          <w:rFonts w:eastAsia="Calibri" w:cs="Times New Roman"/>
          <w:szCs w:val="24"/>
        </w:rPr>
        <w:t>wytchnieniowa</w:t>
      </w:r>
      <w:proofErr w:type="spellEnd"/>
      <w:r w:rsidRPr="005556D4">
        <w:rPr>
          <w:rFonts w:eastAsia="Calibri" w:cs="Times New Roman"/>
          <w:szCs w:val="24"/>
        </w:rPr>
        <w:t>, usługi opiekuńcze, asystenci dla seniorów z niepełnosprawnościami).</w:t>
      </w:r>
    </w:p>
    <w:p w14:paraId="77710B91" w14:textId="77777777" w:rsidR="005556D4" w:rsidRPr="005556D4" w:rsidRDefault="005556D4" w:rsidP="005556D4">
      <w:pPr>
        <w:rPr>
          <w:rFonts w:eastAsia="Calibri" w:cs="Times New Roman"/>
          <w:bCs/>
          <w:szCs w:val="24"/>
        </w:rPr>
      </w:pPr>
      <w:r w:rsidRPr="005556D4">
        <w:rPr>
          <w:rFonts w:eastAsia="Calibri" w:cs="Times New Roman"/>
          <w:szCs w:val="24"/>
        </w:rPr>
        <w:t xml:space="preserve">Dodatkowo, wszelkie nowe działania podejmowane na poziomie centralnym i regionalnym powinny być projektowane przy udziale osób starszych oraz na podstawie kompleksowej </w:t>
      </w:r>
      <w:r w:rsidRPr="005556D4">
        <w:rPr>
          <w:rFonts w:eastAsia="Calibri" w:cs="Times New Roman"/>
          <w:bCs/>
          <w:szCs w:val="24"/>
        </w:rPr>
        <w:t xml:space="preserve">diagnozy potrzeb i zasobów tej grupy. </w:t>
      </w:r>
    </w:p>
    <w:p w14:paraId="0D47F5AF" w14:textId="77777777" w:rsidR="005556D4" w:rsidRPr="005556D4" w:rsidRDefault="005556D4" w:rsidP="005556D4">
      <w:pPr>
        <w:rPr>
          <w:rFonts w:eastAsia="Calibri" w:cs="Times New Roman"/>
          <w:bCs/>
          <w:szCs w:val="24"/>
        </w:rPr>
      </w:pPr>
    </w:p>
    <w:p w14:paraId="46D5BF0C" w14:textId="29A29E6B" w:rsidR="005556D4" w:rsidRPr="005556D4" w:rsidRDefault="005556D4" w:rsidP="005556D4">
      <w:pPr>
        <w:rPr>
          <w:rFonts w:eastAsia="Calibri" w:cs="Times New Roman"/>
          <w:szCs w:val="24"/>
        </w:rPr>
      </w:pPr>
      <w:r w:rsidRPr="005556D4">
        <w:rPr>
          <w:rFonts w:eastAsia="Calibri" w:cs="Times New Roman"/>
          <w:bCs/>
          <w:szCs w:val="24"/>
        </w:rPr>
        <w:lastRenderedPageBreak/>
        <w:t xml:space="preserve">Do ich realizacji powinny być zaangażowane podmioty z różnych sektorów, by </w:t>
      </w:r>
      <w:r w:rsidR="001F33FF">
        <w:rPr>
          <w:rFonts w:eastAsia="Calibri" w:cs="Times New Roman"/>
          <w:szCs w:val="24"/>
        </w:rPr>
        <w:t>inicjatywy na </w:t>
      </w:r>
      <w:r w:rsidRPr="005556D4">
        <w:rPr>
          <w:rFonts w:eastAsia="Calibri" w:cs="Times New Roman"/>
          <w:szCs w:val="24"/>
        </w:rPr>
        <w:t>rzecz osób starszych stawały się interesem wspólnym każdej społeczności lokalnej.</w:t>
      </w:r>
    </w:p>
    <w:p w14:paraId="09C747A1" w14:textId="77777777" w:rsidR="005556D4" w:rsidRPr="005556D4" w:rsidRDefault="005556D4" w:rsidP="005556D4">
      <w:pPr>
        <w:rPr>
          <w:rFonts w:eastAsia="Calibri" w:cs="Times New Roman"/>
          <w:szCs w:val="24"/>
        </w:rPr>
      </w:pPr>
    </w:p>
    <w:p w14:paraId="110F157D" w14:textId="71F2F279" w:rsidR="005556D4" w:rsidRPr="005556D4" w:rsidRDefault="005556D4" w:rsidP="005556D4">
      <w:pPr>
        <w:rPr>
          <w:rFonts w:eastAsia="Calibri" w:cs="Times New Roman"/>
          <w:szCs w:val="24"/>
        </w:rPr>
      </w:pPr>
      <w:r w:rsidRPr="005556D4">
        <w:rPr>
          <w:rFonts w:eastAsia="Calibri" w:cs="Times New Roman"/>
          <w:szCs w:val="24"/>
        </w:rPr>
        <w:t>Ponown</w:t>
      </w:r>
      <w:r w:rsidR="009566E2">
        <w:rPr>
          <w:rFonts w:eastAsia="Calibri" w:cs="Times New Roman"/>
          <w:szCs w:val="24"/>
        </w:rPr>
        <w:t>i</w:t>
      </w:r>
      <w:r w:rsidRPr="005556D4">
        <w:rPr>
          <w:rFonts w:eastAsia="Calibri" w:cs="Times New Roman"/>
          <w:szCs w:val="24"/>
        </w:rPr>
        <w:t>e, po okresie pandemii oraz w toku przygotowania do niwelowania jej negatywnych skutków odżywa potrzeba prowadzenia bardzo aktywnej polityki społecznej wobec osób starszych, kontynuacji rządowych programów, które przyniosły oczekiwane i pozytywne rezultaty, stałej współpracy z samorządami i sektorem pozarządowym.</w:t>
      </w:r>
    </w:p>
    <w:p w14:paraId="0AB825FE" w14:textId="77777777" w:rsidR="005556D4" w:rsidRPr="005556D4" w:rsidRDefault="005556D4" w:rsidP="005556D4">
      <w:pPr>
        <w:contextualSpacing/>
        <w:rPr>
          <w:szCs w:val="24"/>
        </w:rPr>
      </w:pPr>
    </w:p>
    <w:p w14:paraId="3BFEB994" w14:textId="77777777" w:rsidR="00F2203D" w:rsidRPr="005556D4" w:rsidRDefault="00F2203D" w:rsidP="00E9092E">
      <w:pPr>
        <w:rPr>
          <w:lang w:eastAsia="ar-SA"/>
        </w:rPr>
      </w:pPr>
    </w:p>
    <w:p w14:paraId="362227A0" w14:textId="77777777" w:rsidR="00F2203D" w:rsidRPr="0092226B" w:rsidRDefault="00F2203D" w:rsidP="00E9092E">
      <w:pPr>
        <w:rPr>
          <w:color w:val="FF0000"/>
          <w:lang w:eastAsia="ar-SA"/>
        </w:rPr>
      </w:pPr>
    </w:p>
    <w:p w14:paraId="5756FC31" w14:textId="77777777" w:rsidR="00F2203D" w:rsidRPr="0092226B" w:rsidRDefault="00F2203D" w:rsidP="00E9092E">
      <w:pPr>
        <w:rPr>
          <w:color w:val="FF0000"/>
          <w:lang w:eastAsia="ar-SA"/>
        </w:rPr>
      </w:pPr>
    </w:p>
    <w:p w14:paraId="3F15C030" w14:textId="77777777" w:rsidR="00F2203D" w:rsidRPr="0092226B" w:rsidRDefault="00F2203D" w:rsidP="00E9092E">
      <w:pPr>
        <w:rPr>
          <w:color w:val="FF0000"/>
          <w:lang w:eastAsia="ar-SA"/>
        </w:rPr>
      </w:pPr>
    </w:p>
    <w:p w14:paraId="407AC9DA" w14:textId="77777777" w:rsidR="008400E2" w:rsidRPr="0092226B" w:rsidRDefault="008400E2" w:rsidP="001E4033">
      <w:pPr>
        <w:pStyle w:val="Nagwek1"/>
        <w:numPr>
          <w:ilvl w:val="0"/>
          <w:numId w:val="0"/>
        </w:numPr>
        <w:spacing w:before="0"/>
        <w:ind w:left="432" w:hanging="432"/>
        <w:rPr>
          <w:rFonts w:cs="Times New Roman"/>
          <w:color w:val="FF0000"/>
          <w:sz w:val="40"/>
          <w:lang w:eastAsia="ar-SA"/>
        </w:rPr>
        <w:sectPr w:rsidR="008400E2" w:rsidRPr="0092226B" w:rsidSect="00311D18">
          <w:pgSz w:w="11906" w:h="16840"/>
          <w:pgMar w:top="1418" w:right="1418" w:bottom="1417" w:left="1418" w:header="708" w:footer="708" w:gutter="0"/>
          <w:cols w:space="708"/>
          <w:docGrid w:linePitch="360"/>
        </w:sectPr>
      </w:pPr>
    </w:p>
    <w:p w14:paraId="419E96EC" w14:textId="4DFD80D1" w:rsidR="008C2278" w:rsidRPr="00A871AD" w:rsidRDefault="00112474" w:rsidP="00AF051D">
      <w:pPr>
        <w:pStyle w:val="Nagwek1"/>
        <w:numPr>
          <w:ilvl w:val="0"/>
          <w:numId w:val="0"/>
        </w:numPr>
        <w:spacing w:after="240"/>
        <w:ind w:left="432" w:hanging="432"/>
        <w:rPr>
          <w:rFonts w:cs="Times New Roman"/>
          <w:sz w:val="40"/>
          <w:lang w:eastAsia="ar-SA"/>
        </w:rPr>
      </w:pPr>
      <w:bookmarkStart w:id="341" w:name="_Toc80523213"/>
      <w:r w:rsidRPr="00A871AD">
        <w:rPr>
          <w:rFonts w:cs="Times New Roman"/>
          <w:sz w:val="40"/>
          <w:lang w:eastAsia="ar-SA"/>
        </w:rPr>
        <w:lastRenderedPageBreak/>
        <w:t>Wykaz tabel</w:t>
      </w:r>
      <w:bookmarkEnd w:id="341"/>
    </w:p>
    <w:p w14:paraId="297FA42F" w14:textId="75CF958B" w:rsidR="00A871AD" w:rsidRDefault="00030F84" w:rsidP="00A871AD">
      <w:pPr>
        <w:rPr>
          <w:lang w:eastAsia="ar-SA"/>
        </w:rPr>
      </w:pPr>
      <w:r>
        <w:rPr>
          <w:lang w:eastAsia="ar-SA"/>
        </w:rPr>
        <w:t>Tabela </w:t>
      </w:r>
      <w:r w:rsidR="00A871AD">
        <w:rPr>
          <w:lang w:eastAsia="ar-SA"/>
        </w:rPr>
        <w:t>1</w:t>
      </w:r>
      <w:r w:rsidR="00822413">
        <w:rPr>
          <w:lang w:eastAsia="ar-SA"/>
        </w:rPr>
        <w:t>.</w:t>
      </w:r>
      <w:r w:rsidR="00A871AD">
        <w:rPr>
          <w:lang w:eastAsia="ar-SA"/>
        </w:rPr>
        <w:t xml:space="preserve"> Ludność w 2020 r.</w:t>
      </w:r>
      <w:r w:rsidR="000C7777">
        <w:rPr>
          <w:lang w:eastAsia="ar-SA"/>
        </w:rPr>
        <w:t xml:space="preserve"> – s. 5.</w:t>
      </w:r>
    </w:p>
    <w:p w14:paraId="20CA6762" w14:textId="68D46E32" w:rsidR="00A871AD" w:rsidRDefault="00030F84" w:rsidP="00A871AD">
      <w:pPr>
        <w:rPr>
          <w:lang w:eastAsia="ar-SA"/>
        </w:rPr>
      </w:pPr>
      <w:r>
        <w:rPr>
          <w:lang w:eastAsia="ar-SA"/>
        </w:rPr>
        <w:t>Tabela </w:t>
      </w:r>
      <w:r w:rsidR="00A871AD">
        <w:rPr>
          <w:lang w:eastAsia="ar-SA"/>
        </w:rPr>
        <w:t>2</w:t>
      </w:r>
      <w:r w:rsidR="00822413">
        <w:rPr>
          <w:lang w:eastAsia="ar-SA"/>
        </w:rPr>
        <w:t>.</w:t>
      </w:r>
      <w:r w:rsidR="00F85677">
        <w:rPr>
          <w:lang w:eastAsia="ar-SA"/>
        </w:rPr>
        <w:t> </w:t>
      </w:r>
      <w:r w:rsidR="00A871AD">
        <w:rPr>
          <w:lang w:eastAsia="ar-SA"/>
        </w:rPr>
        <w:t xml:space="preserve">Współczynnik feminizacji w 2020 r. </w:t>
      </w:r>
      <w:r w:rsidR="000C7777">
        <w:rPr>
          <w:lang w:eastAsia="ar-SA"/>
        </w:rPr>
        <w:t>– s. 6.</w:t>
      </w:r>
    </w:p>
    <w:p w14:paraId="0FECD8F2" w14:textId="41B41BE4" w:rsidR="00A871AD" w:rsidRDefault="00030F84" w:rsidP="00A871AD">
      <w:pPr>
        <w:rPr>
          <w:lang w:eastAsia="ar-SA"/>
        </w:rPr>
      </w:pPr>
      <w:r>
        <w:rPr>
          <w:lang w:eastAsia="ar-SA"/>
        </w:rPr>
        <w:t>Tabela </w:t>
      </w:r>
      <w:r w:rsidR="00A871AD">
        <w:rPr>
          <w:lang w:eastAsia="ar-SA"/>
        </w:rPr>
        <w:t>3</w:t>
      </w:r>
      <w:r w:rsidR="00822413">
        <w:rPr>
          <w:lang w:eastAsia="ar-SA"/>
        </w:rPr>
        <w:t>.</w:t>
      </w:r>
      <w:r w:rsidR="000C7777">
        <w:rPr>
          <w:lang w:eastAsia="ar-SA"/>
        </w:rPr>
        <w:t xml:space="preserve"> Współczynnik zgonów w 2020 r. – s. 7.</w:t>
      </w:r>
    </w:p>
    <w:p w14:paraId="0C4B7430" w14:textId="07AC3356" w:rsidR="00A871AD" w:rsidRDefault="00030F84" w:rsidP="00A871AD">
      <w:pPr>
        <w:rPr>
          <w:lang w:eastAsia="ar-SA"/>
        </w:rPr>
      </w:pPr>
      <w:r>
        <w:rPr>
          <w:lang w:eastAsia="ar-SA"/>
        </w:rPr>
        <w:t>Tabela </w:t>
      </w:r>
      <w:r w:rsidR="00A871AD">
        <w:rPr>
          <w:lang w:eastAsia="ar-SA"/>
        </w:rPr>
        <w:t>4</w:t>
      </w:r>
      <w:r w:rsidR="00822413">
        <w:rPr>
          <w:lang w:eastAsia="ar-SA"/>
        </w:rPr>
        <w:t>.</w:t>
      </w:r>
      <w:r w:rsidR="00A871AD">
        <w:rPr>
          <w:lang w:eastAsia="ar-SA"/>
        </w:rPr>
        <w:t xml:space="preserve"> Prognoza ludności - udział osób w wieku 60 lat i więcej w populacji ogółem</w:t>
      </w:r>
      <w:r w:rsidR="000C7777">
        <w:rPr>
          <w:lang w:eastAsia="ar-SA"/>
        </w:rPr>
        <w:t xml:space="preserve"> – s. 7.</w:t>
      </w:r>
    </w:p>
    <w:p w14:paraId="45B518B9" w14:textId="3F69137B" w:rsidR="00A871AD" w:rsidRDefault="00030F84" w:rsidP="00A871AD">
      <w:pPr>
        <w:rPr>
          <w:lang w:eastAsia="ar-SA"/>
        </w:rPr>
      </w:pPr>
      <w:r>
        <w:rPr>
          <w:lang w:eastAsia="ar-SA"/>
        </w:rPr>
        <w:t>Tabela </w:t>
      </w:r>
      <w:r w:rsidR="00A871AD">
        <w:rPr>
          <w:lang w:eastAsia="ar-SA"/>
        </w:rPr>
        <w:t>5</w:t>
      </w:r>
      <w:r w:rsidR="00822413">
        <w:rPr>
          <w:lang w:eastAsia="ar-SA"/>
        </w:rPr>
        <w:t>.</w:t>
      </w:r>
      <w:r w:rsidR="00A871AD">
        <w:rPr>
          <w:lang w:eastAsia="ar-SA"/>
        </w:rPr>
        <w:t xml:space="preserve"> Przeciętne miesięczne dochody na 1 osobę w gospodarstwach domowych według liczby osób</w:t>
      </w:r>
      <w:r w:rsidR="000C7777">
        <w:rPr>
          <w:lang w:eastAsia="ar-SA"/>
        </w:rPr>
        <w:t xml:space="preserve"> – s. 8.</w:t>
      </w:r>
    </w:p>
    <w:p w14:paraId="4F824F64" w14:textId="36191A16" w:rsidR="00A871AD" w:rsidRDefault="00030F84" w:rsidP="00A871AD">
      <w:pPr>
        <w:rPr>
          <w:lang w:eastAsia="ar-SA"/>
        </w:rPr>
      </w:pPr>
      <w:r>
        <w:rPr>
          <w:lang w:eastAsia="ar-SA"/>
        </w:rPr>
        <w:t>Tabela </w:t>
      </w:r>
      <w:r w:rsidR="00A871AD">
        <w:rPr>
          <w:lang w:eastAsia="ar-SA"/>
        </w:rPr>
        <w:t>6</w:t>
      </w:r>
      <w:r w:rsidR="00822413">
        <w:rPr>
          <w:lang w:eastAsia="ar-SA"/>
        </w:rPr>
        <w:t>.</w:t>
      </w:r>
      <w:r w:rsidR="00A871AD">
        <w:rPr>
          <w:lang w:eastAsia="ar-SA"/>
        </w:rPr>
        <w:t xml:space="preserve"> Przeciętne miesięczne wydatki na 1 osobę w gospodarstwach domowych</w:t>
      </w:r>
      <w:r w:rsidR="000C7777">
        <w:rPr>
          <w:lang w:eastAsia="ar-SA"/>
        </w:rPr>
        <w:t xml:space="preserve"> – s. 11.</w:t>
      </w:r>
    </w:p>
    <w:p w14:paraId="552C9588" w14:textId="2AC0AA2A" w:rsidR="00A871AD" w:rsidRDefault="00030F84" w:rsidP="00A871AD">
      <w:pPr>
        <w:rPr>
          <w:lang w:eastAsia="ar-SA"/>
        </w:rPr>
      </w:pPr>
      <w:r>
        <w:rPr>
          <w:lang w:eastAsia="ar-SA"/>
        </w:rPr>
        <w:t>Tabela </w:t>
      </w:r>
      <w:r w:rsidR="00A871AD">
        <w:rPr>
          <w:lang w:eastAsia="ar-SA"/>
        </w:rPr>
        <w:t>7</w:t>
      </w:r>
      <w:r w:rsidR="00822413">
        <w:rPr>
          <w:lang w:eastAsia="ar-SA"/>
        </w:rPr>
        <w:t>.</w:t>
      </w:r>
      <w:r w:rsidR="00A871AD">
        <w:rPr>
          <w:lang w:eastAsia="ar-SA"/>
        </w:rPr>
        <w:t xml:space="preserve"> Subiektywna ocena sytuacji materialnej gospodarstwa domowego</w:t>
      </w:r>
      <w:r w:rsidR="000C7777">
        <w:rPr>
          <w:lang w:eastAsia="ar-SA"/>
        </w:rPr>
        <w:t xml:space="preserve"> – s. 12.</w:t>
      </w:r>
    </w:p>
    <w:p w14:paraId="2A7152F5" w14:textId="7BEA1552" w:rsidR="00A871AD" w:rsidRDefault="00030F84" w:rsidP="00A871AD">
      <w:pPr>
        <w:rPr>
          <w:lang w:eastAsia="ar-SA"/>
        </w:rPr>
      </w:pPr>
      <w:r>
        <w:rPr>
          <w:lang w:eastAsia="ar-SA"/>
        </w:rPr>
        <w:t>Tabela </w:t>
      </w:r>
      <w:r w:rsidR="00A871AD">
        <w:rPr>
          <w:lang w:eastAsia="ar-SA"/>
        </w:rPr>
        <w:t>8</w:t>
      </w:r>
      <w:r w:rsidR="00822413">
        <w:rPr>
          <w:lang w:eastAsia="ar-SA"/>
        </w:rPr>
        <w:t>.</w:t>
      </w:r>
      <w:r w:rsidR="00A871AD">
        <w:rPr>
          <w:lang w:eastAsia="ar-SA"/>
        </w:rPr>
        <w:t xml:space="preserve"> Sytuacja mieszkaniowa gospodarstw domowych według liczby osób</w:t>
      </w:r>
      <w:r w:rsidR="000C7777">
        <w:rPr>
          <w:lang w:eastAsia="ar-SA"/>
        </w:rPr>
        <w:t xml:space="preserve"> – s. 13.</w:t>
      </w:r>
    </w:p>
    <w:p w14:paraId="58883E98" w14:textId="4C5FBF72" w:rsidR="00A871AD" w:rsidRDefault="00030F84" w:rsidP="00A871AD">
      <w:pPr>
        <w:rPr>
          <w:lang w:eastAsia="ar-SA"/>
        </w:rPr>
      </w:pPr>
      <w:r>
        <w:rPr>
          <w:lang w:eastAsia="ar-SA"/>
        </w:rPr>
        <w:t>Tabela </w:t>
      </w:r>
      <w:r w:rsidR="00A871AD">
        <w:rPr>
          <w:lang w:eastAsia="ar-SA"/>
        </w:rPr>
        <w:t>9</w:t>
      </w:r>
      <w:r w:rsidR="00822413">
        <w:rPr>
          <w:lang w:eastAsia="ar-SA"/>
        </w:rPr>
        <w:t>.</w:t>
      </w:r>
      <w:r w:rsidR="00F85677">
        <w:rPr>
          <w:lang w:eastAsia="ar-SA"/>
        </w:rPr>
        <w:t> </w:t>
      </w:r>
      <w:r w:rsidR="00A871AD">
        <w:rPr>
          <w:lang w:eastAsia="ar-SA"/>
        </w:rPr>
        <w:t xml:space="preserve">Subiektywna opinia na temat użytkowanego przez gospodarstwo domowe </w:t>
      </w:r>
      <w:r w:rsidR="000C7777">
        <w:rPr>
          <w:lang w:eastAsia="ar-SA"/>
        </w:rPr>
        <w:t xml:space="preserve">       </w:t>
      </w:r>
      <w:r w:rsidR="00A871AD">
        <w:rPr>
          <w:lang w:eastAsia="ar-SA"/>
        </w:rPr>
        <w:t>mieszkania</w:t>
      </w:r>
      <w:r w:rsidR="000C7777">
        <w:rPr>
          <w:lang w:eastAsia="ar-SA"/>
        </w:rPr>
        <w:t xml:space="preserve"> – s. 15.</w:t>
      </w:r>
    </w:p>
    <w:p w14:paraId="7DD632E5" w14:textId="3F6C58C0" w:rsidR="00A871AD" w:rsidRDefault="00030F84" w:rsidP="00A871AD">
      <w:pPr>
        <w:rPr>
          <w:lang w:eastAsia="ar-SA"/>
        </w:rPr>
      </w:pPr>
      <w:r>
        <w:rPr>
          <w:lang w:eastAsia="ar-SA"/>
        </w:rPr>
        <w:t>Tabela </w:t>
      </w:r>
      <w:r w:rsidR="00A871AD">
        <w:rPr>
          <w:lang w:eastAsia="ar-SA"/>
        </w:rPr>
        <w:t>10</w:t>
      </w:r>
      <w:r w:rsidR="00822413">
        <w:rPr>
          <w:lang w:eastAsia="ar-SA"/>
        </w:rPr>
        <w:t>.</w:t>
      </w:r>
      <w:r w:rsidR="00A871AD">
        <w:rPr>
          <w:lang w:eastAsia="ar-SA"/>
        </w:rPr>
        <w:t xml:space="preserve"> Zasięg ubóstwa w gospodarstwach domowych</w:t>
      </w:r>
      <w:r w:rsidR="000C7777">
        <w:rPr>
          <w:lang w:eastAsia="ar-SA"/>
        </w:rPr>
        <w:t xml:space="preserve"> – s. 16.</w:t>
      </w:r>
    </w:p>
    <w:p w14:paraId="1D6B67B1" w14:textId="1242A094" w:rsidR="00A871AD" w:rsidRDefault="00030F84" w:rsidP="00A871AD">
      <w:pPr>
        <w:rPr>
          <w:lang w:eastAsia="ar-SA"/>
        </w:rPr>
      </w:pPr>
      <w:r>
        <w:rPr>
          <w:lang w:eastAsia="ar-SA"/>
        </w:rPr>
        <w:t>Tabela </w:t>
      </w:r>
      <w:r w:rsidR="00A871AD">
        <w:rPr>
          <w:lang w:eastAsia="ar-SA"/>
        </w:rPr>
        <w:t>11</w:t>
      </w:r>
      <w:r w:rsidR="00822413">
        <w:rPr>
          <w:lang w:eastAsia="ar-SA"/>
        </w:rPr>
        <w:t>.</w:t>
      </w:r>
      <w:r w:rsidR="00F85677">
        <w:rPr>
          <w:lang w:eastAsia="ar-SA"/>
        </w:rPr>
        <w:t> </w:t>
      </w:r>
      <w:r w:rsidR="00A871AD">
        <w:rPr>
          <w:lang w:eastAsia="ar-SA"/>
        </w:rPr>
        <w:t>Aktywność ekonomiczna ludności w wieku 15 lat i więcej według płci i miejsca zamieszkania w 2020 r.</w:t>
      </w:r>
      <w:r>
        <w:rPr>
          <w:lang w:eastAsia="ar-SA"/>
        </w:rPr>
        <w:t xml:space="preserve"> – s. 26.</w:t>
      </w:r>
    </w:p>
    <w:p w14:paraId="3C75A560" w14:textId="2AC1D33B" w:rsidR="00A871AD" w:rsidRDefault="00030F84" w:rsidP="00A871AD">
      <w:pPr>
        <w:rPr>
          <w:lang w:eastAsia="ar-SA"/>
        </w:rPr>
      </w:pPr>
      <w:r>
        <w:rPr>
          <w:lang w:eastAsia="ar-SA"/>
        </w:rPr>
        <w:t>Tabela </w:t>
      </w:r>
      <w:r w:rsidR="00A871AD">
        <w:rPr>
          <w:lang w:eastAsia="ar-SA"/>
        </w:rPr>
        <w:t>12</w:t>
      </w:r>
      <w:r w:rsidR="00822413">
        <w:rPr>
          <w:lang w:eastAsia="ar-SA"/>
        </w:rPr>
        <w:t>.</w:t>
      </w:r>
      <w:r w:rsidR="00A871AD">
        <w:rPr>
          <w:lang w:eastAsia="ar-SA"/>
        </w:rPr>
        <w:t xml:space="preserve"> Osoby pobierające emerytury i renty z tytułu niezdolności do pracy</w:t>
      </w:r>
      <w:r>
        <w:rPr>
          <w:lang w:eastAsia="ar-SA"/>
        </w:rPr>
        <w:t xml:space="preserve"> – s. 27.</w:t>
      </w:r>
    </w:p>
    <w:p w14:paraId="085636EF" w14:textId="44D1C3A4" w:rsidR="00A871AD" w:rsidRDefault="00030F84" w:rsidP="00A871AD">
      <w:pPr>
        <w:rPr>
          <w:lang w:eastAsia="ar-SA"/>
        </w:rPr>
      </w:pPr>
      <w:r>
        <w:rPr>
          <w:lang w:eastAsia="ar-SA"/>
        </w:rPr>
        <w:t>Tabela </w:t>
      </w:r>
      <w:r w:rsidR="00A871AD">
        <w:rPr>
          <w:lang w:eastAsia="ar-SA"/>
        </w:rPr>
        <w:t>13</w:t>
      </w:r>
      <w:r w:rsidR="00822413">
        <w:rPr>
          <w:lang w:eastAsia="ar-SA"/>
        </w:rPr>
        <w:t>.</w:t>
      </w:r>
      <w:r w:rsidR="00F85677">
        <w:t> </w:t>
      </w:r>
      <w:r w:rsidR="00A871AD">
        <w:rPr>
          <w:lang w:eastAsia="ar-SA"/>
        </w:rPr>
        <w:t>Rozpoznania wśród osób w wieku 65+ korzystających ze świadczeń z zakresu podstawowej opieki zdrowotnej</w:t>
      </w:r>
      <w:r>
        <w:rPr>
          <w:lang w:eastAsia="ar-SA"/>
        </w:rPr>
        <w:t xml:space="preserve"> – s. 28.</w:t>
      </w:r>
    </w:p>
    <w:p w14:paraId="6E86273E" w14:textId="1AB4888E" w:rsidR="00A871AD" w:rsidRDefault="00030F84" w:rsidP="00A871AD">
      <w:pPr>
        <w:rPr>
          <w:lang w:eastAsia="ar-SA"/>
        </w:rPr>
      </w:pPr>
      <w:r>
        <w:rPr>
          <w:lang w:eastAsia="ar-SA"/>
        </w:rPr>
        <w:t>Tabela </w:t>
      </w:r>
      <w:r w:rsidR="00A871AD">
        <w:rPr>
          <w:lang w:eastAsia="ar-SA"/>
        </w:rPr>
        <w:t>14</w:t>
      </w:r>
      <w:r w:rsidR="00822413">
        <w:rPr>
          <w:lang w:eastAsia="ar-SA"/>
        </w:rPr>
        <w:t>.</w:t>
      </w:r>
      <w:r w:rsidR="00A871AD">
        <w:rPr>
          <w:lang w:eastAsia="ar-SA"/>
        </w:rPr>
        <w:t xml:space="preserve"> Świadczenia z zakresu podstawowej opieki zdrowotnej udzielone osobom starszym w 2020 r.</w:t>
      </w:r>
      <w:r>
        <w:rPr>
          <w:lang w:eastAsia="ar-SA"/>
        </w:rPr>
        <w:t xml:space="preserve"> – s. 29.</w:t>
      </w:r>
    </w:p>
    <w:p w14:paraId="2B9C6D1C" w14:textId="21A71B57" w:rsidR="00A871AD" w:rsidRDefault="00030F84" w:rsidP="00A871AD">
      <w:pPr>
        <w:rPr>
          <w:lang w:eastAsia="ar-SA"/>
        </w:rPr>
      </w:pPr>
      <w:r>
        <w:rPr>
          <w:lang w:eastAsia="ar-SA"/>
        </w:rPr>
        <w:t xml:space="preserve">Tabela </w:t>
      </w:r>
      <w:r w:rsidR="00A871AD">
        <w:rPr>
          <w:lang w:eastAsia="ar-SA"/>
        </w:rPr>
        <w:t>15</w:t>
      </w:r>
      <w:r w:rsidR="00822413">
        <w:rPr>
          <w:lang w:eastAsia="ar-SA"/>
        </w:rPr>
        <w:t>.</w:t>
      </w:r>
      <w:r w:rsidR="00A871AD">
        <w:rPr>
          <w:lang w:eastAsia="ar-SA"/>
        </w:rPr>
        <w:t xml:space="preserve"> Liczba świadczeniodawców oraz liczba i wartość rozliczonych świadczeń</w:t>
      </w:r>
      <w:r>
        <w:rPr>
          <w:lang w:eastAsia="ar-SA"/>
        </w:rPr>
        <w:t xml:space="preserve"> – s. 30.</w:t>
      </w:r>
    </w:p>
    <w:p w14:paraId="2B12A11E" w14:textId="2D68ADD2" w:rsidR="00A871AD" w:rsidRDefault="00030F84" w:rsidP="00A871AD">
      <w:pPr>
        <w:rPr>
          <w:lang w:eastAsia="ar-SA"/>
        </w:rPr>
      </w:pPr>
      <w:r>
        <w:rPr>
          <w:lang w:eastAsia="ar-SA"/>
        </w:rPr>
        <w:t>Tabela </w:t>
      </w:r>
      <w:r w:rsidR="00A871AD">
        <w:rPr>
          <w:lang w:eastAsia="ar-SA"/>
        </w:rPr>
        <w:t>16</w:t>
      </w:r>
      <w:r w:rsidR="00822413">
        <w:rPr>
          <w:lang w:eastAsia="ar-SA"/>
        </w:rPr>
        <w:t>.</w:t>
      </w:r>
      <w:r w:rsidR="00F85677">
        <w:rPr>
          <w:lang w:eastAsia="ar-SA"/>
        </w:rPr>
        <w:t> </w:t>
      </w:r>
      <w:r w:rsidR="00A871AD">
        <w:rPr>
          <w:lang w:eastAsia="ar-SA"/>
        </w:rPr>
        <w:t xml:space="preserve">Struktura demograficzna pacjentów w opiece paliatywno-hospicyjnej </w:t>
      </w:r>
      <w:r>
        <w:rPr>
          <w:lang w:eastAsia="ar-SA"/>
        </w:rPr>
        <w:t xml:space="preserve">                                        </w:t>
      </w:r>
      <w:r w:rsidR="00A871AD">
        <w:rPr>
          <w:lang w:eastAsia="ar-SA"/>
        </w:rPr>
        <w:t>w 2020 r.</w:t>
      </w:r>
      <w:r>
        <w:rPr>
          <w:lang w:eastAsia="ar-SA"/>
        </w:rPr>
        <w:t xml:space="preserve"> – s. 31.</w:t>
      </w:r>
    </w:p>
    <w:p w14:paraId="04BBBC7E" w14:textId="01DF5F7B" w:rsidR="00A871AD" w:rsidRDefault="00030F84" w:rsidP="00A871AD">
      <w:pPr>
        <w:rPr>
          <w:lang w:eastAsia="ar-SA"/>
        </w:rPr>
      </w:pPr>
      <w:r>
        <w:rPr>
          <w:lang w:eastAsia="ar-SA"/>
        </w:rPr>
        <w:t>Tabela </w:t>
      </w:r>
      <w:r w:rsidR="00A871AD">
        <w:rPr>
          <w:lang w:eastAsia="ar-SA"/>
        </w:rPr>
        <w:t>17</w:t>
      </w:r>
      <w:r w:rsidR="00822413">
        <w:rPr>
          <w:lang w:eastAsia="ar-SA"/>
        </w:rPr>
        <w:t>.</w:t>
      </w:r>
      <w:r w:rsidR="00F85677">
        <w:rPr>
          <w:lang w:eastAsia="ar-SA"/>
        </w:rPr>
        <w:t> </w:t>
      </w:r>
      <w:r w:rsidR="00A871AD">
        <w:rPr>
          <w:lang w:eastAsia="ar-SA"/>
        </w:rPr>
        <w:t xml:space="preserve">Liczba i wartość rozliczonych świadczeń udzielonych osobom powyżej </w:t>
      </w:r>
      <w:r w:rsidR="00F85677">
        <w:rPr>
          <w:lang w:eastAsia="ar-SA"/>
        </w:rPr>
        <w:t xml:space="preserve">                                    </w:t>
      </w:r>
      <w:r w:rsidR="00A871AD">
        <w:rPr>
          <w:lang w:eastAsia="ar-SA"/>
        </w:rPr>
        <w:t>60 r.ż. w rodzaju REH w 2020 r.</w:t>
      </w:r>
      <w:r>
        <w:rPr>
          <w:lang w:eastAsia="ar-SA"/>
        </w:rPr>
        <w:t xml:space="preserve"> – s. 32.</w:t>
      </w:r>
    </w:p>
    <w:p w14:paraId="313AD0EB" w14:textId="69F48477" w:rsidR="00A871AD" w:rsidRDefault="00030F84" w:rsidP="00A871AD">
      <w:pPr>
        <w:rPr>
          <w:lang w:eastAsia="ar-SA"/>
        </w:rPr>
      </w:pPr>
      <w:r>
        <w:rPr>
          <w:lang w:eastAsia="ar-SA"/>
        </w:rPr>
        <w:t>Tabela </w:t>
      </w:r>
      <w:r w:rsidR="00A871AD">
        <w:rPr>
          <w:lang w:eastAsia="ar-SA"/>
        </w:rPr>
        <w:t>18</w:t>
      </w:r>
      <w:r w:rsidR="00822413">
        <w:rPr>
          <w:lang w:eastAsia="ar-SA"/>
        </w:rPr>
        <w:t>.</w:t>
      </w:r>
      <w:r w:rsidR="00F85677">
        <w:rPr>
          <w:lang w:eastAsia="ar-SA"/>
        </w:rPr>
        <w:t> </w:t>
      </w:r>
      <w:r w:rsidR="00A871AD">
        <w:rPr>
          <w:lang w:eastAsia="ar-SA"/>
        </w:rPr>
        <w:t>Najczęstsze rozpoznania ICD:10 wśród osób powyżej 60 r.ż., którym udzielone zostały świadczenia w rodzaju rehabilitacja lecznicza w 2020 r.</w:t>
      </w:r>
      <w:r>
        <w:rPr>
          <w:lang w:eastAsia="ar-SA"/>
        </w:rPr>
        <w:t xml:space="preserve"> – s. 32.</w:t>
      </w:r>
    </w:p>
    <w:p w14:paraId="386D821E" w14:textId="3AEBDCE7" w:rsidR="00A871AD" w:rsidRDefault="00030F84" w:rsidP="00A871AD">
      <w:pPr>
        <w:rPr>
          <w:lang w:eastAsia="ar-SA"/>
        </w:rPr>
      </w:pPr>
      <w:r>
        <w:rPr>
          <w:lang w:eastAsia="ar-SA"/>
        </w:rPr>
        <w:t>Tabela </w:t>
      </w:r>
      <w:r w:rsidR="00A871AD">
        <w:rPr>
          <w:lang w:eastAsia="ar-SA"/>
        </w:rPr>
        <w:t>19</w:t>
      </w:r>
      <w:r w:rsidR="00822413">
        <w:rPr>
          <w:lang w:eastAsia="ar-SA"/>
        </w:rPr>
        <w:t>.</w:t>
      </w:r>
      <w:r w:rsidR="00F85677">
        <w:rPr>
          <w:lang w:eastAsia="ar-SA"/>
        </w:rPr>
        <w:t> </w:t>
      </w:r>
      <w:r w:rsidR="00A871AD">
        <w:rPr>
          <w:lang w:eastAsia="ar-SA"/>
        </w:rPr>
        <w:t xml:space="preserve">Świadczenia udzielone osobom po 60 r.ż. na </w:t>
      </w:r>
      <w:r>
        <w:rPr>
          <w:lang w:eastAsia="ar-SA"/>
        </w:rPr>
        <w:t>oddziałach                                    psychogeriatrycznych – s. 33.</w:t>
      </w:r>
    </w:p>
    <w:p w14:paraId="73E1782F" w14:textId="2433432D" w:rsidR="00030F84" w:rsidRDefault="00030F84" w:rsidP="00A871AD">
      <w:pPr>
        <w:rPr>
          <w:lang w:eastAsia="ar-SA"/>
        </w:rPr>
      </w:pPr>
      <w:r>
        <w:rPr>
          <w:lang w:eastAsia="ar-SA"/>
        </w:rPr>
        <w:t>Tabela 20. Struktura porad ambulatoryjnej opieki zdrowotnej w 2020 r. – s. 33.</w:t>
      </w:r>
    </w:p>
    <w:p w14:paraId="5C257BF5" w14:textId="05564370" w:rsidR="00A871AD" w:rsidRDefault="00030F84" w:rsidP="00A871AD">
      <w:pPr>
        <w:rPr>
          <w:lang w:eastAsia="ar-SA"/>
        </w:rPr>
      </w:pPr>
      <w:r>
        <w:rPr>
          <w:lang w:eastAsia="ar-SA"/>
        </w:rPr>
        <w:t>Tabela 21</w:t>
      </w:r>
      <w:r w:rsidR="00822413">
        <w:rPr>
          <w:lang w:eastAsia="ar-SA"/>
        </w:rPr>
        <w:t>.</w:t>
      </w:r>
      <w:r w:rsidR="00A871AD">
        <w:rPr>
          <w:lang w:eastAsia="ar-SA"/>
        </w:rPr>
        <w:t xml:space="preserve"> Zaopatrzenie w wyroby medyczne wydawane na zlecenie pacjentów</w:t>
      </w:r>
      <w:r>
        <w:rPr>
          <w:lang w:eastAsia="ar-SA"/>
        </w:rPr>
        <w:t xml:space="preserve"> – s. 34.</w:t>
      </w:r>
    </w:p>
    <w:p w14:paraId="250F8D82" w14:textId="65CEB0C4" w:rsidR="00A871AD" w:rsidRDefault="00030F84" w:rsidP="00A871AD">
      <w:pPr>
        <w:rPr>
          <w:lang w:eastAsia="ar-SA"/>
        </w:rPr>
      </w:pPr>
      <w:r>
        <w:rPr>
          <w:lang w:eastAsia="ar-SA"/>
        </w:rPr>
        <w:t>Tabela </w:t>
      </w:r>
      <w:r w:rsidR="00A871AD">
        <w:rPr>
          <w:lang w:eastAsia="ar-SA"/>
        </w:rPr>
        <w:t>22</w:t>
      </w:r>
      <w:r w:rsidR="00822413">
        <w:rPr>
          <w:lang w:eastAsia="ar-SA"/>
        </w:rPr>
        <w:t>.</w:t>
      </w:r>
      <w:r w:rsidR="00A871AD">
        <w:rPr>
          <w:lang w:eastAsia="ar-SA"/>
        </w:rPr>
        <w:t xml:space="preserve"> Kuracjusze lecznictwa uzdrowiskowego leczeni w trybie stacjonarnym</w:t>
      </w:r>
      <w:r w:rsidR="009566E2">
        <w:rPr>
          <w:lang w:eastAsia="ar-SA"/>
        </w:rPr>
        <w:t>.</w:t>
      </w:r>
      <w:r>
        <w:rPr>
          <w:lang w:eastAsia="ar-SA"/>
        </w:rPr>
        <w:t xml:space="preserve"> – s. 33.</w:t>
      </w:r>
    </w:p>
    <w:p w14:paraId="60B483A6" w14:textId="01E7E3E3" w:rsidR="00A871AD" w:rsidRDefault="00030F84" w:rsidP="00A871AD">
      <w:pPr>
        <w:rPr>
          <w:lang w:eastAsia="ar-SA"/>
        </w:rPr>
      </w:pPr>
      <w:r>
        <w:rPr>
          <w:lang w:eastAsia="ar-SA"/>
        </w:rPr>
        <w:t>Tabela </w:t>
      </w:r>
      <w:r w:rsidR="00A871AD">
        <w:rPr>
          <w:lang w:eastAsia="ar-SA"/>
        </w:rPr>
        <w:t>23</w:t>
      </w:r>
      <w:r w:rsidR="00822413">
        <w:rPr>
          <w:lang w:eastAsia="ar-SA"/>
        </w:rPr>
        <w:t>.</w:t>
      </w:r>
      <w:r w:rsidR="00A871AD">
        <w:rPr>
          <w:lang w:eastAsia="ar-SA"/>
        </w:rPr>
        <w:t xml:space="preserve"> Ambulatoryjna opieka zdrowotna w 2020 r</w:t>
      </w:r>
      <w:r w:rsidR="009566E2">
        <w:rPr>
          <w:lang w:eastAsia="ar-SA"/>
        </w:rPr>
        <w:t>.</w:t>
      </w:r>
      <w:r>
        <w:rPr>
          <w:lang w:eastAsia="ar-SA"/>
        </w:rPr>
        <w:t xml:space="preserve"> – s. 35.</w:t>
      </w:r>
    </w:p>
    <w:p w14:paraId="082B65D4" w14:textId="4F8E48AC" w:rsidR="00A871AD" w:rsidRDefault="00030F84" w:rsidP="00A871AD">
      <w:pPr>
        <w:rPr>
          <w:lang w:eastAsia="ar-SA"/>
        </w:rPr>
      </w:pPr>
      <w:r>
        <w:rPr>
          <w:lang w:eastAsia="ar-SA"/>
        </w:rPr>
        <w:t>Tabela </w:t>
      </w:r>
      <w:r w:rsidR="00A871AD">
        <w:rPr>
          <w:lang w:eastAsia="ar-SA"/>
        </w:rPr>
        <w:t>24</w:t>
      </w:r>
      <w:r w:rsidR="00822413">
        <w:rPr>
          <w:lang w:eastAsia="ar-SA"/>
        </w:rPr>
        <w:t>.</w:t>
      </w:r>
      <w:r w:rsidR="00A871AD">
        <w:rPr>
          <w:lang w:eastAsia="ar-SA"/>
        </w:rPr>
        <w:t xml:space="preserve"> Struktura porad ambulatoryjnej opieki zdrowotnej w 2020 r.</w:t>
      </w:r>
      <w:r>
        <w:rPr>
          <w:lang w:eastAsia="ar-SA"/>
        </w:rPr>
        <w:t xml:space="preserve"> – s. 35.</w:t>
      </w:r>
    </w:p>
    <w:p w14:paraId="03EE266C" w14:textId="64E7D29C" w:rsidR="00A871AD" w:rsidRDefault="00030F84" w:rsidP="00A871AD">
      <w:pPr>
        <w:rPr>
          <w:lang w:eastAsia="ar-SA"/>
        </w:rPr>
      </w:pPr>
      <w:r>
        <w:rPr>
          <w:lang w:eastAsia="ar-SA"/>
        </w:rPr>
        <w:t>Tabela </w:t>
      </w:r>
      <w:r w:rsidR="00A871AD">
        <w:rPr>
          <w:lang w:eastAsia="ar-SA"/>
        </w:rPr>
        <w:t>25</w:t>
      </w:r>
      <w:r w:rsidR="00822413">
        <w:rPr>
          <w:lang w:eastAsia="ar-SA"/>
        </w:rPr>
        <w:t>.</w:t>
      </w:r>
      <w:r w:rsidR="00A871AD">
        <w:rPr>
          <w:lang w:eastAsia="ar-SA"/>
        </w:rPr>
        <w:t xml:space="preserve"> Liczba lekarzy geriatrów wykonujących zawód</w:t>
      </w:r>
      <w:r>
        <w:rPr>
          <w:lang w:eastAsia="ar-SA"/>
        </w:rPr>
        <w:t xml:space="preserve"> – s. 36.</w:t>
      </w:r>
    </w:p>
    <w:p w14:paraId="6244BDBF" w14:textId="2CBEC790" w:rsidR="00A871AD" w:rsidRDefault="00030F84" w:rsidP="00A871AD">
      <w:pPr>
        <w:rPr>
          <w:lang w:eastAsia="ar-SA"/>
        </w:rPr>
      </w:pPr>
      <w:r>
        <w:rPr>
          <w:lang w:eastAsia="ar-SA"/>
        </w:rPr>
        <w:t>Tabela </w:t>
      </w:r>
      <w:r w:rsidR="00A871AD">
        <w:rPr>
          <w:lang w:eastAsia="ar-SA"/>
        </w:rPr>
        <w:t>26</w:t>
      </w:r>
      <w:r w:rsidR="00822413">
        <w:rPr>
          <w:lang w:eastAsia="ar-SA"/>
        </w:rPr>
        <w:t>.</w:t>
      </w:r>
      <w:r w:rsidR="00A871AD">
        <w:rPr>
          <w:lang w:eastAsia="ar-SA"/>
        </w:rPr>
        <w:t xml:space="preserve"> Samoocena zdrowia seniorów</w:t>
      </w:r>
      <w:r>
        <w:rPr>
          <w:lang w:eastAsia="ar-SA"/>
        </w:rPr>
        <w:t xml:space="preserve"> – s. 37.</w:t>
      </w:r>
    </w:p>
    <w:p w14:paraId="0230314A" w14:textId="05DD9498" w:rsidR="00A871AD" w:rsidRDefault="00030F84" w:rsidP="00A871AD">
      <w:pPr>
        <w:rPr>
          <w:lang w:eastAsia="ar-SA"/>
        </w:rPr>
      </w:pPr>
      <w:r>
        <w:rPr>
          <w:lang w:eastAsia="ar-SA"/>
        </w:rPr>
        <w:t>Tabela </w:t>
      </w:r>
      <w:r w:rsidR="00A871AD">
        <w:rPr>
          <w:lang w:eastAsia="ar-SA"/>
        </w:rPr>
        <w:t>27</w:t>
      </w:r>
      <w:r w:rsidR="00822413">
        <w:rPr>
          <w:lang w:eastAsia="ar-SA"/>
        </w:rPr>
        <w:t>.</w:t>
      </w:r>
      <w:r w:rsidR="00A871AD">
        <w:rPr>
          <w:lang w:eastAsia="ar-SA"/>
        </w:rPr>
        <w:t xml:space="preserve"> Waga ciała według płci i wieku</w:t>
      </w:r>
      <w:r>
        <w:rPr>
          <w:lang w:eastAsia="ar-SA"/>
        </w:rPr>
        <w:t xml:space="preserve"> – s. 38.</w:t>
      </w:r>
    </w:p>
    <w:p w14:paraId="0DDFA2C0" w14:textId="493F111F" w:rsidR="00A871AD" w:rsidRDefault="00030F84" w:rsidP="00A871AD">
      <w:pPr>
        <w:rPr>
          <w:lang w:eastAsia="ar-SA"/>
        </w:rPr>
      </w:pPr>
      <w:r>
        <w:rPr>
          <w:lang w:eastAsia="ar-SA"/>
        </w:rPr>
        <w:t>Tabela </w:t>
      </w:r>
      <w:r w:rsidR="00A871AD">
        <w:rPr>
          <w:lang w:eastAsia="ar-SA"/>
        </w:rPr>
        <w:t>28</w:t>
      </w:r>
      <w:r w:rsidR="00822413">
        <w:rPr>
          <w:lang w:eastAsia="ar-SA"/>
        </w:rPr>
        <w:t>.</w:t>
      </w:r>
      <w:r w:rsidR="00A871AD">
        <w:rPr>
          <w:lang w:eastAsia="ar-SA"/>
        </w:rPr>
        <w:t xml:space="preserve"> Długotrwałe problemy zdrowotne lub choroby przewlekłe</w:t>
      </w:r>
      <w:r w:rsidR="009566E2">
        <w:rPr>
          <w:lang w:eastAsia="ar-SA"/>
        </w:rPr>
        <w:t>.</w:t>
      </w:r>
    </w:p>
    <w:p w14:paraId="57736270" w14:textId="4AD4ABE1" w:rsidR="00A871AD" w:rsidRDefault="00030F84" w:rsidP="00A871AD">
      <w:pPr>
        <w:rPr>
          <w:lang w:eastAsia="ar-SA"/>
        </w:rPr>
      </w:pPr>
      <w:r>
        <w:rPr>
          <w:lang w:eastAsia="ar-SA"/>
        </w:rPr>
        <w:t>Tabela </w:t>
      </w:r>
      <w:r w:rsidR="00A871AD">
        <w:rPr>
          <w:lang w:eastAsia="ar-SA"/>
        </w:rPr>
        <w:t>29</w:t>
      </w:r>
      <w:r w:rsidR="00822413">
        <w:rPr>
          <w:lang w:eastAsia="ar-SA"/>
        </w:rPr>
        <w:t>.</w:t>
      </w:r>
      <w:r w:rsidR="00A871AD">
        <w:rPr>
          <w:lang w:eastAsia="ar-SA"/>
        </w:rPr>
        <w:t xml:space="preserve"> Ograniczona zdolność wykonywania czynności</w:t>
      </w:r>
      <w:r>
        <w:rPr>
          <w:lang w:eastAsia="ar-SA"/>
        </w:rPr>
        <w:t xml:space="preserve"> – s. 39.</w:t>
      </w:r>
    </w:p>
    <w:p w14:paraId="0094467F" w14:textId="33B5B33F" w:rsidR="00A871AD" w:rsidRDefault="00A871AD" w:rsidP="00A871AD">
      <w:pPr>
        <w:rPr>
          <w:lang w:eastAsia="ar-SA"/>
        </w:rPr>
      </w:pPr>
      <w:r>
        <w:rPr>
          <w:lang w:eastAsia="ar-SA"/>
        </w:rPr>
        <w:t>Tabel</w:t>
      </w:r>
      <w:r w:rsidR="00030F84">
        <w:rPr>
          <w:lang w:eastAsia="ar-SA"/>
        </w:rPr>
        <w:t>a </w:t>
      </w:r>
      <w:r>
        <w:rPr>
          <w:lang w:eastAsia="ar-SA"/>
        </w:rPr>
        <w:t>30</w:t>
      </w:r>
      <w:r w:rsidR="00822413">
        <w:rPr>
          <w:lang w:eastAsia="ar-SA"/>
        </w:rPr>
        <w:t>.</w:t>
      </w:r>
      <w:r>
        <w:rPr>
          <w:lang w:eastAsia="ar-SA"/>
        </w:rPr>
        <w:t xml:space="preserve"> Potrzeby skorzystania z leczenia lub badania</w:t>
      </w:r>
      <w:r w:rsidR="00030F84">
        <w:rPr>
          <w:lang w:eastAsia="ar-SA"/>
        </w:rPr>
        <w:t xml:space="preserve"> – s. 39.</w:t>
      </w:r>
    </w:p>
    <w:p w14:paraId="53612783" w14:textId="3914AF82" w:rsidR="00A871AD" w:rsidRDefault="00030F84" w:rsidP="00A871AD">
      <w:pPr>
        <w:rPr>
          <w:lang w:eastAsia="ar-SA"/>
        </w:rPr>
      </w:pPr>
      <w:r>
        <w:rPr>
          <w:lang w:eastAsia="ar-SA"/>
        </w:rPr>
        <w:t xml:space="preserve">Tabela </w:t>
      </w:r>
      <w:r w:rsidR="00A871AD">
        <w:rPr>
          <w:lang w:eastAsia="ar-SA"/>
        </w:rPr>
        <w:t>31</w:t>
      </w:r>
      <w:r w:rsidR="00822413">
        <w:rPr>
          <w:lang w:eastAsia="ar-SA"/>
        </w:rPr>
        <w:t>.</w:t>
      </w:r>
      <w:r w:rsidR="00A871AD">
        <w:rPr>
          <w:lang w:eastAsia="ar-SA"/>
        </w:rPr>
        <w:t xml:space="preserve"> Przyczyny niezaspokojonych potrzeb w zakresie leczenia lub badania</w:t>
      </w:r>
      <w:r>
        <w:rPr>
          <w:lang w:eastAsia="ar-SA"/>
        </w:rPr>
        <w:t xml:space="preserve"> – s. 40.</w:t>
      </w:r>
      <w:r w:rsidR="00A871AD">
        <w:rPr>
          <w:lang w:eastAsia="ar-SA"/>
        </w:rPr>
        <w:t xml:space="preserve"> </w:t>
      </w:r>
    </w:p>
    <w:p w14:paraId="5135C154" w14:textId="1BA7305E" w:rsidR="00A871AD" w:rsidRDefault="00030F84" w:rsidP="00A871AD">
      <w:pPr>
        <w:rPr>
          <w:lang w:eastAsia="ar-SA"/>
        </w:rPr>
      </w:pPr>
      <w:r>
        <w:rPr>
          <w:lang w:eastAsia="ar-SA"/>
        </w:rPr>
        <w:t>Tabela </w:t>
      </w:r>
      <w:r w:rsidR="00A871AD">
        <w:rPr>
          <w:lang w:eastAsia="ar-SA"/>
        </w:rPr>
        <w:t>32</w:t>
      </w:r>
      <w:r w:rsidR="00822413">
        <w:rPr>
          <w:lang w:eastAsia="ar-SA"/>
        </w:rPr>
        <w:t>.</w:t>
      </w:r>
      <w:r w:rsidR="00A871AD">
        <w:rPr>
          <w:lang w:eastAsia="ar-SA"/>
        </w:rPr>
        <w:t xml:space="preserve"> Osoby korzystające z Internetu w 2020 r.</w:t>
      </w:r>
      <w:r>
        <w:rPr>
          <w:lang w:eastAsia="ar-SA"/>
        </w:rPr>
        <w:t xml:space="preserve"> – s. 41.</w:t>
      </w:r>
    </w:p>
    <w:p w14:paraId="164698AC" w14:textId="3B79091F" w:rsidR="00A871AD" w:rsidRDefault="00030F84" w:rsidP="00A871AD">
      <w:pPr>
        <w:rPr>
          <w:lang w:eastAsia="ar-SA"/>
        </w:rPr>
      </w:pPr>
      <w:r>
        <w:rPr>
          <w:lang w:eastAsia="ar-SA"/>
        </w:rPr>
        <w:lastRenderedPageBreak/>
        <w:t>Tabela </w:t>
      </w:r>
      <w:r w:rsidR="00A871AD">
        <w:rPr>
          <w:lang w:eastAsia="ar-SA"/>
        </w:rPr>
        <w:t>33</w:t>
      </w:r>
      <w:r w:rsidR="00822413">
        <w:rPr>
          <w:lang w:eastAsia="ar-SA"/>
        </w:rPr>
        <w:t>.</w:t>
      </w:r>
      <w:r w:rsidR="00A871AD">
        <w:rPr>
          <w:lang w:eastAsia="ar-SA"/>
        </w:rPr>
        <w:t xml:space="preserve"> Osoby w wieku 61 lat i więcej wśród słuchaczy uniwersytetów trzeciego wieku (dane z roku akademickiego 2017/2018)</w:t>
      </w:r>
      <w:r>
        <w:rPr>
          <w:lang w:eastAsia="ar-SA"/>
        </w:rPr>
        <w:t xml:space="preserve"> – s. 44.</w:t>
      </w:r>
    </w:p>
    <w:p w14:paraId="2D5BBA34" w14:textId="75BDB762" w:rsidR="00A871AD" w:rsidRDefault="00030F84" w:rsidP="00A871AD">
      <w:pPr>
        <w:rPr>
          <w:lang w:eastAsia="ar-SA"/>
        </w:rPr>
      </w:pPr>
      <w:r>
        <w:rPr>
          <w:lang w:eastAsia="ar-SA"/>
        </w:rPr>
        <w:t>Tabela </w:t>
      </w:r>
      <w:r w:rsidR="00A871AD">
        <w:rPr>
          <w:lang w:eastAsia="ar-SA"/>
        </w:rPr>
        <w:t>34</w:t>
      </w:r>
      <w:r w:rsidR="00822413">
        <w:rPr>
          <w:lang w:eastAsia="ar-SA"/>
        </w:rPr>
        <w:t>.</w:t>
      </w:r>
      <w:r w:rsidR="00A871AD">
        <w:rPr>
          <w:lang w:eastAsia="ar-SA"/>
        </w:rPr>
        <w:t xml:space="preserve"> Liczba gmin w poszczególnych województwach, w których funkcjonują gminne rady seniorów zgodnie z art. </w:t>
      </w:r>
      <w:r>
        <w:rPr>
          <w:lang w:eastAsia="ar-SA"/>
        </w:rPr>
        <w:t>5c ustawy i samorządzie gminnym – s. 45.</w:t>
      </w:r>
    </w:p>
    <w:p w14:paraId="33032DD0" w14:textId="77ED01C7" w:rsidR="00A871AD" w:rsidRDefault="00030F84" w:rsidP="00A871AD">
      <w:pPr>
        <w:rPr>
          <w:lang w:eastAsia="ar-SA"/>
        </w:rPr>
      </w:pPr>
      <w:r>
        <w:rPr>
          <w:lang w:eastAsia="ar-SA"/>
        </w:rPr>
        <w:t>Tabela </w:t>
      </w:r>
      <w:r w:rsidR="00A871AD">
        <w:rPr>
          <w:lang w:eastAsia="ar-SA"/>
        </w:rPr>
        <w:t>35</w:t>
      </w:r>
      <w:r w:rsidR="00822413">
        <w:rPr>
          <w:lang w:eastAsia="ar-SA"/>
        </w:rPr>
        <w:t>.</w:t>
      </w:r>
      <w:r w:rsidR="00F85677">
        <w:rPr>
          <w:lang w:eastAsia="ar-SA"/>
        </w:rPr>
        <w:t> </w:t>
      </w:r>
      <w:r w:rsidR="00A871AD">
        <w:rPr>
          <w:lang w:eastAsia="ar-SA"/>
        </w:rPr>
        <w:t>Uczestnictwo członków gospodarstw domowych w zajęciach sportowych lub rekreacji ruchowej w 2016 r.</w:t>
      </w:r>
      <w:r>
        <w:rPr>
          <w:lang w:eastAsia="ar-SA"/>
        </w:rPr>
        <w:t xml:space="preserve"> – s. 46.</w:t>
      </w:r>
    </w:p>
    <w:p w14:paraId="1C0164FF" w14:textId="435BC8DD" w:rsidR="00A871AD" w:rsidRDefault="00030F84" w:rsidP="00A871AD">
      <w:pPr>
        <w:rPr>
          <w:lang w:eastAsia="ar-SA"/>
        </w:rPr>
      </w:pPr>
      <w:r>
        <w:rPr>
          <w:lang w:eastAsia="ar-SA"/>
        </w:rPr>
        <w:t>Tabela </w:t>
      </w:r>
      <w:r w:rsidR="00A871AD">
        <w:rPr>
          <w:lang w:eastAsia="ar-SA"/>
        </w:rPr>
        <w:t>36</w:t>
      </w:r>
      <w:r w:rsidR="00822413">
        <w:rPr>
          <w:lang w:eastAsia="ar-SA"/>
        </w:rPr>
        <w:t>.</w:t>
      </w:r>
      <w:r w:rsidR="00A871AD">
        <w:rPr>
          <w:lang w:eastAsia="ar-SA"/>
        </w:rPr>
        <w:t xml:space="preserve"> Osoby starsze uczestniczące w podróżach w 2020 r.</w:t>
      </w:r>
      <w:r>
        <w:rPr>
          <w:lang w:eastAsia="ar-SA"/>
        </w:rPr>
        <w:t xml:space="preserve"> – s. 46.</w:t>
      </w:r>
    </w:p>
    <w:p w14:paraId="7C8C5BB5" w14:textId="66B70E66" w:rsidR="00A871AD" w:rsidRDefault="00030F84" w:rsidP="00A871AD">
      <w:pPr>
        <w:rPr>
          <w:lang w:eastAsia="ar-SA"/>
        </w:rPr>
      </w:pPr>
      <w:r>
        <w:rPr>
          <w:lang w:eastAsia="ar-SA"/>
        </w:rPr>
        <w:t>Tabela </w:t>
      </w:r>
      <w:r w:rsidR="00A871AD">
        <w:rPr>
          <w:lang w:eastAsia="ar-SA"/>
        </w:rPr>
        <w:t>37</w:t>
      </w:r>
      <w:r w:rsidR="00822413">
        <w:rPr>
          <w:lang w:eastAsia="ar-SA"/>
        </w:rPr>
        <w:t>.</w:t>
      </w:r>
      <w:r w:rsidR="00A871AD">
        <w:rPr>
          <w:lang w:eastAsia="ar-SA"/>
        </w:rPr>
        <w:t xml:space="preserve"> Udział osób starszych w formach aktywności kulturalnej w 2020 r.</w:t>
      </w:r>
      <w:r w:rsidR="002B644A">
        <w:rPr>
          <w:lang w:eastAsia="ar-SA"/>
        </w:rPr>
        <w:t xml:space="preserve"> – s. 46.</w:t>
      </w:r>
    </w:p>
    <w:p w14:paraId="2FA71D20" w14:textId="3A91A256" w:rsidR="00A871AD" w:rsidRDefault="00030F84" w:rsidP="00A871AD">
      <w:pPr>
        <w:rPr>
          <w:lang w:eastAsia="ar-SA"/>
        </w:rPr>
      </w:pPr>
      <w:r>
        <w:rPr>
          <w:lang w:eastAsia="ar-SA"/>
        </w:rPr>
        <w:t xml:space="preserve">Tabela </w:t>
      </w:r>
      <w:r w:rsidR="00A871AD">
        <w:rPr>
          <w:lang w:eastAsia="ar-SA"/>
        </w:rPr>
        <w:t>38</w:t>
      </w:r>
      <w:r w:rsidR="00822413">
        <w:rPr>
          <w:lang w:eastAsia="ar-SA"/>
        </w:rPr>
        <w:t>.</w:t>
      </w:r>
      <w:r w:rsidR="00A871AD">
        <w:rPr>
          <w:lang w:eastAsia="ar-SA"/>
        </w:rPr>
        <w:t xml:space="preserve"> Czytelnicy bibliotek publicznych w 2020 r.</w:t>
      </w:r>
      <w:r w:rsidR="002B644A">
        <w:rPr>
          <w:lang w:eastAsia="ar-SA"/>
        </w:rPr>
        <w:t xml:space="preserve"> – s. 48.</w:t>
      </w:r>
    </w:p>
    <w:p w14:paraId="39151D88" w14:textId="5829BA4F" w:rsidR="00A871AD" w:rsidRDefault="00030F84" w:rsidP="00A871AD">
      <w:pPr>
        <w:rPr>
          <w:lang w:eastAsia="ar-SA"/>
        </w:rPr>
      </w:pPr>
      <w:r>
        <w:rPr>
          <w:lang w:eastAsia="ar-SA"/>
        </w:rPr>
        <w:t xml:space="preserve">Tabela </w:t>
      </w:r>
      <w:r w:rsidR="00A871AD">
        <w:rPr>
          <w:lang w:eastAsia="ar-SA"/>
        </w:rPr>
        <w:t>39</w:t>
      </w:r>
      <w:r w:rsidR="00822413">
        <w:rPr>
          <w:lang w:eastAsia="ar-SA"/>
        </w:rPr>
        <w:t>.</w:t>
      </w:r>
      <w:r w:rsidR="00A871AD">
        <w:rPr>
          <w:lang w:eastAsia="ar-SA"/>
        </w:rPr>
        <w:t xml:space="preserve"> Osoby niepełnosprawne w wieku 60 lat i więcej według płci, grup wieku i miejsca zamieszkania</w:t>
      </w:r>
      <w:r w:rsidR="002B644A">
        <w:rPr>
          <w:lang w:eastAsia="ar-SA"/>
        </w:rPr>
        <w:t xml:space="preserve"> – s. 49.</w:t>
      </w:r>
    </w:p>
    <w:p w14:paraId="7A1ABA20" w14:textId="5E014703" w:rsidR="00A871AD" w:rsidRDefault="00030F84" w:rsidP="00A871AD">
      <w:pPr>
        <w:rPr>
          <w:lang w:eastAsia="ar-SA"/>
        </w:rPr>
      </w:pPr>
      <w:r>
        <w:rPr>
          <w:lang w:eastAsia="ar-SA"/>
        </w:rPr>
        <w:t xml:space="preserve">Tabela </w:t>
      </w:r>
      <w:r w:rsidR="00A871AD">
        <w:rPr>
          <w:lang w:eastAsia="ar-SA"/>
        </w:rPr>
        <w:t>40</w:t>
      </w:r>
      <w:r w:rsidR="00822413">
        <w:rPr>
          <w:lang w:eastAsia="ar-SA"/>
        </w:rPr>
        <w:t>.</w:t>
      </w:r>
      <w:r w:rsidR="00A871AD">
        <w:rPr>
          <w:lang w:eastAsia="ar-SA"/>
        </w:rPr>
        <w:t xml:space="preserve"> Zadania o charakterze remontowym i inwestycyjnym mającym na celu niwelowanie istniejących barier architektonicznych</w:t>
      </w:r>
      <w:r w:rsidR="002B644A">
        <w:rPr>
          <w:lang w:eastAsia="ar-SA"/>
        </w:rPr>
        <w:t xml:space="preserve"> – s. 59.</w:t>
      </w:r>
    </w:p>
    <w:p w14:paraId="6E636804" w14:textId="523944F3" w:rsidR="00A871AD" w:rsidRDefault="00030F84" w:rsidP="00A871AD">
      <w:pPr>
        <w:rPr>
          <w:lang w:eastAsia="ar-SA"/>
        </w:rPr>
      </w:pPr>
      <w:r>
        <w:rPr>
          <w:lang w:eastAsia="ar-SA"/>
        </w:rPr>
        <w:t>Tabela </w:t>
      </w:r>
      <w:r w:rsidR="00A871AD">
        <w:rPr>
          <w:lang w:eastAsia="ar-SA"/>
        </w:rPr>
        <w:t>41</w:t>
      </w:r>
      <w:r w:rsidR="00822413">
        <w:rPr>
          <w:lang w:eastAsia="ar-SA"/>
        </w:rPr>
        <w:t>.</w:t>
      </w:r>
      <w:r w:rsidR="00A871AD">
        <w:rPr>
          <w:lang w:eastAsia="ar-SA"/>
        </w:rPr>
        <w:t xml:space="preserve"> Lista programów dotacyjnych Ministra, w których w 2020 r. zostały dofinansowane przedsięwzięcia, w których seniorzy byli jedną z plano</w:t>
      </w:r>
      <w:r w:rsidR="002B644A">
        <w:rPr>
          <w:lang w:eastAsia="ar-SA"/>
        </w:rPr>
        <w:t>wanych grup docelowych                               projektu – s. 63.</w:t>
      </w:r>
    </w:p>
    <w:p w14:paraId="769A4E2C" w14:textId="2C42B4A7" w:rsidR="00A871AD" w:rsidRDefault="00030F84" w:rsidP="00A871AD">
      <w:pPr>
        <w:rPr>
          <w:lang w:eastAsia="ar-SA"/>
        </w:rPr>
      </w:pPr>
      <w:r>
        <w:rPr>
          <w:lang w:eastAsia="ar-SA"/>
        </w:rPr>
        <w:t>Tabela </w:t>
      </w:r>
      <w:r w:rsidR="00A871AD">
        <w:rPr>
          <w:lang w:eastAsia="ar-SA"/>
        </w:rPr>
        <w:t>42</w:t>
      </w:r>
      <w:r w:rsidR="00822413">
        <w:rPr>
          <w:lang w:eastAsia="ar-SA"/>
        </w:rPr>
        <w:t>.</w:t>
      </w:r>
      <w:r w:rsidR="002B644A">
        <w:rPr>
          <w:lang w:eastAsia="ar-SA"/>
        </w:rPr>
        <w:t> </w:t>
      </w:r>
      <w:r w:rsidR="00A871AD">
        <w:rPr>
          <w:lang w:eastAsia="ar-SA"/>
        </w:rPr>
        <w:t>Program ASOS - dane za lata 2014-2020</w:t>
      </w:r>
      <w:r w:rsidR="002B644A">
        <w:rPr>
          <w:lang w:eastAsia="ar-SA"/>
        </w:rPr>
        <w:t xml:space="preserve"> – s. 71.</w:t>
      </w:r>
    </w:p>
    <w:p w14:paraId="18B5DD68" w14:textId="32B044D8" w:rsidR="00A871AD" w:rsidRDefault="00030F84" w:rsidP="00A871AD">
      <w:pPr>
        <w:rPr>
          <w:lang w:eastAsia="ar-SA"/>
        </w:rPr>
      </w:pPr>
      <w:r>
        <w:rPr>
          <w:lang w:eastAsia="ar-SA"/>
        </w:rPr>
        <w:t>Tabela </w:t>
      </w:r>
      <w:r w:rsidR="00A871AD">
        <w:rPr>
          <w:lang w:eastAsia="ar-SA"/>
        </w:rPr>
        <w:t>43</w:t>
      </w:r>
      <w:r w:rsidR="00822413">
        <w:rPr>
          <w:lang w:eastAsia="ar-SA"/>
        </w:rPr>
        <w:t>.</w:t>
      </w:r>
      <w:r w:rsidR="002B644A">
        <w:rPr>
          <w:lang w:eastAsia="ar-SA"/>
        </w:rPr>
        <w:t> </w:t>
      </w:r>
      <w:r w:rsidR="00A871AD">
        <w:rPr>
          <w:lang w:eastAsia="ar-SA"/>
        </w:rPr>
        <w:t>Średni okres pobierania świadczeń emerytalno-rentowych w 2020 r. przez osoby, które ukończ</w:t>
      </w:r>
      <w:r w:rsidR="002B644A">
        <w:rPr>
          <w:lang w:eastAsia="ar-SA"/>
        </w:rPr>
        <w:t>yły 60 lat (w podziale na płeć) – s. 90.</w:t>
      </w:r>
    </w:p>
    <w:p w14:paraId="13FB9628" w14:textId="63404233" w:rsidR="00A871AD" w:rsidRDefault="00030F84" w:rsidP="00A871AD">
      <w:pPr>
        <w:rPr>
          <w:lang w:eastAsia="ar-SA"/>
        </w:rPr>
      </w:pPr>
      <w:r>
        <w:rPr>
          <w:lang w:eastAsia="ar-SA"/>
        </w:rPr>
        <w:t>Tabela </w:t>
      </w:r>
      <w:r w:rsidR="00A871AD">
        <w:rPr>
          <w:lang w:eastAsia="ar-SA"/>
        </w:rPr>
        <w:t>44</w:t>
      </w:r>
      <w:r w:rsidR="00822413">
        <w:rPr>
          <w:lang w:eastAsia="ar-SA"/>
        </w:rPr>
        <w:t>.</w:t>
      </w:r>
      <w:r w:rsidR="002B644A">
        <w:rPr>
          <w:lang w:eastAsia="ar-SA"/>
        </w:rPr>
        <w:t> </w:t>
      </w:r>
      <w:r w:rsidR="00A871AD">
        <w:rPr>
          <w:lang w:eastAsia="ar-SA"/>
        </w:rPr>
        <w:t>Informacja nt. kwot zrealizowanych płatności w ramach PROW 2014-2020 oraz płatności obszarowych dla beneficjentów, którzy w 2020 r. mieli 60 i więcej lat</w:t>
      </w:r>
      <w:r w:rsidR="002B644A">
        <w:rPr>
          <w:lang w:eastAsia="ar-SA"/>
        </w:rPr>
        <w:t xml:space="preserve"> – s. 92.</w:t>
      </w:r>
    </w:p>
    <w:p w14:paraId="35BC38ED" w14:textId="0511CDE1" w:rsidR="00A871AD" w:rsidRDefault="00030F84" w:rsidP="00A871AD">
      <w:pPr>
        <w:rPr>
          <w:lang w:eastAsia="ar-SA"/>
        </w:rPr>
      </w:pPr>
      <w:r>
        <w:rPr>
          <w:lang w:eastAsia="ar-SA"/>
        </w:rPr>
        <w:t>Tabela </w:t>
      </w:r>
      <w:r w:rsidR="00A871AD">
        <w:rPr>
          <w:lang w:eastAsia="ar-SA"/>
        </w:rPr>
        <w:t>45</w:t>
      </w:r>
      <w:r w:rsidR="00822413">
        <w:rPr>
          <w:lang w:eastAsia="ar-SA"/>
        </w:rPr>
        <w:t>.</w:t>
      </w:r>
      <w:r w:rsidR="002B644A">
        <w:rPr>
          <w:lang w:eastAsia="ar-SA"/>
        </w:rPr>
        <w:t> </w:t>
      </w:r>
      <w:r w:rsidR="00A871AD">
        <w:rPr>
          <w:lang w:eastAsia="ar-SA"/>
        </w:rPr>
        <w:t xml:space="preserve">Informacja nt. beneficjentów pomocy krajowej, którzy w 2020 r. mieli </w:t>
      </w:r>
      <w:r w:rsidR="002B644A">
        <w:rPr>
          <w:lang w:eastAsia="ar-SA"/>
        </w:rPr>
        <w:t xml:space="preserve">                                      </w:t>
      </w:r>
      <w:r w:rsidR="00A871AD">
        <w:rPr>
          <w:lang w:eastAsia="ar-SA"/>
        </w:rPr>
        <w:t>60 i więcej </w:t>
      </w:r>
      <w:r w:rsidR="002B644A">
        <w:rPr>
          <w:lang w:eastAsia="ar-SA"/>
        </w:rPr>
        <w:t xml:space="preserve"> </w:t>
      </w:r>
      <w:r w:rsidR="00A871AD">
        <w:rPr>
          <w:lang w:eastAsia="ar-SA"/>
        </w:rPr>
        <w:t>lat</w:t>
      </w:r>
      <w:r w:rsidR="002B644A">
        <w:rPr>
          <w:lang w:eastAsia="ar-SA"/>
        </w:rPr>
        <w:t xml:space="preserve"> – s. 93.</w:t>
      </w:r>
    </w:p>
    <w:p w14:paraId="10E09F03" w14:textId="1BA8D2D1" w:rsidR="00A871AD" w:rsidRDefault="00030F84" w:rsidP="00A871AD">
      <w:pPr>
        <w:rPr>
          <w:lang w:eastAsia="ar-SA"/>
        </w:rPr>
      </w:pPr>
      <w:r>
        <w:rPr>
          <w:lang w:eastAsia="ar-SA"/>
        </w:rPr>
        <w:t>Tabela </w:t>
      </w:r>
      <w:r w:rsidR="00A871AD">
        <w:rPr>
          <w:lang w:eastAsia="ar-SA"/>
        </w:rPr>
        <w:t>46</w:t>
      </w:r>
      <w:r w:rsidR="00822413">
        <w:rPr>
          <w:lang w:eastAsia="ar-SA"/>
        </w:rPr>
        <w:t>.</w:t>
      </w:r>
      <w:r w:rsidR="002B644A">
        <w:rPr>
          <w:lang w:eastAsia="ar-SA"/>
        </w:rPr>
        <w:t> Ludność według województw – s. 144.</w:t>
      </w:r>
    </w:p>
    <w:p w14:paraId="56907D6D" w14:textId="5CCC7DEC" w:rsidR="00221A75" w:rsidRDefault="00030F84" w:rsidP="00A871AD">
      <w:pPr>
        <w:rPr>
          <w:lang w:eastAsia="ar-SA"/>
        </w:rPr>
      </w:pPr>
      <w:r>
        <w:rPr>
          <w:lang w:eastAsia="ar-SA"/>
        </w:rPr>
        <w:t>Tabela </w:t>
      </w:r>
      <w:r w:rsidR="00221A75">
        <w:rPr>
          <w:lang w:eastAsia="ar-SA"/>
        </w:rPr>
        <w:t>47</w:t>
      </w:r>
      <w:r w:rsidR="00822413">
        <w:rPr>
          <w:lang w:eastAsia="ar-SA"/>
        </w:rPr>
        <w:t>.</w:t>
      </w:r>
      <w:r w:rsidR="002B644A">
        <w:rPr>
          <w:lang w:eastAsia="ar-SA"/>
        </w:rPr>
        <w:t> </w:t>
      </w:r>
      <w:r w:rsidR="00221A75">
        <w:rPr>
          <w:lang w:eastAsia="ar-SA"/>
        </w:rPr>
        <w:t>Liczba lekarzy geriatrów wykonujących za</w:t>
      </w:r>
      <w:r w:rsidR="002B644A">
        <w:rPr>
          <w:lang w:eastAsia="ar-SA"/>
        </w:rPr>
        <w:t>wód, z podziałem                                                             na województwa – s. 145.</w:t>
      </w:r>
    </w:p>
    <w:p w14:paraId="1440F170" w14:textId="12E4D66E" w:rsidR="00A871AD" w:rsidRDefault="00030F84" w:rsidP="00A871AD">
      <w:pPr>
        <w:rPr>
          <w:lang w:eastAsia="ar-SA"/>
        </w:rPr>
      </w:pPr>
      <w:r>
        <w:rPr>
          <w:lang w:eastAsia="ar-SA"/>
        </w:rPr>
        <w:t xml:space="preserve">Tabela </w:t>
      </w:r>
      <w:r w:rsidR="00A871AD">
        <w:rPr>
          <w:lang w:eastAsia="ar-SA"/>
        </w:rPr>
        <w:t>4</w:t>
      </w:r>
      <w:r w:rsidR="00221A75">
        <w:rPr>
          <w:lang w:eastAsia="ar-SA"/>
        </w:rPr>
        <w:t>8</w:t>
      </w:r>
      <w:r w:rsidR="00822413">
        <w:rPr>
          <w:lang w:eastAsia="ar-SA"/>
        </w:rPr>
        <w:t>.</w:t>
      </w:r>
      <w:r w:rsidR="00A871AD">
        <w:rPr>
          <w:lang w:eastAsia="ar-SA"/>
        </w:rPr>
        <w:t xml:space="preserve"> Oddziały geriatryczne w szpitalach ogólnych</w:t>
      </w:r>
      <w:r w:rsidR="002B644A">
        <w:rPr>
          <w:lang w:eastAsia="ar-SA"/>
        </w:rPr>
        <w:t xml:space="preserve"> – s. 145.</w:t>
      </w:r>
    </w:p>
    <w:p w14:paraId="7C4C6B3D" w14:textId="108FD12A" w:rsidR="00A871AD" w:rsidRDefault="00030F84" w:rsidP="00A871AD">
      <w:pPr>
        <w:rPr>
          <w:lang w:eastAsia="ar-SA"/>
        </w:rPr>
      </w:pPr>
      <w:r>
        <w:rPr>
          <w:lang w:eastAsia="ar-SA"/>
        </w:rPr>
        <w:t>Tabela </w:t>
      </w:r>
      <w:r w:rsidR="00A871AD">
        <w:rPr>
          <w:lang w:eastAsia="ar-SA"/>
        </w:rPr>
        <w:t>49</w:t>
      </w:r>
      <w:r w:rsidR="00822413">
        <w:rPr>
          <w:lang w:eastAsia="ar-SA"/>
        </w:rPr>
        <w:t>.</w:t>
      </w:r>
      <w:r w:rsidR="00F85677">
        <w:rPr>
          <w:lang w:eastAsia="ar-SA"/>
        </w:rPr>
        <w:t> </w:t>
      </w:r>
      <w:r w:rsidR="00A871AD">
        <w:rPr>
          <w:lang w:eastAsia="ar-SA"/>
        </w:rPr>
        <w:t xml:space="preserve">Aktywność ekonomiczna osób starszych w województwie dolnośląskim </w:t>
      </w:r>
      <w:r w:rsidR="002B644A">
        <w:rPr>
          <w:lang w:eastAsia="ar-SA"/>
        </w:rPr>
        <w:t xml:space="preserve">                                     </w:t>
      </w:r>
      <w:r w:rsidR="00A871AD">
        <w:rPr>
          <w:lang w:eastAsia="ar-SA"/>
        </w:rPr>
        <w:t>w 2020 r.</w:t>
      </w:r>
      <w:r w:rsidR="002B644A">
        <w:rPr>
          <w:lang w:eastAsia="ar-SA"/>
        </w:rPr>
        <w:t xml:space="preserve"> – s. 146.</w:t>
      </w:r>
    </w:p>
    <w:p w14:paraId="1ABAF8BA" w14:textId="15B9B12B" w:rsidR="00A871AD" w:rsidRDefault="00030F84" w:rsidP="00A871AD">
      <w:pPr>
        <w:rPr>
          <w:lang w:eastAsia="ar-SA"/>
        </w:rPr>
      </w:pPr>
      <w:r>
        <w:rPr>
          <w:lang w:eastAsia="ar-SA"/>
        </w:rPr>
        <w:t>Tabela </w:t>
      </w:r>
      <w:r w:rsidR="00A871AD">
        <w:rPr>
          <w:lang w:eastAsia="ar-SA"/>
        </w:rPr>
        <w:t>50</w:t>
      </w:r>
      <w:r w:rsidR="00822413">
        <w:rPr>
          <w:lang w:eastAsia="ar-SA"/>
        </w:rPr>
        <w:t>.</w:t>
      </w:r>
      <w:r w:rsidR="00A871AD">
        <w:rPr>
          <w:lang w:eastAsia="ar-SA"/>
        </w:rPr>
        <w:t xml:space="preserve"> Karta województwa dolnośląskiego</w:t>
      </w:r>
      <w:r w:rsidR="002B644A">
        <w:rPr>
          <w:lang w:eastAsia="ar-SA"/>
        </w:rPr>
        <w:t xml:space="preserve"> – s. 155.</w:t>
      </w:r>
    </w:p>
    <w:p w14:paraId="11E4AAE6" w14:textId="011893DE" w:rsidR="00A871AD" w:rsidRDefault="00030F84" w:rsidP="00A871AD">
      <w:pPr>
        <w:rPr>
          <w:lang w:eastAsia="ar-SA"/>
        </w:rPr>
      </w:pPr>
      <w:r>
        <w:rPr>
          <w:lang w:eastAsia="ar-SA"/>
        </w:rPr>
        <w:t>Tabela </w:t>
      </w:r>
      <w:r w:rsidR="00A871AD">
        <w:rPr>
          <w:lang w:eastAsia="ar-SA"/>
        </w:rPr>
        <w:t>51</w:t>
      </w:r>
      <w:r w:rsidR="00822413">
        <w:rPr>
          <w:lang w:eastAsia="ar-SA"/>
        </w:rPr>
        <w:t>.</w:t>
      </w:r>
      <w:r w:rsidR="00F85677">
        <w:rPr>
          <w:lang w:eastAsia="ar-SA"/>
        </w:rPr>
        <w:t> </w:t>
      </w:r>
      <w:r w:rsidR="00A871AD">
        <w:rPr>
          <w:lang w:eastAsia="ar-SA"/>
        </w:rPr>
        <w:t>Aktywność ekonomiczna osób starszych w województwie kujawsko-pomorskim w 2020 r.</w:t>
      </w:r>
      <w:r w:rsidR="002B644A">
        <w:rPr>
          <w:lang w:eastAsia="ar-SA"/>
        </w:rPr>
        <w:t xml:space="preserve"> – s. 157.</w:t>
      </w:r>
    </w:p>
    <w:p w14:paraId="0C7CFD4B" w14:textId="7AF13786" w:rsidR="00A871AD" w:rsidRDefault="00030F84" w:rsidP="00A871AD">
      <w:pPr>
        <w:rPr>
          <w:lang w:eastAsia="ar-SA"/>
        </w:rPr>
      </w:pPr>
      <w:r>
        <w:rPr>
          <w:lang w:eastAsia="ar-SA"/>
        </w:rPr>
        <w:t>Tabela </w:t>
      </w:r>
      <w:r w:rsidR="00A871AD">
        <w:rPr>
          <w:lang w:eastAsia="ar-SA"/>
        </w:rPr>
        <w:t>52</w:t>
      </w:r>
      <w:r w:rsidR="00822413">
        <w:rPr>
          <w:lang w:eastAsia="ar-SA"/>
        </w:rPr>
        <w:t>.</w:t>
      </w:r>
      <w:r w:rsidR="00A871AD">
        <w:rPr>
          <w:lang w:eastAsia="ar-SA"/>
        </w:rPr>
        <w:t xml:space="preserve"> Karta województwa kujawsko-pomorskiego</w:t>
      </w:r>
      <w:r w:rsidR="002B644A">
        <w:rPr>
          <w:lang w:eastAsia="ar-SA"/>
        </w:rPr>
        <w:t xml:space="preserve"> – s. 167.</w:t>
      </w:r>
    </w:p>
    <w:p w14:paraId="320DE184" w14:textId="65E718F9" w:rsidR="00A871AD" w:rsidRDefault="00030F84" w:rsidP="00A871AD">
      <w:pPr>
        <w:rPr>
          <w:lang w:eastAsia="ar-SA"/>
        </w:rPr>
      </w:pPr>
      <w:r>
        <w:rPr>
          <w:lang w:eastAsia="ar-SA"/>
        </w:rPr>
        <w:t>Tabela </w:t>
      </w:r>
      <w:r w:rsidR="00A871AD">
        <w:rPr>
          <w:lang w:eastAsia="ar-SA"/>
        </w:rPr>
        <w:t>53</w:t>
      </w:r>
      <w:r w:rsidR="00822413">
        <w:rPr>
          <w:lang w:eastAsia="ar-SA"/>
        </w:rPr>
        <w:t>.</w:t>
      </w:r>
      <w:r w:rsidR="002B644A">
        <w:rPr>
          <w:lang w:eastAsia="ar-SA"/>
        </w:rPr>
        <w:t> </w:t>
      </w:r>
      <w:r w:rsidR="00A871AD">
        <w:rPr>
          <w:lang w:eastAsia="ar-SA"/>
        </w:rPr>
        <w:t xml:space="preserve">Aktywność ekonomiczna osób starszych w województwie lubelskim </w:t>
      </w:r>
      <w:r w:rsidR="002B644A">
        <w:rPr>
          <w:lang w:eastAsia="ar-SA"/>
        </w:rPr>
        <w:t xml:space="preserve">                                            </w:t>
      </w:r>
      <w:r w:rsidR="00A871AD">
        <w:rPr>
          <w:lang w:eastAsia="ar-SA"/>
        </w:rPr>
        <w:t>w 2020 r.</w:t>
      </w:r>
      <w:r w:rsidR="002B644A">
        <w:rPr>
          <w:lang w:eastAsia="ar-SA"/>
        </w:rPr>
        <w:t xml:space="preserve"> – s. 169.</w:t>
      </w:r>
    </w:p>
    <w:p w14:paraId="5991526E" w14:textId="70A2B83A" w:rsidR="00A871AD" w:rsidRDefault="00030F84" w:rsidP="00A871AD">
      <w:pPr>
        <w:rPr>
          <w:lang w:eastAsia="ar-SA"/>
        </w:rPr>
      </w:pPr>
      <w:r>
        <w:rPr>
          <w:lang w:eastAsia="ar-SA"/>
        </w:rPr>
        <w:t>Tabela </w:t>
      </w:r>
      <w:r w:rsidR="00A871AD">
        <w:rPr>
          <w:lang w:eastAsia="ar-SA"/>
        </w:rPr>
        <w:t>54</w:t>
      </w:r>
      <w:r w:rsidR="00822413">
        <w:rPr>
          <w:lang w:eastAsia="ar-SA"/>
        </w:rPr>
        <w:t>.</w:t>
      </w:r>
      <w:r w:rsidR="00A871AD">
        <w:rPr>
          <w:lang w:eastAsia="ar-SA"/>
        </w:rPr>
        <w:t xml:space="preserve"> Karta województwa lubelskiego</w:t>
      </w:r>
      <w:r w:rsidR="002B644A">
        <w:rPr>
          <w:lang w:eastAsia="ar-SA"/>
        </w:rPr>
        <w:t xml:space="preserve"> – s. 177.</w:t>
      </w:r>
    </w:p>
    <w:p w14:paraId="371418C2" w14:textId="0CC62D2B" w:rsidR="00A871AD" w:rsidRDefault="00030F84" w:rsidP="00A871AD">
      <w:pPr>
        <w:rPr>
          <w:lang w:eastAsia="ar-SA"/>
        </w:rPr>
      </w:pPr>
      <w:r>
        <w:rPr>
          <w:lang w:eastAsia="ar-SA"/>
        </w:rPr>
        <w:t>Tabela </w:t>
      </w:r>
      <w:r w:rsidR="00A871AD">
        <w:rPr>
          <w:lang w:eastAsia="ar-SA"/>
        </w:rPr>
        <w:t>55</w:t>
      </w:r>
      <w:r w:rsidR="00822413">
        <w:rPr>
          <w:lang w:eastAsia="ar-SA"/>
        </w:rPr>
        <w:t>.</w:t>
      </w:r>
      <w:r w:rsidR="002B644A">
        <w:t> </w:t>
      </w:r>
      <w:r w:rsidR="00A871AD">
        <w:rPr>
          <w:lang w:eastAsia="ar-SA"/>
        </w:rPr>
        <w:t xml:space="preserve">Aktywność ekonomiczna osób starszych w województwie lubuskim </w:t>
      </w:r>
      <w:r w:rsidR="002B644A">
        <w:rPr>
          <w:lang w:eastAsia="ar-SA"/>
        </w:rPr>
        <w:t xml:space="preserve">                                               </w:t>
      </w:r>
      <w:r w:rsidR="00A871AD">
        <w:rPr>
          <w:lang w:eastAsia="ar-SA"/>
        </w:rPr>
        <w:t>w 2020 r.</w:t>
      </w:r>
      <w:r w:rsidR="002B644A">
        <w:rPr>
          <w:lang w:eastAsia="ar-SA"/>
        </w:rPr>
        <w:t xml:space="preserve"> – s. 179.</w:t>
      </w:r>
    </w:p>
    <w:p w14:paraId="1906994E" w14:textId="57DDDB22" w:rsidR="00A871AD" w:rsidRDefault="00030F84" w:rsidP="00A871AD">
      <w:pPr>
        <w:rPr>
          <w:lang w:eastAsia="ar-SA"/>
        </w:rPr>
      </w:pPr>
      <w:r>
        <w:rPr>
          <w:lang w:eastAsia="ar-SA"/>
        </w:rPr>
        <w:t>Tabela </w:t>
      </w:r>
      <w:r w:rsidR="00A871AD">
        <w:rPr>
          <w:lang w:eastAsia="ar-SA"/>
        </w:rPr>
        <w:t>56</w:t>
      </w:r>
      <w:r w:rsidR="00822413">
        <w:rPr>
          <w:lang w:eastAsia="ar-SA"/>
        </w:rPr>
        <w:t>.</w:t>
      </w:r>
      <w:r w:rsidR="00A871AD">
        <w:rPr>
          <w:lang w:eastAsia="ar-SA"/>
        </w:rPr>
        <w:t xml:space="preserve"> Karta województwa lubuskiego</w:t>
      </w:r>
      <w:r w:rsidR="002B644A">
        <w:rPr>
          <w:lang w:eastAsia="ar-SA"/>
        </w:rPr>
        <w:t xml:space="preserve"> – s. 187.</w:t>
      </w:r>
    </w:p>
    <w:p w14:paraId="2D33FC1C" w14:textId="0E63C9CD" w:rsidR="00A871AD" w:rsidRDefault="00030F84" w:rsidP="00A871AD">
      <w:pPr>
        <w:rPr>
          <w:lang w:eastAsia="ar-SA"/>
        </w:rPr>
      </w:pPr>
      <w:r>
        <w:rPr>
          <w:lang w:eastAsia="ar-SA"/>
        </w:rPr>
        <w:t>Tabela </w:t>
      </w:r>
      <w:r w:rsidR="00A871AD">
        <w:rPr>
          <w:lang w:eastAsia="ar-SA"/>
        </w:rPr>
        <w:t>57</w:t>
      </w:r>
      <w:r w:rsidR="00822413">
        <w:rPr>
          <w:lang w:eastAsia="ar-SA"/>
        </w:rPr>
        <w:t>.</w:t>
      </w:r>
      <w:r w:rsidR="002B644A">
        <w:rPr>
          <w:lang w:eastAsia="ar-SA"/>
        </w:rPr>
        <w:t> </w:t>
      </w:r>
      <w:r w:rsidR="00A871AD">
        <w:rPr>
          <w:lang w:eastAsia="ar-SA"/>
        </w:rPr>
        <w:t xml:space="preserve">Aktywność ekonomiczna osób starszych w województwie łódzkim </w:t>
      </w:r>
      <w:r w:rsidR="002B644A">
        <w:rPr>
          <w:lang w:eastAsia="ar-SA"/>
        </w:rPr>
        <w:t xml:space="preserve">                                             </w:t>
      </w:r>
      <w:r w:rsidR="00A871AD">
        <w:rPr>
          <w:lang w:eastAsia="ar-SA"/>
        </w:rPr>
        <w:t>w 2020 r.</w:t>
      </w:r>
      <w:r w:rsidR="002B644A">
        <w:rPr>
          <w:lang w:eastAsia="ar-SA"/>
        </w:rPr>
        <w:t xml:space="preserve"> – s. 189.</w:t>
      </w:r>
    </w:p>
    <w:p w14:paraId="3E5B8F8B" w14:textId="2BF1E945" w:rsidR="00A871AD" w:rsidRDefault="00030F84" w:rsidP="00A871AD">
      <w:pPr>
        <w:rPr>
          <w:lang w:eastAsia="ar-SA"/>
        </w:rPr>
      </w:pPr>
      <w:r>
        <w:rPr>
          <w:lang w:eastAsia="ar-SA"/>
        </w:rPr>
        <w:t>Tabela </w:t>
      </w:r>
      <w:r w:rsidR="00A871AD">
        <w:rPr>
          <w:lang w:eastAsia="ar-SA"/>
        </w:rPr>
        <w:t>58</w:t>
      </w:r>
      <w:r w:rsidR="00822413">
        <w:rPr>
          <w:lang w:eastAsia="ar-SA"/>
        </w:rPr>
        <w:t>.</w:t>
      </w:r>
      <w:r w:rsidR="00A871AD">
        <w:rPr>
          <w:lang w:eastAsia="ar-SA"/>
        </w:rPr>
        <w:t xml:space="preserve"> Karta województwa łódzkiego</w:t>
      </w:r>
      <w:r w:rsidR="002B644A">
        <w:rPr>
          <w:lang w:eastAsia="ar-SA"/>
        </w:rPr>
        <w:t xml:space="preserve"> – s. 195.</w:t>
      </w:r>
    </w:p>
    <w:p w14:paraId="599EAB60" w14:textId="20CE8164" w:rsidR="00A871AD" w:rsidRDefault="00030F84" w:rsidP="00A871AD">
      <w:pPr>
        <w:rPr>
          <w:lang w:eastAsia="ar-SA"/>
        </w:rPr>
      </w:pPr>
      <w:r>
        <w:rPr>
          <w:lang w:eastAsia="ar-SA"/>
        </w:rPr>
        <w:t>Tabela </w:t>
      </w:r>
      <w:r w:rsidR="00A871AD">
        <w:rPr>
          <w:lang w:eastAsia="ar-SA"/>
        </w:rPr>
        <w:t>59</w:t>
      </w:r>
      <w:r w:rsidR="00822413">
        <w:rPr>
          <w:lang w:eastAsia="ar-SA"/>
        </w:rPr>
        <w:t>.</w:t>
      </w:r>
      <w:r w:rsidR="002B644A">
        <w:rPr>
          <w:lang w:eastAsia="ar-SA"/>
        </w:rPr>
        <w:t> </w:t>
      </w:r>
      <w:r w:rsidR="00A871AD">
        <w:rPr>
          <w:lang w:eastAsia="ar-SA"/>
        </w:rPr>
        <w:t xml:space="preserve">Aktywność ekonomiczna osób starszych w województwie małopolskim </w:t>
      </w:r>
      <w:r w:rsidR="002B644A">
        <w:rPr>
          <w:lang w:eastAsia="ar-SA"/>
        </w:rPr>
        <w:t xml:space="preserve">                                    </w:t>
      </w:r>
      <w:r w:rsidR="00A871AD">
        <w:rPr>
          <w:lang w:eastAsia="ar-SA"/>
        </w:rPr>
        <w:t>w 2020 r.</w:t>
      </w:r>
      <w:r w:rsidR="002B644A">
        <w:rPr>
          <w:lang w:eastAsia="ar-SA"/>
        </w:rPr>
        <w:t xml:space="preserve"> – s. 197.</w:t>
      </w:r>
    </w:p>
    <w:p w14:paraId="37216096" w14:textId="0D6D5C52" w:rsidR="00A871AD" w:rsidRDefault="00030F84" w:rsidP="00A871AD">
      <w:pPr>
        <w:rPr>
          <w:lang w:eastAsia="ar-SA"/>
        </w:rPr>
      </w:pPr>
      <w:r>
        <w:rPr>
          <w:lang w:eastAsia="ar-SA"/>
        </w:rPr>
        <w:lastRenderedPageBreak/>
        <w:t>Tabela </w:t>
      </w:r>
      <w:r w:rsidR="00A871AD">
        <w:rPr>
          <w:lang w:eastAsia="ar-SA"/>
        </w:rPr>
        <w:t>60</w:t>
      </w:r>
      <w:r w:rsidR="00822413">
        <w:rPr>
          <w:lang w:eastAsia="ar-SA"/>
        </w:rPr>
        <w:t>.</w:t>
      </w:r>
      <w:r w:rsidR="00A871AD">
        <w:rPr>
          <w:lang w:eastAsia="ar-SA"/>
        </w:rPr>
        <w:t xml:space="preserve"> Karta województwa małopolskiego</w:t>
      </w:r>
      <w:r w:rsidR="002B644A">
        <w:rPr>
          <w:lang w:eastAsia="ar-SA"/>
        </w:rPr>
        <w:t xml:space="preserve"> – s. 208.</w:t>
      </w:r>
    </w:p>
    <w:p w14:paraId="168324C0" w14:textId="44DAC957" w:rsidR="00A871AD" w:rsidRDefault="00030F84" w:rsidP="00A871AD">
      <w:pPr>
        <w:rPr>
          <w:lang w:eastAsia="ar-SA"/>
        </w:rPr>
      </w:pPr>
      <w:r>
        <w:rPr>
          <w:lang w:eastAsia="ar-SA"/>
        </w:rPr>
        <w:t>Tabela </w:t>
      </w:r>
      <w:r w:rsidR="00A871AD">
        <w:rPr>
          <w:lang w:eastAsia="ar-SA"/>
        </w:rPr>
        <w:t>61</w:t>
      </w:r>
      <w:r w:rsidR="00822413">
        <w:rPr>
          <w:lang w:eastAsia="ar-SA"/>
        </w:rPr>
        <w:t>.</w:t>
      </w:r>
      <w:r w:rsidR="002B644A">
        <w:rPr>
          <w:lang w:eastAsia="ar-SA"/>
        </w:rPr>
        <w:t> </w:t>
      </w:r>
      <w:r w:rsidR="00A871AD">
        <w:rPr>
          <w:lang w:eastAsia="ar-SA"/>
        </w:rPr>
        <w:t xml:space="preserve">Aktywność ekonomiczna osób starszych w województwie mazowieckim </w:t>
      </w:r>
      <w:r w:rsidR="002B644A">
        <w:rPr>
          <w:lang w:eastAsia="ar-SA"/>
        </w:rPr>
        <w:t xml:space="preserve">                                   </w:t>
      </w:r>
      <w:r w:rsidR="00A871AD">
        <w:rPr>
          <w:lang w:eastAsia="ar-SA"/>
        </w:rPr>
        <w:t>w 2020 r.</w:t>
      </w:r>
      <w:r w:rsidR="002B644A">
        <w:rPr>
          <w:lang w:eastAsia="ar-SA"/>
        </w:rPr>
        <w:t xml:space="preserve"> – s. 211.</w:t>
      </w:r>
    </w:p>
    <w:p w14:paraId="40258D73" w14:textId="7BA3E6D1" w:rsidR="00A871AD" w:rsidRDefault="00030F84" w:rsidP="00A871AD">
      <w:pPr>
        <w:rPr>
          <w:lang w:eastAsia="ar-SA"/>
        </w:rPr>
      </w:pPr>
      <w:r>
        <w:rPr>
          <w:lang w:eastAsia="ar-SA"/>
        </w:rPr>
        <w:t>Tabela </w:t>
      </w:r>
      <w:r w:rsidR="00A871AD">
        <w:rPr>
          <w:lang w:eastAsia="ar-SA"/>
        </w:rPr>
        <w:t>62</w:t>
      </w:r>
      <w:r w:rsidR="00822413">
        <w:rPr>
          <w:lang w:eastAsia="ar-SA"/>
        </w:rPr>
        <w:t>.</w:t>
      </w:r>
      <w:r w:rsidR="00A871AD">
        <w:rPr>
          <w:lang w:eastAsia="ar-SA"/>
        </w:rPr>
        <w:t xml:space="preserve"> Karta województwa mazowieckiego</w:t>
      </w:r>
      <w:r w:rsidR="002B644A">
        <w:rPr>
          <w:lang w:eastAsia="ar-SA"/>
        </w:rPr>
        <w:t xml:space="preserve">  – s. 221.</w:t>
      </w:r>
    </w:p>
    <w:p w14:paraId="7BB05B5A" w14:textId="59BA0043" w:rsidR="00A871AD" w:rsidRDefault="00030F84" w:rsidP="00A871AD">
      <w:pPr>
        <w:rPr>
          <w:lang w:eastAsia="ar-SA"/>
        </w:rPr>
      </w:pPr>
      <w:r>
        <w:rPr>
          <w:lang w:eastAsia="ar-SA"/>
        </w:rPr>
        <w:t>Tabela </w:t>
      </w:r>
      <w:r w:rsidR="00A871AD">
        <w:rPr>
          <w:lang w:eastAsia="ar-SA"/>
        </w:rPr>
        <w:t>63</w:t>
      </w:r>
      <w:r w:rsidR="00822413">
        <w:rPr>
          <w:lang w:eastAsia="ar-SA"/>
        </w:rPr>
        <w:t>.</w:t>
      </w:r>
      <w:r w:rsidR="002B644A">
        <w:rPr>
          <w:lang w:eastAsia="ar-SA"/>
        </w:rPr>
        <w:t> </w:t>
      </w:r>
      <w:r w:rsidR="00A871AD">
        <w:rPr>
          <w:lang w:eastAsia="ar-SA"/>
        </w:rPr>
        <w:t xml:space="preserve">Aktywność ekonomiczna osób starszych w województwie opolskim </w:t>
      </w:r>
      <w:r w:rsidR="002B644A">
        <w:rPr>
          <w:lang w:eastAsia="ar-SA"/>
        </w:rPr>
        <w:t xml:space="preserve">                                            </w:t>
      </w:r>
      <w:r w:rsidR="00A871AD">
        <w:rPr>
          <w:lang w:eastAsia="ar-SA"/>
        </w:rPr>
        <w:t>w 2020 r.</w:t>
      </w:r>
      <w:r w:rsidR="002B644A">
        <w:rPr>
          <w:lang w:eastAsia="ar-SA"/>
        </w:rPr>
        <w:t xml:space="preserve"> – s. 223.</w:t>
      </w:r>
    </w:p>
    <w:p w14:paraId="37AD7F16" w14:textId="05143FAC" w:rsidR="00A871AD" w:rsidRDefault="00030F84" w:rsidP="00A871AD">
      <w:pPr>
        <w:rPr>
          <w:lang w:eastAsia="ar-SA"/>
        </w:rPr>
      </w:pPr>
      <w:r>
        <w:rPr>
          <w:lang w:eastAsia="ar-SA"/>
        </w:rPr>
        <w:t>Tabela </w:t>
      </w:r>
      <w:r w:rsidR="00A871AD">
        <w:rPr>
          <w:lang w:eastAsia="ar-SA"/>
        </w:rPr>
        <w:t>64</w:t>
      </w:r>
      <w:r w:rsidR="00822413">
        <w:rPr>
          <w:lang w:eastAsia="ar-SA"/>
        </w:rPr>
        <w:t>.</w:t>
      </w:r>
      <w:r w:rsidR="00A871AD">
        <w:rPr>
          <w:lang w:eastAsia="ar-SA"/>
        </w:rPr>
        <w:t xml:space="preserve"> Karta województwa opolskiego</w:t>
      </w:r>
      <w:r w:rsidR="002B644A">
        <w:rPr>
          <w:lang w:eastAsia="ar-SA"/>
        </w:rPr>
        <w:t xml:space="preserve"> – s. 235.</w:t>
      </w:r>
    </w:p>
    <w:p w14:paraId="15F13E58" w14:textId="71558530" w:rsidR="00A871AD" w:rsidRDefault="00030F84" w:rsidP="00A871AD">
      <w:pPr>
        <w:rPr>
          <w:lang w:eastAsia="ar-SA"/>
        </w:rPr>
      </w:pPr>
      <w:r>
        <w:rPr>
          <w:lang w:eastAsia="ar-SA"/>
        </w:rPr>
        <w:t>Tabela </w:t>
      </w:r>
      <w:r w:rsidR="00A871AD">
        <w:rPr>
          <w:lang w:eastAsia="ar-SA"/>
        </w:rPr>
        <w:t>65</w:t>
      </w:r>
      <w:r w:rsidR="00822413">
        <w:rPr>
          <w:lang w:eastAsia="ar-SA"/>
        </w:rPr>
        <w:t>.</w:t>
      </w:r>
      <w:r w:rsidR="002B644A">
        <w:rPr>
          <w:lang w:eastAsia="ar-SA"/>
        </w:rPr>
        <w:t> </w:t>
      </w:r>
      <w:r w:rsidR="00A871AD">
        <w:rPr>
          <w:lang w:eastAsia="ar-SA"/>
        </w:rPr>
        <w:t xml:space="preserve">Aktywność ekonomiczna osób starszych w województwie podkarpackim </w:t>
      </w:r>
      <w:r w:rsidR="002B644A">
        <w:rPr>
          <w:lang w:eastAsia="ar-SA"/>
        </w:rPr>
        <w:t xml:space="preserve">                                        </w:t>
      </w:r>
      <w:r w:rsidR="00A871AD">
        <w:rPr>
          <w:lang w:eastAsia="ar-SA"/>
        </w:rPr>
        <w:t>w 2020 r.</w:t>
      </w:r>
      <w:r w:rsidR="002B644A">
        <w:rPr>
          <w:lang w:eastAsia="ar-SA"/>
        </w:rPr>
        <w:t xml:space="preserve"> – s. 237.</w:t>
      </w:r>
    </w:p>
    <w:p w14:paraId="62F17728" w14:textId="2825DD03" w:rsidR="00A871AD" w:rsidRDefault="00030F84" w:rsidP="00A871AD">
      <w:pPr>
        <w:rPr>
          <w:lang w:eastAsia="ar-SA"/>
        </w:rPr>
      </w:pPr>
      <w:r>
        <w:rPr>
          <w:lang w:eastAsia="ar-SA"/>
        </w:rPr>
        <w:t>Tabela </w:t>
      </w:r>
      <w:r w:rsidR="00A871AD">
        <w:rPr>
          <w:lang w:eastAsia="ar-SA"/>
        </w:rPr>
        <w:t>66</w:t>
      </w:r>
      <w:r w:rsidR="00822413">
        <w:rPr>
          <w:lang w:eastAsia="ar-SA"/>
        </w:rPr>
        <w:t>.</w:t>
      </w:r>
      <w:r w:rsidR="00A871AD">
        <w:rPr>
          <w:lang w:eastAsia="ar-SA"/>
        </w:rPr>
        <w:t xml:space="preserve"> Karta województwa podkarpackiego</w:t>
      </w:r>
      <w:r w:rsidR="002B644A">
        <w:rPr>
          <w:lang w:eastAsia="ar-SA"/>
        </w:rPr>
        <w:t xml:space="preserve"> – s. 244.</w:t>
      </w:r>
    </w:p>
    <w:p w14:paraId="6475146B" w14:textId="1079802C" w:rsidR="00A871AD" w:rsidRDefault="00030F84" w:rsidP="00A871AD">
      <w:pPr>
        <w:rPr>
          <w:lang w:eastAsia="ar-SA"/>
        </w:rPr>
      </w:pPr>
      <w:r>
        <w:rPr>
          <w:lang w:eastAsia="ar-SA"/>
        </w:rPr>
        <w:t>Tabela </w:t>
      </w:r>
      <w:r w:rsidR="00A871AD">
        <w:rPr>
          <w:lang w:eastAsia="ar-SA"/>
        </w:rPr>
        <w:t>67</w:t>
      </w:r>
      <w:r w:rsidR="00822413">
        <w:rPr>
          <w:lang w:eastAsia="ar-SA"/>
        </w:rPr>
        <w:t>.</w:t>
      </w:r>
      <w:r w:rsidR="002B644A">
        <w:rPr>
          <w:lang w:eastAsia="ar-SA"/>
        </w:rPr>
        <w:t> </w:t>
      </w:r>
      <w:r w:rsidR="00A871AD">
        <w:rPr>
          <w:lang w:eastAsia="ar-SA"/>
        </w:rPr>
        <w:t xml:space="preserve">Aktywność ekonomiczna osób starszych w województwie podlaskim </w:t>
      </w:r>
      <w:r w:rsidR="002B644A">
        <w:rPr>
          <w:lang w:eastAsia="ar-SA"/>
        </w:rPr>
        <w:t xml:space="preserve">                                        </w:t>
      </w:r>
      <w:r w:rsidR="00A871AD">
        <w:rPr>
          <w:lang w:eastAsia="ar-SA"/>
        </w:rPr>
        <w:t>w 2020 r.</w:t>
      </w:r>
      <w:r w:rsidR="002B644A">
        <w:rPr>
          <w:lang w:eastAsia="ar-SA"/>
        </w:rPr>
        <w:t xml:space="preserve"> – s. 247.</w:t>
      </w:r>
    </w:p>
    <w:p w14:paraId="7A9D335F" w14:textId="45936ECA" w:rsidR="00A871AD" w:rsidRDefault="00030F84" w:rsidP="00A871AD">
      <w:pPr>
        <w:rPr>
          <w:lang w:eastAsia="ar-SA"/>
        </w:rPr>
      </w:pPr>
      <w:r>
        <w:rPr>
          <w:lang w:eastAsia="ar-SA"/>
        </w:rPr>
        <w:t>Tabela </w:t>
      </w:r>
      <w:r w:rsidR="00A871AD">
        <w:rPr>
          <w:lang w:eastAsia="ar-SA"/>
        </w:rPr>
        <w:t>68</w:t>
      </w:r>
      <w:r w:rsidR="00822413">
        <w:rPr>
          <w:lang w:eastAsia="ar-SA"/>
        </w:rPr>
        <w:t>.</w:t>
      </w:r>
      <w:r w:rsidR="00A871AD">
        <w:rPr>
          <w:lang w:eastAsia="ar-SA"/>
        </w:rPr>
        <w:t xml:space="preserve"> Karta województwa podlaskiego</w:t>
      </w:r>
      <w:r w:rsidR="000C7777">
        <w:rPr>
          <w:lang w:eastAsia="ar-SA"/>
        </w:rPr>
        <w:t xml:space="preserve"> – s. 258.</w:t>
      </w:r>
    </w:p>
    <w:p w14:paraId="7BC8AFEE" w14:textId="187D252E" w:rsidR="00A871AD" w:rsidRDefault="00030F84" w:rsidP="00A871AD">
      <w:pPr>
        <w:rPr>
          <w:lang w:eastAsia="ar-SA"/>
        </w:rPr>
      </w:pPr>
      <w:r>
        <w:rPr>
          <w:lang w:eastAsia="ar-SA"/>
        </w:rPr>
        <w:t>Tabela </w:t>
      </w:r>
      <w:r w:rsidR="00A871AD">
        <w:rPr>
          <w:lang w:eastAsia="ar-SA"/>
        </w:rPr>
        <w:t>69</w:t>
      </w:r>
      <w:r w:rsidR="00822413">
        <w:rPr>
          <w:lang w:eastAsia="ar-SA"/>
        </w:rPr>
        <w:t>.</w:t>
      </w:r>
      <w:r w:rsidR="004708FE">
        <w:rPr>
          <w:lang w:eastAsia="ar-SA"/>
        </w:rPr>
        <w:t> </w:t>
      </w:r>
      <w:r w:rsidR="00A871AD">
        <w:rPr>
          <w:lang w:eastAsia="ar-SA"/>
        </w:rPr>
        <w:t xml:space="preserve">Aktywność ekonomiczna osób starszych w województwie pomorskim </w:t>
      </w:r>
      <w:r w:rsidR="000C7777">
        <w:rPr>
          <w:lang w:eastAsia="ar-SA"/>
        </w:rPr>
        <w:t xml:space="preserve">                                        </w:t>
      </w:r>
      <w:r w:rsidR="00A871AD">
        <w:rPr>
          <w:lang w:eastAsia="ar-SA"/>
        </w:rPr>
        <w:t>w 2020 r.</w:t>
      </w:r>
      <w:r w:rsidR="000C7777">
        <w:rPr>
          <w:lang w:eastAsia="ar-SA"/>
        </w:rPr>
        <w:t xml:space="preserve"> – s. 260.</w:t>
      </w:r>
    </w:p>
    <w:p w14:paraId="5D12375E" w14:textId="459F6C53" w:rsidR="00A871AD" w:rsidRDefault="00030F84" w:rsidP="00A871AD">
      <w:pPr>
        <w:rPr>
          <w:lang w:eastAsia="ar-SA"/>
        </w:rPr>
      </w:pPr>
      <w:r>
        <w:rPr>
          <w:lang w:eastAsia="ar-SA"/>
        </w:rPr>
        <w:t>Tabela </w:t>
      </w:r>
      <w:r w:rsidR="00A871AD">
        <w:rPr>
          <w:lang w:eastAsia="ar-SA"/>
        </w:rPr>
        <w:t>70</w:t>
      </w:r>
      <w:r w:rsidR="00822413">
        <w:rPr>
          <w:lang w:eastAsia="ar-SA"/>
        </w:rPr>
        <w:t>.</w:t>
      </w:r>
      <w:r w:rsidR="00A871AD">
        <w:rPr>
          <w:lang w:eastAsia="ar-SA"/>
        </w:rPr>
        <w:t xml:space="preserve"> Karta województwa pomorskiego</w:t>
      </w:r>
      <w:r w:rsidR="000C7777">
        <w:rPr>
          <w:lang w:eastAsia="ar-SA"/>
        </w:rPr>
        <w:t xml:space="preserve"> -  – s. 267.</w:t>
      </w:r>
    </w:p>
    <w:p w14:paraId="1EE2FF5F" w14:textId="07EB3DB6" w:rsidR="00A871AD" w:rsidRDefault="00030F84" w:rsidP="00A871AD">
      <w:pPr>
        <w:rPr>
          <w:lang w:eastAsia="ar-SA"/>
        </w:rPr>
      </w:pPr>
      <w:r>
        <w:rPr>
          <w:lang w:eastAsia="ar-SA"/>
        </w:rPr>
        <w:t>Tabela </w:t>
      </w:r>
      <w:r w:rsidR="00A871AD">
        <w:rPr>
          <w:lang w:eastAsia="ar-SA"/>
        </w:rPr>
        <w:t>71</w:t>
      </w:r>
      <w:r w:rsidR="00822413">
        <w:rPr>
          <w:lang w:eastAsia="ar-SA"/>
        </w:rPr>
        <w:t>.</w:t>
      </w:r>
      <w:r w:rsidR="004708FE">
        <w:rPr>
          <w:lang w:eastAsia="ar-SA"/>
        </w:rPr>
        <w:t> </w:t>
      </w:r>
      <w:r w:rsidR="00A871AD">
        <w:rPr>
          <w:lang w:eastAsia="ar-SA"/>
        </w:rPr>
        <w:t>Aktywność ekonomiczna osób starszyc</w:t>
      </w:r>
      <w:r w:rsidR="000C7777">
        <w:rPr>
          <w:lang w:eastAsia="ar-SA"/>
        </w:rPr>
        <w:t>h w województwie śląskim w 2020 </w:t>
      </w:r>
      <w:r w:rsidR="00A871AD">
        <w:rPr>
          <w:lang w:eastAsia="ar-SA"/>
        </w:rPr>
        <w:t>r.</w:t>
      </w:r>
      <w:r w:rsidR="000C7777">
        <w:rPr>
          <w:lang w:eastAsia="ar-SA"/>
        </w:rPr>
        <w:t> – s. 269.</w:t>
      </w:r>
    </w:p>
    <w:p w14:paraId="056B9A69" w14:textId="07F83650" w:rsidR="00A871AD" w:rsidRDefault="00030F84" w:rsidP="00A871AD">
      <w:pPr>
        <w:rPr>
          <w:lang w:eastAsia="ar-SA"/>
        </w:rPr>
      </w:pPr>
      <w:r>
        <w:rPr>
          <w:lang w:eastAsia="ar-SA"/>
        </w:rPr>
        <w:t>Tabela </w:t>
      </w:r>
      <w:r w:rsidR="00A871AD">
        <w:rPr>
          <w:lang w:eastAsia="ar-SA"/>
        </w:rPr>
        <w:t>72</w:t>
      </w:r>
      <w:r w:rsidR="00822413">
        <w:rPr>
          <w:lang w:eastAsia="ar-SA"/>
        </w:rPr>
        <w:t>.</w:t>
      </w:r>
      <w:r w:rsidR="00A871AD">
        <w:rPr>
          <w:lang w:eastAsia="ar-SA"/>
        </w:rPr>
        <w:t xml:space="preserve"> Karta województwa śląskiego</w:t>
      </w:r>
      <w:r w:rsidR="000C7777">
        <w:rPr>
          <w:lang w:eastAsia="ar-SA"/>
        </w:rPr>
        <w:t xml:space="preserve"> – s. 276.</w:t>
      </w:r>
    </w:p>
    <w:p w14:paraId="0C0F58C8" w14:textId="6663FA92" w:rsidR="00A871AD" w:rsidRDefault="00030F84" w:rsidP="00A871AD">
      <w:pPr>
        <w:rPr>
          <w:lang w:eastAsia="ar-SA"/>
        </w:rPr>
      </w:pPr>
      <w:r>
        <w:rPr>
          <w:lang w:eastAsia="ar-SA"/>
        </w:rPr>
        <w:t>Tabela </w:t>
      </w:r>
      <w:r w:rsidR="00A871AD">
        <w:rPr>
          <w:lang w:eastAsia="ar-SA"/>
        </w:rPr>
        <w:t>73</w:t>
      </w:r>
      <w:r w:rsidR="00822413">
        <w:rPr>
          <w:lang w:eastAsia="ar-SA"/>
        </w:rPr>
        <w:t>.</w:t>
      </w:r>
      <w:r w:rsidR="004708FE">
        <w:rPr>
          <w:lang w:eastAsia="ar-SA"/>
        </w:rPr>
        <w:t> </w:t>
      </w:r>
      <w:r w:rsidR="00A871AD">
        <w:rPr>
          <w:lang w:eastAsia="ar-SA"/>
        </w:rPr>
        <w:t xml:space="preserve">Aktywność ekonomiczna osób starszych </w:t>
      </w:r>
      <w:r w:rsidR="000C7777">
        <w:rPr>
          <w:lang w:eastAsia="ar-SA"/>
        </w:rPr>
        <w:t>w województwie świętokrzyskim w </w:t>
      </w:r>
      <w:r w:rsidR="00A871AD">
        <w:rPr>
          <w:lang w:eastAsia="ar-SA"/>
        </w:rPr>
        <w:t>2020 r.</w:t>
      </w:r>
      <w:r w:rsidR="000C7777">
        <w:rPr>
          <w:lang w:eastAsia="ar-SA"/>
        </w:rPr>
        <w:t> – s. 278.</w:t>
      </w:r>
    </w:p>
    <w:p w14:paraId="43CDB1B2" w14:textId="60D168A9" w:rsidR="00A871AD" w:rsidRDefault="00030F84" w:rsidP="00A871AD">
      <w:pPr>
        <w:rPr>
          <w:lang w:eastAsia="ar-SA"/>
        </w:rPr>
      </w:pPr>
      <w:r>
        <w:rPr>
          <w:lang w:eastAsia="ar-SA"/>
        </w:rPr>
        <w:t>Tabela </w:t>
      </w:r>
      <w:r w:rsidR="00A871AD">
        <w:rPr>
          <w:lang w:eastAsia="ar-SA"/>
        </w:rPr>
        <w:t>74</w:t>
      </w:r>
      <w:r w:rsidR="00822413">
        <w:rPr>
          <w:lang w:eastAsia="ar-SA"/>
        </w:rPr>
        <w:t>.</w:t>
      </w:r>
      <w:r w:rsidR="00A871AD">
        <w:rPr>
          <w:lang w:eastAsia="ar-SA"/>
        </w:rPr>
        <w:t xml:space="preserve"> Karta województwa świętokrzyskiego</w:t>
      </w:r>
      <w:r w:rsidR="000C7777">
        <w:rPr>
          <w:lang w:eastAsia="ar-SA"/>
        </w:rPr>
        <w:t xml:space="preserve"> – s. 288.</w:t>
      </w:r>
    </w:p>
    <w:p w14:paraId="4526C69E" w14:textId="65932700" w:rsidR="00A871AD" w:rsidRDefault="00030F84" w:rsidP="00A871AD">
      <w:pPr>
        <w:rPr>
          <w:lang w:eastAsia="ar-SA"/>
        </w:rPr>
      </w:pPr>
      <w:r>
        <w:rPr>
          <w:lang w:eastAsia="ar-SA"/>
        </w:rPr>
        <w:t>Tabela </w:t>
      </w:r>
      <w:r w:rsidR="00A871AD">
        <w:rPr>
          <w:lang w:eastAsia="ar-SA"/>
        </w:rPr>
        <w:t>75</w:t>
      </w:r>
      <w:r w:rsidR="00822413">
        <w:rPr>
          <w:lang w:eastAsia="ar-SA"/>
        </w:rPr>
        <w:t>.</w:t>
      </w:r>
      <w:r w:rsidR="00A871AD">
        <w:rPr>
          <w:lang w:eastAsia="ar-SA"/>
        </w:rPr>
        <w:t xml:space="preserve"> Aktywność ekonomiczna osób starszych w województwie warmińsko-mazurskim w 2020 r.</w:t>
      </w:r>
      <w:r w:rsidR="000C7777">
        <w:rPr>
          <w:lang w:eastAsia="ar-SA"/>
        </w:rPr>
        <w:t xml:space="preserve"> – s. 290.</w:t>
      </w:r>
    </w:p>
    <w:p w14:paraId="7B9E63C7" w14:textId="10D59F04" w:rsidR="00A871AD" w:rsidRDefault="00030F84" w:rsidP="00A871AD">
      <w:pPr>
        <w:rPr>
          <w:lang w:eastAsia="ar-SA"/>
        </w:rPr>
      </w:pPr>
      <w:r>
        <w:rPr>
          <w:lang w:eastAsia="ar-SA"/>
        </w:rPr>
        <w:t>Tabela </w:t>
      </w:r>
      <w:r w:rsidR="00A871AD">
        <w:rPr>
          <w:lang w:eastAsia="ar-SA"/>
        </w:rPr>
        <w:t>76</w:t>
      </w:r>
      <w:r w:rsidR="00822413">
        <w:rPr>
          <w:lang w:eastAsia="ar-SA"/>
        </w:rPr>
        <w:t>.</w:t>
      </w:r>
      <w:r w:rsidR="00A871AD">
        <w:rPr>
          <w:lang w:eastAsia="ar-SA"/>
        </w:rPr>
        <w:t xml:space="preserve"> Karta województwa warmińsko-mazurskiego</w:t>
      </w:r>
      <w:r w:rsidR="000C7777">
        <w:rPr>
          <w:lang w:eastAsia="ar-SA"/>
        </w:rPr>
        <w:t xml:space="preserve"> – s. 299.</w:t>
      </w:r>
    </w:p>
    <w:p w14:paraId="0666B4F8" w14:textId="765A4368" w:rsidR="00A871AD" w:rsidRDefault="00030F84" w:rsidP="00A871AD">
      <w:pPr>
        <w:rPr>
          <w:lang w:eastAsia="ar-SA"/>
        </w:rPr>
      </w:pPr>
      <w:r>
        <w:rPr>
          <w:lang w:eastAsia="ar-SA"/>
        </w:rPr>
        <w:t>Tabela </w:t>
      </w:r>
      <w:r w:rsidR="00A871AD">
        <w:rPr>
          <w:lang w:eastAsia="ar-SA"/>
        </w:rPr>
        <w:t>77</w:t>
      </w:r>
      <w:r w:rsidR="00822413">
        <w:rPr>
          <w:lang w:eastAsia="ar-SA"/>
        </w:rPr>
        <w:t>.</w:t>
      </w:r>
      <w:r w:rsidR="004708FE">
        <w:rPr>
          <w:lang w:eastAsia="ar-SA"/>
        </w:rPr>
        <w:t> </w:t>
      </w:r>
      <w:r w:rsidR="00A871AD">
        <w:rPr>
          <w:lang w:eastAsia="ar-SA"/>
        </w:rPr>
        <w:t>Aktywność ekonomiczna osób starszych w wo</w:t>
      </w:r>
      <w:r w:rsidR="000C7777">
        <w:rPr>
          <w:lang w:eastAsia="ar-SA"/>
        </w:rPr>
        <w:t>jewództwie wielkopolskim w 2020 </w:t>
      </w:r>
      <w:r w:rsidR="00A871AD">
        <w:rPr>
          <w:lang w:eastAsia="ar-SA"/>
        </w:rPr>
        <w:t>r.</w:t>
      </w:r>
      <w:r w:rsidR="000C7777">
        <w:rPr>
          <w:lang w:eastAsia="ar-SA"/>
        </w:rPr>
        <w:t> – s. 301.</w:t>
      </w:r>
    </w:p>
    <w:p w14:paraId="2D394252" w14:textId="7B4ECB0D" w:rsidR="00A871AD" w:rsidRDefault="00030F84" w:rsidP="00A871AD">
      <w:pPr>
        <w:rPr>
          <w:lang w:eastAsia="ar-SA"/>
        </w:rPr>
      </w:pPr>
      <w:r>
        <w:rPr>
          <w:lang w:eastAsia="ar-SA"/>
        </w:rPr>
        <w:t>Tabela </w:t>
      </w:r>
      <w:r w:rsidR="00A871AD">
        <w:rPr>
          <w:lang w:eastAsia="ar-SA"/>
        </w:rPr>
        <w:t>78</w:t>
      </w:r>
      <w:r w:rsidR="00822413">
        <w:rPr>
          <w:lang w:eastAsia="ar-SA"/>
        </w:rPr>
        <w:t>.</w:t>
      </w:r>
      <w:r w:rsidR="00A871AD">
        <w:rPr>
          <w:lang w:eastAsia="ar-SA"/>
        </w:rPr>
        <w:t xml:space="preserve"> Karta województwa wielkopolskiego</w:t>
      </w:r>
      <w:r w:rsidR="000C7777">
        <w:rPr>
          <w:lang w:eastAsia="ar-SA"/>
        </w:rPr>
        <w:t xml:space="preserve"> – s. 308.</w:t>
      </w:r>
    </w:p>
    <w:p w14:paraId="08B20E6C" w14:textId="5A63779B" w:rsidR="00A871AD" w:rsidRDefault="00030F84" w:rsidP="00A871AD">
      <w:pPr>
        <w:rPr>
          <w:lang w:eastAsia="ar-SA"/>
        </w:rPr>
      </w:pPr>
      <w:r>
        <w:rPr>
          <w:lang w:eastAsia="ar-SA"/>
        </w:rPr>
        <w:t>Tabela </w:t>
      </w:r>
      <w:r w:rsidR="00A871AD">
        <w:rPr>
          <w:lang w:eastAsia="ar-SA"/>
        </w:rPr>
        <w:t>79</w:t>
      </w:r>
      <w:r w:rsidR="00822413">
        <w:rPr>
          <w:lang w:eastAsia="ar-SA"/>
        </w:rPr>
        <w:t>.</w:t>
      </w:r>
      <w:r w:rsidR="00A871AD">
        <w:rPr>
          <w:lang w:eastAsia="ar-SA"/>
        </w:rPr>
        <w:t xml:space="preserve"> Aktywność ekonomiczna osób starszych w województwie zachodniopomorskim w 2020 r.</w:t>
      </w:r>
      <w:r w:rsidR="000C7777" w:rsidRPr="000C7777">
        <w:rPr>
          <w:lang w:eastAsia="ar-SA"/>
        </w:rPr>
        <w:t xml:space="preserve"> </w:t>
      </w:r>
      <w:r w:rsidR="000C7777">
        <w:rPr>
          <w:lang w:eastAsia="ar-SA"/>
        </w:rPr>
        <w:t>– s. 310.</w:t>
      </w:r>
    </w:p>
    <w:p w14:paraId="31DFF56A" w14:textId="2C8F5176" w:rsidR="00A871AD" w:rsidRDefault="00030F84" w:rsidP="00A871AD">
      <w:pPr>
        <w:rPr>
          <w:lang w:eastAsia="ar-SA"/>
        </w:rPr>
      </w:pPr>
      <w:r>
        <w:rPr>
          <w:lang w:eastAsia="ar-SA"/>
        </w:rPr>
        <w:t>Tabela </w:t>
      </w:r>
      <w:r w:rsidR="00A871AD">
        <w:rPr>
          <w:lang w:eastAsia="ar-SA"/>
        </w:rPr>
        <w:t>80</w:t>
      </w:r>
      <w:r w:rsidR="00822413">
        <w:rPr>
          <w:lang w:eastAsia="ar-SA"/>
        </w:rPr>
        <w:t>.</w:t>
      </w:r>
      <w:r w:rsidR="00A871AD">
        <w:rPr>
          <w:lang w:eastAsia="ar-SA"/>
        </w:rPr>
        <w:t xml:space="preserve"> Karta województwa zachodniopomorskiego</w:t>
      </w:r>
      <w:r w:rsidR="000C7777">
        <w:rPr>
          <w:lang w:eastAsia="ar-SA"/>
        </w:rPr>
        <w:t xml:space="preserve"> – s. 319.</w:t>
      </w:r>
    </w:p>
    <w:p w14:paraId="3228D44B" w14:textId="0DE2E188" w:rsidR="00112474" w:rsidRDefault="00030F84" w:rsidP="00A871AD">
      <w:pPr>
        <w:rPr>
          <w:lang w:eastAsia="ar-SA"/>
        </w:rPr>
      </w:pPr>
      <w:r>
        <w:rPr>
          <w:lang w:eastAsia="ar-SA"/>
        </w:rPr>
        <w:t>Tabela </w:t>
      </w:r>
      <w:r w:rsidR="00A871AD">
        <w:rPr>
          <w:lang w:eastAsia="ar-SA"/>
        </w:rPr>
        <w:t>81</w:t>
      </w:r>
      <w:r w:rsidR="00822413">
        <w:rPr>
          <w:lang w:eastAsia="ar-SA"/>
        </w:rPr>
        <w:t>.</w:t>
      </w:r>
      <w:r w:rsidR="004708FE">
        <w:rPr>
          <w:lang w:eastAsia="ar-SA"/>
        </w:rPr>
        <w:t> </w:t>
      </w:r>
      <w:r w:rsidR="00A871AD">
        <w:rPr>
          <w:lang w:eastAsia="ar-SA"/>
        </w:rPr>
        <w:t xml:space="preserve">Sprawozdanie z realizacji działań ujętych w Polityce społecznej wobec osób starszych 2030. Bezpieczeństwo - Uczestnictwo </w:t>
      </w:r>
      <w:r w:rsidR="005556D4">
        <w:rPr>
          <w:lang w:eastAsia="ar-SA"/>
        </w:rPr>
        <w:t>–</w:t>
      </w:r>
      <w:r w:rsidR="00A871AD">
        <w:rPr>
          <w:lang w:eastAsia="ar-SA"/>
        </w:rPr>
        <w:t xml:space="preserve"> Solidarność</w:t>
      </w:r>
      <w:r w:rsidR="005556D4">
        <w:rPr>
          <w:lang w:eastAsia="ar-SA"/>
        </w:rPr>
        <w:t xml:space="preserve"> (M.P. poz. 1169)</w:t>
      </w:r>
      <w:r w:rsidR="000C7777">
        <w:rPr>
          <w:lang w:eastAsia="ar-SA"/>
        </w:rPr>
        <w:t xml:space="preserve"> – s. 324</w:t>
      </w:r>
      <w:r w:rsidR="009566E2">
        <w:rPr>
          <w:lang w:eastAsia="ar-SA"/>
        </w:rPr>
        <w:t>.</w:t>
      </w:r>
    </w:p>
    <w:p w14:paraId="636514DD" w14:textId="77777777" w:rsidR="00112474" w:rsidRDefault="00112474" w:rsidP="00112474">
      <w:pPr>
        <w:rPr>
          <w:lang w:eastAsia="ar-SA"/>
        </w:rPr>
      </w:pPr>
    </w:p>
    <w:p w14:paraId="37DE5766" w14:textId="77777777" w:rsidR="00112474" w:rsidRPr="00112474" w:rsidRDefault="00112474" w:rsidP="00112474">
      <w:pPr>
        <w:rPr>
          <w:lang w:eastAsia="ar-SA"/>
        </w:rPr>
      </w:pPr>
    </w:p>
    <w:p w14:paraId="7B0AF26A" w14:textId="77777777" w:rsidR="00DB6308" w:rsidRPr="0092226B" w:rsidRDefault="00DB6308" w:rsidP="003C1988">
      <w:pPr>
        <w:rPr>
          <w:color w:val="FF0000"/>
        </w:rPr>
      </w:pPr>
      <w:bookmarkStart w:id="342" w:name="_GoBack"/>
      <w:bookmarkEnd w:id="342"/>
    </w:p>
    <w:p w14:paraId="6E02BC39" w14:textId="77777777" w:rsidR="00DB6308" w:rsidRPr="0092226B" w:rsidRDefault="00DB6308" w:rsidP="003C1988">
      <w:pPr>
        <w:rPr>
          <w:color w:val="FF0000"/>
        </w:rPr>
      </w:pPr>
    </w:p>
    <w:p w14:paraId="79FBD050" w14:textId="77777777" w:rsidR="00DB6308" w:rsidRPr="0092226B" w:rsidRDefault="00DB6308" w:rsidP="003C1988">
      <w:pPr>
        <w:rPr>
          <w:color w:val="FF0000"/>
        </w:rPr>
      </w:pPr>
    </w:p>
    <w:p w14:paraId="4C7385C6" w14:textId="77777777" w:rsidR="00DB6308" w:rsidRPr="0092226B" w:rsidRDefault="00DB6308" w:rsidP="003C1988">
      <w:pPr>
        <w:rPr>
          <w:color w:val="FF0000"/>
        </w:rPr>
      </w:pPr>
    </w:p>
    <w:p w14:paraId="06DFC863" w14:textId="77777777" w:rsidR="004D389A" w:rsidRPr="0092226B" w:rsidRDefault="00DB6308" w:rsidP="003C1988">
      <w:pPr>
        <w:tabs>
          <w:tab w:val="left" w:pos="3255"/>
        </w:tabs>
        <w:rPr>
          <w:color w:val="FF0000"/>
        </w:rPr>
      </w:pPr>
      <w:r w:rsidRPr="0092226B">
        <w:rPr>
          <w:color w:val="FF0000"/>
        </w:rPr>
        <w:tab/>
      </w:r>
    </w:p>
    <w:sectPr w:rsidR="004D389A" w:rsidRPr="0092226B" w:rsidSect="00311D18">
      <w:pgSz w:w="11906" w:h="16840"/>
      <w:pgMar w:top="1418" w:right="1418"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44FF" w14:textId="77777777" w:rsidR="003B1D87" w:rsidRDefault="003B1D87" w:rsidP="0050177A">
      <w:pPr>
        <w:spacing w:line="240" w:lineRule="auto"/>
      </w:pPr>
      <w:r>
        <w:separator/>
      </w:r>
    </w:p>
  </w:endnote>
  <w:endnote w:type="continuationSeparator" w:id="0">
    <w:p w14:paraId="6711CF99" w14:textId="77777777" w:rsidR="003B1D87" w:rsidRDefault="003B1D87" w:rsidP="0050177A">
      <w:pPr>
        <w:spacing w:line="240" w:lineRule="auto"/>
      </w:pPr>
      <w:r>
        <w:continuationSeparator/>
      </w:r>
    </w:p>
  </w:endnote>
  <w:endnote w:type="continuationNotice" w:id="1">
    <w:p w14:paraId="4EBC01A2" w14:textId="77777777" w:rsidR="003B1D87" w:rsidRDefault="003B1D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yriad Pro">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ranklin Gothic Heavy">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IDFont+F4">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363671"/>
      <w:docPartObj>
        <w:docPartGallery w:val="Page Numbers (Bottom of Page)"/>
        <w:docPartUnique/>
      </w:docPartObj>
    </w:sdtPr>
    <w:sdtContent>
      <w:p w14:paraId="5989B78B" w14:textId="04DD8F4A" w:rsidR="00C60771" w:rsidRDefault="00C60771">
        <w:pPr>
          <w:pStyle w:val="Stopka"/>
          <w:jc w:val="center"/>
        </w:pPr>
        <w:r>
          <w:fldChar w:fldCharType="begin"/>
        </w:r>
        <w:r>
          <w:instrText>PAGE   \* MERGEFORMAT</w:instrText>
        </w:r>
        <w:r>
          <w:fldChar w:fldCharType="separate"/>
        </w:r>
        <w:r w:rsidR="00F85677">
          <w:rPr>
            <w:noProof/>
          </w:rPr>
          <w:t>143</w:t>
        </w:r>
        <w:r>
          <w:rPr>
            <w:noProof/>
          </w:rPr>
          <w:fldChar w:fldCharType="end"/>
        </w:r>
      </w:p>
    </w:sdtContent>
  </w:sdt>
  <w:p w14:paraId="13532B83" w14:textId="77777777" w:rsidR="00C60771" w:rsidRDefault="00C607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7E39" w14:textId="27294164" w:rsidR="00C60771" w:rsidRDefault="00C60771" w:rsidP="006145C4">
    <w:pPr>
      <w:pStyle w:val="Stopka"/>
      <w:jc w:val="center"/>
    </w:pPr>
    <w:r>
      <w:fldChar w:fldCharType="begin"/>
    </w:r>
    <w:r>
      <w:instrText>PAGE   \* MERGEFORMAT</w:instrText>
    </w:r>
    <w:r>
      <w:fldChar w:fldCharType="separate"/>
    </w:r>
    <w:r w:rsidR="00F85677">
      <w:rPr>
        <w:noProof/>
      </w:rPr>
      <w:t>403</w:t>
    </w:r>
    <w:r>
      <w:rPr>
        <w:noProof/>
      </w:rPr>
      <w:fldChar w:fldCharType="end"/>
    </w:r>
  </w:p>
  <w:p w14:paraId="289F5050" w14:textId="77777777" w:rsidR="00C60771" w:rsidRDefault="00C607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9E195" w14:textId="77777777" w:rsidR="003B1D87" w:rsidRDefault="003B1D87" w:rsidP="0050177A">
      <w:pPr>
        <w:spacing w:line="240" w:lineRule="auto"/>
      </w:pPr>
      <w:r>
        <w:separator/>
      </w:r>
    </w:p>
  </w:footnote>
  <w:footnote w:type="continuationSeparator" w:id="0">
    <w:p w14:paraId="4271E926" w14:textId="77777777" w:rsidR="003B1D87" w:rsidRDefault="003B1D87" w:rsidP="0050177A">
      <w:pPr>
        <w:spacing w:line="240" w:lineRule="auto"/>
      </w:pPr>
      <w:r>
        <w:continuationSeparator/>
      </w:r>
    </w:p>
  </w:footnote>
  <w:footnote w:type="continuationNotice" w:id="1">
    <w:p w14:paraId="4CDF1CC7" w14:textId="77777777" w:rsidR="003B1D87" w:rsidRDefault="003B1D87">
      <w:pPr>
        <w:spacing w:line="240" w:lineRule="auto"/>
      </w:pPr>
    </w:p>
  </w:footnote>
  <w:footnote w:id="2">
    <w:p w14:paraId="086EC06D" w14:textId="77777777" w:rsidR="00C60771" w:rsidRPr="00F174A6" w:rsidRDefault="00C60771">
      <w:pPr>
        <w:pStyle w:val="Tekstprzypisudolnego"/>
        <w:rPr>
          <w:rFonts w:ascii="Times New Roman" w:hAnsi="Times New Roman"/>
          <w:sz w:val="16"/>
          <w:szCs w:val="16"/>
        </w:rPr>
      </w:pPr>
      <w:r w:rsidRPr="00F174A6">
        <w:rPr>
          <w:rStyle w:val="Odwoanieprzypisudolnego"/>
          <w:rFonts w:ascii="Times New Roman" w:hAnsi="Times New Roman"/>
          <w:sz w:val="16"/>
          <w:szCs w:val="16"/>
        </w:rPr>
        <w:footnoteRef/>
      </w:r>
      <w:r w:rsidRPr="00F174A6">
        <w:rPr>
          <w:rFonts w:ascii="Times New Roman" w:hAnsi="Times New Roman"/>
          <w:sz w:val="16"/>
          <w:szCs w:val="16"/>
        </w:rPr>
        <w:t xml:space="preserve"> Liczba kobiet na 100 mężczyzn (w dniu 31 XII)</w:t>
      </w:r>
      <w:r>
        <w:rPr>
          <w:rFonts w:ascii="Times New Roman" w:hAnsi="Times New Roman"/>
          <w:sz w:val="16"/>
          <w:szCs w:val="16"/>
        </w:rPr>
        <w:t>.</w:t>
      </w:r>
    </w:p>
  </w:footnote>
  <w:footnote w:id="3">
    <w:p w14:paraId="1BD8C82D" w14:textId="77777777" w:rsidR="00C60771" w:rsidRPr="00F63704" w:rsidRDefault="00C60771" w:rsidP="00F63704">
      <w:pPr>
        <w:pStyle w:val="Tekstprzypisudolnego"/>
        <w:rPr>
          <w:rFonts w:ascii="Times New Roman" w:hAnsi="Times New Roman"/>
          <w:sz w:val="16"/>
          <w:szCs w:val="16"/>
        </w:rPr>
      </w:pPr>
      <w:r w:rsidRPr="00F63704">
        <w:rPr>
          <w:rStyle w:val="Odwoanieprzypisudolnego"/>
          <w:rFonts w:ascii="Times New Roman" w:hAnsi="Times New Roman"/>
          <w:sz w:val="16"/>
          <w:szCs w:val="16"/>
        </w:rPr>
        <w:footnoteRef/>
      </w:r>
      <w:r w:rsidRPr="00F63704">
        <w:rPr>
          <w:rFonts w:ascii="Times New Roman" w:hAnsi="Times New Roman"/>
          <w:sz w:val="16"/>
          <w:szCs w:val="16"/>
        </w:rPr>
        <w:t xml:space="preserve"> Liczba zgonów osób w danym wieku na 1000 ludności w danym wieku</w:t>
      </w:r>
      <w:r>
        <w:rPr>
          <w:rFonts w:ascii="Times New Roman" w:hAnsi="Times New Roman"/>
          <w:sz w:val="16"/>
          <w:szCs w:val="16"/>
        </w:rPr>
        <w:t>.</w:t>
      </w:r>
    </w:p>
  </w:footnote>
  <w:footnote w:id="4">
    <w:p w14:paraId="35953E8A" w14:textId="77777777" w:rsidR="00C60771" w:rsidRPr="006B34FA" w:rsidRDefault="00C60771" w:rsidP="00C444E7">
      <w:pPr>
        <w:pStyle w:val="Tekstprzypisudolnego"/>
      </w:pPr>
      <w:r w:rsidRPr="006B34FA">
        <w:rPr>
          <w:rStyle w:val="Odwoanieprzypisudolnego"/>
        </w:rPr>
        <w:footnoteRef/>
      </w:r>
      <w:r w:rsidRPr="006B34FA">
        <w:t xml:space="preserve"> </w:t>
      </w:r>
      <w:r>
        <w:rPr>
          <w:rFonts w:ascii="Times New Roman" w:hAnsi="Times New Roman"/>
          <w:sz w:val="16"/>
          <w:szCs w:val="16"/>
        </w:rPr>
        <w:t>S</w:t>
      </w:r>
      <w:r w:rsidRPr="00C444E7">
        <w:rPr>
          <w:rFonts w:ascii="Times New Roman" w:hAnsi="Times New Roman"/>
          <w:sz w:val="16"/>
          <w:szCs w:val="16"/>
        </w:rPr>
        <w:t>prawozdanie MRPiPS-03 za rok 2020 - dane wstępne</w:t>
      </w:r>
    </w:p>
  </w:footnote>
  <w:footnote w:id="5">
    <w:p w14:paraId="398D03C8" w14:textId="77777777" w:rsidR="00C60771" w:rsidRDefault="00C60771">
      <w:pPr>
        <w:pStyle w:val="Tekstprzypisudolnego"/>
      </w:pPr>
      <w:r>
        <w:rPr>
          <w:rStyle w:val="Odwoanieprzypisudolnego"/>
        </w:rPr>
        <w:footnoteRef/>
      </w:r>
      <w:r>
        <w:t xml:space="preserve"> </w:t>
      </w:r>
      <w:r w:rsidRPr="00C444E7">
        <w:rPr>
          <w:rFonts w:ascii="Times New Roman" w:hAnsi="Times New Roman"/>
          <w:sz w:val="16"/>
          <w:szCs w:val="16"/>
        </w:rPr>
        <w:t>Grupa osób starszych nie jest wyodrębnioną grupą w sprawozdawczości, stąd brak jest danych dotyczących liczby seniorów, którzy skorzystali z pomocy w formie ww. usług. Dlatego też wszystkie dane w przedmiotowej informacji dotyczą liczby osób ogółem.</w:t>
      </w:r>
    </w:p>
  </w:footnote>
  <w:footnote w:id="6">
    <w:p w14:paraId="71D6ECB7" w14:textId="58E02B5E" w:rsidR="00C60771" w:rsidRPr="006B34FA" w:rsidRDefault="00C60771" w:rsidP="00C444E7">
      <w:pPr>
        <w:pStyle w:val="Tekstprzypisudolnego"/>
      </w:pPr>
      <w:r w:rsidRPr="006B34FA">
        <w:rPr>
          <w:rStyle w:val="Odwoanieprzypisudolnego"/>
        </w:rPr>
        <w:footnoteRef/>
      </w:r>
      <w:r>
        <w:t xml:space="preserve"> </w:t>
      </w:r>
      <w:r w:rsidRPr="00324288">
        <w:rPr>
          <w:rFonts w:ascii="Times New Roman" w:hAnsi="Times New Roman"/>
          <w:sz w:val="16"/>
          <w:szCs w:val="16"/>
        </w:rPr>
        <w:t>Sprawozdanie MRPi</w:t>
      </w:r>
      <w:r>
        <w:rPr>
          <w:rFonts w:ascii="Times New Roman" w:hAnsi="Times New Roman"/>
          <w:sz w:val="16"/>
          <w:szCs w:val="16"/>
        </w:rPr>
        <w:t>PS-03 za rok 2020</w:t>
      </w:r>
      <w:r w:rsidRPr="00324288">
        <w:rPr>
          <w:rFonts w:ascii="Times New Roman" w:hAnsi="Times New Roman"/>
          <w:sz w:val="16"/>
          <w:szCs w:val="16"/>
        </w:rPr>
        <w:t>.</w:t>
      </w:r>
    </w:p>
  </w:footnote>
  <w:footnote w:id="7">
    <w:p w14:paraId="5D44193F" w14:textId="3570A768" w:rsidR="00C60771" w:rsidRPr="00553367" w:rsidRDefault="00C60771" w:rsidP="00C444E7">
      <w:pPr>
        <w:pStyle w:val="Tekstprzypisudolnego"/>
      </w:pPr>
      <w:r w:rsidRPr="00553367">
        <w:rPr>
          <w:rStyle w:val="Odwoanieprzypisudolnego"/>
        </w:rPr>
        <w:footnoteRef/>
      </w:r>
      <w:r w:rsidRPr="00553367">
        <w:t xml:space="preserve"> </w:t>
      </w:r>
      <w:r w:rsidRPr="00857AFD">
        <w:rPr>
          <w:rFonts w:ascii="Times New Roman" w:hAnsi="Times New Roman"/>
          <w:sz w:val="16"/>
          <w:szCs w:val="16"/>
        </w:rPr>
        <w:t>Źródło: spra</w:t>
      </w:r>
      <w:r>
        <w:rPr>
          <w:rFonts w:ascii="Times New Roman" w:hAnsi="Times New Roman"/>
          <w:sz w:val="16"/>
          <w:szCs w:val="16"/>
        </w:rPr>
        <w:t>wozdanie MRPiPS-03 za rok 2020</w:t>
      </w:r>
      <w:r w:rsidRPr="00857AFD">
        <w:rPr>
          <w:rFonts w:ascii="Times New Roman" w:hAnsi="Times New Roman"/>
          <w:sz w:val="16"/>
          <w:szCs w:val="16"/>
        </w:rPr>
        <w:t>.</w:t>
      </w:r>
    </w:p>
  </w:footnote>
  <w:footnote w:id="8">
    <w:p w14:paraId="18896DF7" w14:textId="656BE98A" w:rsidR="00C60771" w:rsidRPr="006B34FA" w:rsidRDefault="00C60771" w:rsidP="00C444E7">
      <w:pPr>
        <w:pStyle w:val="Tekstprzypisudolnego"/>
      </w:pPr>
      <w:r w:rsidRPr="006B34FA">
        <w:rPr>
          <w:rStyle w:val="Odwoanieprzypisudolnego"/>
        </w:rPr>
        <w:footnoteRef/>
      </w:r>
      <w:r>
        <w:t xml:space="preserve"> </w:t>
      </w:r>
      <w:r w:rsidRPr="00324288">
        <w:rPr>
          <w:rFonts w:ascii="Times New Roman" w:hAnsi="Times New Roman"/>
          <w:sz w:val="16"/>
          <w:szCs w:val="16"/>
        </w:rPr>
        <w:t>Sprawozdanie MRPi</w:t>
      </w:r>
      <w:r>
        <w:rPr>
          <w:rFonts w:ascii="Times New Roman" w:hAnsi="Times New Roman"/>
          <w:sz w:val="16"/>
          <w:szCs w:val="16"/>
        </w:rPr>
        <w:t>PS-03 za rok 2020</w:t>
      </w:r>
      <w:r>
        <w:t>.</w:t>
      </w:r>
    </w:p>
  </w:footnote>
  <w:footnote w:id="9">
    <w:p w14:paraId="6B4C5BAB" w14:textId="77777777" w:rsidR="00C60771" w:rsidRDefault="00C60771" w:rsidP="00C444E7">
      <w:pPr>
        <w:pStyle w:val="Tekstprzypisudolnego"/>
      </w:pPr>
      <w:r>
        <w:rPr>
          <w:rStyle w:val="Odwoanieprzypisudolnego"/>
        </w:rPr>
        <w:footnoteRef/>
      </w:r>
      <w:r>
        <w:t xml:space="preserve"> </w:t>
      </w:r>
      <w:r w:rsidRPr="00324288">
        <w:rPr>
          <w:rFonts w:ascii="Times New Roman" w:hAnsi="Times New Roman"/>
          <w:sz w:val="16"/>
          <w:szCs w:val="16"/>
        </w:rPr>
        <w:t>Sprawozdanie MRPiPS-03 za rok 2020 - dane wstępne.</w:t>
      </w:r>
    </w:p>
  </w:footnote>
  <w:footnote w:id="10">
    <w:p w14:paraId="6B659F23" w14:textId="1446D185" w:rsidR="00C60771" w:rsidRPr="00324288" w:rsidRDefault="00C60771" w:rsidP="00C444E7">
      <w:pPr>
        <w:pStyle w:val="Tekstprzypisudolnego"/>
        <w:rPr>
          <w:rFonts w:ascii="Times New Roman" w:hAnsi="Times New Roman"/>
          <w:sz w:val="16"/>
          <w:szCs w:val="16"/>
        </w:rPr>
      </w:pPr>
      <w:r w:rsidRPr="00324288">
        <w:rPr>
          <w:rStyle w:val="Odwoanieprzypisudolnego"/>
          <w:rFonts w:ascii="Times New Roman" w:hAnsi="Times New Roman"/>
          <w:sz w:val="16"/>
          <w:szCs w:val="16"/>
        </w:rPr>
        <w:footnoteRef/>
      </w:r>
      <w:r>
        <w:rPr>
          <w:rFonts w:ascii="Times New Roman" w:hAnsi="Times New Roman"/>
          <w:sz w:val="16"/>
          <w:szCs w:val="16"/>
        </w:rPr>
        <w:t xml:space="preserve"> Sprawozdanie MRPiPS-05 za rok 2020</w:t>
      </w:r>
      <w:r w:rsidRPr="00324288">
        <w:rPr>
          <w:rFonts w:ascii="Times New Roman" w:hAnsi="Times New Roman"/>
          <w:sz w:val="16"/>
          <w:szCs w:val="16"/>
        </w:rPr>
        <w:t>.</w:t>
      </w:r>
    </w:p>
  </w:footnote>
  <w:footnote w:id="11">
    <w:p w14:paraId="3496F0D6" w14:textId="77777777" w:rsidR="00C60771" w:rsidRPr="001E362D" w:rsidRDefault="00C60771" w:rsidP="00C444E7">
      <w:pPr>
        <w:pStyle w:val="Tekstprzypisudolnego"/>
        <w:rPr>
          <w:rFonts w:ascii="Times New Roman" w:hAnsi="Times New Roman"/>
          <w:sz w:val="16"/>
          <w:szCs w:val="16"/>
        </w:rPr>
      </w:pPr>
      <w:r w:rsidRPr="001E362D">
        <w:rPr>
          <w:rStyle w:val="Odwoanieprzypisudolnego"/>
          <w:rFonts w:ascii="Times New Roman" w:hAnsi="Times New Roman"/>
          <w:sz w:val="16"/>
          <w:szCs w:val="16"/>
        </w:rPr>
        <w:footnoteRef/>
      </w:r>
      <w:r w:rsidRPr="001E362D">
        <w:rPr>
          <w:rFonts w:ascii="Times New Roman" w:hAnsi="Times New Roman"/>
          <w:sz w:val="16"/>
          <w:szCs w:val="16"/>
        </w:rPr>
        <w:t xml:space="preserve"> Sprawozdanie MRPiPS-03 za rok 2020 - dane wstępne.</w:t>
      </w:r>
    </w:p>
  </w:footnote>
  <w:footnote w:id="12">
    <w:p w14:paraId="1DA2039B" w14:textId="77777777" w:rsidR="00C60771" w:rsidRPr="00577F45" w:rsidRDefault="00C60771" w:rsidP="00577F45">
      <w:pPr>
        <w:pStyle w:val="Tekstprzypisudolnego"/>
        <w:rPr>
          <w:rFonts w:ascii="Times New Roman" w:hAnsi="Times New Roman"/>
          <w:sz w:val="16"/>
          <w:szCs w:val="16"/>
        </w:rPr>
      </w:pPr>
      <w:r w:rsidRPr="00577F45">
        <w:rPr>
          <w:rStyle w:val="Odwoanieprzypisudolnego"/>
          <w:rFonts w:ascii="Times New Roman" w:hAnsi="Times New Roman"/>
          <w:sz w:val="16"/>
          <w:szCs w:val="16"/>
        </w:rPr>
        <w:footnoteRef/>
      </w:r>
      <w:r w:rsidRPr="00577F45">
        <w:rPr>
          <w:rFonts w:ascii="Times New Roman" w:hAnsi="Times New Roman"/>
          <w:sz w:val="16"/>
          <w:szCs w:val="16"/>
        </w:rPr>
        <w:t xml:space="preserve"> </w:t>
      </w:r>
      <w:r>
        <w:rPr>
          <w:rFonts w:ascii="Times New Roman" w:hAnsi="Times New Roman"/>
          <w:sz w:val="16"/>
          <w:szCs w:val="16"/>
        </w:rPr>
        <w:t xml:space="preserve">Dane za 2020 r. będą dostępne w </w:t>
      </w:r>
      <w:r w:rsidRPr="00577F45">
        <w:rPr>
          <w:rFonts w:ascii="Times New Roman" w:hAnsi="Times New Roman"/>
          <w:sz w:val="16"/>
          <w:szCs w:val="16"/>
        </w:rPr>
        <w:t>III kw. 2021 r.</w:t>
      </w:r>
    </w:p>
  </w:footnote>
  <w:footnote w:id="13">
    <w:p w14:paraId="03F186A9" w14:textId="71F115E6" w:rsidR="00C60771" w:rsidRPr="003908E2" w:rsidRDefault="00C60771">
      <w:pPr>
        <w:pStyle w:val="Tekstprzypisudolnego"/>
        <w:rPr>
          <w:rFonts w:ascii="Times New Roman" w:hAnsi="Times New Roman"/>
          <w:sz w:val="16"/>
          <w:szCs w:val="16"/>
        </w:rPr>
      </w:pPr>
      <w:r w:rsidRPr="003908E2">
        <w:rPr>
          <w:rStyle w:val="Odwoanieprzypisudolnego"/>
          <w:rFonts w:ascii="Times New Roman" w:hAnsi="Times New Roman"/>
          <w:sz w:val="16"/>
          <w:szCs w:val="16"/>
        </w:rPr>
        <w:footnoteRef/>
      </w:r>
      <w:r w:rsidRPr="003908E2">
        <w:rPr>
          <w:rFonts w:ascii="Times New Roman" w:hAnsi="Times New Roman"/>
          <w:sz w:val="16"/>
          <w:szCs w:val="16"/>
        </w:rPr>
        <w:t xml:space="preserve"> § 15 ust. 1 i 2 Zarządzenia Nr 177/2019/DSOZ Prezesa NFZ z dnia 30 grudnia 2019 r. w sprawie warunków zawarcia i realizacji umów o udzielanie świadczeń opieki zdrowotnej w zakresie podstawowej opieki zdrowotnej</w:t>
      </w:r>
      <w:r>
        <w:rPr>
          <w:rFonts w:ascii="Times New Roman" w:hAnsi="Times New Roman"/>
          <w:sz w:val="16"/>
          <w:szCs w:val="16"/>
        </w:rPr>
        <w:t>,</w:t>
      </w:r>
      <w:r w:rsidRPr="003908E2">
        <w:rPr>
          <w:rFonts w:ascii="Times New Roman" w:hAnsi="Times New Roman"/>
          <w:sz w:val="16"/>
          <w:szCs w:val="16"/>
        </w:rPr>
        <w:t xml:space="preserve"> z </w:t>
      </w:r>
      <w:proofErr w:type="spellStart"/>
      <w:r w:rsidRPr="003908E2">
        <w:rPr>
          <w:rFonts w:ascii="Times New Roman" w:hAnsi="Times New Roman"/>
          <w:sz w:val="16"/>
          <w:szCs w:val="16"/>
        </w:rPr>
        <w:t>późn</w:t>
      </w:r>
      <w:proofErr w:type="spellEnd"/>
      <w:r w:rsidRPr="003908E2">
        <w:rPr>
          <w:rFonts w:ascii="Times New Roman" w:hAnsi="Times New Roman"/>
          <w:sz w:val="16"/>
          <w:szCs w:val="16"/>
        </w:rPr>
        <w:t>. zm</w:t>
      </w:r>
      <w:r>
        <w:rPr>
          <w:rFonts w:ascii="Times New Roman" w:hAnsi="Times New Roman"/>
          <w:sz w:val="16"/>
          <w:szCs w:val="16"/>
        </w:rPr>
        <w:t>.</w:t>
      </w:r>
    </w:p>
  </w:footnote>
  <w:footnote w:id="14">
    <w:p w14:paraId="271DF8AA" w14:textId="27983AFD" w:rsidR="00C60771" w:rsidRDefault="00C60771">
      <w:pPr>
        <w:pStyle w:val="Tekstprzypisudolnego"/>
      </w:pPr>
      <w:r>
        <w:rPr>
          <w:rStyle w:val="Odwoanieprzypisudolnego"/>
        </w:rPr>
        <w:footnoteRef/>
      </w:r>
      <w:r>
        <w:t xml:space="preserve"> </w:t>
      </w:r>
      <w:r w:rsidRPr="003908E2">
        <w:rPr>
          <w:rFonts w:ascii="Times New Roman" w:hAnsi="Times New Roman"/>
          <w:sz w:val="16"/>
          <w:szCs w:val="16"/>
        </w:rPr>
        <w:t>§ 1</w:t>
      </w:r>
      <w:r>
        <w:rPr>
          <w:rFonts w:ascii="Times New Roman" w:hAnsi="Times New Roman"/>
          <w:sz w:val="16"/>
          <w:szCs w:val="16"/>
        </w:rPr>
        <w:t>9</w:t>
      </w:r>
      <w:r w:rsidRPr="003908E2">
        <w:rPr>
          <w:rFonts w:ascii="Times New Roman" w:hAnsi="Times New Roman"/>
          <w:sz w:val="16"/>
          <w:szCs w:val="16"/>
        </w:rPr>
        <w:t xml:space="preserve"> ust. 1 i 2 Zarządzenia Nr 177/2019/DSOZ Prezesa NFZ z dnia 30 grudnia 2019 r. w sprawie warunków zawarcia i realizacji umów o udzielanie świadczeń opieki zdrowotnej w zakresie podstawowej opieki zdrowotnej</w:t>
      </w:r>
      <w:r>
        <w:rPr>
          <w:rFonts w:ascii="Times New Roman" w:hAnsi="Times New Roman"/>
          <w:sz w:val="16"/>
          <w:szCs w:val="16"/>
        </w:rPr>
        <w:t>,</w:t>
      </w:r>
      <w:r w:rsidRPr="003908E2">
        <w:rPr>
          <w:rFonts w:ascii="Times New Roman" w:hAnsi="Times New Roman"/>
          <w:sz w:val="16"/>
          <w:szCs w:val="16"/>
        </w:rPr>
        <w:t xml:space="preserve"> z </w:t>
      </w:r>
      <w:proofErr w:type="spellStart"/>
      <w:r w:rsidRPr="003908E2">
        <w:rPr>
          <w:rFonts w:ascii="Times New Roman" w:hAnsi="Times New Roman"/>
          <w:sz w:val="16"/>
          <w:szCs w:val="16"/>
        </w:rPr>
        <w:t>późn</w:t>
      </w:r>
      <w:proofErr w:type="spellEnd"/>
      <w:r w:rsidRPr="003908E2">
        <w:rPr>
          <w:rFonts w:ascii="Times New Roman" w:hAnsi="Times New Roman"/>
          <w:sz w:val="16"/>
          <w:szCs w:val="16"/>
        </w:rPr>
        <w:t>. zm</w:t>
      </w:r>
      <w:r>
        <w:rPr>
          <w:rFonts w:ascii="Times New Roman" w:hAnsi="Times New Roman"/>
          <w:sz w:val="16"/>
          <w:szCs w:val="16"/>
        </w:rPr>
        <w:t>.</w:t>
      </w:r>
    </w:p>
  </w:footnote>
  <w:footnote w:id="15">
    <w:p w14:paraId="7711EE33" w14:textId="6E215A8A" w:rsidR="00C60771" w:rsidRPr="00DD59BD" w:rsidRDefault="00C60771" w:rsidP="00052DB7">
      <w:pPr>
        <w:pStyle w:val="Tekstprzypisudolnego"/>
        <w:rPr>
          <w:rFonts w:ascii="Times New Roman" w:hAnsi="Times New Roman"/>
          <w:sz w:val="16"/>
          <w:szCs w:val="16"/>
        </w:rPr>
      </w:pPr>
      <w:r w:rsidRPr="00DD59BD">
        <w:rPr>
          <w:rStyle w:val="Odwoanieprzypisudolnego"/>
          <w:rFonts w:ascii="Times New Roman" w:hAnsi="Times New Roman"/>
          <w:sz w:val="16"/>
          <w:szCs w:val="16"/>
        </w:rPr>
        <w:footnoteRef/>
      </w:r>
      <w:r w:rsidRPr="00DD59BD">
        <w:rPr>
          <w:rFonts w:ascii="Times New Roman" w:hAnsi="Times New Roman"/>
          <w:sz w:val="16"/>
          <w:szCs w:val="16"/>
        </w:rPr>
        <w:t xml:space="preserve"> Rozporządzenie Ministra Zdrowia z dnia 6 listopada 2013 r. w sprawie świadczeń gwarantowanych z zakresu</w:t>
      </w:r>
      <w:r>
        <w:rPr>
          <w:rFonts w:ascii="Times New Roman" w:hAnsi="Times New Roman"/>
          <w:sz w:val="16"/>
          <w:szCs w:val="16"/>
        </w:rPr>
        <w:t xml:space="preserve"> </w:t>
      </w:r>
      <w:r w:rsidRPr="00DD59BD">
        <w:rPr>
          <w:rFonts w:ascii="Times New Roman" w:hAnsi="Times New Roman"/>
          <w:sz w:val="16"/>
          <w:szCs w:val="16"/>
        </w:rPr>
        <w:t>rehabilitacji leczniczej (Dz.</w:t>
      </w:r>
      <w:r>
        <w:rPr>
          <w:rFonts w:ascii="Times New Roman" w:hAnsi="Times New Roman"/>
          <w:sz w:val="16"/>
          <w:szCs w:val="16"/>
        </w:rPr>
        <w:t> </w:t>
      </w:r>
      <w:r w:rsidRPr="00DD59BD">
        <w:rPr>
          <w:rFonts w:ascii="Times New Roman" w:hAnsi="Times New Roman"/>
          <w:sz w:val="16"/>
          <w:szCs w:val="16"/>
        </w:rPr>
        <w:t>U.</w:t>
      </w:r>
      <w:r>
        <w:rPr>
          <w:rFonts w:ascii="Times New Roman" w:hAnsi="Times New Roman"/>
          <w:sz w:val="16"/>
          <w:szCs w:val="16"/>
        </w:rPr>
        <w:t> </w:t>
      </w:r>
      <w:r w:rsidRPr="00DD59BD">
        <w:rPr>
          <w:rFonts w:ascii="Times New Roman" w:hAnsi="Times New Roman"/>
          <w:sz w:val="16"/>
          <w:szCs w:val="16"/>
        </w:rPr>
        <w:t>z</w:t>
      </w:r>
      <w:r>
        <w:rPr>
          <w:rFonts w:ascii="Times New Roman" w:hAnsi="Times New Roman"/>
          <w:sz w:val="16"/>
          <w:szCs w:val="16"/>
        </w:rPr>
        <w:t> </w:t>
      </w:r>
      <w:r w:rsidRPr="00DD59BD">
        <w:rPr>
          <w:rFonts w:ascii="Times New Roman" w:hAnsi="Times New Roman"/>
          <w:sz w:val="16"/>
          <w:szCs w:val="16"/>
        </w:rPr>
        <w:t>2021 r. poz. 265)</w:t>
      </w:r>
      <w:r>
        <w:rPr>
          <w:rFonts w:ascii="Times New Roman" w:hAnsi="Times New Roman"/>
          <w:sz w:val="16"/>
          <w:szCs w:val="16"/>
        </w:rPr>
        <w:t>.</w:t>
      </w:r>
    </w:p>
  </w:footnote>
  <w:footnote w:id="16">
    <w:p w14:paraId="05EC1D5B" w14:textId="77777777" w:rsidR="00C60771" w:rsidRPr="00DD59BD" w:rsidRDefault="00C60771" w:rsidP="00052DB7">
      <w:pPr>
        <w:pStyle w:val="Tekstprzypisudolnego"/>
        <w:rPr>
          <w:rFonts w:ascii="Times New Roman" w:hAnsi="Times New Roman"/>
          <w:sz w:val="16"/>
          <w:szCs w:val="16"/>
        </w:rPr>
      </w:pPr>
      <w:r w:rsidRPr="00DD59BD">
        <w:rPr>
          <w:rStyle w:val="Odwoanieprzypisudolnego"/>
          <w:rFonts w:ascii="Times New Roman" w:hAnsi="Times New Roman"/>
          <w:sz w:val="16"/>
          <w:szCs w:val="16"/>
        </w:rPr>
        <w:footnoteRef/>
      </w:r>
      <w:r w:rsidRPr="00DD59BD">
        <w:rPr>
          <w:rFonts w:ascii="Times New Roman" w:hAnsi="Times New Roman"/>
          <w:sz w:val="16"/>
          <w:szCs w:val="16"/>
        </w:rPr>
        <w:t xml:space="preserve"> Przez pojedyncze świadczenie rozumie się unikalną liczbę produktów sprawozdanych przez świadczeniodawców do NFZ</w:t>
      </w:r>
      <w:r>
        <w:rPr>
          <w:rFonts w:ascii="Times New Roman" w:hAnsi="Times New Roman"/>
          <w:sz w:val="16"/>
          <w:szCs w:val="16"/>
        </w:rPr>
        <w:t>.</w:t>
      </w:r>
    </w:p>
  </w:footnote>
  <w:footnote w:id="17">
    <w:p w14:paraId="100EA338" w14:textId="77777777" w:rsidR="00C60771" w:rsidRPr="00F235C4" w:rsidRDefault="00C60771" w:rsidP="003215CC">
      <w:pPr>
        <w:pStyle w:val="Tekstprzypisudolnego"/>
        <w:rPr>
          <w:rFonts w:ascii="Times New Roman" w:hAnsi="Times New Roman"/>
          <w:sz w:val="16"/>
          <w:szCs w:val="16"/>
        </w:rPr>
      </w:pPr>
      <w:r w:rsidRPr="00F235C4">
        <w:rPr>
          <w:rStyle w:val="Odwoanieprzypisudolnego"/>
          <w:rFonts w:ascii="Times New Roman" w:hAnsi="Times New Roman"/>
          <w:sz w:val="16"/>
          <w:szCs w:val="16"/>
        </w:rPr>
        <w:footnoteRef/>
      </w:r>
      <w:r w:rsidRPr="00F235C4">
        <w:rPr>
          <w:rFonts w:ascii="Times New Roman" w:hAnsi="Times New Roman"/>
          <w:sz w:val="16"/>
          <w:szCs w:val="16"/>
        </w:rPr>
        <w:t xml:space="preserve"> Sprawozdanie MZ-89 o specjalistach pracujących w podmiotach wykonujących działalność leczniczą. Dane dotyczące kadry za rok 2020 obecnie są w trakcie zbierania i analizy.</w:t>
      </w:r>
    </w:p>
  </w:footnote>
  <w:footnote w:id="18">
    <w:p w14:paraId="1C984AA0" w14:textId="77777777" w:rsidR="00C60771" w:rsidRPr="00F235C4" w:rsidRDefault="00C60771" w:rsidP="003215CC">
      <w:pPr>
        <w:pStyle w:val="Tekstprzypisudolnego"/>
        <w:spacing w:line="276" w:lineRule="auto"/>
        <w:rPr>
          <w:rFonts w:ascii="Times New Roman" w:hAnsi="Times New Roman"/>
          <w:sz w:val="16"/>
          <w:szCs w:val="16"/>
        </w:rPr>
      </w:pPr>
      <w:r w:rsidRPr="00F235C4">
        <w:rPr>
          <w:rStyle w:val="Odwoanieprzypisudolnego"/>
          <w:rFonts w:ascii="Times New Roman" w:hAnsi="Times New Roman"/>
          <w:sz w:val="16"/>
          <w:szCs w:val="16"/>
        </w:rPr>
        <w:footnoteRef/>
      </w:r>
      <w:r w:rsidRPr="00F235C4">
        <w:rPr>
          <w:rFonts w:ascii="Times New Roman" w:hAnsi="Times New Roman"/>
          <w:sz w:val="16"/>
          <w:szCs w:val="16"/>
        </w:rPr>
        <w:t xml:space="preserve"> System Monitorowania Kształcenia – stan na koniec kwietnia 2021 r.</w:t>
      </w:r>
    </w:p>
  </w:footnote>
  <w:footnote w:id="19">
    <w:p w14:paraId="1973A735" w14:textId="77777777" w:rsidR="00C60771" w:rsidRPr="00F235C4" w:rsidRDefault="00C60771" w:rsidP="003215CC">
      <w:pPr>
        <w:tabs>
          <w:tab w:val="left" w:pos="182"/>
        </w:tabs>
        <w:rPr>
          <w:rFonts w:cs="Times New Roman"/>
          <w:sz w:val="16"/>
          <w:szCs w:val="16"/>
        </w:rPr>
      </w:pPr>
      <w:r w:rsidRPr="00F235C4">
        <w:rPr>
          <w:rStyle w:val="Odwoanieprzypisudolnego"/>
          <w:rFonts w:cs="Times New Roman"/>
          <w:sz w:val="16"/>
          <w:szCs w:val="16"/>
        </w:rPr>
        <w:footnoteRef/>
      </w:r>
      <w:r w:rsidRPr="00F235C4">
        <w:rPr>
          <w:rFonts w:cs="Times New Roman"/>
          <w:sz w:val="16"/>
          <w:szCs w:val="16"/>
        </w:rPr>
        <w:t xml:space="preserve"> Źródło danych - sprawozdanie MZ-89 o specjalistach pracujących w podmiotach wykonujących działalność leczniczą. Dane dotyczące kadry za rok 2020 obecnie są w trakcie zbierania i analizy.</w:t>
      </w:r>
    </w:p>
  </w:footnote>
  <w:footnote w:id="20">
    <w:p w14:paraId="04E24FE2" w14:textId="77777777" w:rsidR="00C60771" w:rsidRDefault="00C60771" w:rsidP="003215CC">
      <w:pPr>
        <w:pStyle w:val="Podpistabeli0"/>
        <w:shd w:val="clear" w:color="auto" w:fill="auto"/>
      </w:pPr>
      <w:r w:rsidRPr="00F235C4">
        <w:rPr>
          <w:rStyle w:val="Odwoanieprzypisudolnego"/>
          <w:rFonts w:ascii="Times New Roman" w:hAnsi="Times New Roman" w:cs="Times New Roman"/>
          <w:sz w:val="16"/>
          <w:szCs w:val="16"/>
        </w:rPr>
        <w:footnoteRef/>
      </w:r>
      <w:r w:rsidRPr="00F235C4">
        <w:rPr>
          <w:rFonts w:ascii="Times New Roman" w:hAnsi="Times New Roman" w:cs="Times New Roman"/>
          <w:sz w:val="16"/>
          <w:szCs w:val="16"/>
        </w:rPr>
        <w:t xml:space="preserve"> S</w:t>
      </w:r>
      <w:r w:rsidRPr="00F235C4">
        <w:rPr>
          <w:rFonts w:ascii="Times New Roman" w:eastAsia="Calibri" w:hAnsi="Times New Roman" w:cs="Times New Roman"/>
          <w:color w:val="000000"/>
          <w:sz w:val="16"/>
          <w:szCs w:val="16"/>
          <w:lang w:eastAsia="pl-PL" w:bidi="pl-PL"/>
        </w:rPr>
        <w:t>prawozdanie MZ-29A o działalności podmiotu wykonującego działalność leczniczą w zakresie długoterminowej opieki zdrowotnej.</w:t>
      </w:r>
    </w:p>
  </w:footnote>
  <w:footnote w:id="21">
    <w:p w14:paraId="791F4A58" w14:textId="77777777" w:rsidR="00C60771" w:rsidRPr="00857AFD" w:rsidRDefault="00C60771" w:rsidP="003215CC">
      <w:pPr>
        <w:pStyle w:val="Tekstprzypisudolnego"/>
        <w:rPr>
          <w:rFonts w:ascii="Times New Roman" w:hAnsi="Times New Roman"/>
          <w:sz w:val="16"/>
          <w:szCs w:val="16"/>
        </w:rPr>
      </w:pPr>
      <w:r w:rsidRPr="00857AFD">
        <w:rPr>
          <w:rStyle w:val="Odwoanieprzypisudolnego"/>
          <w:rFonts w:ascii="Times New Roman" w:hAnsi="Times New Roman"/>
          <w:sz w:val="16"/>
          <w:szCs w:val="16"/>
        </w:rPr>
        <w:footnoteRef/>
      </w:r>
      <w:r w:rsidRPr="00857AFD">
        <w:rPr>
          <w:rFonts w:ascii="Times New Roman" w:hAnsi="Times New Roman"/>
          <w:sz w:val="16"/>
          <w:szCs w:val="16"/>
        </w:rPr>
        <w:t xml:space="preserve"> Dane KIF.</w:t>
      </w:r>
    </w:p>
  </w:footnote>
  <w:footnote w:id="22">
    <w:p w14:paraId="4074097B" w14:textId="5BC45175" w:rsidR="00C60771" w:rsidRPr="009D629D" w:rsidRDefault="00C60771" w:rsidP="003215CC">
      <w:pPr>
        <w:pStyle w:val="Tekstprzypisudolnego"/>
        <w:rPr>
          <w:rFonts w:ascii="Times New Roman" w:hAnsi="Times New Roman"/>
        </w:rPr>
      </w:pPr>
      <w:r w:rsidRPr="00857AFD">
        <w:rPr>
          <w:rStyle w:val="Odwoanieprzypisudolnego"/>
          <w:rFonts w:ascii="Times New Roman" w:hAnsi="Times New Roman"/>
          <w:sz w:val="16"/>
          <w:szCs w:val="16"/>
        </w:rPr>
        <w:footnoteRef/>
      </w:r>
      <w:r w:rsidRPr="00857AFD">
        <w:rPr>
          <w:rFonts w:ascii="Times New Roman" w:hAnsi="Times New Roman"/>
          <w:sz w:val="16"/>
          <w:szCs w:val="16"/>
        </w:rPr>
        <w:t>Sprawozdanie MZ-29A o działalności podmiotu wykonującego działalność leczniczą w zakresie długoterminowej opieki zdrowotnej.</w:t>
      </w:r>
    </w:p>
  </w:footnote>
  <w:footnote w:id="23">
    <w:p w14:paraId="3E9C82BC" w14:textId="77777777" w:rsidR="00C60771" w:rsidRPr="00416C51" w:rsidRDefault="00C60771" w:rsidP="003215CC">
      <w:pPr>
        <w:pStyle w:val="Tekstprzypisudolnego"/>
        <w:spacing w:line="276" w:lineRule="auto"/>
        <w:rPr>
          <w:rFonts w:ascii="Times New Roman" w:hAnsi="Times New Roman"/>
          <w:bCs/>
        </w:rPr>
      </w:pPr>
      <w:r w:rsidRPr="00416C51">
        <w:rPr>
          <w:rStyle w:val="Odwoanieprzypisudolnego"/>
          <w:rFonts w:ascii="Times New Roman" w:hAnsi="Times New Roman"/>
        </w:rPr>
        <w:footnoteRef/>
      </w:r>
      <w:r w:rsidRPr="00416C51">
        <w:rPr>
          <w:rFonts w:ascii="Times New Roman" w:hAnsi="Times New Roman"/>
        </w:rPr>
        <w:t xml:space="preserve">  Dotyczy: </w:t>
      </w:r>
      <w:r w:rsidRPr="00416C51">
        <w:rPr>
          <w:rFonts w:ascii="Times New Roman" w:hAnsi="Times New Roman"/>
          <w:bCs/>
          <w:spacing w:val="-4"/>
        </w:rPr>
        <w:t xml:space="preserve">konsultacji z lekarzem  rodzinnym / pierwszego kontaktu  lub specjalistą </w:t>
      </w:r>
      <w:r w:rsidRPr="00416C51">
        <w:rPr>
          <w:rFonts w:ascii="Times New Roman" w:hAnsi="Times New Roman"/>
          <w:bCs/>
        </w:rPr>
        <w:t xml:space="preserve"> (wyłączając dentystę i ortodontę);  leczenia szpitalnego, rehabilitacji; badania w laboratorium lub pracowni diagnostycznej.</w:t>
      </w:r>
    </w:p>
  </w:footnote>
  <w:footnote w:id="24">
    <w:p w14:paraId="38466229" w14:textId="77777777" w:rsidR="00C60771" w:rsidRPr="008428AF" w:rsidRDefault="00C60771" w:rsidP="000171D5">
      <w:pPr>
        <w:pStyle w:val="Tekstprzypisudolnego"/>
        <w:rPr>
          <w:rFonts w:ascii="Times New Roman" w:hAnsi="Times New Roman"/>
          <w:sz w:val="16"/>
          <w:szCs w:val="16"/>
        </w:rPr>
      </w:pPr>
      <w:r w:rsidRPr="008428AF">
        <w:rPr>
          <w:rStyle w:val="Odwoanieprzypisudolnego"/>
          <w:rFonts w:ascii="Times New Roman" w:hAnsi="Times New Roman"/>
          <w:sz w:val="16"/>
          <w:szCs w:val="16"/>
        </w:rPr>
        <w:footnoteRef/>
      </w:r>
      <w:r w:rsidRPr="008428AF">
        <w:rPr>
          <w:rFonts w:ascii="Times New Roman" w:hAnsi="Times New Roman"/>
          <w:sz w:val="16"/>
          <w:szCs w:val="16"/>
        </w:rPr>
        <w:t xml:space="preserve"> Uniwersytety trzeciego wieku w Polsce w 2018 r., GUS, 2019 r</w:t>
      </w:r>
    </w:p>
  </w:footnote>
  <w:footnote w:id="25">
    <w:p w14:paraId="7F309309" w14:textId="77777777" w:rsidR="00C60771" w:rsidRPr="00957D96" w:rsidRDefault="00C60771" w:rsidP="000171D5">
      <w:pPr>
        <w:pStyle w:val="Tekstprzypisudolnego"/>
        <w:rPr>
          <w:rFonts w:ascii="Times New Roman" w:hAnsi="Times New Roman"/>
        </w:rPr>
      </w:pPr>
      <w:r w:rsidRPr="00957D96">
        <w:rPr>
          <w:rStyle w:val="Odwoanieprzypisudolnego"/>
          <w:rFonts w:ascii="Times New Roman" w:hAnsi="Times New Roman"/>
        </w:rPr>
        <w:footnoteRef/>
      </w:r>
      <w:r w:rsidRPr="00957D96">
        <w:rPr>
          <w:rFonts w:ascii="Times New Roman" w:hAnsi="Times New Roman"/>
        </w:rPr>
        <w:t xml:space="preserve"> W tabeli liczba gminnych rad seniorów ogółem podana jest bez dzielnicowych rad seniorów m.st. Warszawy.</w:t>
      </w:r>
    </w:p>
  </w:footnote>
  <w:footnote w:id="26">
    <w:p w14:paraId="6EF43071" w14:textId="1ABBCFFF" w:rsidR="00C60771" w:rsidRDefault="00C60771">
      <w:pPr>
        <w:pStyle w:val="Tekstprzypisudolnego"/>
      </w:pPr>
      <w:r>
        <w:rPr>
          <w:rStyle w:val="Odwoanieprzypisudolnego"/>
        </w:rPr>
        <w:footnoteRef/>
      </w:r>
      <w:r>
        <w:t xml:space="preserve"> </w:t>
      </w:r>
      <w:r w:rsidRPr="002E48AA">
        <w:rPr>
          <w:rFonts w:ascii="Times New Roman" w:hAnsi="Times New Roman"/>
          <w:sz w:val="16"/>
          <w:szCs w:val="16"/>
        </w:rPr>
        <w:t>Szczegółowe informacje znajdują się na stronie www.senior.gov.pl</w:t>
      </w:r>
    </w:p>
  </w:footnote>
  <w:footnote w:id="27">
    <w:p w14:paraId="4756B5EA" w14:textId="47477083" w:rsidR="00C60771" w:rsidRPr="00977BA7" w:rsidRDefault="00C60771">
      <w:pPr>
        <w:pStyle w:val="Tekstprzypisudolnego"/>
        <w:rPr>
          <w:rFonts w:ascii="Times New Roman" w:hAnsi="Times New Roman"/>
          <w:sz w:val="16"/>
          <w:szCs w:val="16"/>
        </w:rPr>
      </w:pPr>
      <w:r w:rsidRPr="00977BA7">
        <w:rPr>
          <w:rStyle w:val="Odwoanieprzypisudolnego"/>
          <w:rFonts w:ascii="Times New Roman" w:hAnsi="Times New Roman"/>
          <w:sz w:val="16"/>
          <w:szCs w:val="16"/>
        </w:rPr>
        <w:footnoteRef/>
      </w:r>
      <w:r w:rsidRPr="00977BA7">
        <w:rPr>
          <w:rFonts w:ascii="Times New Roman" w:hAnsi="Times New Roman"/>
          <w:sz w:val="16"/>
          <w:szCs w:val="16"/>
        </w:rPr>
        <w:t xml:space="preserve"> Uchwała nr 167 Rady Ministrów z dnia 16 listopada 2020 r. w sprawie ustanowienia programu wieloletniego na rzecz Osób Starszych "Aktywni+" na lata 2021-2025</w:t>
      </w:r>
      <w:r>
        <w:rPr>
          <w:rFonts w:ascii="Times New Roman" w:hAnsi="Times New Roman"/>
          <w:sz w:val="16"/>
          <w:szCs w:val="16"/>
        </w:rPr>
        <w:t>.</w:t>
      </w:r>
    </w:p>
  </w:footnote>
  <w:footnote w:id="28">
    <w:p w14:paraId="648DB669" w14:textId="77777777" w:rsidR="00C60771" w:rsidRDefault="00C60771" w:rsidP="00A77B68">
      <w:pPr>
        <w:pStyle w:val="Tekstprzypisudolnego"/>
      </w:pPr>
      <w:r>
        <w:rPr>
          <w:rStyle w:val="Odwoanieprzypisudolnego"/>
        </w:rPr>
        <w:footnoteRef/>
      </w:r>
      <w:r>
        <w:t xml:space="preserve"> </w:t>
      </w:r>
      <w:r w:rsidRPr="00EF6E10">
        <w:rPr>
          <w:rFonts w:ascii="Times New Roman" w:hAnsi="Times New Roman"/>
          <w:sz w:val="16"/>
          <w:szCs w:val="16"/>
        </w:rPr>
        <w:t>Średni okres pobierania świadczenia jest ustalany dla osób, które ukończyły 60 lat życia i zmarły w 2020 roku. Jest on liczony od daty przyznania świadczenia do daty zgonu.</w:t>
      </w:r>
    </w:p>
  </w:footnote>
  <w:footnote w:id="29">
    <w:p w14:paraId="2B9BC345" w14:textId="77777777" w:rsidR="00C60771" w:rsidRPr="00A74780" w:rsidRDefault="00C60771" w:rsidP="00A74780">
      <w:pPr>
        <w:pStyle w:val="Tekstprzypisudolnego"/>
        <w:rPr>
          <w:rFonts w:ascii="Times New Roman" w:hAnsi="Times New Roman"/>
          <w:sz w:val="16"/>
          <w:szCs w:val="16"/>
        </w:rPr>
      </w:pPr>
      <w:r w:rsidRPr="00A74780">
        <w:rPr>
          <w:rStyle w:val="Odwoanieprzypisudolnego"/>
          <w:rFonts w:ascii="Times New Roman" w:hAnsi="Times New Roman"/>
          <w:sz w:val="16"/>
          <w:szCs w:val="16"/>
        </w:rPr>
        <w:footnoteRef/>
      </w:r>
      <w:r w:rsidRPr="00A74780">
        <w:rPr>
          <w:rFonts w:ascii="Times New Roman" w:hAnsi="Times New Roman"/>
          <w:sz w:val="16"/>
          <w:szCs w:val="16"/>
        </w:rPr>
        <w:t xml:space="preserve"> Płatności zrealizowane dla beneficjentów, którzy złożyli wniosek w kampanii 2020.  W zestawieniu zostały uwzględnione osoby fizyczne,</w:t>
      </w:r>
      <w:r>
        <w:rPr>
          <w:rFonts w:ascii="Times New Roman" w:hAnsi="Times New Roman"/>
          <w:sz w:val="16"/>
          <w:szCs w:val="16"/>
        </w:rPr>
        <w:t xml:space="preserve"> </w:t>
      </w:r>
      <w:r w:rsidRPr="00A74780">
        <w:rPr>
          <w:rFonts w:ascii="Times New Roman" w:hAnsi="Times New Roman"/>
          <w:sz w:val="16"/>
          <w:szCs w:val="16"/>
        </w:rPr>
        <w:t>wiek ustalono na podstawie numeru PESEL.</w:t>
      </w:r>
    </w:p>
  </w:footnote>
  <w:footnote w:id="30">
    <w:p w14:paraId="119F01D7" w14:textId="77777777" w:rsidR="00C60771" w:rsidRPr="00A74780" w:rsidRDefault="00C60771" w:rsidP="00A74780">
      <w:pPr>
        <w:pStyle w:val="Tekstprzypisudolnego"/>
        <w:rPr>
          <w:rFonts w:ascii="Times New Roman" w:hAnsi="Times New Roman"/>
          <w:sz w:val="16"/>
          <w:szCs w:val="16"/>
        </w:rPr>
      </w:pPr>
      <w:r w:rsidRPr="00A74780">
        <w:rPr>
          <w:rStyle w:val="Odwoanieprzypisudolnego"/>
          <w:rFonts w:ascii="Times New Roman" w:hAnsi="Times New Roman"/>
          <w:sz w:val="16"/>
          <w:szCs w:val="16"/>
        </w:rPr>
        <w:footnoteRef/>
      </w:r>
      <w:r w:rsidRPr="00A74780">
        <w:rPr>
          <w:rFonts w:ascii="Times New Roman" w:hAnsi="Times New Roman"/>
          <w:sz w:val="16"/>
          <w:szCs w:val="16"/>
        </w:rPr>
        <w:t xml:space="preserve"> Płatności zrealizowane dla beneficjentów, którzy złożyli wniosek w kampanii 2020.  W zestawieniu zostały uwzględnione osoby fizyczne,</w:t>
      </w:r>
      <w:r>
        <w:rPr>
          <w:rFonts w:ascii="Times New Roman" w:hAnsi="Times New Roman"/>
          <w:sz w:val="16"/>
          <w:szCs w:val="16"/>
        </w:rPr>
        <w:t xml:space="preserve"> </w:t>
      </w:r>
      <w:r w:rsidRPr="00A74780">
        <w:rPr>
          <w:rFonts w:ascii="Times New Roman" w:hAnsi="Times New Roman"/>
          <w:sz w:val="16"/>
          <w:szCs w:val="16"/>
        </w:rPr>
        <w:t>wiek ustalono na podstawie numeru PESEL.</w:t>
      </w:r>
    </w:p>
  </w:footnote>
  <w:footnote w:id="31">
    <w:p w14:paraId="1C164B6E" w14:textId="77777777" w:rsidR="00C60771" w:rsidRPr="00A74780" w:rsidRDefault="00C60771" w:rsidP="00A74780">
      <w:pPr>
        <w:pStyle w:val="Tekstprzypisudolnego"/>
        <w:rPr>
          <w:rFonts w:ascii="Times New Roman" w:hAnsi="Times New Roman"/>
          <w:sz w:val="16"/>
          <w:szCs w:val="16"/>
        </w:rPr>
      </w:pPr>
      <w:r w:rsidRPr="00A74780">
        <w:rPr>
          <w:rStyle w:val="Odwoanieprzypisudolnego"/>
          <w:rFonts w:ascii="Times New Roman" w:hAnsi="Times New Roman"/>
          <w:sz w:val="16"/>
          <w:szCs w:val="16"/>
        </w:rPr>
        <w:footnoteRef/>
      </w:r>
      <w:r w:rsidRPr="00A74780">
        <w:rPr>
          <w:rFonts w:ascii="Times New Roman" w:hAnsi="Times New Roman"/>
          <w:sz w:val="16"/>
          <w:szCs w:val="16"/>
        </w:rPr>
        <w:t xml:space="preserve"> Płatności zrealizowane dla beneficjentów, którzy złożyli wniosek w kampanii 2020.  W zestawieniu zostały uwzględnione osoby fizyczne,</w:t>
      </w:r>
      <w:r>
        <w:rPr>
          <w:rFonts w:ascii="Times New Roman" w:hAnsi="Times New Roman"/>
          <w:sz w:val="16"/>
          <w:szCs w:val="16"/>
        </w:rPr>
        <w:t xml:space="preserve"> </w:t>
      </w:r>
      <w:r w:rsidRPr="00A74780">
        <w:rPr>
          <w:rFonts w:ascii="Times New Roman" w:hAnsi="Times New Roman"/>
          <w:sz w:val="16"/>
          <w:szCs w:val="16"/>
        </w:rPr>
        <w:t>wiek ustalono na podstawie numeru PESEL.</w:t>
      </w:r>
    </w:p>
  </w:footnote>
  <w:footnote w:id="32">
    <w:p w14:paraId="1E5888E4" w14:textId="77777777" w:rsidR="00C60771" w:rsidRPr="00A74780" w:rsidRDefault="00C60771" w:rsidP="00A74780">
      <w:pPr>
        <w:pStyle w:val="Tekstprzypisudolnego"/>
        <w:rPr>
          <w:rFonts w:ascii="Times New Roman" w:hAnsi="Times New Roman"/>
          <w:sz w:val="16"/>
          <w:szCs w:val="16"/>
        </w:rPr>
      </w:pPr>
      <w:r w:rsidRPr="00A74780">
        <w:rPr>
          <w:rStyle w:val="Odwoanieprzypisudolnego"/>
          <w:rFonts w:ascii="Times New Roman" w:hAnsi="Times New Roman"/>
          <w:sz w:val="16"/>
          <w:szCs w:val="16"/>
        </w:rPr>
        <w:footnoteRef/>
      </w:r>
      <w:r w:rsidRPr="00A74780">
        <w:rPr>
          <w:rFonts w:ascii="Times New Roman" w:hAnsi="Times New Roman"/>
          <w:sz w:val="16"/>
          <w:szCs w:val="16"/>
        </w:rPr>
        <w:t xml:space="preserve"> Płatności zrealizowane dla beneficjentów, którzy złożyli wniosek w kampanii 2020.  W zestawieniu zostały uwzględnione osoby fizyczne,</w:t>
      </w:r>
      <w:r>
        <w:rPr>
          <w:rFonts w:ascii="Times New Roman" w:hAnsi="Times New Roman"/>
          <w:sz w:val="16"/>
          <w:szCs w:val="16"/>
        </w:rPr>
        <w:t xml:space="preserve"> </w:t>
      </w:r>
      <w:r w:rsidRPr="00A74780">
        <w:rPr>
          <w:rFonts w:ascii="Times New Roman" w:hAnsi="Times New Roman"/>
          <w:sz w:val="16"/>
          <w:szCs w:val="16"/>
        </w:rPr>
        <w:t>wiek ustalono na podstawie numeru PESEL.</w:t>
      </w:r>
    </w:p>
  </w:footnote>
  <w:footnote w:id="33">
    <w:p w14:paraId="458842B5" w14:textId="77777777" w:rsidR="00C60771" w:rsidRPr="00A74780" w:rsidRDefault="00C60771" w:rsidP="00A74780">
      <w:pPr>
        <w:pStyle w:val="Tekstprzypisudolnego"/>
        <w:rPr>
          <w:rFonts w:ascii="Times New Roman" w:hAnsi="Times New Roman"/>
          <w:sz w:val="16"/>
          <w:szCs w:val="16"/>
        </w:rPr>
      </w:pPr>
      <w:r w:rsidRPr="00A74780">
        <w:rPr>
          <w:rStyle w:val="Odwoanieprzypisudolnego"/>
          <w:rFonts w:ascii="Times New Roman" w:hAnsi="Times New Roman"/>
          <w:sz w:val="16"/>
          <w:szCs w:val="16"/>
        </w:rPr>
        <w:footnoteRef/>
      </w:r>
      <w:r w:rsidRPr="00A74780">
        <w:rPr>
          <w:rFonts w:ascii="Times New Roman" w:hAnsi="Times New Roman"/>
          <w:sz w:val="16"/>
          <w:szCs w:val="16"/>
        </w:rPr>
        <w:t xml:space="preserve"> Płatności zrealizowane dla beneficjentów, którzy złożyli wniosek w kampanii 2020.  W zestawieniu zostały uwzględnione osoby fizyczne,</w:t>
      </w:r>
      <w:r>
        <w:rPr>
          <w:rFonts w:ascii="Times New Roman" w:hAnsi="Times New Roman"/>
          <w:sz w:val="16"/>
          <w:szCs w:val="16"/>
        </w:rPr>
        <w:t xml:space="preserve"> </w:t>
      </w:r>
      <w:r w:rsidRPr="00A74780">
        <w:rPr>
          <w:rFonts w:ascii="Times New Roman" w:hAnsi="Times New Roman"/>
          <w:sz w:val="16"/>
          <w:szCs w:val="16"/>
        </w:rPr>
        <w:t>wiek ustalono na podstawie numeru PESEL.</w:t>
      </w:r>
    </w:p>
  </w:footnote>
  <w:footnote w:id="34">
    <w:p w14:paraId="1FB4DB36" w14:textId="4DB580EA" w:rsidR="00CB43BC" w:rsidRDefault="00CB43BC">
      <w:pPr>
        <w:pStyle w:val="Tekstprzypisudolnego"/>
      </w:pPr>
      <w:r>
        <w:rPr>
          <w:rStyle w:val="Odwoanieprzypisudolnego"/>
        </w:rPr>
        <w:footnoteRef/>
      </w:r>
      <w:r>
        <w:t xml:space="preserve"> </w:t>
      </w:r>
      <w:r w:rsidRPr="00CB43BC">
        <w:rPr>
          <w:rFonts w:ascii="Times New Roman" w:hAnsi="Times New Roman"/>
          <w:sz w:val="16"/>
          <w:szCs w:val="16"/>
        </w:rPr>
        <w:t>https://www.youtube.com/c/MinisterstwoZdrowiaPL/featured</w:t>
      </w:r>
    </w:p>
  </w:footnote>
  <w:footnote w:id="35">
    <w:p w14:paraId="1773F638" w14:textId="77777777" w:rsidR="00C60771" w:rsidRPr="008454C8" w:rsidRDefault="00C60771" w:rsidP="005C6286">
      <w:pPr>
        <w:autoSpaceDE w:val="0"/>
        <w:autoSpaceDN w:val="0"/>
        <w:adjustRightInd w:val="0"/>
        <w:spacing w:line="240" w:lineRule="auto"/>
        <w:rPr>
          <w:rFonts w:eastAsia="CIDFont+F4" w:cs="Times New Roman"/>
          <w:sz w:val="16"/>
          <w:szCs w:val="16"/>
        </w:rPr>
      </w:pPr>
      <w:r w:rsidRPr="008454C8">
        <w:rPr>
          <w:rStyle w:val="Odwoanieprzypisudolnego"/>
          <w:rFonts w:cs="Times New Roman"/>
          <w:sz w:val="16"/>
          <w:szCs w:val="16"/>
        </w:rPr>
        <w:footnoteRef/>
      </w:r>
      <w:r w:rsidRPr="008454C8">
        <w:rPr>
          <w:rFonts w:cs="Times New Roman"/>
          <w:sz w:val="16"/>
          <w:szCs w:val="16"/>
        </w:rPr>
        <w:t xml:space="preserve"> Raport o stanie Województwa Kujawsko-Pomorskiego w 2020 r., s. 18.</w:t>
      </w:r>
    </w:p>
  </w:footnote>
  <w:footnote w:id="36">
    <w:p w14:paraId="24BE8165" w14:textId="77777777" w:rsidR="00C60771" w:rsidRPr="008454C8" w:rsidRDefault="00C60771" w:rsidP="005C6286">
      <w:pPr>
        <w:pStyle w:val="Tekstprzypisudolnego"/>
        <w:rPr>
          <w:rFonts w:ascii="Times New Roman" w:hAnsi="Times New Roman"/>
          <w:sz w:val="16"/>
          <w:szCs w:val="16"/>
        </w:rPr>
      </w:pPr>
      <w:r w:rsidRPr="008454C8">
        <w:rPr>
          <w:rStyle w:val="Odwoanieprzypisudolnego"/>
          <w:rFonts w:ascii="Times New Roman" w:hAnsi="Times New Roman"/>
          <w:sz w:val="16"/>
          <w:szCs w:val="16"/>
        </w:rPr>
        <w:footnoteRef/>
      </w:r>
      <w:r w:rsidRPr="008454C8">
        <w:rPr>
          <w:rFonts w:ascii="Times New Roman" w:hAnsi="Times New Roman"/>
          <w:sz w:val="16"/>
          <w:szCs w:val="16"/>
        </w:rPr>
        <w:t xml:space="preserve"> Raport o stanie Województwa Kujawsko-Pomorskiego w 2020 r., s. 31-32. </w:t>
      </w:r>
    </w:p>
  </w:footnote>
  <w:footnote w:id="37">
    <w:p w14:paraId="3B76B4AB" w14:textId="77777777" w:rsidR="00C60771" w:rsidRPr="00E67F16" w:rsidRDefault="00C60771" w:rsidP="005C6286">
      <w:pPr>
        <w:pStyle w:val="Tekstprzypisudolnego"/>
        <w:rPr>
          <w:rFonts w:asciiTheme="minorHAnsi" w:hAnsiTheme="minorHAnsi" w:cstheme="minorHAnsi"/>
          <w:sz w:val="18"/>
          <w:szCs w:val="18"/>
        </w:rPr>
      </w:pPr>
      <w:r w:rsidRPr="008454C8">
        <w:rPr>
          <w:rStyle w:val="Odwoanieprzypisudolnego"/>
          <w:rFonts w:ascii="Times New Roman" w:hAnsi="Times New Roman"/>
          <w:sz w:val="16"/>
          <w:szCs w:val="16"/>
        </w:rPr>
        <w:footnoteRef/>
      </w:r>
      <w:r w:rsidRPr="008454C8">
        <w:rPr>
          <w:rFonts w:ascii="Times New Roman" w:hAnsi="Times New Roman"/>
          <w:sz w:val="16"/>
          <w:szCs w:val="16"/>
        </w:rPr>
        <w:t xml:space="preserve"> Tamże, s. 33.</w:t>
      </w:r>
    </w:p>
  </w:footnote>
  <w:footnote w:id="38">
    <w:p w14:paraId="53FDC7B5" w14:textId="77777777" w:rsidR="00C60771" w:rsidRPr="008454C8" w:rsidRDefault="00C60771" w:rsidP="005C6286">
      <w:pPr>
        <w:pStyle w:val="Tekstprzypisudolnego"/>
        <w:rPr>
          <w:rFonts w:ascii="Times New Roman" w:hAnsi="Times New Roman"/>
          <w:sz w:val="16"/>
          <w:szCs w:val="16"/>
        </w:rPr>
      </w:pPr>
      <w:r w:rsidRPr="008454C8">
        <w:rPr>
          <w:rStyle w:val="Odwoanieprzypisudolnego"/>
          <w:rFonts w:ascii="Times New Roman" w:hAnsi="Times New Roman"/>
          <w:sz w:val="16"/>
          <w:szCs w:val="16"/>
        </w:rPr>
        <w:footnoteRef/>
      </w:r>
      <w:r w:rsidRPr="008454C8">
        <w:rPr>
          <w:rFonts w:ascii="Times New Roman" w:hAnsi="Times New Roman"/>
          <w:sz w:val="16"/>
          <w:szCs w:val="16"/>
        </w:rPr>
        <w:t xml:space="preserve"> Tamże, s. 32.</w:t>
      </w:r>
    </w:p>
  </w:footnote>
  <w:footnote w:id="39">
    <w:p w14:paraId="49E33E73" w14:textId="77777777" w:rsidR="00C60771" w:rsidRPr="008454C8" w:rsidRDefault="00C60771" w:rsidP="005C6286">
      <w:pPr>
        <w:pStyle w:val="Tekstprzypisudolnego"/>
        <w:rPr>
          <w:rFonts w:ascii="Times New Roman" w:hAnsi="Times New Roman"/>
          <w:sz w:val="16"/>
          <w:szCs w:val="16"/>
        </w:rPr>
      </w:pPr>
      <w:r w:rsidRPr="008454C8">
        <w:rPr>
          <w:rStyle w:val="Odwoanieprzypisudolnego"/>
          <w:rFonts w:ascii="Times New Roman" w:hAnsi="Times New Roman"/>
          <w:sz w:val="16"/>
          <w:szCs w:val="16"/>
        </w:rPr>
        <w:footnoteRef/>
      </w:r>
      <w:r w:rsidRPr="008454C8">
        <w:rPr>
          <w:rFonts w:ascii="Times New Roman" w:hAnsi="Times New Roman"/>
          <w:sz w:val="16"/>
          <w:szCs w:val="16"/>
        </w:rPr>
        <w:t xml:space="preserve"> Tamże, s. 30.</w:t>
      </w:r>
    </w:p>
  </w:footnote>
  <w:footnote w:id="40">
    <w:p w14:paraId="2DDF977F" w14:textId="0E6B6689" w:rsidR="00C60771" w:rsidRPr="00E67F16" w:rsidRDefault="00C60771" w:rsidP="005C6286">
      <w:pPr>
        <w:pStyle w:val="Tekstprzypisudolnego"/>
        <w:rPr>
          <w:rFonts w:asciiTheme="minorHAnsi" w:hAnsiTheme="minorHAnsi" w:cstheme="minorHAnsi"/>
          <w:sz w:val="18"/>
          <w:szCs w:val="18"/>
        </w:rPr>
      </w:pPr>
      <w:r w:rsidRPr="008454C8">
        <w:rPr>
          <w:rStyle w:val="Odwoanieprzypisudolnego"/>
          <w:rFonts w:ascii="Times New Roman" w:hAnsi="Times New Roman"/>
          <w:sz w:val="16"/>
          <w:szCs w:val="16"/>
        </w:rPr>
        <w:footnoteRef/>
      </w:r>
      <w:r w:rsidRPr="008454C8">
        <w:rPr>
          <w:rFonts w:ascii="Times New Roman" w:hAnsi="Times New Roman"/>
          <w:sz w:val="16"/>
          <w:szCs w:val="16"/>
        </w:rPr>
        <w:t xml:space="preserve"> </w:t>
      </w:r>
      <w:r w:rsidRPr="00641C42">
        <w:rPr>
          <w:rFonts w:ascii="Times New Roman" w:eastAsiaTheme="majorEastAsia" w:hAnsi="Times New Roman"/>
          <w:sz w:val="16"/>
          <w:szCs w:val="16"/>
        </w:rPr>
        <w:t>https://www.facebook.com/EnergiaIntegracji/</w:t>
      </w:r>
      <w:r w:rsidRPr="008454C8">
        <w:rPr>
          <w:rFonts w:ascii="Times New Roman" w:hAnsi="Times New Roman"/>
          <w:sz w:val="16"/>
          <w:szCs w:val="16"/>
        </w:rPr>
        <w:t xml:space="preserve"> (data korzystania 30</w:t>
      </w:r>
      <w:r>
        <w:rPr>
          <w:rFonts w:ascii="Times New Roman" w:hAnsi="Times New Roman"/>
          <w:sz w:val="16"/>
          <w:szCs w:val="16"/>
        </w:rPr>
        <w:t xml:space="preserve"> stycznia </w:t>
      </w:r>
      <w:r w:rsidRPr="008454C8">
        <w:rPr>
          <w:rFonts w:ascii="Times New Roman" w:hAnsi="Times New Roman"/>
          <w:sz w:val="16"/>
          <w:szCs w:val="16"/>
        </w:rPr>
        <w:t>20</w:t>
      </w:r>
      <w:r>
        <w:rPr>
          <w:rFonts w:ascii="Times New Roman" w:hAnsi="Times New Roman"/>
          <w:sz w:val="16"/>
          <w:szCs w:val="16"/>
        </w:rPr>
        <w:t>21</w:t>
      </w:r>
      <w:r w:rsidRPr="008454C8">
        <w:rPr>
          <w:rFonts w:ascii="Times New Roman" w:hAnsi="Times New Roman"/>
          <w:sz w:val="16"/>
          <w:szCs w:val="16"/>
        </w:rPr>
        <w:t xml:space="preserve"> r.)</w:t>
      </w:r>
    </w:p>
  </w:footnote>
  <w:footnote w:id="41">
    <w:p w14:paraId="19995C7B" w14:textId="77777777" w:rsidR="00C60771" w:rsidRPr="00E67F16" w:rsidRDefault="00C60771" w:rsidP="005C6286">
      <w:pPr>
        <w:pStyle w:val="Tekstprzypisudolnego"/>
        <w:rPr>
          <w:rFonts w:asciiTheme="minorHAnsi" w:hAnsiTheme="minorHAnsi" w:cstheme="minorHAnsi"/>
          <w:sz w:val="18"/>
          <w:szCs w:val="18"/>
        </w:rPr>
      </w:pPr>
      <w:r w:rsidRPr="00E67F16">
        <w:rPr>
          <w:rStyle w:val="Odwoanieprzypisudolnego"/>
          <w:rFonts w:asciiTheme="minorHAnsi" w:hAnsiTheme="minorHAnsi" w:cstheme="minorHAnsi"/>
          <w:sz w:val="18"/>
          <w:szCs w:val="18"/>
        </w:rPr>
        <w:footnoteRef/>
      </w:r>
      <w:r w:rsidRPr="00E67F16">
        <w:rPr>
          <w:rFonts w:asciiTheme="minorHAnsi" w:hAnsiTheme="minorHAnsi" w:cstheme="minorHAnsi"/>
          <w:sz w:val="18"/>
          <w:szCs w:val="18"/>
        </w:rPr>
        <w:t xml:space="preserve"> </w:t>
      </w:r>
      <w:r w:rsidRPr="00942717">
        <w:rPr>
          <w:rFonts w:ascii="Times New Roman" w:hAnsi="Times New Roman"/>
          <w:sz w:val="18"/>
        </w:rPr>
        <w:t>Informacje własne ROPS w Toruniu na podstawie kontaktów telefonicznych pracownikami dziennych domów pobytu/pomocy – marzec-kwiecień 2020 r.</w:t>
      </w:r>
      <w:r w:rsidRPr="00E67F16">
        <w:rPr>
          <w:rFonts w:asciiTheme="minorHAnsi" w:hAnsiTheme="minorHAnsi" w:cstheme="minorHAnsi"/>
          <w:sz w:val="18"/>
          <w:szCs w:val="18"/>
        </w:rPr>
        <w:t xml:space="preserve"> </w:t>
      </w:r>
    </w:p>
  </w:footnote>
  <w:footnote w:id="42">
    <w:p w14:paraId="2B7D8B8A" w14:textId="77777777" w:rsidR="00C60771" w:rsidRPr="00E67F16" w:rsidRDefault="00C60771" w:rsidP="005C6286">
      <w:pPr>
        <w:pStyle w:val="Tekstprzypisudolnego"/>
        <w:rPr>
          <w:rFonts w:asciiTheme="minorHAnsi" w:hAnsiTheme="minorHAnsi" w:cstheme="minorHAnsi"/>
          <w:sz w:val="18"/>
          <w:szCs w:val="18"/>
        </w:rPr>
      </w:pPr>
      <w:r w:rsidRPr="00E67F16">
        <w:rPr>
          <w:rStyle w:val="Odwoanieprzypisudolnego"/>
          <w:rFonts w:asciiTheme="minorHAnsi" w:hAnsiTheme="minorHAnsi" w:cstheme="minorHAnsi"/>
          <w:sz w:val="18"/>
          <w:szCs w:val="18"/>
        </w:rPr>
        <w:footnoteRef/>
      </w:r>
      <w:r w:rsidRPr="00E67F16">
        <w:rPr>
          <w:rFonts w:asciiTheme="minorHAnsi" w:hAnsiTheme="minorHAnsi" w:cstheme="minorHAnsi"/>
          <w:sz w:val="18"/>
          <w:szCs w:val="18"/>
        </w:rPr>
        <w:t xml:space="preserve"> Informacje własne ROPS w Toruniu na podstawie kontaktów telefonicznych z koordynatorami DDOM – marzec-kwiecień 2020 r.</w:t>
      </w:r>
    </w:p>
  </w:footnote>
  <w:footnote w:id="43">
    <w:p w14:paraId="0A5EF119" w14:textId="77777777" w:rsidR="00C60771" w:rsidRPr="00E67F16" w:rsidRDefault="00C60771" w:rsidP="005C6286">
      <w:pPr>
        <w:pStyle w:val="Tekstprzypisudolnego"/>
        <w:rPr>
          <w:rFonts w:asciiTheme="minorHAnsi" w:hAnsiTheme="minorHAnsi" w:cstheme="minorHAnsi"/>
          <w:sz w:val="18"/>
          <w:szCs w:val="18"/>
        </w:rPr>
      </w:pPr>
      <w:r w:rsidRPr="00E67F16">
        <w:rPr>
          <w:rStyle w:val="Odwoanieprzypisudolnego"/>
          <w:rFonts w:asciiTheme="minorHAnsi" w:hAnsiTheme="minorHAnsi" w:cstheme="minorHAnsi"/>
          <w:sz w:val="18"/>
          <w:szCs w:val="18"/>
        </w:rPr>
        <w:footnoteRef/>
      </w:r>
      <w:r w:rsidRPr="00E67F16">
        <w:rPr>
          <w:rFonts w:asciiTheme="minorHAnsi" w:hAnsiTheme="minorHAnsi" w:cstheme="minorHAnsi"/>
          <w:sz w:val="18"/>
          <w:szCs w:val="18"/>
        </w:rPr>
        <w:t xml:space="preserve"> </w:t>
      </w:r>
      <w:hyperlink r:id="rId1" w:history="1">
        <w:r w:rsidRPr="00E67F16">
          <w:rPr>
            <w:rStyle w:val="Hipercze"/>
            <w:rFonts w:asciiTheme="minorHAnsi" w:eastAsiaTheme="majorEastAsia" w:hAnsiTheme="minorHAnsi" w:cstheme="minorHAnsi"/>
            <w:sz w:val="18"/>
            <w:szCs w:val="18"/>
          </w:rPr>
          <w:t>https://www.kujawsko-pomorskie.pl/informacje-prasowe/35551-ksiazka-dla-seniora</w:t>
        </w:r>
      </w:hyperlink>
      <w:r w:rsidRPr="00E67F16">
        <w:rPr>
          <w:rFonts w:asciiTheme="minorHAnsi" w:hAnsiTheme="minorHAnsi" w:cstheme="minorHAnsi"/>
          <w:sz w:val="18"/>
          <w:szCs w:val="18"/>
        </w:rPr>
        <w:t xml:space="preserve"> (data korzystania 25.05.21 r.)</w:t>
      </w:r>
    </w:p>
  </w:footnote>
  <w:footnote w:id="44">
    <w:p w14:paraId="3EB7CA9E" w14:textId="77777777" w:rsidR="00C60771" w:rsidRPr="006145C4" w:rsidRDefault="00C60771" w:rsidP="00FD7A40">
      <w:pPr>
        <w:pStyle w:val="Tekstprzypisudolnego"/>
        <w:tabs>
          <w:tab w:val="left" w:pos="13608"/>
        </w:tabs>
        <w:rPr>
          <w:rFonts w:ascii="Times New Roman" w:hAnsi="Times New Roman"/>
        </w:rPr>
      </w:pPr>
      <w:r w:rsidRPr="006145C4">
        <w:rPr>
          <w:rStyle w:val="Odwoanieprzypisudolnego"/>
          <w:rFonts w:ascii="Times New Roman" w:hAnsi="Times New Roman"/>
        </w:rPr>
        <w:footnoteRef/>
      </w:r>
      <w:r w:rsidRPr="006145C4">
        <w:rPr>
          <w:rFonts w:ascii="Times New Roman" w:hAnsi="Times New Roman"/>
        </w:rPr>
        <w:t xml:space="preserve"> Nie uwzględniono domów pomocy społecznej dla dzieci i młodzieży niepełnosprawnych intelektualnie.</w:t>
      </w:r>
    </w:p>
  </w:footnote>
  <w:footnote w:id="45">
    <w:p w14:paraId="6654AE02" w14:textId="77777777" w:rsidR="00C60771" w:rsidRDefault="00C60771" w:rsidP="002C0597">
      <w:pPr>
        <w:pStyle w:val="Tekstprzypisudolnego"/>
      </w:pPr>
      <w:r>
        <w:rPr>
          <w:rStyle w:val="Odwoanieprzypisudolnego"/>
        </w:rPr>
        <w:footnoteRef/>
      </w:r>
      <w:r>
        <w:t xml:space="preserve"> </w:t>
      </w:r>
      <w:r w:rsidRPr="000C14F3">
        <w:t>Źródło: Sprawozdanie własne</w:t>
      </w:r>
    </w:p>
    <w:p w14:paraId="59A47A63" w14:textId="77777777" w:rsidR="00C60771" w:rsidRDefault="00C60771" w:rsidP="002C0597">
      <w:pPr>
        <w:pStyle w:val="Tekstprzypisudolnego"/>
      </w:pPr>
    </w:p>
  </w:footnote>
  <w:footnote w:id="46">
    <w:p w14:paraId="15F804E1" w14:textId="77777777" w:rsidR="00C60771" w:rsidRDefault="00C60771" w:rsidP="002C0597">
      <w:pPr>
        <w:pStyle w:val="Tekstprzypisudolnego"/>
      </w:pPr>
      <w:r>
        <w:rPr>
          <w:rStyle w:val="Odwoanieprzypisudolnego"/>
        </w:rPr>
        <w:footnoteRef/>
      </w:r>
      <w:r>
        <w:t xml:space="preserve"> Źródło: Sprawozdanie własne</w:t>
      </w:r>
    </w:p>
  </w:footnote>
  <w:footnote w:id="47">
    <w:p w14:paraId="66DFE834" w14:textId="77777777" w:rsidR="00C60771" w:rsidRDefault="00C60771" w:rsidP="002C0597">
      <w:pPr>
        <w:pStyle w:val="Tekstprzypisudolnego"/>
      </w:pPr>
      <w:r>
        <w:rPr>
          <w:rStyle w:val="Odwoanieprzypisudolnego"/>
        </w:rPr>
        <w:footnoteRef/>
      </w:r>
      <w:r>
        <w:t xml:space="preserve"> Źródło: Sprawozdanie własne</w:t>
      </w:r>
    </w:p>
  </w:footnote>
  <w:footnote w:id="48">
    <w:p w14:paraId="1064198A" w14:textId="77777777" w:rsidR="00C60771" w:rsidRDefault="00C60771" w:rsidP="00FC2614">
      <w:pPr>
        <w:pStyle w:val="Tekstprzypisudolnego"/>
      </w:pPr>
      <w:r>
        <w:rPr>
          <w:rStyle w:val="Odwoanieprzypisudolnego"/>
        </w:rPr>
        <w:footnoteRef/>
      </w:r>
      <w:r>
        <w:t xml:space="preserve"> Źródło: Sprawozdanie własne</w:t>
      </w:r>
    </w:p>
  </w:footnote>
  <w:footnote w:id="49">
    <w:p w14:paraId="6B34740F" w14:textId="77777777" w:rsidR="00C60771" w:rsidRDefault="00C60771" w:rsidP="00FC2614">
      <w:pPr>
        <w:pStyle w:val="Tekstprzypisudolnego"/>
      </w:pPr>
      <w:r>
        <w:rPr>
          <w:rStyle w:val="Odwoanieprzypisudolnego"/>
        </w:rPr>
        <w:footnoteRef/>
      </w:r>
      <w:r>
        <w:t xml:space="preserve"> Źródło: Sprawozdanie własne</w:t>
      </w:r>
    </w:p>
  </w:footnote>
  <w:footnote w:id="50">
    <w:p w14:paraId="0824CAE8" w14:textId="6A4DFEA1" w:rsidR="00C60771" w:rsidRPr="00020758" w:rsidRDefault="00C60771">
      <w:pPr>
        <w:pStyle w:val="Tekstprzypisudolnego"/>
        <w:rPr>
          <w:rFonts w:ascii="Times New Roman" w:hAnsi="Times New Roman"/>
          <w:sz w:val="16"/>
          <w:szCs w:val="16"/>
        </w:rPr>
      </w:pPr>
      <w:r w:rsidRPr="00020758">
        <w:rPr>
          <w:rStyle w:val="Odwoanieprzypisudolnego"/>
          <w:rFonts w:ascii="Times New Roman" w:hAnsi="Times New Roman"/>
          <w:sz w:val="16"/>
          <w:szCs w:val="16"/>
        </w:rPr>
        <w:footnoteRef/>
      </w:r>
      <w:r w:rsidRPr="00020758">
        <w:rPr>
          <w:rFonts w:ascii="Times New Roman" w:hAnsi="Times New Roman"/>
          <w:sz w:val="16"/>
          <w:szCs w:val="16"/>
        </w:rPr>
        <w:t xml:space="preserve"> Badanie było zrealizowane w okresie od dnia 1 lipca 2017 r. do dnia 15 lutego 2019 r</w:t>
      </w:r>
      <w:r>
        <w:rPr>
          <w:rFonts w:ascii="Times New Roman" w:hAnsi="Times New Roman"/>
          <w:sz w:val="16"/>
          <w:szCs w:val="16"/>
        </w:rPr>
        <w:t>.</w:t>
      </w:r>
      <w:r w:rsidRPr="00020758">
        <w:rPr>
          <w:rFonts w:ascii="Times New Roman" w:hAnsi="Times New Roman"/>
          <w:sz w:val="16"/>
          <w:szCs w:val="16"/>
        </w:rPr>
        <w:t xml:space="preserve"> i objęło 49 śląskich jednostek samorządu terytorialnego oraz Śląski Urząd Wojewódzki, Wojewódzki Inspektor Nadzoru Geodezyjnego i Kartograficznego, Wojewódzki Inspektorat Inspekcji Handlowej, Wojewódzki Inspektorat Ochrony Roślin i Nasiennictwa, Wojewódzki Inspektorat Transportu Drogowego. Szczegółowe wyniki dostępne są w serwisie slaskiebezbarier.pl.</w:t>
      </w:r>
    </w:p>
  </w:footnote>
  <w:footnote w:id="51">
    <w:p w14:paraId="175E6ADE" w14:textId="108CD3A5" w:rsidR="00C60771" w:rsidRPr="00DB4B66" w:rsidRDefault="00C60771">
      <w:pPr>
        <w:pStyle w:val="Tekstprzypisudolnego"/>
        <w:rPr>
          <w:rFonts w:ascii="Times New Roman" w:hAnsi="Times New Roman"/>
          <w:sz w:val="16"/>
          <w:szCs w:val="16"/>
        </w:rPr>
      </w:pPr>
      <w:r w:rsidRPr="00DB4B66">
        <w:rPr>
          <w:rStyle w:val="Odwoanieprzypisudolnego"/>
          <w:rFonts w:ascii="Times New Roman" w:hAnsi="Times New Roman"/>
          <w:sz w:val="16"/>
          <w:szCs w:val="16"/>
        </w:rPr>
        <w:footnoteRef/>
      </w:r>
      <w:r w:rsidRPr="00DB4B66">
        <w:rPr>
          <w:rFonts w:ascii="Times New Roman" w:hAnsi="Times New Roman"/>
          <w:sz w:val="16"/>
          <w:szCs w:val="16"/>
        </w:rPr>
        <w:t xml:space="preserve"> Według stanu na 2014 r.</w:t>
      </w:r>
    </w:p>
  </w:footnote>
  <w:footnote w:id="52">
    <w:p w14:paraId="48648FF6" w14:textId="025F25AB" w:rsidR="00C60771" w:rsidRDefault="00C60771">
      <w:pPr>
        <w:pStyle w:val="Tekstprzypisudolnego"/>
      </w:pPr>
      <w:r>
        <w:rPr>
          <w:rStyle w:val="Odwoanieprzypisudolnego"/>
        </w:rPr>
        <w:footnoteRef/>
      </w:r>
      <w:r>
        <w:t xml:space="preserve"> Opinia Leszka Domańskiego - </w:t>
      </w:r>
      <w:r w:rsidRPr="009C4080">
        <w:t>konsultanta wojewódzkiego w dziedzinie chorób wewnętrznych</w:t>
      </w:r>
    </w:p>
  </w:footnote>
  <w:footnote w:id="53">
    <w:p w14:paraId="1452E1B6" w14:textId="68A39D4F" w:rsidR="00C60771" w:rsidRPr="00054E88" w:rsidRDefault="00C60771">
      <w:pPr>
        <w:pStyle w:val="Tekstprzypisudolnego"/>
        <w:rPr>
          <w:rFonts w:ascii="Times New Roman" w:hAnsi="Times New Roman"/>
        </w:rPr>
      </w:pPr>
      <w:r w:rsidRPr="00054E88">
        <w:rPr>
          <w:rStyle w:val="Odwoanieprzypisudolnego"/>
          <w:rFonts w:ascii="Times New Roman" w:hAnsi="Times New Roman"/>
        </w:rPr>
        <w:footnoteRef/>
      </w:r>
      <w:r w:rsidRPr="00054E88">
        <w:rPr>
          <w:rFonts w:ascii="Times New Roman" w:hAnsi="Times New Roman"/>
        </w:rPr>
        <w:t xml:space="preserve"> Opinia Marii Matusiak - konsultanta wojewódzkiego w pielęgniarstwa rodzinnego. </w:t>
      </w:r>
    </w:p>
  </w:footnote>
  <w:footnote w:id="54">
    <w:p w14:paraId="2709E673" w14:textId="411691B5" w:rsidR="00C60771" w:rsidRDefault="00C60771">
      <w:pPr>
        <w:pStyle w:val="Tekstprzypisudolnego"/>
      </w:pPr>
      <w:r>
        <w:rPr>
          <w:rStyle w:val="Odwoanieprzypisudolnego"/>
        </w:rPr>
        <w:footnoteRef/>
      </w:r>
      <w:r>
        <w:t xml:space="preserve"> </w:t>
      </w:r>
      <w:r w:rsidRPr="00494B9D">
        <w:rPr>
          <w:rFonts w:ascii="Times New Roman" w:hAnsi="Times New Roman"/>
          <w:sz w:val="16"/>
          <w:szCs w:val="16"/>
        </w:rPr>
        <w:t>Przedmiotowy dokument znajduje się na stronie senior.gov.pl w zakładce Materiały i badania, dobre praktyki.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0"/>
        </w:tabs>
        <w:ind w:left="360" w:hanging="360"/>
      </w:pPr>
      <w:rPr>
        <w:b w:val="0"/>
        <w:sz w:val="24"/>
        <w:szCs w:val="24"/>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00004"/>
    <w:multiLevelType w:val="singleLevel"/>
    <w:tmpl w:val="00000004"/>
    <w:name w:val="WW8Num29"/>
    <w:lvl w:ilvl="0">
      <w:start w:val="1"/>
      <w:numFmt w:val="decimal"/>
      <w:lvlText w:val="%1)"/>
      <w:lvlJc w:val="left"/>
      <w:pPr>
        <w:tabs>
          <w:tab w:val="num" w:pos="0"/>
        </w:tabs>
        <w:ind w:left="720" w:hanging="360"/>
      </w:pPr>
      <w:rPr>
        <w:rFonts w:hint="default"/>
      </w:rPr>
    </w:lvl>
  </w:abstractNum>
  <w:abstractNum w:abstractNumId="3" w15:restartNumberingAfterBreak="0">
    <w:nsid w:val="023C77C6"/>
    <w:multiLevelType w:val="hybridMultilevel"/>
    <w:tmpl w:val="62DE76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28E225F"/>
    <w:multiLevelType w:val="hybridMultilevel"/>
    <w:tmpl w:val="8E2CCE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3015C78"/>
    <w:multiLevelType w:val="hybridMultilevel"/>
    <w:tmpl w:val="6D6890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35202E8"/>
    <w:multiLevelType w:val="hybridMultilevel"/>
    <w:tmpl w:val="5764FA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4FF4BDD"/>
    <w:multiLevelType w:val="hybridMultilevel"/>
    <w:tmpl w:val="5B54FB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61042C4"/>
    <w:multiLevelType w:val="hybridMultilevel"/>
    <w:tmpl w:val="F1504224"/>
    <w:lvl w:ilvl="0" w:tplc="E236DA7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352F22"/>
    <w:multiLevelType w:val="hybridMultilevel"/>
    <w:tmpl w:val="AE105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7767246"/>
    <w:multiLevelType w:val="hybridMultilevel"/>
    <w:tmpl w:val="5E622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0A28D4"/>
    <w:multiLevelType w:val="hybridMultilevel"/>
    <w:tmpl w:val="EEC814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8CD5DDE"/>
    <w:multiLevelType w:val="hybridMultilevel"/>
    <w:tmpl w:val="AE36F2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E31306F"/>
    <w:multiLevelType w:val="hybridMultilevel"/>
    <w:tmpl w:val="83A0F2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0EAA49F9"/>
    <w:multiLevelType w:val="hybridMultilevel"/>
    <w:tmpl w:val="3DF678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0FCB05B6"/>
    <w:multiLevelType w:val="hybridMultilevel"/>
    <w:tmpl w:val="8572D2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0705947"/>
    <w:multiLevelType w:val="hybridMultilevel"/>
    <w:tmpl w:val="98B614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0AD7C75"/>
    <w:multiLevelType w:val="hybridMultilevel"/>
    <w:tmpl w:val="EB92C1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11C0C45"/>
    <w:multiLevelType w:val="hybridMultilevel"/>
    <w:tmpl w:val="A3CC3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12863E2"/>
    <w:multiLevelType w:val="hybridMultilevel"/>
    <w:tmpl w:val="1EF274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2DA5F6E"/>
    <w:multiLevelType w:val="hybridMultilevel"/>
    <w:tmpl w:val="B524D9F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3955C34"/>
    <w:multiLevelType w:val="hybridMultilevel"/>
    <w:tmpl w:val="E8408F5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3F13E9E"/>
    <w:multiLevelType w:val="hybridMultilevel"/>
    <w:tmpl w:val="07B888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4D02991"/>
    <w:multiLevelType w:val="hybridMultilevel"/>
    <w:tmpl w:val="B79C95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58D6518"/>
    <w:multiLevelType w:val="hybridMultilevel"/>
    <w:tmpl w:val="1DB2B0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5D66BA7"/>
    <w:multiLevelType w:val="hybridMultilevel"/>
    <w:tmpl w:val="5F6E5A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5F807DF"/>
    <w:multiLevelType w:val="hybridMultilevel"/>
    <w:tmpl w:val="681A1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5FA473F"/>
    <w:multiLevelType w:val="hybridMultilevel"/>
    <w:tmpl w:val="08D08B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15FC1A82"/>
    <w:multiLevelType w:val="hybridMultilevel"/>
    <w:tmpl w:val="589CD0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6C6707D"/>
    <w:multiLevelType w:val="hybridMultilevel"/>
    <w:tmpl w:val="91E203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6E873C3"/>
    <w:multiLevelType w:val="hybridMultilevel"/>
    <w:tmpl w:val="7BB89E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17AA097E"/>
    <w:multiLevelType w:val="hybridMultilevel"/>
    <w:tmpl w:val="C3005B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18AD672E"/>
    <w:multiLevelType w:val="hybridMultilevel"/>
    <w:tmpl w:val="1BF009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192B4141"/>
    <w:multiLevelType w:val="hybridMultilevel"/>
    <w:tmpl w:val="FF1EE0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1932394B"/>
    <w:multiLevelType w:val="hybridMultilevel"/>
    <w:tmpl w:val="595C73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199803D2"/>
    <w:multiLevelType w:val="hybridMultilevel"/>
    <w:tmpl w:val="8264A304"/>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A7A7AC0"/>
    <w:multiLevelType w:val="hybridMultilevel"/>
    <w:tmpl w:val="F642DC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1AEF66D9"/>
    <w:multiLevelType w:val="hybridMultilevel"/>
    <w:tmpl w:val="E2789F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1C8303E7"/>
    <w:multiLevelType w:val="hybridMultilevel"/>
    <w:tmpl w:val="51024A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1CDD785E"/>
    <w:multiLevelType w:val="hybridMultilevel"/>
    <w:tmpl w:val="ED3255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1CF5273B"/>
    <w:multiLevelType w:val="hybridMultilevel"/>
    <w:tmpl w:val="B1884C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D26789E"/>
    <w:multiLevelType w:val="hybridMultilevel"/>
    <w:tmpl w:val="1B62D6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1E3221A2"/>
    <w:multiLevelType w:val="hybridMultilevel"/>
    <w:tmpl w:val="13B211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1E7C2D72"/>
    <w:multiLevelType w:val="hybridMultilevel"/>
    <w:tmpl w:val="701A34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1E9570A9"/>
    <w:multiLevelType w:val="multilevel"/>
    <w:tmpl w:val="CAE2C61A"/>
    <w:styleLink w:val="WW8Num6"/>
    <w:lvl w:ilvl="0">
      <w:start w:val="1"/>
      <w:numFmt w:val="decimal"/>
      <w:lvlText w:val="%1."/>
      <w:lvlJc w:val="left"/>
      <w:pPr>
        <w:ind w:left="720" w:hanging="360"/>
      </w:pPr>
      <w:rPr>
        <w:sz w:val="26"/>
        <w:szCs w:val="26"/>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0E643EF"/>
    <w:multiLevelType w:val="hybridMultilevel"/>
    <w:tmpl w:val="EF2ABC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100272E"/>
    <w:multiLevelType w:val="hybridMultilevel"/>
    <w:tmpl w:val="7B8C2A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21AE3A43"/>
    <w:multiLevelType w:val="hybridMultilevel"/>
    <w:tmpl w:val="98207BC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20D7D12"/>
    <w:multiLevelType w:val="hybridMultilevel"/>
    <w:tmpl w:val="F25429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229A35CA"/>
    <w:multiLevelType w:val="multilevel"/>
    <w:tmpl w:val="A8F2E4CC"/>
    <w:numStyleLink w:val="Styl1"/>
  </w:abstractNum>
  <w:abstractNum w:abstractNumId="50" w15:restartNumberingAfterBreak="0">
    <w:nsid w:val="22C10CD9"/>
    <w:multiLevelType w:val="hybridMultilevel"/>
    <w:tmpl w:val="050E50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3D26904"/>
    <w:multiLevelType w:val="hybridMultilevel"/>
    <w:tmpl w:val="11EE4F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24D07573"/>
    <w:multiLevelType w:val="hybridMultilevel"/>
    <w:tmpl w:val="0B4E12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25DE76D3"/>
    <w:multiLevelType w:val="hybridMultilevel"/>
    <w:tmpl w:val="976CAE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26913630"/>
    <w:multiLevelType w:val="hybridMultilevel"/>
    <w:tmpl w:val="22C080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27006FDF"/>
    <w:multiLevelType w:val="hybridMultilevel"/>
    <w:tmpl w:val="1444D3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272D2FC6"/>
    <w:multiLevelType w:val="multilevel"/>
    <w:tmpl w:val="4BAA142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89A4B5C"/>
    <w:multiLevelType w:val="hybridMultilevel"/>
    <w:tmpl w:val="8F1805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28E061F2"/>
    <w:multiLevelType w:val="hybridMultilevel"/>
    <w:tmpl w:val="B4DE37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295674E9"/>
    <w:multiLevelType w:val="hybridMultilevel"/>
    <w:tmpl w:val="A5764B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2A1B07E0"/>
    <w:multiLevelType w:val="hybridMultilevel"/>
    <w:tmpl w:val="A176A0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2A3906A3"/>
    <w:multiLevelType w:val="hybridMultilevel"/>
    <w:tmpl w:val="B7DC29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2B4832BB"/>
    <w:multiLevelType w:val="hybridMultilevel"/>
    <w:tmpl w:val="F1C6DD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2BA46459"/>
    <w:multiLevelType w:val="hybridMultilevel"/>
    <w:tmpl w:val="CED8E2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2C016F76"/>
    <w:multiLevelType w:val="hybridMultilevel"/>
    <w:tmpl w:val="8B70C6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2C3D6905"/>
    <w:multiLevelType w:val="hybridMultilevel"/>
    <w:tmpl w:val="2758E35A"/>
    <w:lvl w:ilvl="0" w:tplc="A29A8112">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2C600E83"/>
    <w:multiLevelType w:val="hybridMultilevel"/>
    <w:tmpl w:val="CED678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2D247BA1"/>
    <w:multiLevelType w:val="hybridMultilevel"/>
    <w:tmpl w:val="44A01CD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D472BE2"/>
    <w:multiLevelType w:val="hybridMultilevel"/>
    <w:tmpl w:val="57884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D7B73D7"/>
    <w:multiLevelType w:val="hybridMultilevel"/>
    <w:tmpl w:val="A7D666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2E8260FD"/>
    <w:multiLevelType w:val="hybridMultilevel"/>
    <w:tmpl w:val="288AB9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2EAB11A2"/>
    <w:multiLevelType w:val="hybridMultilevel"/>
    <w:tmpl w:val="51B6434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2FA86E43"/>
    <w:multiLevelType w:val="hybridMultilevel"/>
    <w:tmpl w:val="AF4C8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FD671B6"/>
    <w:multiLevelType w:val="hybridMultilevel"/>
    <w:tmpl w:val="227668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304D2DAE"/>
    <w:multiLevelType w:val="hybridMultilevel"/>
    <w:tmpl w:val="52E8F1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1A82AEC"/>
    <w:multiLevelType w:val="hybridMultilevel"/>
    <w:tmpl w:val="C658C022"/>
    <w:lvl w:ilvl="0" w:tplc="0415000F">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39A63C5"/>
    <w:multiLevelType w:val="hybridMultilevel"/>
    <w:tmpl w:val="92426A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34943FFC"/>
    <w:multiLevelType w:val="hybridMultilevel"/>
    <w:tmpl w:val="EB8A94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34A13F87"/>
    <w:multiLevelType w:val="hybridMultilevel"/>
    <w:tmpl w:val="CF0C93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353B4BFC"/>
    <w:multiLevelType w:val="hybridMultilevel"/>
    <w:tmpl w:val="6E2C0902"/>
    <w:lvl w:ilvl="0" w:tplc="04150001">
      <w:start w:val="1"/>
      <w:numFmt w:val="bullet"/>
      <w:lvlText w:val=""/>
      <w:lvlJc w:val="left"/>
      <w:pPr>
        <w:ind w:left="380" w:hanging="360"/>
      </w:pPr>
      <w:rPr>
        <w:rFonts w:ascii="Symbol" w:hAnsi="Symbol"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80" w15:restartNumberingAfterBreak="0">
    <w:nsid w:val="355B29EF"/>
    <w:multiLevelType w:val="hybridMultilevel"/>
    <w:tmpl w:val="EB0A8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5943471"/>
    <w:multiLevelType w:val="hybridMultilevel"/>
    <w:tmpl w:val="8F9272C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64E0783"/>
    <w:multiLevelType w:val="hybridMultilevel"/>
    <w:tmpl w:val="D6E805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6F222F3"/>
    <w:multiLevelType w:val="hybridMultilevel"/>
    <w:tmpl w:val="E4D2E6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37E0458A"/>
    <w:multiLevelType w:val="hybridMultilevel"/>
    <w:tmpl w:val="378EB9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38E44911"/>
    <w:multiLevelType w:val="hybridMultilevel"/>
    <w:tmpl w:val="8F5C2D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39E83AA5"/>
    <w:multiLevelType w:val="hybridMultilevel"/>
    <w:tmpl w:val="1E7A8A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39FE77CD"/>
    <w:multiLevelType w:val="hybridMultilevel"/>
    <w:tmpl w:val="AD40E0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3AA04433"/>
    <w:multiLevelType w:val="hybridMultilevel"/>
    <w:tmpl w:val="E8348EF8"/>
    <w:lvl w:ilvl="0" w:tplc="68E22C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B195EB5"/>
    <w:multiLevelType w:val="hybridMultilevel"/>
    <w:tmpl w:val="254417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3B31757C"/>
    <w:multiLevelType w:val="hybridMultilevel"/>
    <w:tmpl w:val="B8AC4C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3B6B4723"/>
    <w:multiLevelType w:val="hybridMultilevel"/>
    <w:tmpl w:val="A718ED2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3CEC69C9"/>
    <w:multiLevelType w:val="hybridMultilevel"/>
    <w:tmpl w:val="054815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3D0D57BC"/>
    <w:multiLevelType w:val="hybridMultilevel"/>
    <w:tmpl w:val="1436AE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3D453277"/>
    <w:multiLevelType w:val="hybridMultilevel"/>
    <w:tmpl w:val="9496E2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3D496BDD"/>
    <w:multiLevelType w:val="hybridMultilevel"/>
    <w:tmpl w:val="90CC8620"/>
    <w:lvl w:ilvl="0" w:tplc="F87675A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3D965297"/>
    <w:multiLevelType w:val="hybridMultilevel"/>
    <w:tmpl w:val="4B5458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3DB33DA0"/>
    <w:multiLevelType w:val="hybridMultilevel"/>
    <w:tmpl w:val="DE668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F70692B"/>
    <w:multiLevelType w:val="hybridMultilevel"/>
    <w:tmpl w:val="E7B8374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3F9D3CF9"/>
    <w:multiLevelType w:val="hybridMultilevel"/>
    <w:tmpl w:val="B89CC6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40B062DF"/>
    <w:multiLevelType w:val="hybridMultilevel"/>
    <w:tmpl w:val="8B8859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41191CEB"/>
    <w:multiLevelType w:val="hybridMultilevel"/>
    <w:tmpl w:val="37B2397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41301EAB"/>
    <w:multiLevelType w:val="hybridMultilevel"/>
    <w:tmpl w:val="815C45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41E41B6C"/>
    <w:multiLevelType w:val="hybridMultilevel"/>
    <w:tmpl w:val="70A60E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424B73B9"/>
    <w:multiLevelType w:val="hybridMultilevel"/>
    <w:tmpl w:val="886048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42E179C4"/>
    <w:multiLevelType w:val="hybridMultilevel"/>
    <w:tmpl w:val="648824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433F0A62"/>
    <w:multiLevelType w:val="hybridMultilevel"/>
    <w:tmpl w:val="03C050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439732B0"/>
    <w:multiLevelType w:val="hybridMultilevel"/>
    <w:tmpl w:val="6AF21C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43B82B5B"/>
    <w:multiLevelType w:val="multilevel"/>
    <w:tmpl w:val="109E01B4"/>
    <w:styleLink w:val="WW8Num2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9" w15:restartNumberingAfterBreak="0">
    <w:nsid w:val="444B3DDA"/>
    <w:multiLevelType w:val="hybridMultilevel"/>
    <w:tmpl w:val="4C862B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44E13412"/>
    <w:multiLevelType w:val="hybridMultilevel"/>
    <w:tmpl w:val="C52469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45366A9C"/>
    <w:multiLevelType w:val="hybridMultilevel"/>
    <w:tmpl w:val="C9569C82"/>
    <w:lvl w:ilvl="0" w:tplc="A0DC97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633D00"/>
    <w:multiLevelType w:val="hybridMultilevel"/>
    <w:tmpl w:val="C1F429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61F50F2"/>
    <w:multiLevelType w:val="hybridMultilevel"/>
    <w:tmpl w:val="17D803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46654A11"/>
    <w:multiLevelType w:val="hybridMultilevel"/>
    <w:tmpl w:val="7C380CA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46810A2E"/>
    <w:multiLevelType w:val="hybridMultilevel"/>
    <w:tmpl w:val="71346C7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46CC455A"/>
    <w:multiLevelType w:val="hybridMultilevel"/>
    <w:tmpl w:val="496E5C6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47636260"/>
    <w:multiLevelType w:val="hybridMultilevel"/>
    <w:tmpl w:val="B6463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7A243F1"/>
    <w:multiLevelType w:val="hybridMultilevel"/>
    <w:tmpl w:val="7EB428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15:restartNumberingAfterBreak="0">
    <w:nsid w:val="48202966"/>
    <w:multiLevelType w:val="hybridMultilevel"/>
    <w:tmpl w:val="CD76A0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15:restartNumberingAfterBreak="0">
    <w:nsid w:val="48523CE7"/>
    <w:multiLevelType w:val="hybridMultilevel"/>
    <w:tmpl w:val="35F205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48A941C6"/>
    <w:multiLevelType w:val="hybridMultilevel"/>
    <w:tmpl w:val="1026D4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49965093"/>
    <w:multiLevelType w:val="hybridMultilevel"/>
    <w:tmpl w:val="AA7026EE"/>
    <w:lvl w:ilvl="0" w:tplc="04150003">
      <w:start w:val="1"/>
      <w:numFmt w:val="bullet"/>
      <w:lvlText w:val="o"/>
      <w:lvlJc w:val="left"/>
      <w:pPr>
        <w:ind w:left="1038" w:hanging="360"/>
      </w:pPr>
      <w:rPr>
        <w:rFonts w:ascii="Courier New" w:hAnsi="Courier New" w:cs="Courier New"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23" w15:restartNumberingAfterBreak="0">
    <w:nsid w:val="49C84172"/>
    <w:multiLevelType w:val="hybridMultilevel"/>
    <w:tmpl w:val="008EC4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4B251F66"/>
    <w:multiLevelType w:val="hybridMultilevel"/>
    <w:tmpl w:val="AD0AF4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4C174A25"/>
    <w:multiLevelType w:val="hybridMultilevel"/>
    <w:tmpl w:val="54D870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4C743B69"/>
    <w:multiLevelType w:val="hybridMultilevel"/>
    <w:tmpl w:val="CD746B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4C8D091E"/>
    <w:multiLevelType w:val="multilevel"/>
    <w:tmpl w:val="C8482782"/>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4D8476EE"/>
    <w:multiLevelType w:val="hybridMultilevel"/>
    <w:tmpl w:val="D1CE8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E264C25"/>
    <w:multiLevelType w:val="hybridMultilevel"/>
    <w:tmpl w:val="D1CC31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4EA603F2"/>
    <w:multiLevelType w:val="hybridMultilevel"/>
    <w:tmpl w:val="1F80CB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4EDC0484"/>
    <w:multiLevelType w:val="hybridMultilevel"/>
    <w:tmpl w:val="C3145A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15:restartNumberingAfterBreak="0">
    <w:nsid w:val="4F3C670D"/>
    <w:multiLevelType w:val="hybridMultilevel"/>
    <w:tmpl w:val="4EFA67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3" w15:restartNumberingAfterBreak="0">
    <w:nsid w:val="4F3E505C"/>
    <w:multiLevelType w:val="hybridMultilevel"/>
    <w:tmpl w:val="23721D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15:restartNumberingAfterBreak="0">
    <w:nsid w:val="503D7560"/>
    <w:multiLevelType w:val="multilevel"/>
    <w:tmpl w:val="52002620"/>
    <w:styleLink w:val="WWNum30"/>
    <w:lvl w:ilvl="0">
      <w:numFmt w:val="bullet"/>
      <w:lvlText w:val="•"/>
      <w:lvlJc w:val="left"/>
      <w:pPr>
        <w:ind w:left="720" w:hanging="360"/>
      </w:pPr>
      <w:rPr>
        <w:rFonts w:ascii="StarSymbol" w:hAnsi="StarSymbol"/>
      </w:rPr>
    </w:lvl>
    <w:lvl w:ilvl="1">
      <w:numFmt w:val="bullet"/>
      <w:lvlText w:val="•"/>
      <w:lvlJc w:val="left"/>
      <w:pPr>
        <w:ind w:left="1440" w:hanging="360"/>
      </w:pPr>
      <w:rPr>
        <w:rFonts w:ascii="StarSymbol" w:hAnsi="StarSymbol"/>
      </w:rPr>
    </w:lvl>
    <w:lvl w:ilvl="2">
      <w:numFmt w:val="bullet"/>
      <w:lvlText w:val="•"/>
      <w:lvlJc w:val="right"/>
      <w:pPr>
        <w:ind w:left="2160" w:hanging="180"/>
      </w:pPr>
      <w:rPr>
        <w:rFonts w:ascii="StarSymbol" w:hAnsi="StarSymbol"/>
      </w:rPr>
    </w:lvl>
    <w:lvl w:ilvl="3">
      <w:numFmt w:val="bullet"/>
      <w:lvlText w:val="•"/>
      <w:lvlJc w:val="left"/>
      <w:pPr>
        <w:ind w:left="2880" w:hanging="360"/>
      </w:pPr>
      <w:rPr>
        <w:rFonts w:ascii="StarSymbol" w:hAnsi="StarSymbol"/>
      </w:rPr>
    </w:lvl>
    <w:lvl w:ilvl="4">
      <w:numFmt w:val="bullet"/>
      <w:lvlText w:val="•"/>
      <w:lvlJc w:val="left"/>
      <w:pPr>
        <w:ind w:left="3600" w:hanging="360"/>
      </w:pPr>
      <w:rPr>
        <w:rFonts w:ascii="StarSymbol" w:hAnsi="StarSymbol"/>
      </w:rPr>
    </w:lvl>
    <w:lvl w:ilvl="5">
      <w:numFmt w:val="bullet"/>
      <w:lvlText w:val="•"/>
      <w:lvlJc w:val="right"/>
      <w:pPr>
        <w:ind w:left="4320" w:hanging="180"/>
      </w:pPr>
      <w:rPr>
        <w:rFonts w:ascii="StarSymbol" w:hAnsi="StarSymbol"/>
      </w:rPr>
    </w:lvl>
    <w:lvl w:ilvl="6">
      <w:numFmt w:val="bullet"/>
      <w:lvlText w:val="•"/>
      <w:lvlJc w:val="left"/>
      <w:pPr>
        <w:ind w:left="5040" w:hanging="360"/>
      </w:pPr>
      <w:rPr>
        <w:rFonts w:ascii="StarSymbol" w:hAnsi="StarSymbol"/>
      </w:rPr>
    </w:lvl>
    <w:lvl w:ilvl="7">
      <w:numFmt w:val="bullet"/>
      <w:lvlText w:val="•"/>
      <w:lvlJc w:val="left"/>
      <w:pPr>
        <w:ind w:left="5760" w:hanging="360"/>
      </w:pPr>
      <w:rPr>
        <w:rFonts w:ascii="StarSymbol" w:hAnsi="StarSymbol"/>
      </w:rPr>
    </w:lvl>
    <w:lvl w:ilvl="8">
      <w:numFmt w:val="bullet"/>
      <w:lvlText w:val="•"/>
      <w:lvlJc w:val="right"/>
      <w:pPr>
        <w:ind w:left="6480" w:hanging="180"/>
      </w:pPr>
      <w:rPr>
        <w:rFonts w:ascii="StarSymbol" w:hAnsi="StarSymbol"/>
      </w:rPr>
    </w:lvl>
  </w:abstractNum>
  <w:abstractNum w:abstractNumId="135" w15:restartNumberingAfterBreak="0">
    <w:nsid w:val="507975DB"/>
    <w:multiLevelType w:val="hybridMultilevel"/>
    <w:tmpl w:val="6BB8EB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6" w15:restartNumberingAfterBreak="0">
    <w:nsid w:val="50AC29DD"/>
    <w:multiLevelType w:val="hybridMultilevel"/>
    <w:tmpl w:val="59848B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15:restartNumberingAfterBreak="0">
    <w:nsid w:val="50CE3A78"/>
    <w:multiLevelType w:val="hybridMultilevel"/>
    <w:tmpl w:val="B6DC85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15:restartNumberingAfterBreak="0">
    <w:nsid w:val="51AE41E1"/>
    <w:multiLevelType w:val="hybridMultilevel"/>
    <w:tmpl w:val="077801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15:restartNumberingAfterBreak="0">
    <w:nsid w:val="532F67F1"/>
    <w:multiLevelType w:val="hybridMultilevel"/>
    <w:tmpl w:val="931045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53407D62"/>
    <w:multiLevelType w:val="hybridMultilevel"/>
    <w:tmpl w:val="D460F4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53B809F8"/>
    <w:multiLevelType w:val="hybridMultilevel"/>
    <w:tmpl w:val="25C09C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53CA3C6F"/>
    <w:multiLevelType w:val="hybridMultilevel"/>
    <w:tmpl w:val="64E41B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15:restartNumberingAfterBreak="0">
    <w:nsid w:val="53EF2FA0"/>
    <w:multiLevelType w:val="hybridMultilevel"/>
    <w:tmpl w:val="76D0A3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15:restartNumberingAfterBreak="0">
    <w:nsid w:val="53F93203"/>
    <w:multiLevelType w:val="hybridMultilevel"/>
    <w:tmpl w:val="AD9486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15:restartNumberingAfterBreak="0">
    <w:nsid w:val="54312836"/>
    <w:multiLevelType w:val="hybridMultilevel"/>
    <w:tmpl w:val="A72CEE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15:restartNumberingAfterBreak="0">
    <w:nsid w:val="5468688A"/>
    <w:multiLevelType w:val="hybridMultilevel"/>
    <w:tmpl w:val="6CBCE6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7" w15:restartNumberingAfterBreak="0">
    <w:nsid w:val="54F15FA9"/>
    <w:multiLevelType w:val="hybridMultilevel"/>
    <w:tmpl w:val="5C5EED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55183D15"/>
    <w:multiLevelType w:val="hybridMultilevel"/>
    <w:tmpl w:val="34309B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9" w15:restartNumberingAfterBreak="0">
    <w:nsid w:val="55352BCE"/>
    <w:multiLevelType w:val="multilevel"/>
    <w:tmpl w:val="B6BE4C9A"/>
    <w:lvl w:ilvl="0">
      <w:start w:val="1"/>
      <w:numFmt w:val="decimal"/>
      <w:lvlText w:val="%1."/>
      <w:lvlJc w:val="left"/>
      <w:pPr>
        <w:ind w:left="360" w:hanging="360"/>
      </w:pPr>
      <w:rPr>
        <w:b/>
        <w:color w:val="ED7D31" w:themeColor="accent2"/>
      </w:rPr>
    </w:lvl>
    <w:lvl w:ilvl="1">
      <w:start w:val="8"/>
      <w:numFmt w:val="decimal"/>
      <w:isLgl/>
      <w:lvlText w:val="%1.%2"/>
      <w:lvlJc w:val="left"/>
      <w:pPr>
        <w:ind w:left="720" w:hanging="720"/>
      </w:pPr>
      <w:rPr>
        <w:rFonts w:hint="default"/>
        <w:color w:val="ED7D31" w:themeColor="accent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0" w15:restartNumberingAfterBreak="0">
    <w:nsid w:val="55AF5A3E"/>
    <w:multiLevelType w:val="hybridMultilevel"/>
    <w:tmpl w:val="F66046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1" w15:restartNumberingAfterBreak="0">
    <w:nsid w:val="55D4662D"/>
    <w:multiLevelType w:val="hybridMultilevel"/>
    <w:tmpl w:val="3D4A9F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2" w15:restartNumberingAfterBreak="0">
    <w:nsid w:val="567626E1"/>
    <w:multiLevelType w:val="hybridMultilevel"/>
    <w:tmpl w:val="62D635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3" w15:restartNumberingAfterBreak="0">
    <w:nsid w:val="58D404E6"/>
    <w:multiLevelType w:val="hybridMultilevel"/>
    <w:tmpl w:val="2C2A9D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15:restartNumberingAfterBreak="0">
    <w:nsid w:val="5910767E"/>
    <w:multiLevelType w:val="hybridMultilevel"/>
    <w:tmpl w:val="3C2854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15:restartNumberingAfterBreak="0">
    <w:nsid w:val="59777975"/>
    <w:multiLevelType w:val="hybridMultilevel"/>
    <w:tmpl w:val="4878966A"/>
    <w:lvl w:ilvl="0" w:tplc="0415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6" w15:restartNumberingAfterBreak="0">
    <w:nsid w:val="59D74A5A"/>
    <w:multiLevelType w:val="hybridMultilevel"/>
    <w:tmpl w:val="34C601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5A41346E"/>
    <w:multiLevelType w:val="hybridMultilevel"/>
    <w:tmpl w:val="48E62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ADC797C"/>
    <w:multiLevelType w:val="hybridMultilevel"/>
    <w:tmpl w:val="AD22A0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15:restartNumberingAfterBreak="0">
    <w:nsid w:val="5B40703B"/>
    <w:multiLevelType w:val="hybridMultilevel"/>
    <w:tmpl w:val="7D06BF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5C817F91"/>
    <w:multiLevelType w:val="hybridMultilevel"/>
    <w:tmpl w:val="890AAE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1" w15:restartNumberingAfterBreak="0">
    <w:nsid w:val="5D123D53"/>
    <w:multiLevelType w:val="hybridMultilevel"/>
    <w:tmpl w:val="C778F0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2" w15:restartNumberingAfterBreak="0">
    <w:nsid w:val="5D1A7CFA"/>
    <w:multiLevelType w:val="hybridMultilevel"/>
    <w:tmpl w:val="B3FC4E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5D1B2E9C"/>
    <w:multiLevelType w:val="hybridMultilevel"/>
    <w:tmpl w:val="BEF68F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15:restartNumberingAfterBreak="0">
    <w:nsid w:val="5DC473CF"/>
    <w:multiLevelType w:val="hybridMultilevel"/>
    <w:tmpl w:val="298648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5" w15:restartNumberingAfterBreak="0">
    <w:nsid w:val="5DF11EC8"/>
    <w:multiLevelType w:val="hybridMultilevel"/>
    <w:tmpl w:val="3EE8DEB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6" w15:restartNumberingAfterBreak="0">
    <w:nsid w:val="5E260F6E"/>
    <w:multiLevelType w:val="hybridMultilevel"/>
    <w:tmpl w:val="4F8E60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15:restartNumberingAfterBreak="0">
    <w:nsid w:val="5E52403B"/>
    <w:multiLevelType w:val="hybridMultilevel"/>
    <w:tmpl w:val="B73E6D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15:restartNumberingAfterBreak="0">
    <w:nsid w:val="5E995A49"/>
    <w:multiLevelType w:val="hybridMultilevel"/>
    <w:tmpl w:val="F9EA4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9" w15:restartNumberingAfterBreak="0">
    <w:nsid w:val="5EA9362A"/>
    <w:multiLevelType w:val="hybridMultilevel"/>
    <w:tmpl w:val="56EE5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0241CFF"/>
    <w:multiLevelType w:val="hybridMultilevel"/>
    <w:tmpl w:val="12081A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1" w15:restartNumberingAfterBreak="0">
    <w:nsid w:val="60E33E9A"/>
    <w:multiLevelType w:val="hybridMultilevel"/>
    <w:tmpl w:val="C50039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15:restartNumberingAfterBreak="0">
    <w:nsid w:val="613D3215"/>
    <w:multiLevelType w:val="hybridMultilevel"/>
    <w:tmpl w:val="109A50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3" w15:restartNumberingAfterBreak="0">
    <w:nsid w:val="617F1BFB"/>
    <w:multiLevelType w:val="hybridMultilevel"/>
    <w:tmpl w:val="2474D7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4" w15:restartNumberingAfterBreak="0">
    <w:nsid w:val="61990631"/>
    <w:multiLevelType w:val="hybridMultilevel"/>
    <w:tmpl w:val="53684E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5" w15:restartNumberingAfterBreak="0">
    <w:nsid w:val="619D7E13"/>
    <w:multiLevelType w:val="hybridMultilevel"/>
    <w:tmpl w:val="D396CB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6" w15:restartNumberingAfterBreak="0">
    <w:nsid w:val="6230129A"/>
    <w:multiLevelType w:val="hybridMultilevel"/>
    <w:tmpl w:val="7F9E37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7" w15:restartNumberingAfterBreak="0">
    <w:nsid w:val="62D53EFD"/>
    <w:multiLevelType w:val="hybridMultilevel"/>
    <w:tmpl w:val="4A5CFC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8" w15:restartNumberingAfterBreak="0">
    <w:nsid w:val="62FE74DA"/>
    <w:multiLevelType w:val="hybridMultilevel"/>
    <w:tmpl w:val="2602A4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9" w15:restartNumberingAfterBreak="0">
    <w:nsid w:val="630F098E"/>
    <w:multiLevelType w:val="hybridMultilevel"/>
    <w:tmpl w:val="5CD85C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0" w15:restartNumberingAfterBreak="0">
    <w:nsid w:val="632B28CD"/>
    <w:multiLevelType w:val="hybridMultilevel"/>
    <w:tmpl w:val="D67038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1" w15:restartNumberingAfterBreak="0">
    <w:nsid w:val="64630118"/>
    <w:multiLevelType w:val="hybridMultilevel"/>
    <w:tmpl w:val="2C52B0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2" w15:restartNumberingAfterBreak="0">
    <w:nsid w:val="65AF276A"/>
    <w:multiLevelType w:val="hybridMultilevel"/>
    <w:tmpl w:val="791E11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3" w15:restartNumberingAfterBreak="0">
    <w:nsid w:val="663A02AD"/>
    <w:multiLevelType w:val="hybridMultilevel"/>
    <w:tmpl w:val="9A7862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4" w15:restartNumberingAfterBreak="0">
    <w:nsid w:val="666E4586"/>
    <w:multiLevelType w:val="hybridMultilevel"/>
    <w:tmpl w:val="D4C4FB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5" w15:restartNumberingAfterBreak="0">
    <w:nsid w:val="67C41E4F"/>
    <w:multiLevelType w:val="hybridMultilevel"/>
    <w:tmpl w:val="D27A36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6" w15:restartNumberingAfterBreak="0">
    <w:nsid w:val="69361D72"/>
    <w:multiLevelType w:val="hybridMultilevel"/>
    <w:tmpl w:val="8834B9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7" w15:restartNumberingAfterBreak="0">
    <w:nsid w:val="69AF35E8"/>
    <w:multiLevelType w:val="hybridMultilevel"/>
    <w:tmpl w:val="81004B2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8" w15:restartNumberingAfterBreak="0">
    <w:nsid w:val="69DD07F9"/>
    <w:multiLevelType w:val="hybridMultilevel"/>
    <w:tmpl w:val="097417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9" w15:restartNumberingAfterBreak="0">
    <w:nsid w:val="6CC63C43"/>
    <w:multiLevelType w:val="hybridMultilevel"/>
    <w:tmpl w:val="45A8B8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0" w15:restartNumberingAfterBreak="0">
    <w:nsid w:val="6D146546"/>
    <w:multiLevelType w:val="hybridMultilevel"/>
    <w:tmpl w:val="E2F691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1" w15:restartNumberingAfterBreak="0">
    <w:nsid w:val="6D9A0BD0"/>
    <w:multiLevelType w:val="hybridMultilevel"/>
    <w:tmpl w:val="A53436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15:restartNumberingAfterBreak="0">
    <w:nsid w:val="6DA75F64"/>
    <w:multiLevelType w:val="hybridMultilevel"/>
    <w:tmpl w:val="A45A99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DDB3701"/>
    <w:multiLevelType w:val="hybridMultilevel"/>
    <w:tmpl w:val="B54EE4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4" w15:restartNumberingAfterBreak="0">
    <w:nsid w:val="6F3C32F5"/>
    <w:multiLevelType w:val="hybridMultilevel"/>
    <w:tmpl w:val="398036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5" w15:restartNumberingAfterBreak="0">
    <w:nsid w:val="6F3D459E"/>
    <w:multiLevelType w:val="hybridMultilevel"/>
    <w:tmpl w:val="7CB8062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6" w15:restartNumberingAfterBreak="0">
    <w:nsid w:val="70A8253F"/>
    <w:multiLevelType w:val="hybridMultilevel"/>
    <w:tmpl w:val="595218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7" w15:restartNumberingAfterBreak="0">
    <w:nsid w:val="718A02BD"/>
    <w:multiLevelType w:val="hybridMultilevel"/>
    <w:tmpl w:val="724067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8" w15:restartNumberingAfterBreak="0">
    <w:nsid w:val="71C55524"/>
    <w:multiLevelType w:val="hybridMultilevel"/>
    <w:tmpl w:val="22B042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9" w15:restartNumberingAfterBreak="0">
    <w:nsid w:val="7231009B"/>
    <w:multiLevelType w:val="hybridMultilevel"/>
    <w:tmpl w:val="CBC26D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0" w15:restartNumberingAfterBreak="0">
    <w:nsid w:val="72904901"/>
    <w:multiLevelType w:val="hybridMultilevel"/>
    <w:tmpl w:val="E620FF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1" w15:restartNumberingAfterBreak="0">
    <w:nsid w:val="730E2B11"/>
    <w:multiLevelType w:val="multilevel"/>
    <w:tmpl w:val="A8F2E4CC"/>
    <w:styleLink w:val="Styl1"/>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2" w15:restartNumberingAfterBreak="0">
    <w:nsid w:val="742C0176"/>
    <w:multiLevelType w:val="hybridMultilevel"/>
    <w:tmpl w:val="72883B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3" w15:restartNumberingAfterBreak="0">
    <w:nsid w:val="757F538A"/>
    <w:multiLevelType w:val="hybridMultilevel"/>
    <w:tmpl w:val="4EFEC1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4" w15:restartNumberingAfterBreak="0">
    <w:nsid w:val="75F05C96"/>
    <w:multiLevelType w:val="hybridMultilevel"/>
    <w:tmpl w:val="79F299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5" w15:restartNumberingAfterBreak="0">
    <w:nsid w:val="760166D8"/>
    <w:multiLevelType w:val="hybridMultilevel"/>
    <w:tmpl w:val="055839F4"/>
    <w:lvl w:ilvl="0" w:tplc="D5ACDFCE">
      <w:start w:val="1"/>
      <w:numFmt w:val="lowerLetter"/>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6" w15:restartNumberingAfterBreak="0">
    <w:nsid w:val="76904405"/>
    <w:multiLevelType w:val="hybridMultilevel"/>
    <w:tmpl w:val="A24CAD8C"/>
    <w:lvl w:ilvl="0" w:tplc="FFFFFFFF">
      <w:start w:val="1"/>
      <w:numFmt w:val="lowerLetter"/>
      <w:lvlText w:val="%1."/>
      <w:lvlJc w:val="left"/>
      <w:pPr>
        <w:ind w:left="1440" w:hanging="360"/>
      </w:pPr>
    </w:lvl>
    <w:lvl w:ilvl="1" w:tplc="04150001">
      <w:start w:val="1"/>
      <w:numFmt w:val="bullet"/>
      <w:lvlText w:val=""/>
      <w:lvlJc w:val="left"/>
      <w:pPr>
        <w:ind w:left="2160" w:hanging="360"/>
      </w:pPr>
      <w:rPr>
        <w:rFonts w:ascii="Symbol" w:hAnsi="Symbol" w:hint="default"/>
      </w:rPr>
    </w:lvl>
    <w:lvl w:ilvl="2" w:tplc="1E4CAFBA">
      <w:start w:val="4"/>
      <w:numFmt w:val="decimal"/>
      <w:lvlText w:val="%3"/>
      <w:lvlJc w:val="left"/>
      <w:pPr>
        <w:ind w:left="3060" w:hanging="360"/>
      </w:pPr>
      <w:rPr>
        <w:rFonts w:hint="default"/>
      </w:rPr>
    </w:lvl>
    <w:lvl w:ilvl="3" w:tplc="63AE6102">
      <w:start w:val="1"/>
      <w:numFmt w:val="decimal"/>
      <w:lvlText w:val="%4."/>
      <w:lvlJc w:val="left"/>
      <w:pPr>
        <w:ind w:left="3600" w:hanging="360"/>
      </w:pPr>
      <w:rPr>
        <w:rFonts w:hint="default"/>
        <w:b/>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7" w15:restartNumberingAfterBreak="0">
    <w:nsid w:val="77070870"/>
    <w:multiLevelType w:val="hybridMultilevel"/>
    <w:tmpl w:val="BFD6EE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8" w15:restartNumberingAfterBreak="0">
    <w:nsid w:val="772E6112"/>
    <w:multiLevelType w:val="hybridMultilevel"/>
    <w:tmpl w:val="87647D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9" w15:restartNumberingAfterBreak="0">
    <w:nsid w:val="773C1B83"/>
    <w:multiLevelType w:val="hybridMultilevel"/>
    <w:tmpl w:val="6F64B70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0" w15:restartNumberingAfterBreak="0">
    <w:nsid w:val="776937DE"/>
    <w:multiLevelType w:val="hybridMultilevel"/>
    <w:tmpl w:val="F16A06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1" w15:restartNumberingAfterBreak="0">
    <w:nsid w:val="777B0642"/>
    <w:multiLevelType w:val="hybridMultilevel"/>
    <w:tmpl w:val="95926C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2" w15:restartNumberingAfterBreak="0">
    <w:nsid w:val="78830F1E"/>
    <w:multiLevelType w:val="hybridMultilevel"/>
    <w:tmpl w:val="3F0642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3" w15:restartNumberingAfterBreak="0">
    <w:nsid w:val="79D1273D"/>
    <w:multiLevelType w:val="hybridMultilevel"/>
    <w:tmpl w:val="26E6B5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4" w15:restartNumberingAfterBreak="0">
    <w:nsid w:val="7B0075F5"/>
    <w:multiLevelType w:val="hybridMultilevel"/>
    <w:tmpl w:val="D2E668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5" w15:restartNumberingAfterBreak="0">
    <w:nsid w:val="7B4A0ED1"/>
    <w:multiLevelType w:val="hybridMultilevel"/>
    <w:tmpl w:val="2098C6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6" w15:restartNumberingAfterBreak="0">
    <w:nsid w:val="7BF94240"/>
    <w:multiLevelType w:val="hybridMultilevel"/>
    <w:tmpl w:val="475045D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7" w15:restartNumberingAfterBreak="0">
    <w:nsid w:val="7C245361"/>
    <w:multiLevelType w:val="hybridMultilevel"/>
    <w:tmpl w:val="05469E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8" w15:restartNumberingAfterBreak="0">
    <w:nsid w:val="7C300401"/>
    <w:multiLevelType w:val="hybridMultilevel"/>
    <w:tmpl w:val="072A29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9" w15:restartNumberingAfterBreak="0">
    <w:nsid w:val="7D643BEA"/>
    <w:multiLevelType w:val="hybridMultilevel"/>
    <w:tmpl w:val="844617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0" w15:restartNumberingAfterBreak="0">
    <w:nsid w:val="7D8E7CCD"/>
    <w:multiLevelType w:val="hybridMultilevel"/>
    <w:tmpl w:val="28220F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1" w15:restartNumberingAfterBreak="0">
    <w:nsid w:val="7E8742F3"/>
    <w:multiLevelType w:val="hybridMultilevel"/>
    <w:tmpl w:val="5C966B3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2" w15:restartNumberingAfterBreak="0">
    <w:nsid w:val="7F523FEE"/>
    <w:multiLevelType w:val="hybridMultilevel"/>
    <w:tmpl w:val="7D3840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3" w15:restartNumberingAfterBreak="0">
    <w:nsid w:val="7FA772C7"/>
    <w:multiLevelType w:val="hybridMultilevel"/>
    <w:tmpl w:val="35A686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9"/>
    <w:lvlOverride w:ilvl="0">
      <w:lvl w:ilvl="0">
        <w:start w:val="1"/>
        <w:numFmt w:val="decimal"/>
        <w:pStyle w:val="Nagwek1"/>
        <w:lvlText w:val="%1."/>
        <w:lvlJc w:val="left"/>
        <w:pPr>
          <w:ind w:left="360" w:hanging="360"/>
        </w:pPr>
      </w:lvl>
    </w:lvlOverride>
    <w:lvlOverride w:ilvl="1">
      <w:lvl w:ilvl="1">
        <w:start w:val="1"/>
        <w:numFmt w:val="decimal"/>
        <w:pStyle w:val="Nagwek2"/>
        <w:lvlText w:val="%1.%2."/>
        <w:lvlJc w:val="left"/>
        <w:pPr>
          <w:ind w:left="792" w:hanging="432"/>
        </w:pPr>
      </w:lvl>
    </w:lvlOverride>
    <w:lvlOverride w:ilvl="2">
      <w:lvl w:ilvl="2">
        <w:start w:val="1"/>
        <w:numFmt w:val="decimal"/>
        <w:pStyle w:val="Nagwek3"/>
        <w:lvlText w:val="%1.%2.%3."/>
        <w:lvlJc w:val="left"/>
        <w:pPr>
          <w:ind w:left="504" w:hanging="504"/>
        </w:pPr>
      </w:lvl>
    </w:lvlOverride>
    <w:lvlOverride w:ilvl="3">
      <w:lvl w:ilvl="3">
        <w:start w:val="1"/>
        <w:numFmt w:val="decimal"/>
        <w:pStyle w:val="Nagwek4"/>
        <w:lvlText w:val="%1.%2.%3.%4."/>
        <w:lvlJc w:val="left"/>
        <w:pPr>
          <w:ind w:left="1728" w:hanging="648"/>
        </w:pPr>
      </w:lvl>
    </w:lvlOverride>
    <w:lvlOverride w:ilvl="4">
      <w:lvl w:ilvl="4">
        <w:start w:val="1"/>
        <w:numFmt w:val="decimal"/>
        <w:pStyle w:val="Nagwek5"/>
        <w:lvlText w:val="%1.%2.%3.%4.%5."/>
        <w:lvlJc w:val="left"/>
        <w:pPr>
          <w:ind w:left="2232" w:hanging="792"/>
        </w:pPr>
      </w:lvl>
    </w:lvlOverride>
    <w:lvlOverride w:ilvl="5">
      <w:lvl w:ilvl="5">
        <w:start w:val="1"/>
        <w:numFmt w:val="decimal"/>
        <w:pStyle w:val="Nagwek6"/>
        <w:lvlText w:val="%1.%2.%3.%4.%5.%6."/>
        <w:lvlJc w:val="left"/>
        <w:pPr>
          <w:ind w:left="2736" w:hanging="936"/>
        </w:pPr>
      </w:lvl>
    </w:lvlOverride>
    <w:lvlOverride w:ilvl="6">
      <w:lvl w:ilvl="6">
        <w:start w:val="1"/>
        <w:numFmt w:val="decimal"/>
        <w:pStyle w:val="Nagwek7"/>
        <w:lvlText w:val="%1.%2.%3.%4.%5.%6.%7."/>
        <w:lvlJc w:val="left"/>
        <w:pPr>
          <w:ind w:left="3240" w:hanging="1080"/>
        </w:pPr>
      </w:lvl>
    </w:lvlOverride>
    <w:lvlOverride w:ilvl="7">
      <w:lvl w:ilvl="7">
        <w:start w:val="1"/>
        <w:numFmt w:val="decimal"/>
        <w:pStyle w:val="Nagwek8"/>
        <w:lvlText w:val="%1.%2.%3.%4.%5.%6.%7.%8."/>
        <w:lvlJc w:val="left"/>
        <w:pPr>
          <w:ind w:left="3744" w:hanging="1224"/>
        </w:pPr>
      </w:lvl>
    </w:lvlOverride>
    <w:lvlOverride w:ilvl="8">
      <w:lvl w:ilvl="8">
        <w:start w:val="1"/>
        <w:numFmt w:val="decimal"/>
        <w:pStyle w:val="Nagwek9"/>
        <w:lvlText w:val="%1.%2.%3.%4.%5.%6.%7.%8.%9."/>
        <w:lvlJc w:val="left"/>
        <w:pPr>
          <w:ind w:left="4320" w:hanging="1440"/>
        </w:pPr>
      </w:lvl>
    </w:lvlOverride>
  </w:num>
  <w:num w:numId="2">
    <w:abstractNumId w:val="44"/>
  </w:num>
  <w:num w:numId="3">
    <w:abstractNumId w:val="108"/>
  </w:num>
  <w:num w:numId="4">
    <w:abstractNumId w:val="134"/>
  </w:num>
  <w:num w:numId="5">
    <w:abstractNumId w:val="117"/>
  </w:num>
  <w:num w:numId="6">
    <w:abstractNumId w:val="112"/>
  </w:num>
  <w:num w:numId="7">
    <w:abstractNumId w:val="192"/>
  </w:num>
  <w:num w:numId="8">
    <w:abstractNumId w:val="80"/>
  </w:num>
  <w:num w:numId="9">
    <w:abstractNumId w:val="128"/>
  </w:num>
  <w:num w:numId="10">
    <w:abstractNumId w:val="40"/>
  </w:num>
  <w:num w:numId="11">
    <w:abstractNumId w:val="155"/>
  </w:num>
  <w:num w:numId="12">
    <w:abstractNumId w:val="149"/>
  </w:num>
  <w:num w:numId="13">
    <w:abstractNumId w:val="56"/>
  </w:num>
  <w:num w:numId="14">
    <w:abstractNumId w:val="41"/>
  </w:num>
  <w:num w:numId="15">
    <w:abstractNumId w:val="74"/>
  </w:num>
  <w:num w:numId="16">
    <w:abstractNumId w:val="67"/>
  </w:num>
  <w:num w:numId="17">
    <w:abstractNumId w:val="73"/>
  </w:num>
  <w:num w:numId="18">
    <w:abstractNumId w:val="27"/>
  </w:num>
  <w:num w:numId="19">
    <w:abstractNumId w:val="33"/>
  </w:num>
  <w:num w:numId="20">
    <w:abstractNumId w:val="95"/>
  </w:num>
  <w:num w:numId="21">
    <w:abstractNumId w:val="18"/>
  </w:num>
  <w:num w:numId="22">
    <w:abstractNumId w:val="201"/>
  </w:num>
  <w:num w:numId="23">
    <w:abstractNumId w:val="49"/>
    <w:lvlOverride w:ilvl="0">
      <w:lvl w:ilvl="0">
        <w:start w:val="1"/>
        <w:numFmt w:val="decimal"/>
        <w:pStyle w:val="Nagwek1"/>
        <w:lvlText w:val="%1."/>
        <w:lvlJc w:val="left"/>
        <w:pPr>
          <w:ind w:left="360" w:hanging="360"/>
        </w:pPr>
      </w:lvl>
    </w:lvlOverride>
    <w:lvlOverride w:ilvl="1">
      <w:lvl w:ilvl="1">
        <w:start w:val="1"/>
        <w:numFmt w:val="decimal"/>
        <w:pStyle w:val="Nagwek2"/>
        <w:lvlText w:val="%1.%2."/>
        <w:lvlJc w:val="left"/>
        <w:pPr>
          <w:ind w:left="432" w:hanging="432"/>
        </w:pPr>
      </w:lvl>
    </w:lvlOverride>
    <w:lvlOverride w:ilvl="2">
      <w:lvl w:ilvl="2">
        <w:start w:val="1"/>
        <w:numFmt w:val="decimal"/>
        <w:pStyle w:val="Nagwek3"/>
        <w:lvlText w:val="%1.%2.%3."/>
        <w:lvlJc w:val="left"/>
        <w:pPr>
          <w:ind w:left="1224" w:hanging="504"/>
        </w:pPr>
      </w:lvl>
    </w:lvlOverride>
    <w:lvlOverride w:ilvl="3">
      <w:lvl w:ilvl="3">
        <w:start w:val="1"/>
        <w:numFmt w:val="decimal"/>
        <w:pStyle w:val="Nagwek4"/>
        <w:lvlText w:val="%1.%2.%3.%4."/>
        <w:lvlJc w:val="left"/>
        <w:pPr>
          <w:ind w:left="1728" w:hanging="648"/>
        </w:pPr>
      </w:lvl>
    </w:lvlOverride>
    <w:lvlOverride w:ilvl="4">
      <w:lvl w:ilvl="4">
        <w:start w:val="1"/>
        <w:numFmt w:val="decimal"/>
        <w:pStyle w:val="Nagwek5"/>
        <w:lvlText w:val="%1.%2.%3.%4.%5."/>
        <w:lvlJc w:val="left"/>
        <w:pPr>
          <w:ind w:left="2232" w:hanging="792"/>
        </w:pPr>
      </w:lvl>
    </w:lvlOverride>
    <w:lvlOverride w:ilvl="5">
      <w:lvl w:ilvl="5">
        <w:start w:val="1"/>
        <w:numFmt w:val="decimal"/>
        <w:pStyle w:val="Nagwek6"/>
        <w:lvlText w:val="%1.%2.%3.%4.%5.%6."/>
        <w:lvlJc w:val="left"/>
        <w:pPr>
          <w:ind w:left="2736" w:hanging="936"/>
        </w:pPr>
      </w:lvl>
    </w:lvlOverride>
    <w:lvlOverride w:ilvl="6">
      <w:lvl w:ilvl="6">
        <w:start w:val="1"/>
        <w:numFmt w:val="decimal"/>
        <w:pStyle w:val="Nagwek7"/>
        <w:lvlText w:val="%1.%2.%3.%4.%5.%6.%7."/>
        <w:lvlJc w:val="left"/>
        <w:pPr>
          <w:ind w:left="3240" w:hanging="1080"/>
        </w:pPr>
      </w:lvl>
    </w:lvlOverride>
    <w:lvlOverride w:ilvl="7">
      <w:lvl w:ilvl="7">
        <w:start w:val="1"/>
        <w:numFmt w:val="decimal"/>
        <w:pStyle w:val="Nagwek8"/>
        <w:lvlText w:val="%1.%2.%3.%4.%5.%6.%7.%8."/>
        <w:lvlJc w:val="left"/>
        <w:pPr>
          <w:ind w:left="3744" w:hanging="1224"/>
        </w:pPr>
      </w:lvl>
    </w:lvlOverride>
    <w:lvlOverride w:ilvl="8">
      <w:lvl w:ilvl="8">
        <w:start w:val="1"/>
        <w:numFmt w:val="decimal"/>
        <w:pStyle w:val="Nagwek9"/>
        <w:lvlText w:val="%1.%2.%3.%4.%5.%6.%7.%8.%9."/>
        <w:lvlJc w:val="left"/>
        <w:pPr>
          <w:ind w:left="4320" w:hanging="1440"/>
        </w:pPr>
      </w:lvl>
    </w:lvlOverride>
  </w:num>
  <w:num w:numId="24">
    <w:abstractNumId w:val="206"/>
  </w:num>
  <w:num w:numId="25">
    <w:abstractNumId w:val="35"/>
  </w:num>
  <w:num w:numId="26">
    <w:abstractNumId w:val="88"/>
  </w:num>
  <w:num w:numId="27">
    <w:abstractNumId w:val="127"/>
  </w:num>
  <w:num w:numId="28">
    <w:abstractNumId w:val="141"/>
  </w:num>
  <w:num w:numId="29">
    <w:abstractNumId w:val="26"/>
  </w:num>
  <w:num w:numId="30">
    <w:abstractNumId w:val="103"/>
  </w:num>
  <w:num w:numId="31">
    <w:abstractNumId w:val="14"/>
  </w:num>
  <w:num w:numId="32">
    <w:abstractNumId w:val="169"/>
  </w:num>
  <w:num w:numId="33">
    <w:abstractNumId w:val="13"/>
  </w:num>
  <w:num w:numId="34">
    <w:abstractNumId w:val="203"/>
  </w:num>
  <w:num w:numId="35">
    <w:abstractNumId w:val="121"/>
  </w:num>
  <w:num w:numId="36">
    <w:abstractNumId w:val="164"/>
  </w:num>
  <w:num w:numId="37">
    <w:abstractNumId w:val="43"/>
  </w:num>
  <w:num w:numId="38">
    <w:abstractNumId w:val="51"/>
  </w:num>
  <w:num w:numId="39">
    <w:abstractNumId w:val="22"/>
  </w:num>
  <w:num w:numId="40">
    <w:abstractNumId w:val="50"/>
  </w:num>
  <w:num w:numId="41">
    <w:abstractNumId w:val="181"/>
  </w:num>
  <w:num w:numId="42">
    <w:abstractNumId w:val="78"/>
  </w:num>
  <w:num w:numId="43">
    <w:abstractNumId w:val="79"/>
  </w:num>
  <w:num w:numId="44">
    <w:abstractNumId w:val="9"/>
  </w:num>
  <w:num w:numId="45">
    <w:abstractNumId w:val="139"/>
  </w:num>
  <w:num w:numId="46">
    <w:abstractNumId w:val="105"/>
  </w:num>
  <w:num w:numId="47">
    <w:abstractNumId w:val="137"/>
  </w:num>
  <w:num w:numId="48">
    <w:abstractNumId w:val="45"/>
  </w:num>
  <w:num w:numId="49">
    <w:abstractNumId w:val="197"/>
  </w:num>
  <w:num w:numId="50">
    <w:abstractNumId w:val="200"/>
  </w:num>
  <w:num w:numId="51">
    <w:abstractNumId w:val="133"/>
  </w:num>
  <w:num w:numId="52">
    <w:abstractNumId w:val="68"/>
  </w:num>
  <w:num w:numId="53">
    <w:abstractNumId w:val="81"/>
  </w:num>
  <w:num w:numId="54">
    <w:abstractNumId w:val="8"/>
  </w:num>
  <w:num w:numId="55">
    <w:abstractNumId w:val="122"/>
  </w:num>
  <w:num w:numId="56">
    <w:abstractNumId w:val="75"/>
  </w:num>
  <w:num w:numId="57">
    <w:abstractNumId w:val="111"/>
  </w:num>
  <w:num w:numId="58">
    <w:abstractNumId w:val="23"/>
  </w:num>
  <w:num w:numId="59">
    <w:abstractNumId w:val="16"/>
  </w:num>
  <w:num w:numId="60">
    <w:abstractNumId w:val="159"/>
  </w:num>
  <w:num w:numId="61">
    <w:abstractNumId w:val="65"/>
  </w:num>
  <w:num w:numId="62">
    <w:abstractNumId w:val="205"/>
  </w:num>
  <w:num w:numId="63">
    <w:abstractNumId w:val="61"/>
  </w:num>
  <w:num w:numId="64">
    <w:abstractNumId w:val="180"/>
  </w:num>
  <w:num w:numId="65">
    <w:abstractNumId w:val="76"/>
  </w:num>
  <w:num w:numId="66">
    <w:abstractNumId w:val="100"/>
  </w:num>
  <w:num w:numId="67">
    <w:abstractNumId w:val="54"/>
  </w:num>
  <w:num w:numId="68">
    <w:abstractNumId w:val="10"/>
  </w:num>
  <w:num w:numId="69">
    <w:abstractNumId w:val="119"/>
  </w:num>
  <w:num w:numId="70">
    <w:abstractNumId w:val="138"/>
  </w:num>
  <w:num w:numId="71">
    <w:abstractNumId w:val="25"/>
  </w:num>
  <w:num w:numId="72">
    <w:abstractNumId w:val="211"/>
  </w:num>
  <w:num w:numId="73">
    <w:abstractNumId w:val="179"/>
  </w:num>
  <w:num w:numId="74">
    <w:abstractNumId w:val="63"/>
  </w:num>
  <w:num w:numId="75">
    <w:abstractNumId w:val="102"/>
  </w:num>
  <w:num w:numId="76">
    <w:abstractNumId w:val="158"/>
  </w:num>
  <w:num w:numId="77">
    <w:abstractNumId w:val="83"/>
  </w:num>
  <w:num w:numId="78">
    <w:abstractNumId w:val="30"/>
  </w:num>
  <w:num w:numId="79">
    <w:abstractNumId w:val="125"/>
  </w:num>
  <w:num w:numId="80">
    <w:abstractNumId w:val="86"/>
  </w:num>
  <w:num w:numId="81">
    <w:abstractNumId w:val="174"/>
  </w:num>
  <w:num w:numId="82">
    <w:abstractNumId w:val="109"/>
  </w:num>
  <w:num w:numId="83">
    <w:abstractNumId w:val="82"/>
  </w:num>
  <w:num w:numId="84">
    <w:abstractNumId w:val="60"/>
  </w:num>
  <w:num w:numId="85">
    <w:abstractNumId w:val="187"/>
  </w:num>
  <w:num w:numId="86">
    <w:abstractNumId w:val="168"/>
  </w:num>
  <w:num w:numId="87">
    <w:abstractNumId w:val="199"/>
  </w:num>
  <w:num w:numId="88">
    <w:abstractNumId w:val="214"/>
  </w:num>
  <w:num w:numId="89">
    <w:abstractNumId w:val="152"/>
  </w:num>
  <w:num w:numId="90">
    <w:abstractNumId w:val="178"/>
  </w:num>
  <w:num w:numId="91">
    <w:abstractNumId w:val="42"/>
  </w:num>
  <w:num w:numId="92">
    <w:abstractNumId w:val="143"/>
  </w:num>
  <w:num w:numId="93">
    <w:abstractNumId w:val="107"/>
  </w:num>
  <w:num w:numId="94">
    <w:abstractNumId w:val="66"/>
  </w:num>
  <w:num w:numId="95">
    <w:abstractNumId w:val="186"/>
  </w:num>
  <w:num w:numId="96">
    <w:abstractNumId w:val="194"/>
  </w:num>
  <w:num w:numId="97">
    <w:abstractNumId w:val="210"/>
  </w:num>
  <w:num w:numId="98">
    <w:abstractNumId w:val="209"/>
  </w:num>
  <w:num w:numId="99">
    <w:abstractNumId w:val="157"/>
  </w:num>
  <w:num w:numId="100">
    <w:abstractNumId w:val="96"/>
  </w:num>
  <w:num w:numId="101">
    <w:abstractNumId w:val="59"/>
  </w:num>
  <w:num w:numId="102">
    <w:abstractNumId w:val="156"/>
  </w:num>
  <w:num w:numId="103">
    <w:abstractNumId w:val="11"/>
  </w:num>
  <w:num w:numId="104">
    <w:abstractNumId w:val="146"/>
  </w:num>
  <w:num w:numId="105">
    <w:abstractNumId w:val="215"/>
  </w:num>
  <w:num w:numId="106">
    <w:abstractNumId w:val="12"/>
  </w:num>
  <w:num w:numId="107">
    <w:abstractNumId w:val="221"/>
  </w:num>
  <w:num w:numId="108">
    <w:abstractNumId w:val="154"/>
  </w:num>
  <w:num w:numId="109">
    <w:abstractNumId w:val="70"/>
  </w:num>
  <w:num w:numId="110">
    <w:abstractNumId w:val="147"/>
  </w:num>
  <w:num w:numId="111">
    <w:abstractNumId w:val="113"/>
  </w:num>
  <w:num w:numId="112">
    <w:abstractNumId w:val="6"/>
  </w:num>
  <w:num w:numId="113">
    <w:abstractNumId w:val="58"/>
  </w:num>
  <w:num w:numId="114">
    <w:abstractNumId w:val="7"/>
  </w:num>
  <w:num w:numId="115">
    <w:abstractNumId w:val="218"/>
  </w:num>
  <w:num w:numId="116">
    <w:abstractNumId w:val="84"/>
  </w:num>
  <w:num w:numId="117">
    <w:abstractNumId w:val="38"/>
  </w:num>
  <w:num w:numId="118">
    <w:abstractNumId w:val="195"/>
  </w:num>
  <w:num w:numId="119">
    <w:abstractNumId w:val="170"/>
  </w:num>
  <w:num w:numId="120">
    <w:abstractNumId w:val="57"/>
  </w:num>
  <w:num w:numId="121">
    <w:abstractNumId w:val="47"/>
  </w:num>
  <w:num w:numId="122">
    <w:abstractNumId w:val="190"/>
  </w:num>
  <w:num w:numId="123">
    <w:abstractNumId w:val="145"/>
  </w:num>
  <w:num w:numId="124">
    <w:abstractNumId w:val="160"/>
  </w:num>
  <w:num w:numId="125">
    <w:abstractNumId w:val="130"/>
  </w:num>
  <w:num w:numId="126">
    <w:abstractNumId w:val="110"/>
  </w:num>
  <w:num w:numId="127">
    <w:abstractNumId w:val="64"/>
  </w:num>
  <w:num w:numId="128">
    <w:abstractNumId w:val="116"/>
  </w:num>
  <w:num w:numId="129">
    <w:abstractNumId w:val="150"/>
  </w:num>
  <w:num w:numId="130">
    <w:abstractNumId w:val="216"/>
  </w:num>
  <w:num w:numId="131">
    <w:abstractNumId w:val="93"/>
  </w:num>
  <w:num w:numId="132">
    <w:abstractNumId w:val="213"/>
  </w:num>
  <w:num w:numId="133">
    <w:abstractNumId w:val="135"/>
  </w:num>
  <w:num w:numId="134">
    <w:abstractNumId w:val="148"/>
  </w:num>
  <w:num w:numId="135">
    <w:abstractNumId w:val="172"/>
  </w:num>
  <w:num w:numId="136">
    <w:abstractNumId w:val="90"/>
  </w:num>
  <w:num w:numId="137">
    <w:abstractNumId w:val="166"/>
  </w:num>
  <w:num w:numId="138">
    <w:abstractNumId w:val="124"/>
  </w:num>
  <w:num w:numId="139">
    <w:abstractNumId w:val="97"/>
  </w:num>
  <w:num w:numId="140">
    <w:abstractNumId w:val="220"/>
  </w:num>
  <w:num w:numId="141">
    <w:abstractNumId w:val="177"/>
  </w:num>
  <w:num w:numId="142">
    <w:abstractNumId w:val="185"/>
  </w:num>
  <w:num w:numId="143">
    <w:abstractNumId w:val="140"/>
  </w:num>
  <w:num w:numId="144">
    <w:abstractNumId w:val="208"/>
  </w:num>
  <w:num w:numId="145">
    <w:abstractNumId w:val="161"/>
  </w:num>
  <w:num w:numId="146">
    <w:abstractNumId w:val="17"/>
  </w:num>
  <w:num w:numId="147">
    <w:abstractNumId w:val="3"/>
  </w:num>
  <w:num w:numId="148">
    <w:abstractNumId w:val="24"/>
  </w:num>
  <w:num w:numId="149">
    <w:abstractNumId w:val="173"/>
  </w:num>
  <w:num w:numId="150">
    <w:abstractNumId w:val="104"/>
  </w:num>
  <w:num w:numId="151">
    <w:abstractNumId w:val="32"/>
  </w:num>
  <w:num w:numId="152">
    <w:abstractNumId w:val="204"/>
  </w:num>
  <w:num w:numId="153">
    <w:abstractNumId w:val="188"/>
  </w:num>
  <w:num w:numId="154">
    <w:abstractNumId w:val="72"/>
  </w:num>
  <w:num w:numId="155">
    <w:abstractNumId w:val="55"/>
  </w:num>
  <w:num w:numId="156">
    <w:abstractNumId w:val="162"/>
  </w:num>
  <w:num w:numId="157">
    <w:abstractNumId w:val="167"/>
  </w:num>
  <w:num w:numId="158">
    <w:abstractNumId w:val="36"/>
  </w:num>
  <w:num w:numId="159">
    <w:abstractNumId w:val="20"/>
  </w:num>
  <w:num w:numId="160">
    <w:abstractNumId w:val="183"/>
  </w:num>
  <w:num w:numId="161">
    <w:abstractNumId w:val="142"/>
  </w:num>
  <w:num w:numId="162">
    <w:abstractNumId w:val="196"/>
  </w:num>
  <w:num w:numId="163">
    <w:abstractNumId w:val="176"/>
  </w:num>
  <w:num w:numId="164">
    <w:abstractNumId w:val="5"/>
  </w:num>
  <w:num w:numId="165">
    <w:abstractNumId w:val="198"/>
  </w:num>
  <w:num w:numId="166">
    <w:abstractNumId w:val="46"/>
  </w:num>
  <w:num w:numId="167">
    <w:abstractNumId w:val="114"/>
  </w:num>
  <w:num w:numId="168">
    <w:abstractNumId w:val="217"/>
  </w:num>
  <w:num w:numId="169">
    <w:abstractNumId w:val="106"/>
  </w:num>
  <w:num w:numId="170">
    <w:abstractNumId w:val="101"/>
  </w:num>
  <w:num w:numId="171">
    <w:abstractNumId w:val="223"/>
  </w:num>
  <w:num w:numId="172">
    <w:abstractNumId w:val="165"/>
  </w:num>
  <w:num w:numId="173">
    <w:abstractNumId w:val="4"/>
  </w:num>
  <w:num w:numId="174">
    <w:abstractNumId w:val="118"/>
  </w:num>
  <w:num w:numId="175">
    <w:abstractNumId w:val="132"/>
  </w:num>
  <w:num w:numId="176">
    <w:abstractNumId w:val="193"/>
  </w:num>
  <w:num w:numId="177">
    <w:abstractNumId w:val="222"/>
  </w:num>
  <w:num w:numId="178">
    <w:abstractNumId w:val="171"/>
  </w:num>
  <w:num w:numId="179">
    <w:abstractNumId w:val="69"/>
  </w:num>
  <w:num w:numId="180">
    <w:abstractNumId w:val="53"/>
  </w:num>
  <w:num w:numId="181">
    <w:abstractNumId w:val="85"/>
  </w:num>
  <w:num w:numId="182">
    <w:abstractNumId w:val="182"/>
  </w:num>
  <w:num w:numId="183">
    <w:abstractNumId w:val="37"/>
  </w:num>
  <w:num w:numId="184">
    <w:abstractNumId w:val="136"/>
  </w:num>
  <w:num w:numId="185">
    <w:abstractNumId w:val="184"/>
  </w:num>
  <w:num w:numId="186">
    <w:abstractNumId w:val="89"/>
  </w:num>
  <w:num w:numId="187">
    <w:abstractNumId w:val="29"/>
  </w:num>
  <w:num w:numId="188">
    <w:abstractNumId w:val="191"/>
  </w:num>
  <w:num w:numId="189">
    <w:abstractNumId w:val="92"/>
  </w:num>
  <w:num w:numId="190">
    <w:abstractNumId w:val="163"/>
  </w:num>
  <w:num w:numId="191">
    <w:abstractNumId w:val="131"/>
  </w:num>
  <w:num w:numId="192">
    <w:abstractNumId w:val="77"/>
  </w:num>
  <w:num w:numId="193">
    <w:abstractNumId w:val="123"/>
  </w:num>
  <w:num w:numId="194">
    <w:abstractNumId w:val="219"/>
  </w:num>
  <w:num w:numId="195">
    <w:abstractNumId w:val="189"/>
  </w:num>
  <w:num w:numId="196">
    <w:abstractNumId w:val="126"/>
  </w:num>
  <w:num w:numId="197">
    <w:abstractNumId w:val="151"/>
  </w:num>
  <w:num w:numId="198">
    <w:abstractNumId w:val="62"/>
  </w:num>
  <w:num w:numId="199">
    <w:abstractNumId w:val="120"/>
  </w:num>
  <w:num w:numId="200">
    <w:abstractNumId w:val="99"/>
  </w:num>
  <w:num w:numId="201">
    <w:abstractNumId w:val="31"/>
  </w:num>
  <w:num w:numId="202">
    <w:abstractNumId w:val="91"/>
  </w:num>
  <w:num w:numId="203">
    <w:abstractNumId w:val="34"/>
  </w:num>
  <w:num w:numId="204">
    <w:abstractNumId w:val="15"/>
  </w:num>
  <w:num w:numId="205">
    <w:abstractNumId w:val="19"/>
  </w:num>
  <w:num w:numId="206">
    <w:abstractNumId w:val="153"/>
  </w:num>
  <w:num w:numId="207">
    <w:abstractNumId w:val="212"/>
  </w:num>
  <w:num w:numId="208">
    <w:abstractNumId w:val="52"/>
  </w:num>
  <w:num w:numId="209">
    <w:abstractNumId w:val="202"/>
  </w:num>
  <w:num w:numId="210">
    <w:abstractNumId w:val="71"/>
  </w:num>
  <w:num w:numId="211">
    <w:abstractNumId w:val="48"/>
  </w:num>
  <w:num w:numId="212">
    <w:abstractNumId w:val="28"/>
  </w:num>
  <w:num w:numId="213">
    <w:abstractNumId w:val="21"/>
  </w:num>
  <w:num w:numId="214">
    <w:abstractNumId w:val="98"/>
  </w:num>
  <w:num w:numId="215">
    <w:abstractNumId w:val="207"/>
  </w:num>
  <w:num w:numId="216">
    <w:abstractNumId w:val="94"/>
  </w:num>
  <w:num w:numId="217">
    <w:abstractNumId w:val="87"/>
  </w:num>
  <w:num w:numId="218">
    <w:abstractNumId w:val="144"/>
  </w:num>
  <w:num w:numId="219">
    <w:abstractNumId w:val="115"/>
  </w:num>
  <w:num w:numId="220">
    <w:abstractNumId w:val="129"/>
  </w:num>
  <w:num w:numId="221">
    <w:abstractNumId w:val="39"/>
  </w:num>
  <w:num w:numId="222">
    <w:abstractNumId w:val="175"/>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43"/>
    <w:rsid w:val="00000692"/>
    <w:rsid w:val="00000C86"/>
    <w:rsid w:val="00000D3F"/>
    <w:rsid w:val="00003231"/>
    <w:rsid w:val="00003F2A"/>
    <w:rsid w:val="00007806"/>
    <w:rsid w:val="0001054B"/>
    <w:rsid w:val="00010F36"/>
    <w:rsid w:val="00011A0D"/>
    <w:rsid w:val="00015713"/>
    <w:rsid w:val="00015763"/>
    <w:rsid w:val="00015F73"/>
    <w:rsid w:val="000171D5"/>
    <w:rsid w:val="000171DD"/>
    <w:rsid w:val="00020479"/>
    <w:rsid w:val="00020758"/>
    <w:rsid w:val="00020DE7"/>
    <w:rsid w:val="00021899"/>
    <w:rsid w:val="00021AEE"/>
    <w:rsid w:val="000252DF"/>
    <w:rsid w:val="0002703B"/>
    <w:rsid w:val="00027C49"/>
    <w:rsid w:val="00030A6C"/>
    <w:rsid w:val="00030F84"/>
    <w:rsid w:val="00034A01"/>
    <w:rsid w:val="00034D67"/>
    <w:rsid w:val="0003542C"/>
    <w:rsid w:val="00035E51"/>
    <w:rsid w:val="00036541"/>
    <w:rsid w:val="00040288"/>
    <w:rsid w:val="00041053"/>
    <w:rsid w:val="0004144E"/>
    <w:rsid w:val="000419D1"/>
    <w:rsid w:val="00042C96"/>
    <w:rsid w:val="00043164"/>
    <w:rsid w:val="000436A1"/>
    <w:rsid w:val="00044103"/>
    <w:rsid w:val="00045540"/>
    <w:rsid w:val="0004697D"/>
    <w:rsid w:val="000478B4"/>
    <w:rsid w:val="00050B2A"/>
    <w:rsid w:val="000514D5"/>
    <w:rsid w:val="00052DB7"/>
    <w:rsid w:val="00054E88"/>
    <w:rsid w:val="0005789A"/>
    <w:rsid w:val="00060A45"/>
    <w:rsid w:val="00061BE2"/>
    <w:rsid w:val="00063B1D"/>
    <w:rsid w:val="0006473C"/>
    <w:rsid w:val="00064E07"/>
    <w:rsid w:val="000675A2"/>
    <w:rsid w:val="00071004"/>
    <w:rsid w:val="00072C47"/>
    <w:rsid w:val="00074200"/>
    <w:rsid w:val="00074C6D"/>
    <w:rsid w:val="000759BF"/>
    <w:rsid w:val="00077644"/>
    <w:rsid w:val="00077706"/>
    <w:rsid w:val="00077BF7"/>
    <w:rsid w:val="00080469"/>
    <w:rsid w:val="00080A38"/>
    <w:rsid w:val="00081C36"/>
    <w:rsid w:val="0008310F"/>
    <w:rsid w:val="0008509F"/>
    <w:rsid w:val="00087470"/>
    <w:rsid w:val="000902E0"/>
    <w:rsid w:val="00091275"/>
    <w:rsid w:val="000922C8"/>
    <w:rsid w:val="00093CB5"/>
    <w:rsid w:val="00094325"/>
    <w:rsid w:val="0009460E"/>
    <w:rsid w:val="00094AB9"/>
    <w:rsid w:val="00094FD7"/>
    <w:rsid w:val="0009675C"/>
    <w:rsid w:val="00096DB3"/>
    <w:rsid w:val="00097C55"/>
    <w:rsid w:val="000A0BFF"/>
    <w:rsid w:val="000A0F10"/>
    <w:rsid w:val="000A1143"/>
    <w:rsid w:val="000A1471"/>
    <w:rsid w:val="000A14C0"/>
    <w:rsid w:val="000A16E7"/>
    <w:rsid w:val="000A1AAA"/>
    <w:rsid w:val="000A25C2"/>
    <w:rsid w:val="000A2B61"/>
    <w:rsid w:val="000A348C"/>
    <w:rsid w:val="000A442C"/>
    <w:rsid w:val="000A5E67"/>
    <w:rsid w:val="000A74B3"/>
    <w:rsid w:val="000B0137"/>
    <w:rsid w:val="000B0247"/>
    <w:rsid w:val="000B0259"/>
    <w:rsid w:val="000B1611"/>
    <w:rsid w:val="000B1A43"/>
    <w:rsid w:val="000B1B06"/>
    <w:rsid w:val="000B1B46"/>
    <w:rsid w:val="000B3303"/>
    <w:rsid w:val="000B3445"/>
    <w:rsid w:val="000B40AE"/>
    <w:rsid w:val="000B415A"/>
    <w:rsid w:val="000B7165"/>
    <w:rsid w:val="000B7941"/>
    <w:rsid w:val="000C2731"/>
    <w:rsid w:val="000C3673"/>
    <w:rsid w:val="000C4CE3"/>
    <w:rsid w:val="000C663F"/>
    <w:rsid w:val="000C6F7D"/>
    <w:rsid w:val="000C7777"/>
    <w:rsid w:val="000D163A"/>
    <w:rsid w:val="000D2483"/>
    <w:rsid w:val="000D3933"/>
    <w:rsid w:val="000D59B9"/>
    <w:rsid w:val="000D7CDE"/>
    <w:rsid w:val="000E04AE"/>
    <w:rsid w:val="000E09FE"/>
    <w:rsid w:val="000E1636"/>
    <w:rsid w:val="000E1E08"/>
    <w:rsid w:val="000E2C92"/>
    <w:rsid w:val="000E5641"/>
    <w:rsid w:val="000F11A9"/>
    <w:rsid w:val="000F1E6D"/>
    <w:rsid w:val="000F6075"/>
    <w:rsid w:val="001024A6"/>
    <w:rsid w:val="00105686"/>
    <w:rsid w:val="0010663D"/>
    <w:rsid w:val="00106C7A"/>
    <w:rsid w:val="0011067F"/>
    <w:rsid w:val="00110FAB"/>
    <w:rsid w:val="00112060"/>
    <w:rsid w:val="00112474"/>
    <w:rsid w:val="0011256E"/>
    <w:rsid w:val="00112E61"/>
    <w:rsid w:val="001144E2"/>
    <w:rsid w:val="001158BB"/>
    <w:rsid w:val="0012091F"/>
    <w:rsid w:val="0012413B"/>
    <w:rsid w:val="00124353"/>
    <w:rsid w:val="001254CD"/>
    <w:rsid w:val="00126513"/>
    <w:rsid w:val="0012754B"/>
    <w:rsid w:val="0012758C"/>
    <w:rsid w:val="0013095E"/>
    <w:rsid w:val="00130C41"/>
    <w:rsid w:val="00130DB6"/>
    <w:rsid w:val="00131231"/>
    <w:rsid w:val="00132A40"/>
    <w:rsid w:val="00134AD2"/>
    <w:rsid w:val="00141E52"/>
    <w:rsid w:val="00144D2F"/>
    <w:rsid w:val="0015039B"/>
    <w:rsid w:val="00151065"/>
    <w:rsid w:val="001539E9"/>
    <w:rsid w:val="00153CF1"/>
    <w:rsid w:val="00154145"/>
    <w:rsid w:val="001579A5"/>
    <w:rsid w:val="001607BF"/>
    <w:rsid w:val="0016133F"/>
    <w:rsid w:val="00161FE6"/>
    <w:rsid w:val="00162677"/>
    <w:rsid w:val="001679C6"/>
    <w:rsid w:val="001716AE"/>
    <w:rsid w:val="0017313F"/>
    <w:rsid w:val="00176610"/>
    <w:rsid w:val="00177B13"/>
    <w:rsid w:val="001806E4"/>
    <w:rsid w:val="001818BF"/>
    <w:rsid w:val="001822AC"/>
    <w:rsid w:val="00182DBF"/>
    <w:rsid w:val="00183D5C"/>
    <w:rsid w:val="0018689A"/>
    <w:rsid w:val="001925EB"/>
    <w:rsid w:val="00193584"/>
    <w:rsid w:val="00193D7E"/>
    <w:rsid w:val="001A279B"/>
    <w:rsid w:val="001A37D0"/>
    <w:rsid w:val="001A5ADA"/>
    <w:rsid w:val="001A65A2"/>
    <w:rsid w:val="001A6CD0"/>
    <w:rsid w:val="001B07F3"/>
    <w:rsid w:val="001B0FA2"/>
    <w:rsid w:val="001B1BA5"/>
    <w:rsid w:val="001B1F7A"/>
    <w:rsid w:val="001B6AB9"/>
    <w:rsid w:val="001B6D9E"/>
    <w:rsid w:val="001B6EF3"/>
    <w:rsid w:val="001B7AE5"/>
    <w:rsid w:val="001B7CB3"/>
    <w:rsid w:val="001C0289"/>
    <w:rsid w:val="001C050A"/>
    <w:rsid w:val="001C18CB"/>
    <w:rsid w:val="001C2EAC"/>
    <w:rsid w:val="001C344E"/>
    <w:rsid w:val="001C441C"/>
    <w:rsid w:val="001C46EE"/>
    <w:rsid w:val="001C52F8"/>
    <w:rsid w:val="001C54F1"/>
    <w:rsid w:val="001C5560"/>
    <w:rsid w:val="001C5E39"/>
    <w:rsid w:val="001C61EE"/>
    <w:rsid w:val="001D0607"/>
    <w:rsid w:val="001D2636"/>
    <w:rsid w:val="001D2995"/>
    <w:rsid w:val="001D2F30"/>
    <w:rsid w:val="001D3BEB"/>
    <w:rsid w:val="001D3C46"/>
    <w:rsid w:val="001D4922"/>
    <w:rsid w:val="001D4B59"/>
    <w:rsid w:val="001D502C"/>
    <w:rsid w:val="001D51D8"/>
    <w:rsid w:val="001D734C"/>
    <w:rsid w:val="001D7B7A"/>
    <w:rsid w:val="001E0ACC"/>
    <w:rsid w:val="001E0F91"/>
    <w:rsid w:val="001E1614"/>
    <w:rsid w:val="001E18F9"/>
    <w:rsid w:val="001E2259"/>
    <w:rsid w:val="001E362D"/>
    <w:rsid w:val="001E37DE"/>
    <w:rsid w:val="001E4033"/>
    <w:rsid w:val="001E4255"/>
    <w:rsid w:val="001E5E91"/>
    <w:rsid w:val="001F1004"/>
    <w:rsid w:val="001F11AE"/>
    <w:rsid w:val="001F33FF"/>
    <w:rsid w:val="001F45F7"/>
    <w:rsid w:val="001F4BBD"/>
    <w:rsid w:val="001F5B31"/>
    <w:rsid w:val="001F6B1C"/>
    <w:rsid w:val="001F75E0"/>
    <w:rsid w:val="001F76DD"/>
    <w:rsid w:val="002041DA"/>
    <w:rsid w:val="002048D2"/>
    <w:rsid w:val="00204D7D"/>
    <w:rsid w:val="0020761D"/>
    <w:rsid w:val="0021088E"/>
    <w:rsid w:val="0021092E"/>
    <w:rsid w:val="00210A56"/>
    <w:rsid w:val="00210CE6"/>
    <w:rsid w:val="00210FF0"/>
    <w:rsid w:val="002110C0"/>
    <w:rsid w:val="00212B4F"/>
    <w:rsid w:val="002145DD"/>
    <w:rsid w:val="002149D1"/>
    <w:rsid w:val="002161F8"/>
    <w:rsid w:val="00216487"/>
    <w:rsid w:val="00216A41"/>
    <w:rsid w:val="0021759D"/>
    <w:rsid w:val="00217A5F"/>
    <w:rsid w:val="002205F8"/>
    <w:rsid w:val="00221A75"/>
    <w:rsid w:val="00221AE0"/>
    <w:rsid w:val="00223D2E"/>
    <w:rsid w:val="00224DCE"/>
    <w:rsid w:val="00225116"/>
    <w:rsid w:val="0022740B"/>
    <w:rsid w:val="0022781B"/>
    <w:rsid w:val="0022791E"/>
    <w:rsid w:val="00230782"/>
    <w:rsid w:val="00231865"/>
    <w:rsid w:val="00232245"/>
    <w:rsid w:val="00233125"/>
    <w:rsid w:val="0023382A"/>
    <w:rsid w:val="00234F50"/>
    <w:rsid w:val="0023590B"/>
    <w:rsid w:val="00236C4C"/>
    <w:rsid w:val="00237B5E"/>
    <w:rsid w:val="0024040E"/>
    <w:rsid w:val="00240564"/>
    <w:rsid w:val="00241BD0"/>
    <w:rsid w:val="00243154"/>
    <w:rsid w:val="00244B87"/>
    <w:rsid w:val="0024526E"/>
    <w:rsid w:val="002462B2"/>
    <w:rsid w:val="002465C9"/>
    <w:rsid w:val="0024675F"/>
    <w:rsid w:val="00255CE2"/>
    <w:rsid w:val="0025693B"/>
    <w:rsid w:val="00256ED5"/>
    <w:rsid w:val="002578FE"/>
    <w:rsid w:val="00261282"/>
    <w:rsid w:val="00261601"/>
    <w:rsid w:val="00261FCE"/>
    <w:rsid w:val="00262293"/>
    <w:rsid w:val="00262AB9"/>
    <w:rsid w:val="0026376F"/>
    <w:rsid w:val="00264285"/>
    <w:rsid w:val="0026510A"/>
    <w:rsid w:val="00265423"/>
    <w:rsid w:val="00265F45"/>
    <w:rsid w:val="002737B9"/>
    <w:rsid w:val="002740DC"/>
    <w:rsid w:val="00274917"/>
    <w:rsid w:val="00276E89"/>
    <w:rsid w:val="0027745A"/>
    <w:rsid w:val="00280529"/>
    <w:rsid w:val="002815D0"/>
    <w:rsid w:val="002816BF"/>
    <w:rsid w:val="00281D84"/>
    <w:rsid w:val="00282DC9"/>
    <w:rsid w:val="002866A6"/>
    <w:rsid w:val="002874FF"/>
    <w:rsid w:val="00287912"/>
    <w:rsid w:val="00291C1A"/>
    <w:rsid w:val="002924A5"/>
    <w:rsid w:val="0029322B"/>
    <w:rsid w:val="00294690"/>
    <w:rsid w:val="0029469F"/>
    <w:rsid w:val="00295F7A"/>
    <w:rsid w:val="002A1454"/>
    <w:rsid w:val="002A2513"/>
    <w:rsid w:val="002A2940"/>
    <w:rsid w:val="002B060C"/>
    <w:rsid w:val="002B19FE"/>
    <w:rsid w:val="002B2D90"/>
    <w:rsid w:val="002B31DA"/>
    <w:rsid w:val="002B3DC0"/>
    <w:rsid w:val="002B41FD"/>
    <w:rsid w:val="002B5542"/>
    <w:rsid w:val="002B644A"/>
    <w:rsid w:val="002B6D5D"/>
    <w:rsid w:val="002B7BA1"/>
    <w:rsid w:val="002C0597"/>
    <w:rsid w:val="002C093F"/>
    <w:rsid w:val="002C1314"/>
    <w:rsid w:val="002C1B74"/>
    <w:rsid w:val="002C25A0"/>
    <w:rsid w:val="002C28F4"/>
    <w:rsid w:val="002C3640"/>
    <w:rsid w:val="002C4A06"/>
    <w:rsid w:val="002C5FB0"/>
    <w:rsid w:val="002C64F2"/>
    <w:rsid w:val="002C6845"/>
    <w:rsid w:val="002C7440"/>
    <w:rsid w:val="002D0250"/>
    <w:rsid w:val="002D0899"/>
    <w:rsid w:val="002D3AAC"/>
    <w:rsid w:val="002D4445"/>
    <w:rsid w:val="002D4784"/>
    <w:rsid w:val="002D4849"/>
    <w:rsid w:val="002D5038"/>
    <w:rsid w:val="002D6C4F"/>
    <w:rsid w:val="002D70DE"/>
    <w:rsid w:val="002E166A"/>
    <w:rsid w:val="002E48AA"/>
    <w:rsid w:val="002E4939"/>
    <w:rsid w:val="002E4A5F"/>
    <w:rsid w:val="002E7A1C"/>
    <w:rsid w:val="002F183A"/>
    <w:rsid w:val="002F2A45"/>
    <w:rsid w:val="002F4B08"/>
    <w:rsid w:val="002F5802"/>
    <w:rsid w:val="002F69B3"/>
    <w:rsid w:val="00301065"/>
    <w:rsid w:val="003015B1"/>
    <w:rsid w:val="00302131"/>
    <w:rsid w:val="00302AE5"/>
    <w:rsid w:val="00302B2D"/>
    <w:rsid w:val="0030625D"/>
    <w:rsid w:val="00307300"/>
    <w:rsid w:val="0031049E"/>
    <w:rsid w:val="003109C6"/>
    <w:rsid w:val="00311D18"/>
    <w:rsid w:val="003126E4"/>
    <w:rsid w:val="00312FA7"/>
    <w:rsid w:val="00313829"/>
    <w:rsid w:val="00316B5B"/>
    <w:rsid w:val="00317682"/>
    <w:rsid w:val="00317D75"/>
    <w:rsid w:val="00320925"/>
    <w:rsid w:val="00320E8A"/>
    <w:rsid w:val="00321181"/>
    <w:rsid w:val="003215CC"/>
    <w:rsid w:val="00322B02"/>
    <w:rsid w:val="00323545"/>
    <w:rsid w:val="00324288"/>
    <w:rsid w:val="00324309"/>
    <w:rsid w:val="003245C4"/>
    <w:rsid w:val="00325807"/>
    <w:rsid w:val="00326529"/>
    <w:rsid w:val="0032759C"/>
    <w:rsid w:val="00327679"/>
    <w:rsid w:val="00331151"/>
    <w:rsid w:val="003324E8"/>
    <w:rsid w:val="00332ECC"/>
    <w:rsid w:val="00333257"/>
    <w:rsid w:val="0033760F"/>
    <w:rsid w:val="00340F91"/>
    <w:rsid w:val="00341FBC"/>
    <w:rsid w:val="00342041"/>
    <w:rsid w:val="003429DD"/>
    <w:rsid w:val="003429F5"/>
    <w:rsid w:val="00344529"/>
    <w:rsid w:val="0034750E"/>
    <w:rsid w:val="00347CB2"/>
    <w:rsid w:val="003503DA"/>
    <w:rsid w:val="00350BCF"/>
    <w:rsid w:val="0035219D"/>
    <w:rsid w:val="00353262"/>
    <w:rsid w:val="00354ECA"/>
    <w:rsid w:val="00355F3D"/>
    <w:rsid w:val="00357ACB"/>
    <w:rsid w:val="003614D0"/>
    <w:rsid w:val="00361C63"/>
    <w:rsid w:val="00363C18"/>
    <w:rsid w:val="00364595"/>
    <w:rsid w:val="00365AC6"/>
    <w:rsid w:val="00365D89"/>
    <w:rsid w:val="00367509"/>
    <w:rsid w:val="003707B0"/>
    <w:rsid w:val="00370EBA"/>
    <w:rsid w:val="0037348A"/>
    <w:rsid w:val="003743DD"/>
    <w:rsid w:val="00374498"/>
    <w:rsid w:val="00375D87"/>
    <w:rsid w:val="0037765D"/>
    <w:rsid w:val="00377FB8"/>
    <w:rsid w:val="00380914"/>
    <w:rsid w:val="0038186E"/>
    <w:rsid w:val="003837FA"/>
    <w:rsid w:val="0038435D"/>
    <w:rsid w:val="003847EB"/>
    <w:rsid w:val="0038543F"/>
    <w:rsid w:val="003862F4"/>
    <w:rsid w:val="00386705"/>
    <w:rsid w:val="00386862"/>
    <w:rsid w:val="003901A9"/>
    <w:rsid w:val="003901C7"/>
    <w:rsid w:val="003908E2"/>
    <w:rsid w:val="00390FB3"/>
    <w:rsid w:val="0039152E"/>
    <w:rsid w:val="00391B13"/>
    <w:rsid w:val="00391F2A"/>
    <w:rsid w:val="00392F2F"/>
    <w:rsid w:val="00392F7C"/>
    <w:rsid w:val="00393951"/>
    <w:rsid w:val="003941A0"/>
    <w:rsid w:val="00395AE6"/>
    <w:rsid w:val="00397291"/>
    <w:rsid w:val="00397459"/>
    <w:rsid w:val="00397768"/>
    <w:rsid w:val="003A3F68"/>
    <w:rsid w:val="003A56CF"/>
    <w:rsid w:val="003A5C70"/>
    <w:rsid w:val="003A6955"/>
    <w:rsid w:val="003A7621"/>
    <w:rsid w:val="003B169E"/>
    <w:rsid w:val="003B1D87"/>
    <w:rsid w:val="003B3066"/>
    <w:rsid w:val="003B3AED"/>
    <w:rsid w:val="003B3FC3"/>
    <w:rsid w:val="003B4B00"/>
    <w:rsid w:val="003B5CA0"/>
    <w:rsid w:val="003B6292"/>
    <w:rsid w:val="003B6CA5"/>
    <w:rsid w:val="003B7244"/>
    <w:rsid w:val="003C026E"/>
    <w:rsid w:val="003C047E"/>
    <w:rsid w:val="003C06CD"/>
    <w:rsid w:val="003C1988"/>
    <w:rsid w:val="003C19CB"/>
    <w:rsid w:val="003C373A"/>
    <w:rsid w:val="003C3947"/>
    <w:rsid w:val="003C3FD9"/>
    <w:rsid w:val="003C5F4F"/>
    <w:rsid w:val="003C7466"/>
    <w:rsid w:val="003C78EA"/>
    <w:rsid w:val="003C7BAA"/>
    <w:rsid w:val="003D1B50"/>
    <w:rsid w:val="003D2FF5"/>
    <w:rsid w:val="003D3533"/>
    <w:rsid w:val="003D4A9C"/>
    <w:rsid w:val="003D508A"/>
    <w:rsid w:val="003E2E88"/>
    <w:rsid w:val="003E4295"/>
    <w:rsid w:val="003E5F57"/>
    <w:rsid w:val="003E645C"/>
    <w:rsid w:val="003F1DAB"/>
    <w:rsid w:val="003F388C"/>
    <w:rsid w:val="003F3E84"/>
    <w:rsid w:val="003F49A5"/>
    <w:rsid w:val="003F4A5D"/>
    <w:rsid w:val="003F6824"/>
    <w:rsid w:val="004006D7"/>
    <w:rsid w:val="00401539"/>
    <w:rsid w:val="00401E44"/>
    <w:rsid w:val="004020A2"/>
    <w:rsid w:val="004020CD"/>
    <w:rsid w:val="00403838"/>
    <w:rsid w:val="00403F40"/>
    <w:rsid w:val="00404C3A"/>
    <w:rsid w:val="004060B3"/>
    <w:rsid w:val="00406414"/>
    <w:rsid w:val="004118D5"/>
    <w:rsid w:val="00411A34"/>
    <w:rsid w:val="00413028"/>
    <w:rsid w:val="004130B8"/>
    <w:rsid w:val="00413363"/>
    <w:rsid w:val="00413508"/>
    <w:rsid w:val="00414051"/>
    <w:rsid w:val="00414348"/>
    <w:rsid w:val="00414B78"/>
    <w:rsid w:val="00415206"/>
    <w:rsid w:val="004160D8"/>
    <w:rsid w:val="00416C51"/>
    <w:rsid w:val="0041794D"/>
    <w:rsid w:val="00420885"/>
    <w:rsid w:val="00421BD1"/>
    <w:rsid w:val="004226AA"/>
    <w:rsid w:val="00422DC6"/>
    <w:rsid w:val="00423164"/>
    <w:rsid w:val="00423C0D"/>
    <w:rsid w:val="0042561B"/>
    <w:rsid w:val="0042628E"/>
    <w:rsid w:val="00427762"/>
    <w:rsid w:val="00430970"/>
    <w:rsid w:val="0043154E"/>
    <w:rsid w:val="00431A80"/>
    <w:rsid w:val="00432294"/>
    <w:rsid w:val="004326EB"/>
    <w:rsid w:val="00435479"/>
    <w:rsid w:val="004372A0"/>
    <w:rsid w:val="00441B41"/>
    <w:rsid w:val="0044271D"/>
    <w:rsid w:val="00445B68"/>
    <w:rsid w:val="00446749"/>
    <w:rsid w:val="00446ABC"/>
    <w:rsid w:val="00447209"/>
    <w:rsid w:val="00447699"/>
    <w:rsid w:val="00447B40"/>
    <w:rsid w:val="0045074F"/>
    <w:rsid w:val="0045156C"/>
    <w:rsid w:val="0045190F"/>
    <w:rsid w:val="00451B9D"/>
    <w:rsid w:val="0045423B"/>
    <w:rsid w:val="00454337"/>
    <w:rsid w:val="00454AE8"/>
    <w:rsid w:val="004566AA"/>
    <w:rsid w:val="004572EE"/>
    <w:rsid w:val="00457E07"/>
    <w:rsid w:val="004606E7"/>
    <w:rsid w:val="00460C5B"/>
    <w:rsid w:val="00462B4B"/>
    <w:rsid w:val="00462EAF"/>
    <w:rsid w:val="00463440"/>
    <w:rsid w:val="00466520"/>
    <w:rsid w:val="0046663C"/>
    <w:rsid w:val="00466A36"/>
    <w:rsid w:val="00466BE0"/>
    <w:rsid w:val="00466C93"/>
    <w:rsid w:val="0047037D"/>
    <w:rsid w:val="004708FE"/>
    <w:rsid w:val="00470DBE"/>
    <w:rsid w:val="00470FB3"/>
    <w:rsid w:val="00475EFA"/>
    <w:rsid w:val="00480AF6"/>
    <w:rsid w:val="00483779"/>
    <w:rsid w:val="00483D26"/>
    <w:rsid w:val="004849F1"/>
    <w:rsid w:val="004854E3"/>
    <w:rsid w:val="00486334"/>
    <w:rsid w:val="00490252"/>
    <w:rsid w:val="00491617"/>
    <w:rsid w:val="00493925"/>
    <w:rsid w:val="00494AE8"/>
    <w:rsid w:val="00494B9D"/>
    <w:rsid w:val="00495FB4"/>
    <w:rsid w:val="004965A4"/>
    <w:rsid w:val="004A2351"/>
    <w:rsid w:val="004A2D5F"/>
    <w:rsid w:val="004A5614"/>
    <w:rsid w:val="004A5934"/>
    <w:rsid w:val="004A7248"/>
    <w:rsid w:val="004A762C"/>
    <w:rsid w:val="004B0185"/>
    <w:rsid w:val="004B5289"/>
    <w:rsid w:val="004B7613"/>
    <w:rsid w:val="004C226B"/>
    <w:rsid w:val="004C3A3A"/>
    <w:rsid w:val="004C3BEA"/>
    <w:rsid w:val="004D0D48"/>
    <w:rsid w:val="004D289B"/>
    <w:rsid w:val="004D2D78"/>
    <w:rsid w:val="004D3257"/>
    <w:rsid w:val="004D389A"/>
    <w:rsid w:val="004D48DD"/>
    <w:rsid w:val="004D7529"/>
    <w:rsid w:val="004D7B9C"/>
    <w:rsid w:val="004E037B"/>
    <w:rsid w:val="004E272D"/>
    <w:rsid w:val="004E283E"/>
    <w:rsid w:val="004E2CAB"/>
    <w:rsid w:val="004E42FA"/>
    <w:rsid w:val="004E4764"/>
    <w:rsid w:val="004E530A"/>
    <w:rsid w:val="004E5794"/>
    <w:rsid w:val="004E635D"/>
    <w:rsid w:val="004E6514"/>
    <w:rsid w:val="004E662C"/>
    <w:rsid w:val="004E706B"/>
    <w:rsid w:val="004E7CD2"/>
    <w:rsid w:val="004F0075"/>
    <w:rsid w:val="004F07E6"/>
    <w:rsid w:val="004F08BD"/>
    <w:rsid w:val="004F0B6F"/>
    <w:rsid w:val="004F1B90"/>
    <w:rsid w:val="004F238E"/>
    <w:rsid w:val="004F3404"/>
    <w:rsid w:val="004F390B"/>
    <w:rsid w:val="004F4887"/>
    <w:rsid w:val="004F4FA9"/>
    <w:rsid w:val="004F7C8C"/>
    <w:rsid w:val="005013E4"/>
    <w:rsid w:val="0050177A"/>
    <w:rsid w:val="00506F51"/>
    <w:rsid w:val="00507B2E"/>
    <w:rsid w:val="00510206"/>
    <w:rsid w:val="00510730"/>
    <w:rsid w:val="00510B2E"/>
    <w:rsid w:val="005119A8"/>
    <w:rsid w:val="00513838"/>
    <w:rsid w:val="00514D3A"/>
    <w:rsid w:val="00515016"/>
    <w:rsid w:val="0051797F"/>
    <w:rsid w:val="00517C93"/>
    <w:rsid w:val="00517DE6"/>
    <w:rsid w:val="00521797"/>
    <w:rsid w:val="00521C0B"/>
    <w:rsid w:val="00522157"/>
    <w:rsid w:val="0052221B"/>
    <w:rsid w:val="0052333A"/>
    <w:rsid w:val="00523C20"/>
    <w:rsid w:val="005251A2"/>
    <w:rsid w:val="00526000"/>
    <w:rsid w:val="005314AB"/>
    <w:rsid w:val="00532128"/>
    <w:rsid w:val="0053243A"/>
    <w:rsid w:val="005325ED"/>
    <w:rsid w:val="00534179"/>
    <w:rsid w:val="00534246"/>
    <w:rsid w:val="00534DB5"/>
    <w:rsid w:val="00535699"/>
    <w:rsid w:val="005361E3"/>
    <w:rsid w:val="00540B2F"/>
    <w:rsid w:val="005411EC"/>
    <w:rsid w:val="00544776"/>
    <w:rsid w:val="0054524F"/>
    <w:rsid w:val="005452F1"/>
    <w:rsid w:val="00546251"/>
    <w:rsid w:val="005467D3"/>
    <w:rsid w:val="00546D47"/>
    <w:rsid w:val="005472AB"/>
    <w:rsid w:val="00547664"/>
    <w:rsid w:val="005501EE"/>
    <w:rsid w:val="00551359"/>
    <w:rsid w:val="00551B7F"/>
    <w:rsid w:val="00552001"/>
    <w:rsid w:val="0055214A"/>
    <w:rsid w:val="00552A29"/>
    <w:rsid w:val="00553257"/>
    <w:rsid w:val="00553898"/>
    <w:rsid w:val="00555466"/>
    <w:rsid w:val="005556D4"/>
    <w:rsid w:val="00555766"/>
    <w:rsid w:val="0055722D"/>
    <w:rsid w:val="005615A4"/>
    <w:rsid w:val="005622C9"/>
    <w:rsid w:val="00562373"/>
    <w:rsid w:val="00562598"/>
    <w:rsid w:val="0056277C"/>
    <w:rsid w:val="00562A8F"/>
    <w:rsid w:val="005639F7"/>
    <w:rsid w:val="00565D9B"/>
    <w:rsid w:val="005670C1"/>
    <w:rsid w:val="00571781"/>
    <w:rsid w:val="00571BBE"/>
    <w:rsid w:val="005727A9"/>
    <w:rsid w:val="00573142"/>
    <w:rsid w:val="00573169"/>
    <w:rsid w:val="0057376E"/>
    <w:rsid w:val="00575359"/>
    <w:rsid w:val="0057657B"/>
    <w:rsid w:val="00577CB4"/>
    <w:rsid w:val="00577F45"/>
    <w:rsid w:val="005829F1"/>
    <w:rsid w:val="00582B80"/>
    <w:rsid w:val="0058349D"/>
    <w:rsid w:val="0058363D"/>
    <w:rsid w:val="00584DC2"/>
    <w:rsid w:val="00586AB3"/>
    <w:rsid w:val="00592EF4"/>
    <w:rsid w:val="00593033"/>
    <w:rsid w:val="00597726"/>
    <w:rsid w:val="005977EB"/>
    <w:rsid w:val="005A134E"/>
    <w:rsid w:val="005A30AA"/>
    <w:rsid w:val="005A3106"/>
    <w:rsid w:val="005A39BA"/>
    <w:rsid w:val="005A4229"/>
    <w:rsid w:val="005A4405"/>
    <w:rsid w:val="005A50FB"/>
    <w:rsid w:val="005A5E85"/>
    <w:rsid w:val="005A7983"/>
    <w:rsid w:val="005B094D"/>
    <w:rsid w:val="005B18BF"/>
    <w:rsid w:val="005B3F15"/>
    <w:rsid w:val="005B45FA"/>
    <w:rsid w:val="005B49FD"/>
    <w:rsid w:val="005B55AA"/>
    <w:rsid w:val="005C2603"/>
    <w:rsid w:val="005C31A8"/>
    <w:rsid w:val="005C3916"/>
    <w:rsid w:val="005C3E5F"/>
    <w:rsid w:val="005C3F15"/>
    <w:rsid w:val="005C6286"/>
    <w:rsid w:val="005C713E"/>
    <w:rsid w:val="005C7305"/>
    <w:rsid w:val="005D0BDD"/>
    <w:rsid w:val="005D1403"/>
    <w:rsid w:val="005D2A2C"/>
    <w:rsid w:val="005D317B"/>
    <w:rsid w:val="005E07E1"/>
    <w:rsid w:val="005E254A"/>
    <w:rsid w:val="005E3859"/>
    <w:rsid w:val="005E44A7"/>
    <w:rsid w:val="005E4529"/>
    <w:rsid w:val="005E53F4"/>
    <w:rsid w:val="005F09EE"/>
    <w:rsid w:val="005F0A32"/>
    <w:rsid w:val="005F1652"/>
    <w:rsid w:val="005F20F3"/>
    <w:rsid w:val="005F3D4B"/>
    <w:rsid w:val="005F4320"/>
    <w:rsid w:val="005F573C"/>
    <w:rsid w:val="005F5A42"/>
    <w:rsid w:val="005F7033"/>
    <w:rsid w:val="005F72CA"/>
    <w:rsid w:val="00600C38"/>
    <w:rsid w:val="006012C3"/>
    <w:rsid w:val="00602F15"/>
    <w:rsid w:val="0061047D"/>
    <w:rsid w:val="00611518"/>
    <w:rsid w:val="006145C4"/>
    <w:rsid w:val="00616DE3"/>
    <w:rsid w:val="006218DC"/>
    <w:rsid w:val="00621AA9"/>
    <w:rsid w:val="006235A9"/>
    <w:rsid w:val="00624AA0"/>
    <w:rsid w:val="00625E89"/>
    <w:rsid w:val="00631378"/>
    <w:rsid w:val="00631D12"/>
    <w:rsid w:val="0063253C"/>
    <w:rsid w:val="0063334E"/>
    <w:rsid w:val="00633C28"/>
    <w:rsid w:val="00635798"/>
    <w:rsid w:val="006367B4"/>
    <w:rsid w:val="0063765B"/>
    <w:rsid w:val="00640C66"/>
    <w:rsid w:val="00640C8E"/>
    <w:rsid w:val="00641273"/>
    <w:rsid w:val="00641C42"/>
    <w:rsid w:val="006425EF"/>
    <w:rsid w:val="006432A2"/>
    <w:rsid w:val="00644F0B"/>
    <w:rsid w:val="00645054"/>
    <w:rsid w:val="00645E38"/>
    <w:rsid w:val="0064621E"/>
    <w:rsid w:val="006508D1"/>
    <w:rsid w:val="006526E9"/>
    <w:rsid w:val="00653FBE"/>
    <w:rsid w:val="00654580"/>
    <w:rsid w:val="00657ABE"/>
    <w:rsid w:val="006602F8"/>
    <w:rsid w:val="00660857"/>
    <w:rsid w:val="00661C05"/>
    <w:rsid w:val="006621E0"/>
    <w:rsid w:val="0066238D"/>
    <w:rsid w:val="00663C91"/>
    <w:rsid w:val="00663EAD"/>
    <w:rsid w:val="006648DD"/>
    <w:rsid w:val="00665715"/>
    <w:rsid w:val="006667E9"/>
    <w:rsid w:val="00674281"/>
    <w:rsid w:val="00674B29"/>
    <w:rsid w:val="00676358"/>
    <w:rsid w:val="0068153F"/>
    <w:rsid w:val="0068155F"/>
    <w:rsid w:val="00684941"/>
    <w:rsid w:val="0068642A"/>
    <w:rsid w:val="00687F06"/>
    <w:rsid w:val="00693274"/>
    <w:rsid w:val="00694604"/>
    <w:rsid w:val="0069494F"/>
    <w:rsid w:val="00694F2D"/>
    <w:rsid w:val="006950E8"/>
    <w:rsid w:val="006952C6"/>
    <w:rsid w:val="00697B76"/>
    <w:rsid w:val="006A04AF"/>
    <w:rsid w:val="006A287D"/>
    <w:rsid w:val="006A38A8"/>
    <w:rsid w:val="006A4C99"/>
    <w:rsid w:val="006A5145"/>
    <w:rsid w:val="006A5C7C"/>
    <w:rsid w:val="006A6EFE"/>
    <w:rsid w:val="006B3182"/>
    <w:rsid w:val="006B3FCF"/>
    <w:rsid w:val="006B44A8"/>
    <w:rsid w:val="006B554A"/>
    <w:rsid w:val="006B5754"/>
    <w:rsid w:val="006B6559"/>
    <w:rsid w:val="006C0E8B"/>
    <w:rsid w:val="006C1FB6"/>
    <w:rsid w:val="006C2089"/>
    <w:rsid w:val="006C2327"/>
    <w:rsid w:val="006C2B51"/>
    <w:rsid w:val="006C2F76"/>
    <w:rsid w:val="006C3F26"/>
    <w:rsid w:val="006C404F"/>
    <w:rsid w:val="006C7311"/>
    <w:rsid w:val="006D311C"/>
    <w:rsid w:val="006D3BC5"/>
    <w:rsid w:val="006D3F18"/>
    <w:rsid w:val="006D65C7"/>
    <w:rsid w:val="006D7378"/>
    <w:rsid w:val="006D786D"/>
    <w:rsid w:val="006E0C5E"/>
    <w:rsid w:val="006E0E56"/>
    <w:rsid w:val="006E1F88"/>
    <w:rsid w:val="006E663A"/>
    <w:rsid w:val="006E7700"/>
    <w:rsid w:val="006E79EB"/>
    <w:rsid w:val="006F0F13"/>
    <w:rsid w:val="006F1645"/>
    <w:rsid w:val="006F1AED"/>
    <w:rsid w:val="006F383C"/>
    <w:rsid w:val="006F415B"/>
    <w:rsid w:val="006F7647"/>
    <w:rsid w:val="00700048"/>
    <w:rsid w:val="0070246A"/>
    <w:rsid w:val="00702856"/>
    <w:rsid w:val="007034B1"/>
    <w:rsid w:val="00704FE9"/>
    <w:rsid w:val="00705A19"/>
    <w:rsid w:val="00705A74"/>
    <w:rsid w:val="00710D8F"/>
    <w:rsid w:val="0071110C"/>
    <w:rsid w:val="00711F72"/>
    <w:rsid w:val="0071316B"/>
    <w:rsid w:val="00714156"/>
    <w:rsid w:val="0071465E"/>
    <w:rsid w:val="00715402"/>
    <w:rsid w:val="00715CF0"/>
    <w:rsid w:val="00715E22"/>
    <w:rsid w:val="00720A41"/>
    <w:rsid w:val="00721E0E"/>
    <w:rsid w:val="00722095"/>
    <w:rsid w:val="0072263B"/>
    <w:rsid w:val="00723037"/>
    <w:rsid w:val="007230B7"/>
    <w:rsid w:val="00724135"/>
    <w:rsid w:val="00727465"/>
    <w:rsid w:val="007314F5"/>
    <w:rsid w:val="00734EC6"/>
    <w:rsid w:val="00735872"/>
    <w:rsid w:val="00737CD3"/>
    <w:rsid w:val="00743A43"/>
    <w:rsid w:val="00743CBF"/>
    <w:rsid w:val="0074432C"/>
    <w:rsid w:val="00744B33"/>
    <w:rsid w:val="00745C20"/>
    <w:rsid w:val="007461ED"/>
    <w:rsid w:val="00746853"/>
    <w:rsid w:val="0075104E"/>
    <w:rsid w:val="00751B03"/>
    <w:rsid w:val="00753D91"/>
    <w:rsid w:val="00754157"/>
    <w:rsid w:val="0075498D"/>
    <w:rsid w:val="00754AFD"/>
    <w:rsid w:val="00755085"/>
    <w:rsid w:val="00755F06"/>
    <w:rsid w:val="007574FB"/>
    <w:rsid w:val="00757CEC"/>
    <w:rsid w:val="00762A65"/>
    <w:rsid w:val="0076362A"/>
    <w:rsid w:val="00763E9B"/>
    <w:rsid w:val="00763EC8"/>
    <w:rsid w:val="00764758"/>
    <w:rsid w:val="00765F3C"/>
    <w:rsid w:val="00766969"/>
    <w:rsid w:val="00766A2A"/>
    <w:rsid w:val="00766FD4"/>
    <w:rsid w:val="0076773A"/>
    <w:rsid w:val="007677E7"/>
    <w:rsid w:val="0077120A"/>
    <w:rsid w:val="00771AC7"/>
    <w:rsid w:val="00771C1C"/>
    <w:rsid w:val="007726D7"/>
    <w:rsid w:val="00774004"/>
    <w:rsid w:val="00775DC2"/>
    <w:rsid w:val="00775F4B"/>
    <w:rsid w:val="00776E73"/>
    <w:rsid w:val="00780362"/>
    <w:rsid w:val="00781A8A"/>
    <w:rsid w:val="00781CF2"/>
    <w:rsid w:val="00783A21"/>
    <w:rsid w:val="00783F5E"/>
    <w:rsid w:val="007859D9"/>
    <w:rsid w:val="00786A57"/>
    <w:rsid w:val="007873B2"/>
    <w:rsid w:val="007901EA"/>
    <w:rsid w:val="00790624"/>
    <w:rsid w:val="00790CCC"/>
    <w:rsid w:val="00791E9F"/>
    <w:rsid w:val="00791F36"/>
    <w:rsid w:val="00792000"/>
    <w:rsid w:val="007922E4"/>
    <w:rsid w:val="00794616"/>
    <w:rsid w:val="00794F5B"/>
    <w:rsid w:val="00795F7C"/>
    <w:rsid w:val="007A0EDD"/>
    <w:rsid w:val="007A1EA2"/>
    <w:rsid w:val="007A2213"/>
    <w:rsid w:val="007A4411"/>
    <w:rsid w:val="007A4479"/>
    <w:rsid w:val="007A44DB"/>
    <w:rsid w:val="007A6608"/>
    <w:rsid w:val="007B018F"/>
    <w:rsid w:val="007B329F"/>
    <w:rsid w:val="007B46A6"/>
    <w:rsid w:val="007B47BA"/>
    <w:rsid w:val="007B5A43"/>
    <w:rsid w:val="007B6577"/>
    <w:rsid w:val="007B71A6"/>
    <w:rsid w:val="007B7E79"/>
    <w:rsid w:val="007C3424"/>
    <w:rsid w:val="007C5F35"/>
    <w:rsid w:val="007C611E"/>
    <w:rsid w:val="007C7245"/>
    <w:rsid w:val="007C7E8C"/>
    <w:rsid w:val="007D211F"/>
    <w:rsid w:val="007D2BCD"/>
    <w:rsid w:val="007D3E1C"/>
    <w:rsid w:val="007D6AA7"/>
    <w:rsid w:val="007D6ACF"/>
    <w:rsid w:val="007D707D"/>
    <w:rsid w:val="007E0780"/>
    <w:rsid w:val="007E0920"/>
    <w:rsid w:val="007E10EC"/>
    <w:rsid w:val="007E13EA"/>
    <w:rsid w:val="007E1A37"/>
    <w:rsid w:val="007E39EC"/>
    <w:rsid w:val="007E4205"/>
    <w:rsid w:val="007E6820"/>
    <w:rsid w:val="007E721D"/>
    <w:rsid w:val="007E7B91"/>
    <w:rsid w:val="007F0A7F"/>
    <w:rsid w:val="007F1292"/>
    <w:rsid w:val="007F12CC"/>
    <w:rsid w:val="007F3622"/>
    <w:rsid w:val="007F41B9"/>
    <w:rsid w:val="007F5626"/>
    <w:rsid w:val="007F5CDD"/>
    <w:rsid w:val="00801812"/>
    <w:rsid w:val="008035B3"/>
    <w:rsid w:val="00804B02"/>
    <w:rsid w:val="00807D14"/>
    <w:rsid w:val="00811105"/>
    <w:rsid w:val="00811BD0"/>
    <w:rsid w:val="008126F0"/>
    <w:rsid w:val="00812B7B"/>
    <w:rsid w:val="00817BD9"/>
    <w:rsid w:val="00820D48"/>
    <w:rsid w:val="00821215"/>
    <w:rsid w:val="0082122E"/>
    <w:rsid w:val="00822413"/>
    <w:rsid w:val="00823FEB"/>
    <w:rsid w:val="00824887"/>
    <w:rsid w:val="00826142"/>
    <w:rsid w:val="00826E73"/>
    <w:rsid w:val="00826EC8"/>
    <w:rsid w:val="00827172"/>
    <w:rsid w:val="00830E78"/>
    <w:rsid w:val="0083241F"/>
    <w:rsid w:val="008324E2"/>
    <w:rsid w:val="00833554"/>
    <w:rsid w:val="00834958"/>
    <w:rsid w:val="00835584"/>
    <w:rsid w:val="00837951"/>
    <w:rsid w:val="00837D67"/>
    <w:rsid w:val="008400E2"/>
    <w:rsid w:val="00840514"/>
    <w:rsid w:val="008428AF"/>
    <w:rsid w:val="008439B2"/>
    <w:rsid w:val="00844BCC"/>
    <w:rsid w:val="008454C8"/>
    <w:rsid w:val="008457FA"/>
    <w:rsid w:val="008459D0"/>
    <w:rsid w:val="00845F30"/>
    <w:rsid w:val="008466C1"/>
    <w:rsid w:val="008470A9"/>
    <w:rsid w:val="008509F4"/>
    <w:rsid w:val="00851299"/>
    <w:rsid w:val="00852482"/>
    <w:rsid w:val="008524D9"/>
    <w:rsid w:val="00852F7C"/>
    <w:rsid w:val="00853513"/>
    <w:rsid w:val="00854A7E"/>
    <w:rsid w:val="00856BB2"/>
    <w:rsid w:val="00857AFD"/>
    <w:rsid w:val="0086028B"/>
    <w:rsid w:val="00861519"/>
    <w:rsid w:val="008628FD"/>
    <w:rsid w:val="0086295F"/>
    <w:rsid w:val="00863995"/>
    <w:rsid w:val="008650DC"/>
    <w:rsid w:val="00865CB7"/>
    <w:rsid w:val="008667BD"/>
    <w:rsid w:val="00866874"/>
    <w:rsid w:val="00866D1A"/>
    <w:rsid w:val="00867139"/>
    <w:rsid w:val="008709FF"/>
    <w:rsid w:val="00871197"/>
    <w:rsid w:val="008719D4"/>
    <w:rsid w:val="00872AFE"/>
    <w:rsid w:val="00873168"/>
    <w:rsid w:val="0087360D"/>
    <w:rsid w:val="00876AC0"/>
    <w:rsid w:val="00876F82"/>
    <w:rsid w:val="00877069"/>
    <w:rsid w:val="00877C83"/>
    <w:rsid w:val="00883109"/>
    <w:rsid w:val="008841AF"/>
    <w:rsid w:val="008860CE"/>
    <w:rsid w:val="00886B18"/>
    <w:rsid w:val="0088717F"/>
    <w:rsid w:val="00887958"/>
    <w:rsid w:val="00887A2B"/>
    <w:rsid w:val="008905FF"/>
    <w:rsid w:val="00891D5D"/>
    <w:rsid w:val="00893D2D"/>
    <w:rsid w:val="00893F9F"/>
    <w:rsid w:val="00894957"/>
    <w:rsid w:val="00894A7E"/>
    <w:rsid w:val="0089701F"/>
    <w:rsid w:val="008A089A"/>
    <w:rsid w:val="008A2179"/>
    <w:rsid w:val="008A2C3D"/>
    <w:rsid w:val="008A2FE2"/>
    <w:rsid w:val="008A5D5B"/>
    <w:rsid w:val="008A62B1"/>
    <w:rsid w:val="008B1494"/>
    <w:rsid w:val="008B383C"/>
    <w:rsid w:val="008B5F8C"/>
    <w:rsid w:val="008B6F02"/>
    <w:rsid w:val="008B6F3B"/>
    <w:rsid w:val="008C1542"/>
    <w:rsid w:val="008C2278"/>
    <w:rsid w:val="008C4CFE"/>
    <w:rsid w:val="008C4D12"/>
    <w:rsid w:val="008C5A31"/>
    <w:rsid w:val="008C71A9"/>
    <w:rsid w:val="008D1784"/>
    <w:rsid w:val="008D26E0"/>
    <w:rsid w:val="008D5B1C"/>
    <w:rsid w:val="008D650F"/>
    <w:rsid w:val="008E0752"/>
    <w:rsid w:val="008E0755"/>
    <w:rsid w:val="008E1432"/>
    <w:rsid w:val="008E1915"/>
    <w:rsid w:val="008E1D2A"/>
    <w:rsid w:val="008E233B"/>
    <w:rsid w:val="008E2A9A"/>
    <w:rsid w:val="008E37CE"/>
    <w:rsid w:val="008E4D81"/>
    <w:rsid w:val="008E7452"/>
    <w:rsid w:val="008E786D"/>
    <w:rsid w:val="008F016E"/>
    <w:rsid w:val="008F0FA0"/>
    <w:rsid w:val="008F3FBC"/>
    <w:rsid w:val="008F470A"/>
    <w:rsid w:val="008F4C68"/>
    <w:rsid w:val="008F5175"/>
    <w:rsid w:val="008F5941"/>
    <w:rsid w:val="008F5B60"/>
    <w:rsid w:val="008F6847"/>
    <w:rsid w:val="008F6EDB"/>
    <w:rsid w:val="00900C21"/>
    <w:rsid w:val="00903DBE"/>
    <w:rsid w:val="009048FA"/>
    <w:rsid w:val="009059CE"/>
    <w:rsid w:val="0090605C"/>
    <w:rsid w:val="0090614F"/>
    <w:rsid w:val="00906F86"/>
    <w:rsid w:val="00907EE8"/>
    <w:rsid w:val="00911382"/>
    <w:rsid w:val="009126B0"/>
    <w:rsid w:val="00914732"/>
    <w:rsid w:val="0091493E"/>
    <w:rsid w:val="009149B2"/>
    <w:rsid w:val="009157F4"/>
    <w:rsid w:val="00915E20"/>
    <w:rsid w:val="009160B2"/>
    <w:rsid w:val="0091666E"/>
    <w:rsid w:val="009169BC"/>
    <w:rsid w:val="0091735C"/>
    <w:rsid w:val="0091762B"/>
    <w:rsid w:val="009179F7"/>
    <w:rsid w:val="00917A1D"/>
    <w:rsid w:val="00917C11"/>
    <w:rsid w:val="00920F70"/>
    <w:rsid w:val="0092119A"/>
    <w:rsid w:val="0092226B"/>
    <w:rsid w:val="009228DC"/>
    <w:rsid w:val="00922B10"/>
    <w:rsid w:val="00924312"/>
    <w:rsid w:val="00925C0E"/>
    <w:rsid w:val="00931877"/>
    <w:rsid w:val="00931D04"/>
    <w:rsid w:val="00934271"/>
    <w:rsid w:val="0093496A"/>
    <w:rsid w:val="0093687B"/>
    <w:rsid w:val="009369A7"/>
    <w:rsid w:val="009403F6"/>
    <w:rsid w:val="009415D2"/>
    <w:rsid w:val="009417FF"/>
    <w:rsid w:val="00942717"/>
    <w:rsid w:val="00944D47"/>
    <w:rsid w:val="009476EB"/>
    <w:rsid w:val="009516FC"/>
    <w:rsid w:val="00951BC2"/>
    <w:rsid w:val="009543F5"/>
    <w:rsid w:val="00954A0B"/>
    <w:rsid w:val="009558FC"/>
    <w:rsid w:val="00955F2E"/>
    <w:rsid w:val="009566E2"/>
    <w:rsid w:val="009569AA"/>
    <w:rsid w:val="00956D08"/>
    <w:rsid w:val="00957B3D"/>
    <w:rsid w:val="00957D96"/>
    <w:rsid w:val="0096105C"/>
    <w:rsid w:val="00961350"/>
    <w:rsid w:val="00963AD6"/>
    <w:rsid w:val="0096417A"/>
    <w:rsid w:val="00964A10"/>
    <w:rsid w:val="009651FA"/>
    <w:rsid w:val="00966D1D"/>
    <w:rsid w:val="00966F10"/>
    <w:rsid w:val="0097172D"/>
    <w:rsid w:val="00972ACA"/>
    <w:rsid w:val="009778CD"/>
    <w:rsid w:val="00977BA7"/>
    <w:rsid w:val="00980D1E"/>
    <w:rsid w:val="00982A62"/>
    <w:rsid w:val="009851A0"/>
    <w:rsid w:val="00987739"/>
    <w:rsid w:val="00987D74"/>
    <w:rsid w:val="00987FE0"/>
    <w:rsid w:val="0099116B"/>
    <w:rsid w:val="0099213E"/>
    <w:rsid w:val="00992BD5"/>
    <w:rsid w:val="00992D30"/>
    <w:rsid w:val="0099394D"/>
    <w:rsid w:val="009948AA"/>
    <w:rsid w:val="00994F37"/>
    <w:rsid w:val="0099651E"/>
    <w:rsid w:val="00996840"/>
    <w:rsid w:val="009A096B"/>
    <w:rsid w:val="009A0AA4"/>
    <w:rsid w:val="009A1C19"/>
    <w:rsid w:val="009A2154"/>
    <w:rsid w:val="009A3815"/>
    <w:rsid w:val="009A52B2"/>
    <w:rsid w:val="009B27E4"/>
    <w:rsid w:val="009B2F0C"/>
    <w:rsid w:val="009B3B29"/>
    <w:rsid w:val="009B3EB2"/>
    <w:rsid w:val="009B5AE0"/>
    <w:rsid w:val="009B7437"/>
    <w:rsid w:val="009B7D2E"/>
    <w:rsid w:val="009C096B"/>
    <w:rsid w:val="009C1D71"/>
    <w:rsid w:val="009C1E67"/>
    <w:rsid w:val="009C1E9A"/>
    <w:rsid w:val="009C2763"/>
    <w:rsid w:val="009C2933"/>
    <w:rsid w:val="009C4080"/>
    <w:rsid w:val="009C461F"/>
    <w:rsid w:val="009C4D33"/>
    <w:rsid w:val="009C5256"/>
    <w:rsid w:val="009C672C"/>
    <w:rsid w:val="009C7049"/>
    <w:rsid w:val="009C707F"/>
    <w:rsid w:val="009D1BB2"/>
    <w:rsid w:val="009D1EA3"/>
    <w:rsid w:val="009D300F"/>
    <w:rsid w:val="009D554B"/>
    <w:rsid w:val="009D575F"/>
    <w:rsid w:val="009D5FDF"/>
    <w:rsid w:val="009D6248"/>
    <w:rsid w:val="009D629D"/>
    <w:rsid w:val="009D7673"/>
    <w:rsid w:val="009D7FB7"/>
    <w:rsid w:val="009E039A"/>
    <w:rsid w:val="009E1ACE"/>
    <w:rsid w:val="009E3C05"/>
    <w:rsid w:val="009E3ECB"/>
    <w:rsid w:val="009F14C6"/>
    <w:rsid w:val="009F1785"/>
    <w:rsid w:val="009F2D8C"/>
    <w:rsid w:val="009F30F4"/>
    <w:rsid w:val="009F3331"/>
    <w:rsid w:val="009F3360"/>
    <w:rsid w:val="009F568A"/>
    <w:rsid w:val="00A00C5F"/>
    <w:rsid w:val="00A049DE"/>
    <w:rsid w:val="00A064B4"/>
    <w:rsid w:val="00A06770"/>
    <w:rsid w:val="00A06974"/>
    <w:rsid w:val="00A07764"/>
    <w:rsid w:val="00A07803"/>
    <w:rsid w:val="00A07DC5"/>
    <w:rsid w:val="00A101C2"/>
    <w:rsid w:val="00A11C75"/>
    <w:rsid w:val="00A13299"/>
    <w:rsid w:val="00A154D9"/>
    <w:rsid w:val="00A16DFD"/>
    <w:rsid w:val="00A20945"/>
    <w:rsid w:val="00A21F26"/>
    <w:rsid w:val="00A24188"/>
    <w:rsid w:val="00A24ECE"/>
    <w:rsid w:val="00A24F1E"/>
    <w:rsid w:val="00A25283"/>
    <w:rsid w:val="00A30691"/>
    <w:rsid w:val="00A308B5"/>
    <w:rsid w:val="00A30D9A"/>
    <w:rsid w:val="00A3163C"/>
    <w:rsid w:val="00A321CA"/>
    <w:rsid w:val="00A32416"/>
    <w:rsid w:val="00A35E7E"/>
    <w:rsid w:val="00A36392"/>
    <w:rsid w:val="00A3788E"/>
    <w:rsid w:val="00A40A9C"/>
    <w:rsid w:val="00A40BEB"/>
    <w:rsid w:val="00A40FBE"/>
    <w:rsid w:val="00A4180A"/>
    <w:rsid w:val="00A469A7"/>
    <w:rsid w:val="00A46DB9"/>
    <w:rsid w:val="00A47567"/>
    <w:rsid w:val="00A478C9"/>
    <w:rsid w:val="00A5053D"/>
    <w:rsid w:val="00A5092A"/>
    <w:rsid w:val="00A51ADD"/>
    <w:rsid w:val="00A520AB"/>
    <w:rsid w:val="00A52173"/>
    <w:rsid w:val="00A53BDB"/>
    <w:rsid w:val="00A54F0F"/>
    <w:rsid w:val="00A554B8"/>
    <w:rsid w:val="00A55962"/>
    <w:rsid w:val="00A55AC6"/>
    <w:rsid w:val="00A56113"/>
    <w:rsid w:val="00A56118"/>
    <w:rsid w:val="00A5671F"/>
    <w:rsid w:val="00A56830"/>
    <w:rsid w:val="00A600D3"/>
    <w:rsid w:val="00A605EF"/>
    <w:rsid w:val="00A617E5"/>
    <w:rsid w:val="00A61C44"/>
    <w:rsid w:val="00A62BF0"/>
    <w:rsid w:val="00A62D94"/>
    <w:rsid w:val="00A67392"/>
    <w:rsid w:val="00A67B43"/>
    <w:rsid w:val="00A67B53"/>
    <w:rsid w:val="00A70417"/>
    <w:rsid w:val="00A70893"/>
    <w:rsid w:val="00A709DC"/>
    <w:rsid w:val="00A72B48"/>
    <w:rsid w:val="00A72EA6"/>
    <w:rsid w:val="00A73D3B"/>
    <w:rsid w:val="00A74780"/>
    <w:rsid w:val="00A74BAA"/>
    <w:rsid w:val="00A74BE8"/>
    <w:rsid w:val="00A7600A"/>
    <w:rsid w:val="00A76E31"/>
    <w:rsid w:val="00A77B68"/>
    <w:rsid w:val="00A77DEB"/>
    <w:rsid w:val="00A8064A"/>
    <w:rsid w:val="00A80DF0"/>
    <w:rsid w:val="00A82AA6"/>
    <w:rsid w:val="00A82D80"/>
    <w:rsid w:val="00A84211"/>
    <w:rsid w:val="00A84292"/>
    <w:rsid w:val="00A84B3D"/>
    <w:rsid w:val="00A871AD"/>
    <w:rsid w:val="00A909F7"/>
    <w:rsid w:val="00A9161D"/>
    <w:rsid w:val="00A91CC3"/>
    <w:rsid w:val="00A92A69"/>
    <w:rsid w:val="00A931B5"/>
    <w:rsid w:val="00A93399"/>
    <w:rsid w:val="00A93770"/>
    <w:rsid w:val="00A94128"/>
    <w:rsid w:val="00A94926"/>
    <w:rsid w:val="00A94CFB"/>
    <w:rsid w:val="00A96822"/>
    <w:rsid w:val="00A9797A"/>
    <w:rsid w:val="00AA01BF"/>
    <w:rsid w:val="00AA06DF"/>
    <w:rsid w:val="00AA1A50"/>
    <w:rsid w:val="00AA3219"/>
    <w:rsid w:val="00AA58EF"/>
    <w:rsid w:val="00AA74F2"/>
    <w:rsid w:val="00AB012F"/>
    <w:rsid w:val="00AB0DC7"/>
    <w:rsid w:val="00AB0E9E"/>
    <w:rsid w:val="00AB1786"/>
    <w:rsid w:val="00AB3FB0"/>
    <w:rsid w:val="00AB5150"/>
    <w:rsid w:val="00AB5ADA"/>
    <w:rsid w:val="00AB61C9"/>
    <w:rsid w:val="00AB6D81"/>
    <w:rsid w:val="00AC0C90"/>
    <w:rsid w:val="00AC120D"/>
    <w:rsid w:val="00AC16CD"/>
    <w:rsid w:val="00AC180B"/>
    <w:rsid w:val="00AC37B6"/>
    <w:rsid w:val="00AC408A"/>
    <w:rsid w:val="00AC5D32"/>
    <w:rsid w:val="00AC738B"/>
    <w:rsid w:val="00AD0BF8"/>
    <w:rsid w:val="00AD1640"/>
    <w:rsid w:val="00AD2619"/>
    <w:rsid w:val="00AD30F8"/>
    <w:rsid w:val="00AD3ADE"/>
    <w:rsid w:val="00AD5735"/>
    <w:rsid w:val="00AD598C"/>
    <w:rsid w:val="00AD7202"/>
    <w:rsid w:val="00AE4628"/>
    <w:rsid w:val="00AE56E1"/>
    <w:rsid w:val="00AE5ACB"/>
    <w:rsid w:val="00AE6614"/>
    <w:rsid w:val="00AF051D"/>
    <w:rsid w:val="00AF1617"/>
    <w:rsid w:val="00AF1D44"/>
    <w:rsid w:val="00AF22D5"/>
    <w:rsid w:val="00AF3BFA"/>
    <w:rsid w:val="00AF4115"/>
    <w:rsid w:val="00AF6E57"/>
    <w:rsid w:val="00B00789"/>
    <w:rsid w:val="00B00B29"/>
    <w:rsid w:val="00B019C4"/>
    <w:rsid w:val="00B022DF"/>
    <w:rsid w:val="00B0385D"/>
    <w:rsid w:val="00B04172"/>
    <w:rsid w:val="00B04367"/>
    <w:rsid w:val="00B054BF"/>
    <w:rsid w:val="00B0618D"/>
    <w:rsid w:val="00B06E26"/>
    <w:rsid w:val="00B07673"/>
    <w:rsid w:val="00B07ABA"/>
    <w:rsid w:val="00B10AC8"/>
    <w:rsid w:val="00B1185D"/>
    <w:rsid w:val="00B11D89"/>
    <w:rsid w:val="00B12973"/>
    <w:rsid w:val="00B13164"/>
    <w:rsid w:val="00B1333F"/>
    <w:rsid w:val="00B13B31"/>
    <w:rsid w:val="00B1420C"/>
    <w:rsid w:val="00B145EF"/>
    <w:rsid w:val="00B14C5E"/>
    <w:rsid w:val="00B14DF0"/>
    <w:rsid w:val="00B155A4"/>
    <w:rsid w:val="00B158B4"/>
    <w:rsid w:val="00B16D30"/>
    <w:rsid w:val="00B203E4"/>
    <w:rsid w:val="00B23828"/>
    <w:rsid w:val="00B252D2"/>
    <w:rsid w:val="00B254FF"/>
    <w:rsid w:val="00B25D75"/>
    <w:rsid w:val="00B25ED6"/>
    <w:rsid w:val="00B262F1"/>
    <w:rsid w:val="00B26D7D"/>
    <w:rsid w:val="00B27D68"/>
    <w:rsid w:val="00B3062C"/>
    <w:rsid w:val="00B30D7A"/>
    <w:rsid w:val="00B327BE"/>
    <w:rsid w:val="00B33180"/>
    <w:rsid w:val="00B337AF"/>
    <w:rsid w:val="00B33C1A"/>
    <w:rsid w:val="00B34652"/>
    <w:rsid w:val="00B35640"/>
    <w:rsid w:val="00B35C71"/>
    <w:rsid w:val="00B3717B"/>
    <w:rsid w:val="00B373CB"/>
    <w:rsid w:val="00B401C8"/>
    <w:rsid w:val="00B41CDD"/>
    <w:rsid w:val="00B42083"/>
    <w:rsid w:val="00B42387"/>
    <w:rsid w:val="00B42B8C"/>
    <w:rsid w:val="00B43A8C"/>
    <w:rsid w:val="00B4578C"/>
    <w:rsid w:val="00B47826"/>
    <w:rsid w:val="00B47AAA"/>
    <w:rsid w:val="00B47D0A"/>
    <w:rsid w:val="00B50CFB"/>
    <w:rsid w:val="00B51150"/>
    <w:rsid w:val="00B51805"/>
    <w:rsid w:val="00B53409"/>
    <w:rsid w:val="00B54AA1"/>
    <w:rsid w:val="00B55CC9"/>
    <w:rsid w:val="00B56B73"/>
    <w:rsid w:val="00B5703E"/>
    <w:rsid w:val="00B57715"/>
    <w:rsid w:val="00B606BB"/>
    <w:rsid w:val="00B61FF5"/>
    <w:rsid w:val="00B62A72"/>
    <w:rsid w:val="00B64563"/>
    <w:rsid w:val="00B66023"/>
    <w:rsid w:val="00B7046C"/>
    <w:rsid w:val="00B71C8E"/>
    <w:rsid w:val="00B72365"/>
    <w:rsid w:val="00B723E6"/>
    <w:rsid w:val="00B7259D"/>
    <w:rsid w:val="00B74DF7"/>
    <w:rsid w:val="00B759B6"/>
    <w:rsid w:val="00B7709E"/>
    <w:rsid w:val="00B81D5F"/>
    <w:rsid w:val="00B83A21"/>
    <w:rsid w:val="00B84865"/>
    <w:rsid w:val="00B869C8"/>
    <w:rsid w:val="00B876D5"/>
    <w:rsid w:val="00B90E75"/>
    <w:rsid w:val="00B930F4"/>
    <w:rsid w:val="00B9513F"/>
    <w:rsid w:val="00B95558"/>
    <w:rsid w:val="00B95608"/>
    <w:rsid w:val="00B95C68"/>
    <w:rsid w:val="00B974C0"/>
    <w:rsid w:val="00BA012C"/>
    <w:rsid w:val="00BA01AE"/>
    <w:rsid w:val="00BA0F26"/>
    <w:rsid w:val="00BA221C"/>
    <w:rsid w:val="00BA3A00"/>
    <w:rsid w:val="00BA4636"/>
    <w:rsid w:val="00BA4E97"/>
    <w:rsid w:val="00BA673F"/>
    <w:rsid w:val="00BB0C0C"/>
    <w:rsid w:val="00BB2299"/>
    <w:rsid w:val="00BB2799"/>
    <w:rsid w:val="00BB2C24"/>
    <w:rsid w:val="00BB55EB"/>
    <w:rsid w:val="00BB5AFD"/>
    <w:rsid w:val="00BB5D9D"/>
    <w:rsid w:val="00BC02D8"/>
    <w:rsid w:val="00BC0C2A"/>
    <w:rsid w:val="00BC3079"/>
    <w:rsid w:val="00BC3707"/>
    <w:rsid w:val="00BC3EB7"/>
    <w:rsid w:val="00BC53DA"/>
    <w:rsid w:val="00BC542A"/>
    <w:rsid w:val="00BC74B2"/>
    <w:rsid w:val="00BD005B"/>
    <w:rsid w:val="00BD0B33"/>
    <w:rsid w:val="00BD46BF"/>
    <w:rsid w:val="00BD4BDA"/>
    <w:rsid w:val="00BD5A06"/>
    <w:rsid w:val="00BD604A"/>
    <w:rsid w:val="00BD67BB"/>
    <w:rsid w:val="00BD683F"/>
    <w:rsid w:val="00BE080F"/>
    <w:rsid w:val="00BE18AF"/>
    <w:rsid w:val="00BE404B"/>
    <w:rsid w:val="00BE45D2"/>
    <w:rsid w:val="00BE48EF"/>
    <w:rsid w:val="00BE5678"/>
    <w:rsid w:val="00BF1853"/>
    <w:rsid w:val="00BF1E4B"/>
    <w:rsid w:val="00BF29EF"/>
    <w:rsid w:val="00BF4703"/>
    <w:rsid w:val="00BF4F16"/>
    <w:rsid w:val="00BF7C80"/>
    <w:rsid w:val="00BF7ED9"/>
    <w:rsid w:val="00C010B3"/>
    <w:rsid w:val="00C020FD"/>
    <w:rsid w:val="00C052E8"/>
    <w:rsid w:val="00C06214"/>
    <w:rsid w:val="00C066F0"/>
    <w:rsid w:val="00C10ECA"/>
    <w:rsid w:val="00C1110C"/>
    <w:rsid w:val="00C1178B"/>
    <w:rsid w:val="00C11E37"/>
    <w:rsid w:val="00C11ED8"/>
    <w:rsid w:val="00C13552"/>
    <w:rsid w:val="00C154C9"/>
    <w:rsid w:val="00C1609E"/>
    <w:rsid w:val="00C164D7"/>
    <w:rsid w:val="00C16B6F"/>
    <w:rsid w:val="00C2077D"/>
    <w:rsid w:val="00C24027"/>
    <w:rsid w:val="00C24DA4"/>
    <w:rsid w:val="00C251A9"/>
    <w:rsid w:val="00C256BD"/>
    <w:rsid w:val="00C25A39"/>
    <w:rsid w:val="00C25D75"/>
    <w:rsid w:val="00C262E5"/>
    <w:rsid w:val="00C27002"/>
    <w:rsid w:val="00C271AD"/>
    <w:rsid w:val="00C279F4"/>
    <w:rsid w:val="00C30527"/>
    <w:rsid w:val="00C30F6D"/>
    <w:rsid w:val="00C31643"/>
    <w:rsid w:val="00C3182D"/>
    <w:rsid w:val="00C3229B"/>
    <w:rsid w:val="00C34042"/>
    <w:rsid w:val="00C34E2B"/>
    <w:rsid w:val="00C363D3"/>
    <w:rsid w:val="00C36B46"/>
    <w:rsid w:val="00C36C6B"/>
    <w:rsid w:val="00C37712"/>
    <w:rsid w:val="00C40BBC"/>
    <w:rsid w:val="00C40C82"/>
    <w:rsid w:val="00C4270E"/>
    <w:rsid w:val="00C43CB9"/>
    <w:rsid w:val="00C44070"/>
    <w:rsid w:val="00C444E7"/>
    <w:rsid w:val="00C45806"/>
    <w:rsid w:val="00C4765A"/>
    <w:rsid w:val="00C50305"/>
    <w:rsid w:val="00C50F37"/>
    <w:rsid w:val="00C51B4A"/>
    <w:rsid w:val="00C550C9"/>
    <w:rsid w:val="00C55278"/>
    <w:rsid w:val="00C55BFE"/>
    <w:rsid w:val="00C57B02"/>
    <w:rsid w:val="00C603F6"/>
    <w:rsid w:val="00C60771"/>
    <w:rsid w:val="00C60994"/>
    <w:rsid w:val="00C6356B"/>
    <w:rsid w:val="00C64235"/>
    <w:rsid w:val="00C65424"/>
    <w:rsid w:val="00C674F2"/>
    <w:rsid w:val="00C67651"/>
    <w:rsid w:val="00C715D7"/>
    <w:rsid w:val="00C72FA4"/>
    <w:rsid w:val="00C74919"/>
    <w:rsid w:val="00C77283"/>
    <w:rsid w:val="00C80C3A"/>
    <w:rsid w:val="00C813A9"/>
    <w:rsid w:val="00C83679"/>
    <w:rsid w:val="00C83A97"/>
    <w:rsid w:val="00C83E68"/>
    <w:rsid w:val="00C862E3"/>
    <w:rsid w:val="00C879B1"/>
    <w:rsid w:val="00C901E6"/>
    <w:rsid w:val="00C90289"/>
    <w:rsid w:val="00C91806"/>
    <w:rsid w:val="00C92EF8"/>
    <w:rsid w:val="00C95055"/>
    <w:rsid w:val="00C96C0A"/>
    <w:rsid w:val="00C97640"/>
    <w:rsid w:val="00C97FA0"/>
    <w:rsid w:val="00CA0CAC"/>
    <w:rsid w:val="00CA12C4"/>
    <w:rsid w:val="00CA216B"/>
    <w:rsid w:val="00CA43EF"/>
    <w:rsid w:val="00CA69F6"/>
    <w:rsid w:val="00CA7884"/>
    <w:rsid w:val="00CB0D4D"/>
    <w:rsid w:val="00CB1885"/>
    <w:rsid w:val="00CB35E4"/>
    <w:rsid w:val="00CB36DD"/>
    <w:rsid w:val="00CB3F75"/>
    <w:rsid w:val="00CB43BC"/>
    <w:rsid w:val="00CB49BF"/>
    <w:rsid w:val="00CB509F"/>
    <w:rsid w:val="00CB5451"/>
    <w:rsid w:val="00CB5554"/>
    <w:rsid w:val="00CB6327"/>
    <w:rsid w:val="00CB6A56"/>
    <w:rsid w:val="00CC2130"/>
    <w:rsid w:val="00CC2589"/>
    <w:rsid w:val="00CC2788"/>
    <w:rsid w:val="00CC2DD4"/>
    <w:rsid w:val="00CC3B5A"/>
    <w:rsid w:val="00CC4497"/>
    <w:rsid w:val="00CC4B18"/>
    <w:rsid w:val="00CC4E8D"/>
    <w:rsid w:val="00CC582D"/>
    <w:rsid w:val="00CC5F6F"/>
    <w:rsid w:val="00CC7C68"/>
    <w:rsid w:val="00CD046D"/>
    <w:rsid w:val="00CD0D0D"/>
    <w:rsid w:val="00CD3DA3"/>
    <w:rsid w:val="00CD52E9"/>
    <w:rsid w:val="00CD77D7"/>
    <w:rsid w:val="00CE15D9"/>
    <w:rsid w:val="00CE20E7"/>
    <w:rsid w:val="00CE49CD"/>
    <w:rsid w:val="00CE59EC"/>
    <w:rsid w:val="00CF1310"/>
    <w:rsid w:val="00CF2922"/>
    <w:rsid w:val="00CF2EAA"/>
    <w:rsid w:val="00CF2FB2"/>
    <w:rsid w:val="00CF51D1"/>
    <w:rsid w:val="00CF66B1"/>
    <w:rsid w:val="00CF7336"/>
    <w:rsid w:val="00D00E9E"/>
    <w:rsid w:val="00D01620"/>
    <w:rsid w:val="00D01F76"/>
    <w:rsid w:val="00D024E5"/>
    <w:rsid w:val="00D026D7"/>
    <w:rsid w:val="00D04F5D"/>
    <w:rsid w:val="00D051DE"/>
    <w:rsid w:val="00D05ABE"/>
    <w:rsid w:val="00D05D0A"/>
    <w:rsid w:val="00D07429"/>
    <w:rsid w:val="00D139AA"/>
    <w:rsid w:val="00D15498"/>
    <w:rsid w:val="00D1690A"/>
    <w:rsid w:val="00D17379"/>
    <w:rsid w:val="00D20E72"/>
    <w:rsid w:val="00D24DF9"/>
    <w:rsid w:val="00D250E8"/>
    <w:rsid w:val="00D2572F"/>
    <w:rsid w:val="00D25801"/>
    <w:rsid w:val="00D25E1D"/>
    <w:rsid w:val="00D265BB"/>
    <w:rsid w:val="00D303D0"/>
    <w:rsid w:val="00D30727"/>
    <w:rsid w:val="00D31655"/>
    <w:rsid w:val="00D3344B"/>
    <w:rsid w:val="00D33544"/>
    <w:rsid w:val="00D33A94"/>
    <w:rsid w:val="00D37782"/>
    <w:rsid w:val="00D403C5"/>
    <w:rsid w:val="00D40684"/>
    <w:rsid w:val="00D41560"/>
    <w:rsid w:val="00D41AF5"/>
    <w:rsid w:val="00D42912"/>
    <w:rsid w:val="00D435AB"/>
    <w:rsid w:val="00D44172"/>
    <w:rsid w:val="00D45874"/>
    <w:rsid w:val="00D50313"/>
    <w:rsid w:val="00D522C6"/>
    <w:rsid w:val="00D52F50"/>
    <w:rsid w:val="00D53F34"/>
    <w:rsid w:val="00D544F8"/>
    <w:rsid w:val="00D575FE"/>
    <w:rsid w:val="00D5766C"/>
    <w:rsid w:val="00D576CB"/>
    <w:rsid w:val="00D57AE8"/>
    <w:rsid w:val="00D60BEA"/>
    <w:rsid w:val="00D61581"/>
    <w:rsid w:val="00D63E16"/>
    <w:rsid w:val="00D6492C"/>
    <w:rsid w:val="00D65C4B"/>
    <w:rsid w:val="00D66410"/>
    <w:rsid w:val="00D67F37"/>
    <w:rsid w:val="00D709CA"/>
    <w:rsid w:val="00D70A25"/>
    <w:rsid w:val="00D71E8D"/>
    <w:rsid w:val="00D737D0"/>
    <w:rsid w:val="00D74FE0"/>
    <w:rsid w:val="00D754AD"/>
    <w:rsid w:val="00D759BA"/>
    <w:rsid w:val="00D75B65"/>
    <w:rsid w:val="00D77CEB"/>
    <w:rsid w:val="00D809F9"/>
    <w:rsid w:val="00D833CD"/>
    <w:rsid w:val="00D8445F"/>
    <w:rsid w:val="00D856CD"/>
    <w:rsid w:val="00D85A94"/>
    <w:rsid w:val="00D86749"/>
    <w:rsid w:val="00D86FF5"/>
    <w:rsid w:val="00D90887"/>
    <w:rsid w:val="00D910F7"/>
    <w:rsid w:val="00D9184B"/>
    <w:rsid w:val="00D91BC3"/>
    <w:rsid w:val="00D91C2F"/>
    <w:rsid w:val="00D91F7F"/>
    <w:rsid w:val="00D92613"/>
    <w:rsid w:val="00D940C8"/>
    <w:rsid w:val="00D96C8C"/>
    <w:rsid w:val="00D978A5"/>
    <w:rsid w:val="00DA209F"/>
    <w:rsid w:val="00DA267B"/>
    <w:rsid w:val="00DA2C16"/>
    <w:rsid w:val="00DA30C4"/>
    <w:rsid w:val="00DA31D4"/>
    <w:rsid w:val="00DA4452"/>
    <w:rsid w:val="00DA7B13"/>
    <w:rsid w:val="00DB06B4"/>
    <w:rsid w:val="00DB0765"/>
    <w:rsid w:val="00DB166A"/>
    <w:rsid w:val="00DB1BC8"/>
    <w:rsid w:val="00DB3494"/>
    <w:rsid w:val="00DB4B66"/>
    <w:rsid w:val="00DB6308"/>
    <w:rsid w:val="00DB69FC"/>
    <w:rsid w:val="00DC329B"/>
    <w:rsid w:val="00DC44E2"/>
    <w:rsid w:val="00DC5280"/>
    <w:rsid w:val="00DC5334"/>
    <w:rsid w:val="00DC6062"/>
    <w:rsid w:val="00DC6520"/>
    <w:rsid w:val="00DC6CC9"/>
    <w:rsid w:val="00DC767F"/>
    <w:rsid w:val="00DD0149"/>
    <w:rsid w:val="00DD18EA"/>
    <w:rsid w:val="00DD2DA3"/>
    <w:rsid w:val="00DD4614"/>
    <w:rsid w:val="00DD59BD"/>
    <w:rsid w:val="00DD5A25"/>
    <w:rsid w:val="00DE06A5"/>
    <w:rsid w:val="00DE07A0"/>
    <w:rsid w:val="00DE298D"/>
    <w:rsid w:val="00DE3585"/>
    <w:rsid w:val="00DE3C99"/>
    <w:rsid w:val="00DE4208"/>
    <w:rsid w:val="00DE471E"/>
    <w:rsid w:val="00DE5711"/>
    <w:rsid w:val="00DE5C93"/>
    <w:rsid w:val="00DE642C"/>
    <w:rsid w:val="00DE6DD7"/>
    <w:rsid w:val="00DE7628"/>
    <w:rsid w:val="00DE7D9F"/>
    <w:rsid w:val="00DF0DF8"/>
    <w:rsid w:val="00DF18DB"/>
    <w:rsid w:val="00DF424D"/>
    <w:rsid w:val="00DF4391"/>
    <w:rsid w:val="00DF454A"/>
    <w:rsid w:val="00E015BC"/>
    <w:rsid w:val="00E02A72"/>
    <w:rsid w:val="00E03E4B"/>
    <w:rsid w:val="00E0510E"/>
    <w:rsid w:val="00E05136"/>
    <w:rsid w:val="00E06978"/>
    <w:rsid w:val="00E12F31"/>
    <w:rsid w:val="00E1300F"/>
    <w:rsid w:val="00E14F07"/>
    <w:rsid w:val="00E15DEF"/>
    <w:rsid w:val="00E2032B"/>
    <w:rsid w:val="00E210DD"/>
    <w:rsid w:val="00E211B9"/>
    <w:rsid w:val="00E21414"/>
    <w:rsid w:val="00E21AF9"/>
    <w:rsid w:val="00E21F7E"/>
    <w:rsid w:val="00E22016"/>
    <w:rsid w:val="00E229E0"/>
    <w:rsid w:val="00E23F85"/>
    <w:rsid w:val="00E24316"/>
    <w:rsid w:val="00E24478"/>
    <w:rsid w:val="00E2562D"/>
    <w:rsid w:val="00E260BE"/>
    <w:rsid w:val="00E26F40"/>
    <w:rsid w:val="00E27C8B"/>
    <w:rsid w:val="00E302EC"/>
    <w:rsid w:val="00E307F0"/>
    <w:rsid w:val="00E30AF9"/>
    <w:rsid w:val="00E31574"/>
    <w:rsid w:val="00E3427E"/>
    <w:rsid w:val="00E345E6"/>
    <w:rsid w:val="00E35B17"/>
    <w:rsid w:val="00E35E6B"/>
    <w:rsid w:val="00E35EA1"/>
    <w:rsid w:val="00E37612"/>
    <w:rsid w:val="00E376DD"/>
    <w:rsid w:val="00E419A4"/>
    <w:rsid w:val="00E41B95"/>
    <w:rsid w:val="00E41D6E"/>
    <w:rsid w:val="00E42188"/>
    <w:rsid w:val="00E4416D"/>
    <w:rsid w:val="00E44611"/>
    <w:rsid w:val="00E45F1D"/>
    <w:rsid w:val="00E46E76"/>
    <w:rsid w:val="00E5103F"/>
    <w:rsid w:val="00E5122A"/>
    <w:rsid w:val="00E5179C"/>
    <w:rsid w:val="00E51AC1"/>
    <w:rsid w:val="00E51AC8"/>
    <w:rsid w:val="00E52964"/>
    <w:rsid w:val="00E54BAB"/>
    <w:rsid w:val="00E5701D"/>
    <w:rsid w:val="00E57580"/>
    <w:rsid w:val="00E5760C"/>
    <w:rsid w:val="00E6369E"/>
    <w:rsid w:val="00E64738"/>
    <w:rsid w:val="00E64A42"/>
    <w:rsid w:val="00E656E2"/>
    <w:rsid w:val="00E704D2"/>
    <w:rsid w:val="00E70D90"/>
    <w:rsid w:val="00E719A4"/>
    <w:rsid w:val="00E7228A"/>
    <w:rsid w:val="00E725A8"/>
    <w:rsid w:val="00E725D4"/>
    <w:rsid w:val="00E729E7"/>
    <w:rsid w:val="00E7359C"/>
    <w:rsid w:val="00E75FED"/>
    <w:rsid w:val="00E82BE0"/>
    <w:rsid w:val="00E83F81"/>
    <w:rsid w:val="00E8425E"/>
    <w:rsid w:val="00E8534F"/>
    <w:rsid w:val="00E86509"/>
    <w:rsid w:val="00E86941"/>
    <w:rsid w:val="00E900E1"/>
    <w:rsid w:val="00E9092E"/>
    <w:rsid w:val="00E922C4"/>
    <w:rsid w:val="00E925C7"/>
    <w:rsid w:val="00E9285C"/>
    <w:rsid w:val="00E9293F"/>
    <w:rsid w:val="00E931A6"/>
    <w:rsid w:val="00E937C5"/>
    <w:rsid w:val="00E93996"/>
    <w:rsid w:val="00E943B6"/>
    <w:rsid w:val="00E94547"/>
    <w:rsid w:val="00E959A7"/>
    <w:rsid w:val="00E9634A"/>
    <w:rsid w:val="00E96950"/>
    <w:rsid w:val="00E97AFC"/>
    <w:rsid w:val="00EA01AF"/>
    <w:rsid w:val="00EA0495"/>
    <w:rsid w:val="00EA04C1"/>
    <w:rsid w:val="00EA07DE"/>
    <w:rsid w:val="00EA0D2A"/>
    <w:rsid w:val="00EA193A"/>
    <w:rsid w:val="00EA3692"/>
    <w:rsid w:val="00EA37C9"/>
    <w:rsid w:val="00EA62B7"/>
    <w:rsid w:val="00EA6679"/>
    <w:rsid w:val="00EB1254"/>
    <w:rsid w:val="00EB4875"/>
    <w:rsid w:val="00EB5969"/>
    <w:rsid w:val="00EB7266"/>
    <w:rsid w:val="00EB7DC7"/>
    <w:rsid w:val="00EC2E5A"/>
    <w:rsid w:val="00EC37A8"/>
    <w:rsid w:val="00EC4591"/>
    <w:rsid w:val="00EC59CC"/>
    <w:rsid w:val="00EC730A"/>
    <w:rsid w:val="00ED1639"/>
    <w:rsid w:val="00ED18B8"/>
    <w:rsid w:val="00ED30C6"/>
    <w:rsid w:val="00ED479E"/>
    <w:rsid w:val="00ED7BC6"/>
    <w:rsid w:val="00EE0495"/>
    <w:rsid w:val="00EE050D"/>
    <w:rsid w:val="00EE280C"/>
    <w:rsid w:val="00EE2AA0"/>
    <w:rsid w:val="00EE322D"/>
    <w:rsid w:val="00EE3921"/>
    <w:rsid w:val="00EE669A"/>
    <w:rsid w:val="00EE6FD0"/>
    <w:rsid w:val="00EE73AF"/>
    <w:rsid w:val="00EF0A98"/>
    <w:rsid w:val="00EF355C"/>
    <w:rsid w:val="00EF43BE"/>
    <w:rsid w:val="00EF6D63"/>
    <w:rsid w:val="00EF6E10"/>
    <w:rsid w:val="00EF7795"/>
    <w:rsid w:val="00F01135"/>
    <w:rsid w:val="00F015DA"/>
    <w:rsid w:val="00F02288"/>
    <w:rsid w:val="00F029C7"/>
    <w:rsid w:val="00F02CF9"/>
    <w:rsid w:val="00F030B8"/>
    <w:rsid w:val="00F04221"/>
    <w:rsid w:val="00F04CE0"/>
    <w:rsid w:val="00F05C81"/>
    <w:rsid w:val="00F05D44"/>
    <w:rsid w:val="00F0608C"/>
    <w:rsid w:val="00F06986"/>
    <w:rsid w:val="00F06B59"/>
    <w:rsid w:val="00F1491D"/>
    <w:rsid w:val="00F15643"/>
    <w:rsid w:val="00F17107"/>
    <w:rsid w:val="00F174A6"/>
    <w:rsid w:val="00F2053C"/>
    <w:rsid w:val="00F2203D"/>
    <w:rsid w:val="00F235C4"/>
    <w:rsid w:val="00F239DF"/>
    <w:rsid w:val="00F23D63"/>
    <w:rsid w:val="00F240CE"/>
    <w:rsid w:val="00F254F1"/>
    <w:rsid w:val="00F2731D"/>
    <w:rsid w:val="00F279D7"/>
    <w:rsid w:val="00F27A8A"/>
    <w:rsid w:val="00F31DCC"/>
    <w:rsid w:val="00F329DE"/>
    <w:rsid w:val="00F331C6"/>
    <w:rsid w:val="00F33D28"/>
    <w:rsid w:val="00F34066"/>
    <w:rsid w:val="00F34442"/>
    <w:rsid w:val="00F357B9"/>
    <w:rsid w:val="00F3601B"/>
    <w:rsid w:val="00F37EDF"/>
    <w:rsid w:val="00F40195"/>
    <w:rsid w:val="00F419AB"/>
    <w:rsid w:val="00F4214D"/>
    <w:rsid w:val="00F42A69"/>
    <w:rsid w:val="00F42B2D"/>
    <w:rsid w:val="00F433AE"/>
    <w:rsid w:val="00F43ADA"/>
    <w:rsid w:val="00F46890"/>
    <w:rsid w:val="00F472B4"/>
    <w:rsid w:val="00F51F0D"/>
    <w:rsid w:val="00F5321C"/>
    <w:rsid w:val="00F55072"/>
    <w:rsid w:val="00F5528E"/>
    <w:rsid w:val="00F56984"/>
    <w:rsid w:val="00F62613"/>
    <w:rsid w:val="00F62C5B"/>
    <w:rsid w:val="00F63704"/>
    <w:rsid w:val="00F6716A"/>
    <w:rsid w:val="00F70044"/>
    <w:rsid w:val="00F70D5A"/>
    <w:rsid w:val="00F7285F"/>
    <w:rsid w:val="00F753C1"/>
    <w:rsid w:val="00F7614C"/>
    <w:rsid w:val="00F7772E"/>
    <w:rsid w:val="00F77CDB"/>
    <w:rsid w:val="00F80658"/>
    <w:rsid w:val="00F812E9"/>
    <w:rsid w:val="00F819B8"/>
    <w:rsid w:val="00F81CD9"/>
    <w:rsid w:val="00F830B6"/>
    <w:rsid w:val="00F83B9E"/>
    <w:rsid w:val="00F84834"/>
    <w:rsid w:val="00F848D7"/>
    <w:rsid w:val="00F85677"/>
    <w:rsid w:val="00F8792E"/>
    <w:rsid w:val="00F913F4"/>
    <w:rsid w:val="00F9195B"/>
    <w:rsid w:val="00F91BB1"/>
    <w:rsid w:val="00F9230A"/>
    <w:rsid w:val="00F92DCF"/>
    <w:rsid w:val="00F95264"/>
    <w:rsid w:val="00F95E75"/>
    <w:rsid w:val="00F9704B"/>
    <w:rsid w:val="00F97394"/>
    <w:rsid w:val="00F97CCB"/>
    <w:rsid w:val="00FA0FF8"/>
    <w:rsid w:val="00FA240C"/>
    <w:rsid w:val="00FA2510"/>
    <w:rsid w:val="00FA62C1"/>
    <w:rsid w:val="00FB15A8"/>
    <w:rsid w:val="00FB177B"/>
    <w:rsid w:val="00FB1BBE"/>
    <w:rsid w:val="00FB2B70"/>
    <w:rsid w:val="00FB50DF"/>
    <w:rsid w:val="00FB5390"/>
    <w:rsid w:val="00FB62A9"/>
    <w:rsid w:val="00FB6CD9"/>
    <w:rsid w:val="00FC14EC"/>
    <w:rsid w:val="00FC210F"/>
    <w:rsid w:val="00FC249D"/>
    <w:rsid w:val="00FC2614"/>
    <w:rsid w:val="00FC3B35"/>
    <w:rsid w:val="00FC3D15"/>
    <w:rsid w:val="00FD0882"/>
    <w:rsid w:val="00FD10EA"/>
    <w:rsid w:val="00FD1752"/>
    <w:rsid w:val="00FD1912"/>
    <w:rsid w:val="00FD2030"/>
    <w:rsid w:val="00FD30BF"/>
    <w:rsid w:val="00FD3AAE"/>
    <w:rsid w:val="00FD60D2"/>
    <w:rsid w:val="00FD6C20"/>
    <w:rsid w:val="00FD7A40"/>
    <w:rsid w:val="00FD7B03"/>
    <w:rsid w:val="00FE02B3"/>
    <w:rsid w:val="00FE113A"/>
    <w:rsid w:val="00FE26A9"/>
    <w:rsid w:val="00FE405D"/>
    <w:rsid w:val="00FE60EC"/>
    <w:rsid w:val="00FE70E3"/>
    <w:rsid w:val="00FF056A"/>
    <w:rsid w:val="00FF17CA"/>
    <w:rsid w:val="00FF1F11"/>
    <w:rsid w:val="00FF395B"/>
    <w:rsid w:val="00FF4E69"/>
    <w:rsid w:val="00FF5753"/>
    <w:rsid w:val="00FF59DD"/>
    <w:rsid w:val="00FF6CC7"/>
    <w:rsid w:val="00FF7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179E"/>
  <w15:docId w15:val="{646B3C4A-622D-48C2-9D70-4655887F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51D1"/>
    <w:pPr>
      <w:spacing w:after="0" w:line="276" w:lineRule="auto"/>
      <w:jc w:val="both"/>
    </w:pPr>
    <w:rPr>
      <w:rFonts w:ascii="Times New Roman" w:hAnsi="Times New Roman"/>
      <w:sz w:val="24"/>
    </w:rPr>
  </w:style>
  <w:style w:type="paragraph" w:styleId="Nagwek1">
    <w:name w:val="heading 1"/>
    <w:basedOn w:val="Normalny"/>
    <w:next w:val="Normalny"/>
    <w:link w:val="Nagwek1Znak"/>
    <w:uiPriority w:val="9"/>
    <w:qFormat/>
    <w:rsid w:val="00F174A6"/>
    <w:pPr>
      <w:keepNext/>
      <w:keepLines/>
      <w:numPr>
        <w:numId w:val="1"/>
      </w:numPr>
      <w:spacing w:before="240"/>
      <w:outlineLvl w:val="0"/>
    </w:pPr>
    <w:rPr>
      <w:rFonts w:eastAsiaTheme="majorEastAsia" w:cstheme="majorBidi"/>
      <w:b/>
      <w:color w:val="ED7D31" w:themeColor="accent2"/>
      <w:sz w:val="38"/>
      <w:szCs w:val="32"/>
    </w:rPr>
  </w:style>
  <w:style w:type="paragraph" w:styleId="Nagwek2">
    <w:name w:val="heading 2"/>
    <w:basedOn w:val="Normalny"/>
    <w:next w:val="Normalny"/>
    <w:link w:val="Nagwek2Znak"/>
    <w:uiPriority w:val="9"/>
    <w:unhideWhenUsed/>
    <w:qFormat/>
    <w:rsid w:val="00F812E9"/>
    <w:pPr>
      <w:keepNext/>
      <w:keepLines/>
      <w:numPr>
        <w:ilvl w:val="1"/>
        <w:numId w:val="1"/>
      </w:numPr>
      <w:spacing w:before="120" w:after="120"/>
      <w:ind w:left="788" w:hanging="431"/>
      <w:outlineLvl w:val="1"/>
    </w:pPr>
    <w:rPr>
      <w:rFonts w:eastAsiaTheme="majorEastAsia" w:cstheme="majorBidi"/>
      <w:b/>
      <w:color w:val="ED7D31" w:themeColor="accent2"/>
      <w:sz w:val="34"/>
      <w:szCs w:val="26"/>
    </w:rPr>
  </w:style>
  <w:style w:type="paragraph" w:styleId="Nagwek3">
    <w:name w:val="heading 3"/>
    <w:basedOn w:val="Normalny"/>
    <w:next w:val="Normalny"/>
    <w:link w:val="Nagwek3Znak"/>
    <w:uiPriority w:val="9"/>
    <w:unhideWhenUsed/>
    <w:qFormat/>
    <w:rsid w:val="00E725A8"/>
    <w:pPr>
      <w:keepNext/>
      <w:keepLines/>
      <w:numPr>
        <w:ilvl w:val="2"/>
        <w:numId w:val="1"/>
      </w:numPr>
      <w:spacing w:before="40"/>
      <w:outlineLvl w:val="2"/>
    </w:pPr>
    <w:rPr>
      <w:rFonts w:eastAsiaTheme="majorEastAsia" w:cstheme="majorBidi"/>
      <w:b/>
      <w:color w:val="ED7D31" w:themeColor="accent2"/>
      <w:szCs w:val="24"/>
    </w:rPr>
  </w:style>
  <w:style w:type="paragraph" w:styleId="Nagwek4">
    <w:name w:val="heading 4"/>
    <w:basedOn w:val="Normalny"/>
    <w:next w:val="Normalny"/>
    <w:link w:val="Nagwek4Znak"/>
    <w:uiPriority w:val="9"/>
    <w:unhideWhenUsed/>
    <w:qFormat/>
    <w:rsid w:val="00B90E75"/>
    <w:pPr>
      <w:numPr>
        <w:ilvl w:val="3"/>
        <w:numId w:val="1"/>
      </w:numPr>
      <w:pBdr>
        <w:top w:val="dotted" w:sz="6" w:space="2" w:color="5B9BD5" w:themeColor="accent1"/>
      </w:pBdr>
      <w:spacing w:before="200"/>
      <w:outlineLvl w:val="3"/>
    </w:pPr>
    <w:rPr>
      <w:rFonts w:eastAsiaTheme="minorEastAsia"/>
      <w:caps/>
      <w:color w:val="2E74B5" w:themeColor="accent1" w:themeShade="BF"/>
      <w:spacing w:val="10"/>
      <w:sz w:val="20"/>
      <w:szCs w:val="20"/>
    </w:rPr>
  </w:style>
  <w:style w:type="paragraph" w:styleId="Nagwek5">
    <w:name w:val="heading 5"/>
    <w:basedOn w:val="Normalny"/>
    <w:next w:val="Normalny"/>
    <w:link w:val="Nagwek5Znak"/>
    <w:uiPriority w:val="9"/>
    <w:semiHidden/>
    <w:unhideWhenUsed/>
    <w:qFormat/>
    <w:rsid w:val="00B90E75"/>
    <w:pPr>
      <w:numPr>
        <w:ilvl w:val="4"/>
        <w:numId w:val="1"/>
      </w:numPr>
      <w:pBdr>
        <w:bottom w:val="single" w:sz="6" w:space="1" w:color="5B9BD5" w:themeColor="accent1"/>
      </w:pBdr>
      <w:spacing w:before="200"/>
      <w:outlineLvl w:val="4"/>
    </w:pPr>
    <w:rPr>
      <w:rFonts w:eastAsiaTheme="minorEastAsia"/>
      <w:caps/>
      <w:color w:val="2E74B5" w:themeColor="accent1" w:themeShade="BF"/>
      <w:spacing w:val="10"/>
      <w:sz w:val="20"/>
      <w:szCs w:val="20"/>
    </w:rPr>
  </w:style>
  <w:style w:type="paragraph" w:styleId="Nagwek6">
    <w:name w:val="heading 6"/>
    <w:basedOn w:val="Normalny"/>
    <w:next w:val="Normalny"/>
    <w:link w:val="Nagwek6Znak"/>
    <w:uiPriority w:val="9"/>
    <w:semiHidden/>
    <w:unhideWhenUsed/>
    <w:qFormat/>
    <w:rsid w:val="00B90E75"/>
    <w:pPr>
      <w:numPr>
        <w:ilvl w:val="5"/>
        <w:numId w:val="1"/>
      </w:numPr>
      <w:pBdr>
        <w:bottom w:val="dotted" w:sz="6" w:space="1" w:color="5B9BD5" w:themeColor="accent1"/>
      </w:pBdr>
      <w:spacing w:before="200"/>
      <w:outlineLvl w:val="5"/>
    </w:pPr>
    <w:rPr>
      <w:rFonts w:eastAsiaTheme="minorEastAsia"/>
      <w:caps/>
      <w:color w:val="2E74B5" w:themeColor="accent1" w:themeShade="BF"/>
      <w:spacing w:val="10"/>
      <w:sz w:val="20"/>
      <w:szCs w:val="20"/>
    </w:rPr>
  </w:style>
  <w:style w:type="paragraph" w:styleId="Nagwek7">
    <w:name w:val="heading 7"/>
    <w:basedOn w:val="Normalny"/>
    <w:next w:val="Normalny"/>
    <w:link w:val="Nagwek7Znak"/>
    <w:uiPriority w:val="9"/>
    <w:semiHidden/>
    <w:unhideWhenUsed/>
    <w:qFormat/>
    <w:rsid w:val="00B90E75"/>
    <w:pPr>
      <w:numPr>
        <w:ilvl w:val="6"/>
        <w:numId w:val="1"/>
      </w:numPr>
      <w:spacing w:before="200"/>
      <w:outlineLvl w:val="6"/>
    </w:pPr>
    <w:rPr>
      <w:rFonts w:eastAsiaTheme="minorEastAsia"/>
      <w:caps/>
      <w:color w:val="2E74B5" w:themeColor="accent1" w:themeShade="BF"/>
      <w:spacing w:val="10"/>
      <w:sz w:val="20"/>
      <w:szCs w:val="20"/>
    </w:rPr>
  </w:style>
  <w:style w:type="paragraph" w:styleId="Nagwek8">
    <w:name w:val="heading 8"/>
    <w:basedOn w:val="Normalny"/>
    <w:next w:val="Normalny"/>
    <w:link w:val="Nagwek8Znak"/>
    <w:uiPriority w:val="9"/>
    <w:semiHidden/>
    <w:unhideWhenUsed/>
    <w:qFormat/>
    <w:rsid w:val="00B90E75"/>
    <w:pPr>
      <w:numPr>
        <w:ilvl w:val="7"/>
        <w:numId w:val="1"/>
      </w:numPr>
      <w:spacing w:before="200"/>
      <w:outlineLvl w:val="7"/>
    </w:pPr>
    <w:rPr>
      <w:rFonts w:eastAsiaTheme="minorEastAsia"/>
      <w:caps/>
      <w:spacing w:val="10"/>
      <w:sz w:val="18"/>
      <w:szCs w:val="18"/>
    </w:rPr>
  </w:style>
  <w:style w:type="paragraph" w:styleId="Nagwek9">
    <w:name w:val="heading 9"/>
    <w:basedOn w:val="Normalny"/>
    <w:next w:val="Normalny"/>
    <w:link w:val="Nagwek9Znak"/>
    <w:uiPriority w:val="9"/>
    <w:semiHidden/>
    <w:unhideWhenUsed/>
    <w:qFormat/>
    <w:rsid w:val="00B90E75"/>
    <w:pPr>
      <w:numPr>
        <w:ilvl w:val="8"/>
        <w:numId w:val="1"/>
      </w:numPr>
      <w:spacing w:before="200"/>
      <w:outlineLvl w:val="8"/>
    </w:pPr>
    <w:rPr>
      <w:rFonts w:eastAsiaTheme="minorEastAsia"/>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1,Styl moj,Akapit z listą11,List Paragraph1,aotm_załączniki,Paragraf,Dot pt,F5 List Paragraph,Recommendation,List Paragraph11,Numerowanie,Listaszerű bekezdés1,No Spacing1,Table of contents numbered,A_wyliczenie"/>
    <w:basedOn w:val="Normalny"/>
    <w:link w:val="AkapitzlistZnak"/>
    <w:uiPriority w:val="34"/>
    <w:qFormat/>
    <w:rsid w:val="0087360D"/>
    <w:pPr>
      <w:ind w:left="720"/>
      <w:contextualSpacing/>
    </w:pPr>
  </w:style>
  <w:style w:type="character" w:customStyle="1" w:styleId="Nagwek1Znak">
    <w:name w:val="Nagłówek 1 Znak"/>
    <w:basedOn w:val="Domylnaczcionkaakapitu"/>
    <w:link w:val="Nagwek1"/>
    <w:uiPriority w:val="9"/>
    <w:rsid w:val="00F174A6"/>
    <w:rPr>
      <w:rFonts w:ascii="Times New Roman" w:eastAsiaTheme="majorEastAsia" w:hAnsi="Times New Roman" w:cstheme="majorBidi"/>
      <w:b/>
      <w:color w:val="ED7D31" w:themeColor="accent2"/>
      <w:sz w:val="38"/>
      <w:szCs w:val="32"/>
    </w:rPr>
  </w:style>
  <w:style w:type="paragraph" w:styleId="Nagwekspisutreci">
    <w:name w:val="TOC Heading"/>
    <w:basedOn w:val="Nagwek1"/>
    <w:next w:val="Normalny"/>
    <w:uiPriority w:val="39"/>
    <w:unhideWhenUsed/>
    <w:qFormat/>
    <w:rsid w:val="00B25D75"/>
    <w:pPr>
      <w:spacing w:line="259" w:lineRule="auto"/>
      <w:outlineLvl w:val="9"/>
    </w:pPr>
    <w:rPr>
      <w:lang w:eastAsia="pl-PL"/>
    </w:rPr>
  </w:style>
  <w:style w:type="character" w:customStyle="1" w:styleId="Nagwek2Znak">
    <w:name w:val="Nagłówek 2 Znak"/>
    <w:basedOn w:val="Domylnaczcionkaakapitu"/>
    <w:link w:val="Nagwek2"/>
    <w:uiPriority w:val="9"/>
    <w:rsid w:val="00F812E9"/>
    <w:rPr>
      <w:rFonts w:ascii="Times New Roman" w:eastAsiaTheme="majorEastAsia" w:hAnsi="Times New Roman" w:cstheme="majorBidi"/>
      <w:b/>
      <w:color w:val="ED7D31" w:themeColor="accent2"/>
      <w:sz w:val="34"/>
      <w:szCs w:val="26"/>
    </w:rPr>
  </w:style>
  <w:style w:type="paragraph" w:styleId="Spistreci1">
    <w:name w:val="toc 1"/>
    <w:basedOn w:val="Normalny"/>
    <w:next w:val="Normalny"/>
    <w:autoRedefine/>
    <w:uiPriority w:val="39"/>
    <w:unhideWhenUsed/>
    <w:rsid w:val="008459D0"/>
    <w:pPr>
      <w:tabs>
        <w:tab w:val="left" w:pos="660"/>
        <w:tab w:val="right" w:leader="dot" w:pos="9356"/>
      </w:tabs>
      <w:spacing w:after="100"/>
    </w:pPr>
  </w:style>
  <w:style w:type="paragraph" w:styleId="Spistreci2">
    <w:name w:val="toc 2"/>
    <w:basedOn w:val="Normalny"/>
    <w:next w:val="Normalny"/>
    <w:autoRedefine/>
    <w:uiPriority w:val="39"/>
    <w:unhideWhenUsed/>
    <w:rsid w:val="008459D0"/>
    <w:pPr>
      <w:tabs>
        <w:tab w:val="right" w:leader="dot" w:pos="9356"/>
      </w:tabs>
      <w:spacing w:after="100"/>
      <w:ind w:left="220"/>
    </w:pPr>
  </w:style>
  <w:style w:type="character" w:styleId="Hipercze">
    <w:name w:val="Hyperlink"/>
    <w:basedOn w:val="Domylnaczcionkaakapitu"/>
    <w:uiPriority w:val="99"/>
    <w:unhideWhenUsed/>
    <w:rsid w:val="005A7983"/>
    <w:rPr>
      <w:color w:val="0563C1" w:themeColor="hyperlink"/>
      <w:u w:val="single"/>
    </w:rPr>
  </w:style>
  <w:style w:type="character" w:customStyle="1" w:styleId="Nagwek3Znak">
    <w:name w:val="Nagłówek 3 Znak"/>
    <w:basedOn w:val="Domylnaczcionkaakapitu"/>
    <w:link w:val="Nagwek3"/>
    <w:uiPriority w:val="9"/>
    <w:rsid w:val="00E725A8"/>
    <w:rPr>
      <w:rFonts w:ascii="Times New Roman" w:eastAsiaTheme="majorEastAsia" w:hAnsi="Times New Roman" w:cstheme="majorBidi"/>
      <w:b/>
      <w:color w:val="ED7D31" w:themeColor="accent2"/>
      <w:sz w:val="24"/>
      <w:szCs w:val="24"/>
    </w:rPr>
  </w:style>
  <w:style w:type="paragraph" w:styleId="Nagwek">
    <w:name w:val="header"/>
    <w:basedOn w:val="Normalny"/>
    <w:link w:val="NagwekZnak"/>
    <w:uiPriority w:val="99"/>
    <w:unhideWhenUsed/>
    <w:rsid w:val="0050177A"/>
    <w:pPr>
      <w:tabs>
        <w:tab w:val="center" w:pos="4536"/>
        <w:tab w:val="right" w:pos="9072"/>
      </w:tabs>
      <w:spacing w:line="240" w:lineRule="auto"/>
    </w:pPr>
    <w:rPr>
      <w:rFonts w:eastAsia="Times New Roman" w:cs="Times New Roman"/>
      <w:sz w:val="20"/>
      <w:szCs w:val="20"/>
      <w:lang w:eastAsia="pl-PL"/>
    </w:rPr>
  </w:style>
  <w:style w:type="character" w:customStyle="1" w:styleId="NagwekZnak">
    <w:name w:val="Nagłówek Znak"/>
    <w:basedOn w:val="Domylnaczcionkaakapitu"/>
    <w:link w:val="Nagwek"/>
    <w:uiPriority w:val="99"/>
    <w:rsid w:val="0050177A"/>
    <w:rPr>
      <w:rFonts w:ascii="Times New Roman" w:eastAsia="Times New Roman" w:hAnsi="Times New Roman" w:cs="Times New Roman"/>
      <w:sz w:val="20"/>
      <w:szCs w:val="20"/>
      <w:lang w:eastAsia="pl-PL"/>
    </w:rPr>
  </w:style>
  <w:style w:type="paragraph" w:customStyle="1" w:styleId="Default">
    <w:name w:val="Default"/>
    <w:rsid w:val="0050177A"/>
    <w:pPr>
      <w:autoSpaceDE w:val="0"/>
      <w:autoSpaceDN w:val="0"/>
      <w:adjustRightInd w:val="0"/>
      <w:spacing w:after="0" w:line="240" w:lineRule="auto"/>
    </w:pPr>
    <w:rPr>
      <w:rFonts w:ascii="Calibri" w:eastAsia="Calibri" w:hAnsi="Calibri" w:cs="Calibri"/>
      <w:color w:val="000000"/>
      <w:sz w:val="24"/>
      <w:szCs w:val="24"/>
    </w:rPr>
  </w:style>
  <w:style w:type="paragraph" w:styleId="NormalnyWeb">
    <w:name w:val="Normal (Web)"/>
    <w:basedOn w:val="Normalny"/>
    <w:uiPriority w:val="99"/>
    <w:unhideWhenUsed/>
    <w:rsid w:val="0050177A"/>
    <w:rPr>
      <w:rFonts w:eastAsia="Calibri" w:cs="Times New Roman"/>
      <w:szCs w:val="24"/>
    </w:rPr>
  </w:style>
  <w:style w:type="paragraph" w:customStyle="1" w:styleId="single-page-text">
    <w:name w:val="single-page-text"/>
    <w:basedOn w:val="Normalny"/>
    <w:rsid w:val="0050177A"/>
    <w:pPr>
      <w:spacing w:before="100" w:beforeAutospacing="1" w:after="100" w:afterAutospacing="1" w:line="240" w:lineRule="auto"/>
    </w:pPr>
    <w:rPr>
      <w:rFonts w:eastAsia="Times New Roman" w:cs="Times New Roman"/>
      <w:szCs w:val="24"/>
      <w:lang w:eastAsia="pl-PL"/>
    </w:rPr>
  </w:style>
  <w:style w:type="character" w:styleId="Pogrubienie">
    <w:name w:val="Strong"/>
    <w:basedOn w:val="Domylnaczcionkaakapitu"/>
    <w:uiPriority w:val="22"/>
    <w:qFormat/>
    <w:rsid w:val="0050177A"/>
    <w:rPr>
      <w:b/>
      <w:bCs/>
    </w:rPr>
  </w:style>
  <w:style w:type="paragraph" w:styleId="Tekstprzypisudolnego">
    <w:name w:val="footnote text"/>
    <w:aliases w:val=" Znak,Footnote,Podrozdział,Tekst przypisu,Tekst przypisu Znak Znak Znak Znak,Tekst przypisu Znak Znak Znak Znak Znak,Tekst przypisu Znak Znak Znak Znak Znak Znak Znak,Tekst przypisu Znak Znak Znak Znak Znak Znak Znak Znak Zn,Znak"/>
    <w:basedOn w:val="Normalny"/>
    <w:link w:val="TekstprzypisudolnegoZnak"/>
    <w:uiPriority w:val="99"/>
    <w:unhideWhenUsed/>
    <w:qFormat/>
    <w:rsid w:val="0050177A"/>
    <w:pPr>
      <w:spacing w:line="240"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 Znak Znak,Footnote Znak,Podrozdział Znak,Tekst przypisu Znak,Tekst przypisu Znak Znak Znak Znak Znak1,Tekst przypisu Znak Znak Znak Znak Znak Znak,Tekst przypisu Znak Znak Znak Znak Znak Znak Znak Znak,Znak Znak"/>
    <w:basedOn w:val="Domylnaczcionkaakapitu"/>
    <w:link w:val="Tekstprzypisudolnego"/>
    <w:uiPriority w:val="99"/>
    <w:rsid w:val="0050177A"/>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reference number,note TESI,Footnote Reference Superscript,SUPERS,EN Footnote Reference,Footnote number,FZ,(Voetnootmarkering),Appel note de bas de p,BVI fnr,Nota,E FNZ,Ref"/>
    <w:basedOn w:val="Domylnaczcionkaakapitu"/>
    <w:link w:val="FootnoteReferneceCarcter"/>
    <w:uiPriority w:val="99"/>
    <w:unhideWhenUsed/>
    <w:qFormat/>
    <w:rsid w:val="0050177A"/>
    <w:rPr>
      <w:vertAlign w:val="superscript"/>
    </w:rPr>
  </w:style>
  <w:style w:type="paragraph" w:customStyle="1" w:styleId="Standard">
    <w:name w:val="Standard"/>
    <w:rsid w:val="00F31DC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numbering" w:customStyle="1" w:styleId="WW8Num6">
    <w:name w:val="WW8Num6"/>
    <w:basedOn w:val="Bezlisty"/>
    <w:rsid w:val="00F31DCC"/>
    <w:pPr>
      <w:numPr>
        <w:numId w:val="2"/>
      </w:numPr>
    </w:pPr>
  </w:style>
  <w:style w:type="numbering" w:customStyle="1" w:styleId="WW8Num23">
    <w:name w:val="WW8Num23"/>
    <w:basedOn w:val="Bezlisty"/>
    <w:rsid w:val="00F31DCC"/>
    <w:pPr>
      <w:numPr>
        <w:numId w:val="3"/>
      </w:numPr>
    </w:pPr>
  </w:style>
  <w:style w:type="numbering" w:customStyle="1" w:styleId="WWNum30">
    <w:name w:val="WWNum30"/>
    <w:basedOn w:val="Bezlisty"/>
    <w:rsid w:val="00F31DCC"/>
    <w:pPr>
      <w:numPr>
        <w:numId w:val="4"/>
      </w:numPr>
    </w:pPr>
  </w:style>
  <w:style w:type="character" w:customStyle="1" w:styleId="AkapitzlistZnak">
    <w:name w:val="Akapit z listą Znak"/>
    <w:aliases w:val="Bullet1 Znak,Styl moj Znak,Akapit z listą11 Znak,List Paragraph1 Znak,aotm_załączniki Znak,Paragraf Znak,Dot pt Znak,F5 List Paragraph Znak,Recommendation Znak,List Paragraph11 Znak,Numerowanie Znak,Listaszerű bekezdés1 Znak"/>
    <w:link w:val="Akapitzlist"/>
    <w:uiPriority w:val="34"/>
    <w:qFormat/>
    <w:locked/>
    <w:rsid w:val="00F31DCC"/>
  </w:style>
  <w:style w:type="paragraph" w:styleId="HTML-wstpniesformatowany">
    <w:name w:val="HTML Preformatted"/>
    <w:basedOn w:val="Normalny"/>
    <w:link w:val="HTML-wstpniesformatowanyZnak"/>
    <w:uiPriority w:val="99"/>
    <w:unhideWhenUsed/>
    <w:qFormat/>
    <w:rsid w:val="00F31DCC"/>
    <w:pPr>
      <w:spacing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F31DCC"/>
    <w:rPr>
      <w:rFonts w:ascii="Consolas" w:hAnsi="Consolas"/>
      <w:sz w:val="20"/>
      <w:szCs w:val="20"/>
    </w:rPr>
  </w:style>
  <w:style w:type="paragraph" w:styleId="Bezodstpw">
    <w:name w:val="No Spacing"/>
    <w:uiPriority w:val="1"/>
    <w:qFormat/>
    <w:rsid w:val="00F31DCC"/>
    <w:pPr>
      <w:suppressAutoHyphens/>
      <w:spacing w:after="0" w:line="240" w:lineRule="auto"/>
    </w:pPr>
    <w:rPr>
      <w:rFonts w:ascii="Calibri" w:eastAsia="Times New Roman" w:hAnsi="Calibri" w:cs="Times New Roman"/>
      <w:lang w:eastAsia="zh-CN"/>
    </w:rPr>
  </w:style>
  <w:style w:type="character" w:customStyle="1" w:styleId="Bodytext2">
    <w:name w:val="Body text (2)_"/>
    <w:basedOn w:val="Domylnaczcionkaakapitu"/>
    <w:link w:val="Bodytext20"/>
    <w:rsid w:val="00F31DCC"/>
    <w:rPr>
      <w:rFonts w:ascii="Arial" w:eastAsia="Arial" w:hAnsi="Arial" w:cs="Arial"/>
      <w:shd w:val="clear" w:color="auto" w:fill="FFFFFF"/>
    </w:rPr>
  </w:style>
  <w:style w:type="character" w:customStyle="1" w:styleId="Bodytext2Italic">
    <w:name w:val="Body text (2) + Italic"/>
    <w:basedOn w:val="Bodytext2"/>
    <w:rsid w:val="00F31DCC"/>
    <w:rPr>
      <w:rFonts w:ascii="Arial" w:eastAsia="Arial" w:hAnsi="Arial" w:cs="Arial"/>
      <w:i/>
      <w:iCs/>
      <w:color w:val="000000"/>
      <w:spacing w:val="0"/>
      <w:w w:val="100"/>
      <w:position w:val="0"/>
      <w:shd w:val="clear" w:color="auto" w:fill="FFFFFF"/>
      <w:lang w:val="pl-PL" w:eastAsia="pl-PL" w:bidi="pl-PL"/>
    </w:rPr>
  </w:style>
  <w:style w:type="paragraph" w:customStyle="1" w:styleId="Bodytext20">
    <w:name w:val="Body text (2)"/>
    <w:basedOn w:val="Normalny"/>
    <w:link w:val="Bodytext2"/>
    <w:rsid w:val="00F31DCC"/>
    <w:pPr>
      <w:widowControl w:val="0"/>
      <w:shd w:val="clear" w:color="auto" w:fill="FFFFFF"/>
      <w:spacing w:line="0" w:lineRule="atLeast"/>
      <w:ind w:hanging="420"/>
    </w:pPr>
    <w:rPr>
      <w:rFonts w:ascii="Arial" w:eastAsia="Arial" w:hAnsi="Arial" w:cs="Arial"/>
    </w:rPr>
  </w:style>
  <w:style w:type="paragraph" w:customStyle="1" w:styleId="Akapitzlist1">
    <w:name w:val="Akapit z listą1"/>
    <w:basedOn w:val="Normalny"/>
    <w:uiPriority w:val="99"/>
    <w:rsid w:val="00C72FA4"/>
    <w:pPr>
      <w:spacing w:line="240" w:lineRule="auto"/>
      <w:ind w:left="720"/>
    </w:pPr>
    <w:rPr>
      <w:rFonts w:ascii="Calibri" w:eastAsia="Calibri" w:hAnsi="Calibri" w:cs="Times New Roman"/>
      <w:szCs w:val="24"/>
      <w:lang w:eastAsia="pl-PL"/>
    </w:rPr>
  </w:style>
  <w:style w:type="character" w:customStyle="1" w:styleId="editable-pre-wrapped">
    <w:name w:val="editable-pre-wrapped"/>
    <w:basedOn w:val="Domylnaczcionkaakapitu"/>
    <w:rsid w:val="00C72FA4"/>
  </w:style>
  <w:style w:type="character" w:customStyle="1" w:styleId="e24kjd">
    <w:name w:val="e24kjd"/>
    <w:rsid w:val="00C72FA4"/>
  </w:style>
  <w:style w:type="character" w:customStyle="1" w:styleId="czeinternetowe">
    <w:name w:val="Łącze internetowe"/>
    <w:rsid w:val="00C72FA4"/>
    <w:rPr>
      <w:color w:val="0000FF"/>
      <w:u w:val="single"/>
    </w:rPr>
  </w:style>
  <w:style w:type="table" w:styleId="Tabela-Siatka">
    <w:name w:val="Table Grid"/>
    <w:basedOn w:val="Standardowy"/>
    <w:uiPriority w:val="39"/>
    <w:rsid w:val="00CC3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link w:val="Tekstpodstawowy"/>
    <w:uiPriority w:val="99"/>
    <w:rsid w:val="00AB1786"/>
    <w:rPr>
      <w:rFonts w:eastAsia="Lucida Sans Unicode"/>
      <w:kern w:val="1"/>
      <w:sz w:val="24"/>
      <w:szCs w:val="24"/>
    </w:rPr>
  </w:style>
  <w:style w:type="paragraph" w:styleId="Tekstpodstawowy">
    <w:name w:val="Body Text"/>
    <w:basedOn w:val="Normalny"/>
    <w:link w:val="TekstpodstawowyZnak"/>
    <w:uiPriority w:val="99"/>
    <w:rsid w:val="00AB1786"/>
    <w:pPr>
      <w:widowControl w:val="0"/>
      <w:suppressAutoHyphens/>
      <w:spacing w:after="120" w:line="240" w:lineRule="auto"/>
    </w:pPr>
    <w:rPr>
      <w:rFonts w:eastAsia="Lucida Sans Unicode"/>
      <w:kern w:val="1"/>
      <w:szCs w:val="24"/>
    </w:rPr>
  </w:style>
  <w:style w:type="character" w:customStyle="1" w:styleId="TekstpodstawowyZnak1">
    <w:name w:val="Tekst podstawowy Znak1"/>
    <w:basedOn w:val="Domylnaczcionkaakapitu"/>
    <w:uiPriority w:val="99"/>
    <w:semiHidden/>
    <w:rsid w:val="00AB1786"/>
  </w:style>
  <w:style w:type="paragraph" w:customStyle="1" w:styleId="Pa8">
    <w:name w:val="Pa8"/>
    <w:basedOn w:val="Normalny"/>
    <w:next w:val="Normalny"/>
    <w:uiPriority w:val="99"/>
    <w:rsid w:val="00AB1786"/>
    <w:pPr>
      <w:autoSpaceDE w:val="0"/>
      <w:autoSpaceDN w:val="0"/>
      <w:adjustRightInd w:val="0"/>
      <w:spacing w:line="321" w:lineRule="atLeast"/>
    </w:pPr>
    <w:rPr>
      <w:rFonts w:ascii="Myriad Pro" w:eastAsia="Calibri" w:hAnsi="Myriad Pro" w:cs="Times New Roman"/>
      <w:szCs w:val="24"/>
    </w:rPr>
  </w:style>
  <w:style w:type="paragraph" w:styleId="Tekstdymka">
    <w:name w:val="Balloon Text"/>
    <w:basedOn w:val="Normalny"/>
    <w:link w:val="TekstdymkaZnak"/>
    <w:uiPriority w:val="99"/>
    <w:rsid w:val="00AB1786"/>
    <w:pPr>
      <w:spacing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AB1786"/>
    <w:rPr>
      <w:rFonts w:ascii="Segoe UI" w:eastAsia="Times New Roman" w:hAnsi="Segoe UI" w:cs="Segoe UI"/>
      <w:sz w:val="18"/>
      <w:szCs w:val="18"/>
      <w:lang w:eastAsia="pl-PL"/>
    </w:rPr>
  </w:style>
  <w:style w:type="paragraph" w:styleId="Stopka">
    <w:name w:val="footer"/>
    <w:basedOn w:val="Normalny"/>
    <w:link w:val="StopkaZnak"/>
    <w:uiPriority w:val="99"/>
    <w:rsid w:val="00AB1786"/>
    <w:pPr>
      <w:tabs>
        <w:tab w:val="center" w:pos="4536"/>
        <w:tab w:val="right" w:pos="9072"/>
      </w:tabs>
      <w:spacing w:line="240" w:lineRule="auto"/>
    </w:pPr>
    <w:rPr>
      <w:rFonts w:eastAsia="Times New Roman" w:cs="Times New Roman"/>
      <w:szCs w:val="24"/>
      <w:lang w:eastAsia="pl-PL"/>
    </w:rPr>
  </w:style>
  <w:style w:type="character" w:customStyle="1" w:styleId="StopkaZnak">
    <w:name w:val="Stopka Znak"/>
    <w:basedOn w:val="Domylnaczcionkaakapitu"/>
    <w:link w:val="Stopka"/>
    <w:uiPriority w:val="99"/>
    <w:rsid w:val="00AB1786"/>
    <w:rPr>
      <w:rFonts w:ascii="Times New Roman" w:eastAsia="Times New Roman" w:hAnsi="Times New Roman" w:cs="Times New Roman"/>
      <w:sz w:val="24"/>
      <w:szCs w:val="24"/>
      <w:lang w:eastAsia="pl-PL"/>
    </w:rPr>
  </w:style>
  <w:style w:type="table" w:customStyle="1" w:styleId="Tabelasiatki6kolorowaakcent11">
    <w:name w:val="Tabela siatki 6 — kolorowa — akcent 11"/>
    <w:basedOn w:val="Standardowy"/>
    <w:uiPriority w:val="51"/>
    <w:rsid w:val="00AB1786"/>
    <w:pPr>
      <w:spacing w:after="0" w:line="240" w:lineRule="auto"/>
    </w:pPr>
    <w:rPr>
      <w:rFonts w:ascii="Calibri" w:eastAsia="Calibri" w:hAnsi="Calibri" w:cs="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iatki2akcent11">
    <w:name w:val="Tabela siatki 2 — akcent 11"/>
    <w:basedOn w:val="Standardowy"/>
    <w:uiPriority w:val="47"/>
    <w:rsid w:val="00311D1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4akcent11">
    <w:name w:val="Tabela siatki 4 — akcent 11"/>
    <w:basedOn w:val="Standardowy"/>
    <w:uiPriority w:val="49"/>
    <w:rsid w:val="00311D1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4akcent21">
    <w:name w:val="Tabela siatki 4 — akcent 21"/>
    <w:basedOn w:val="Standardowy"/>
    <w:uiPriority w:val="49"/>
    <w:rsid w:val="00311D1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siatki4akcent31">
    <w:name w:val="Tabela siatki 4 — akcent 31"/>
    <w:basedOn w:val="Standardowy"/>
    <w:uiPriority w:val="49"/>
    <w:rsid w:val="00311D1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atki4akcent41">
    <w:name w:val="Tabela siatki 4 — akcent 41"/>
    <w:basedOn w:val="Standardowy"/>
    <w:uiPriority w:val="49"/>
    <w:rsid w:val="00311D1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asiatki4akcent61">
    <w:name w:val="Tabela siatki 4 — akcent 61"/>
    <w:basedOn w:val="Standardowy"/>
    <w:uiPriority w:val="49"/>
    <w:rsid w:val="00311D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siatki4akcent51">
    <w:name w:val="Tabela siatki 4 — akcent 51"/>
    <w:basedOn w:val="Standardowy"/>
    <w:uiPriority w:val="49"/>
    <w:rsid w:val="00311D1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Kolorowalistaakcent11">
    <w:name w:val="Kolorowa lista — akcent 11"/>
    <w:basedOn w:val="Normalny"/>
    <w:uiPriority w:val="99"/>
    <w:rsid w:val="00311D18"/>
    <w:pPr>
      <w:ind w:left="720"/>
      <w:contextualSpacing/>
    </w:pPr>
    <w:rPr>
      <w:rFonts w:ascii="Calibri" w:eastAsia="Times New Roman" w:hAnsi="Calibri" w:cs="Times New Roman"/>
      <w:lang w:eastAsia="pl-PL"/>
    </w:rPr>
  </w:style>
  <w:style w:type="character" w:customStyle="1" w:styleId="Teksttreci5">
    <w:name w:val="Tekst treści (5)_"/>
    <w:link w:val="Teksttreci50"/>
    <w:rsid w:val="00311D18"/>
    <w:rPr>
      <w:rFonts w:cs="Calibri"/>
      <w:i/>
      <w:iCs/>
      <w:sz w:val="21"/>
      <w:szCs w:val="21"/>
      <w:shd w:val="clear" w:color="auto" w:fill="FFFFFF"/>
    </w:rPr>
  </w:style>
  <w:style w:type="paragraph" w:customStyle="1" w:styleId="Teksttreci50">
    <w:name w:val="Tekst treści (5)"/>
    <w:basedOn w:val="Normalny"/>
    <w:link w:val="Teksttreci5"/>
    <w:rsid w:val="00311D18"/>
    <w:pPr>
      <w:widowControl w:val="0"/>
      <w:shd w:val="clear" w:color="auto" w:fill="FFFFFF"/>
      <w:spacing w:line="310" w:lineRule="exact"/>
      <w:ind w:firstLine="420"/>
    </w:pPr>
    <w:rPr>
      <w:rFonts w:cs="Calibri"/>
      <w:i/>
      <w:iCs/>
      <w:sz w:val="21"/>
      <w:szCs w:val="21"/>
    </w:rPr>
  </w:style>
  <w:style w:type="table" w:customStyle="1" w:styleId="Tabelasiatki3akcent41">
    <w:name w:val="Tabela siatki 3 — akcent 41"/>
    <w:basedOn w:val="Standardowy"/>
    <w:uiPriority w:val="48"/>
    <w:rsid w:val="00311D1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elasiatki5ciemnaakcent41">
    <w:name w:val="Tabela siatki 5 — ciemna — akcent 41"/>
    <w:basedOn w:val="Standardowy"/>
    <w:uiPriority w:val="50"/>
    <w:rsid w:val="00311D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elasiatki6kolorowaakcent41">
    <w:name w:val="Tabela siatki 6 — kolorowa — akcent 41"/>
    <w:basedOn w:val="Standardowy"/>
    <w:uiPriority w:val="51"/>
    <w:rsid w:val="00311D1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asiatki6kolorowaakcent51">
    <w:name w:val="Tabela siatki 6 — kolorowa — akcent 51"/>
    <w:basedOn w:val="Standardowy"/>
    <w:uiPriority w:val="51"/>
    <w:rsid w:val="00311D1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Odwoaniedokomentarza">
    <w:name w:val="annotation reference"/>
    <w:basedOn w:val="Domylnaczcionkaakapitu"/>
    <w:uiPriority w:val="99"/>
    <w:semiHidden/>
    <w:unhideWhenUsed/>
    <w:rsid w:val="00311D18"/>
    <w:rPr>
      <w:sz w:val="16"/>
      <w:szCs w:val="16"/>
    </w:rPr>
  </w:style>
  <w:style w:type="paragraph" w:styleId="Tekstkomentarza">
    <w:name w:val="annotation text"/>
    <w:basedOn w:val="Normalny"/>
    <w:link w:val="TekstkomentarzaZnak"/>
    <w:uiPriority w:val="99"/>
    <w:semiHidden/>
    <w:unhideWhenUsed/>
    <w:rsid w:val="00311D18"/>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311D18"/>
    <w:rPr>
      <w:sz w:val="20"/>
      <w:szCs w:val="20"/>
    </w:rPr>
  </w:style>
  <w:style w:type="paragraph" w:styleId="Tematkomentarza">
    <w:name w:val="annotation subject"/>
    <w:basedOn w:val="Tekstkomentarza"/>
    <w:next w:val="Tekstkomentarza"/>
    <w:link w:val="TematkomentarzaZnak"/>
    <w:uiPriority w:val="99"/>
    <w:semiHidden/>
    <w:unhideWhenUsed/>
    <w:rsid w:val="00311D18"/>
    <w:rPr>
      <w:b/>
      <w:bCs/>
    </w:rPr>
  </w:style>
  <w:style w:type="character" w:customStyle="1" w:styleId="TematkomentarzaZnak">
    <w:name w:val="Temat komentarza Znak"/>
    <w:basedOn w:val="TekstkomentarzaZnak"/>
    <w:link w:val="Tematkomentarza"/>
    <w:uiPriority w:val="99"/>
    <w:semiHidden/>
    <w:rsid w:val="00311D18"/>
    <w:rPr>
      <w:b/>
      <w:bCs/>
      <w:sz w:val="20"/>
      <w:szCs w:val="20"/>
    </w:rPr>
  </w:style>
  <w:style w:type="table" w:customStyle="1" w:styleId="Tabelasiatki6kolorowaakcent111">
    <w:name w:val="Tabela siatki 6 — kolorowa — akcent 111"/>
    <w:basedOn w:val="Standardowy"/>
    <w:uiPriority w:val="51"/>
    <w:qFormat/>
    <w:rsid w:val="004854E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eksttreci">
    <w:name w:val="Tekst treści_"/>
    <w:basedOn w:val="Domylnaczcionkaakapitu"/>
    <w:link w:val="Teksttreci0"/>
    <w:rsid w:val="00454AE8"/>
    <w:rPr>
      <w:rFonts w:ascii="Times New Roman" w:eastAsia="Times New Roman" w:hAnsi="Times New Roman" w:cs="Times New Roman"/>
      <w:sz w:val="23"/>
      <w:szCs w:val="23"/>
      <w:shd w:val="clear" w:color="auto" w:fill="FFFFFF"/>
    </w:rPr>
  </w:style>
  <w:style w:type="character" w:customStyle="1" w:styleId="TeksttreciKursywa">
    <w:name w:val="Tekst treści + Kursywa"/>
    <w:basedOn w:val="Teksttreci"/>
    <w:rsid w:val="00454AE8"/>
    <w:rPr>
      <w:rFonts w:ascii="Times New Roman" w:eastAsia="Times New Roman" w:hAnsi="Times New Roman" w:cs="Times New Roman"/>
      <w:i/>
      <w:iCs/>
      <w:color w:val="000000"/>
      <w:spacing w:val="0"/>
      <w:w w:val="100"/>
      <w:position w:val="0"/>
      <w:sz w:val="23"/>
      <w:szCs w:val="23"/>
      <w:shd w:val="clear" w:color="auto" w:fill="FFFFFF"/>
      <w:lang w:val="pl-PL"/>
    </w:rPr>
  </w:style>
  <w:style w:type="paragraph" w:customStyle="1" w:styleId="Teksttreci0">
    <w:name w:val="Tekst treści"/>
    <w:basedOn w:val="Normalny"/>
    <w:link w:val="Teksttreci"/>
    <w:rsid w:val="00454AE8"/>
    <w:pPr>
      <w:widowControl w:val="0"/>
      <w:shd w:val="clear" w:color="auto" w:fill="FFFFFF"/>
      <w:spacing w:after="600" w:line="0" w:lineRule="atLeast"/>
      <w:ind w:hanging="360"/>
      <w:jc w:val="right"/>
    </w:pPr>
    <w:rPr>
      <w:rFonts w:eastAsia="Times New Roman" w:cs="Times New Roman"/>
      <w:sz w:val="23"/>
      <w:szCs w:val="23"/>
    </w:rPr>
  </w:style>
  <w:style w:type="character" w:customStyle="1" w:styleId="Stopka0">
    <w:name w:val="Stopka_"/>
    <w:basedOn w:val="Domylnaczcionkaakapitu"/>
    <w:link w:val="Stopka2"/>
    <w:rsid w:val="005B49FD"/>
    <w:rPr>
      <w:rFonts w:ascii="Calibri" w:eastAsia="Calibri" w:hAnsi="Calibri" w:cs="Calibri"/>
      <w:sz w:val="19"/>
      <w:szCs w:val="19"/>
      <w:shd w:val="clear" w:color="auto" w:fill="FFFFFF"/>
      <w:lang w:val="en-US"/>
    </w:rPr>
  </w:style>
  <w:style w:type="character" w:customStyle="1" w:styleId="Stopka1">
    <w:name w:val="Stopka1"/>
    <w:basedOn w:val="Stopka0"/>
    <w:rsid w:val="005B49FD"/>
    <w:rPr>
      <w:rFonts w:ascii="Calibri" w:eastAsia="Calibri" w:hAnsi="Calibri" w:cs="Calibri"/>
      <w:color w:val="000000"/>
      <w:spacing w:val="0"/>
      <w:w w:val="100"/>
      <w:position w:val="0"/>
      <w:sz w:val="19"/>
      <w:szCs w:val="19"/>
      <w:u w:val="single"/>
      <w:shd w:val="clear" w:color="auto" w:fill="FFFFFF"/>
      <w:lang w:val="en-US"/>
    </w:rPr>
  </w:style>
  <w:style w:type="character" w:customStyle="1" w:styleId="Nagwek10">
    <w:name w:val="Nagłówek #1_"/>
    <w:basedOn w:val="Domylnaczcionkaakapitu"/>
    <w:link w:val="Nagwek11"/>
    <w:rsid w:val="005B49FD"/>
    <w:rPr>
      <w:rFonts w:ascii="Times New Roman" w:eastAsia="Times New Roman" w:hAnsi="Times New Roman" w:cs="Times New Roman"/>
      <w:sz w:val="23"/>
      <w:szCs w:val="23"/>
      <w:shd w:val="clear" w:color="auto" w:fill="FFFFFF"/>
    </w:rPr>
  </w:style>
  <w:style w:type="character" w:customStyle="1" w:styleId="PodpisobrazuExact">
    <w:name w:val="Podpis obrazu Exact"/>
    <w:basedOn w:val="Domylnaczcionkaakapitu"/>
    <w:link w:val="Podpisobrazu"/>
    <w:rsid w:val="005B49FD"/>
    <w:rPr>
      <w:rFonts w:ascii="Times New Roman" w:eastAsia="Times New Roman" w:hAnsi="Times New Roman" w:cs="Times New Roman"/>
      <w:spacing w:val="4"/>
      <w:sz w:val="21"/>
      <w:szCs w:val="21"/>
      <w:shd w:val="clear" w:color="auto" w:fill="FFFFFF"/>
    </w:rPr>
  </w:style>
  <w:style w:type="character" w:customStyle="1" w:styleId="Teksttreci4">
    <w:name w:val="Tekst treści (4)_"/>
    <w:basedOn w:val="Domylnaczcionkaakapitu"/>
    <w:rsid w:val="005B49FD"/>
    <w:rPr>
      <w:rFonts w:ascii="Times New Roman" w:eastAsia="Times New Roman" w:hAnsi="Times New Roman" w:cs="Times New Roman"/>
      <w:b/>
      <w:bCs/>
      <w:i w:val="0"/>
      <w:iCs w:val="0"/>
      <w:smallCaps w:val="0"/>
      <w:strike w:val="0"/>
      <w:sz w:val="16"/>
      <w:szCs w:val="16"/>
      <w:u w:val="none"/>
    </w:rPr>
  </w:style>
  <w:style w:type="character" w:customStyle="1" w:styleId="Teksttreci40">
    <w:name w:val="Tekst treści (4)"/>
    <w:basedOn w:val="Teksttreci4"/>
    <w:rsid w:val="005B49FD"/>
    <w:rPr>
      <w:rFonts w:ascii="Times New Roman" w:eastAsia="Times New Roman" w:hAnsi="Times New Roman" w:cs="Times New Roman"/>
      <w:b/>
      <w:bCs/>
      <w:i w:val="0"/>
      <w:iCs w:val="0"/>
      <w:smallCaps w:val="0"/>
      <w:strike w:val="0"/>
      <w:color w:val="000000"/>
      <w:spacing w:val="0"/>
      <w:w w:val="100"/>
      <w:position w:val="0"/>
      <w:sz w:val="16"/>
      <w:szCs w:val="16"/>
      <w:u w:val="none"/>
      <w:lang w:val="pl-PL"/>
    </w:rPr>
  </w:style>
  <w:style w:type="character" w:customStyle="1" w:styleId="Podpisobrazu2Exact">
    <w:name w:val="Podpis obrazu (2) Exact"/>
    <w:basedOn w:val="Domylnaczcionkaakapitu"/>
    <w:link w:val="Podpisobrazu2"/>
    <w:rsid w:val="005B49FD"/>
    <w:rPr>
      <w:rFonts w:ascii="Calibri" w:eastAsia="Calibri" w:hAnsi="Calibri" w:cs="Calibri"/>
      <w:spacing w:val="1"/>
      <w:sz w:val="18"/>
      <w:szCs w:val="18"/>
      <w:shd w:val="clear" w:color="auto" w:fill="FFFFFF"/>
    </w:rPr>
  </w:style>
  <w:style w:type="character" w:customStyle="1" w:styleId="Teksttreci6">
    <w:name w:val="Tekst treści (6)_"/>
    <w:basedOn w:val="Domylnaczcionkaakapitu"/>
    <w:link w:val="Teksttreci60"/>
    <w:rsid w:val="005B49FD"/>
    <w:rPr>
      <w:rFonts w:ascii="Calibri" w:eastAsia="Calibri" w:hAnsi="Calibri" w:cs="Calibri"/>
      <w:sz w:val="19"/>
      <w:szCs w:val="19"/>
      <w:shd w:val="clear" w:color="auto" w:fill="FFFFFF"/>
    </w:rPr>
  </w:style>
  <w:style w:type="character" w:customStyle="1" w:styleId="PogrubienieTeksttreciCalibri13pt">
    <w:name w:val="Pogrubienie;Tekst treści + Calibri;13 pt"/>
    <w:basedOn w:val="Teksttreci"/>
    <w:rsid w:val="005B49FD"/>
    <w:rPr>
      <w:rFonts w:ascii="Calibri" w:eastAsia="Calibri" w:hAnsi="Calibri" w:cs="Calibri"/>
      <w:b/>
      <w:bCs/>
      <w:i w:val="0"/>
      <w:iCs w:val="0"/>
      <w:smallCaps w:val="0"/>
      <w:strike w:val="0"/>
      <w:color w:val="000000"/>
      <w:spacing w:val="0"/>
      <w:w w:val="100"/>
      <w:position w:val="0"/>
      <w:sz w:val="26"/>
      <w:szCs w:val="26"/>
      <w:u w:val="none"/>
      <w:shd w:val="clear" w:color="auto" w:fill="FFFFFF"/>
      <w:lang w:val="pl-PL"/>
    </w:rPr>
  </w:style>
  <w:style w:type="character" w:customStyle="1" w:styleId="TeksttreciCalibri95pt">
    <w:name w:val="Tekst treści + Calibri;9;5 pt"/>
    <w:basedOn w:val="Teksttreci"/>
    <w:rsid w:val="005B49FD"/>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pl-PL"/>
    </w:rPr>
  </w:style>
  <w:style w:type="character" w:customStyle="1" w:styleId="Teksttreci55ptOdstpy2pt">
    <w:name w:val="Tekst treści + 5;5 pt;Odstępy 2 pt"/>
    <w:basedOn w:val="Teksttreci"/>
    <w:rsid w:val="005B49FD"/>
    <w:rPr>
      <w:rFonts w:ascii="Times New Roman" w:eastAsia="Times New Roman" w:hAnsi="Times New Roman" w:cs="Times New Roman"/>
      <w:b w:val="0"/>
      <w:bCs w:val="0"/>
      <w:i w:val="0"/>
      <w:iCs w:val="0"/>
      <w:smallCaps w:val="0"/>
      <w:strike w:val="0"/>
      <w:color w:val="000000"/>
      <w:spacing w:val="50"/>
      <w:w w:val="100"/>
      <w:position w:val="0"/>
      <w:sz w:val="11"/>
      <w:szCs w:val="11"/>
      <w:u w:val="none"/>
      <w:shd w:val="clear" w:color="auto" w:fill="FFFFFF"/>
      <w:lang w:val="pl-PL"/>
    </w:rPr>
  </w:style>
  <w:style w:type="character" w:customStyle="1" w:styleId="TeksttreciSimSun9pt">
    <w:name w:val="Tekst treści + SimSun;9 pt"/>
    <w:basedOn w:val="Teksttreci"/>
    <w:rsid w:val="005B49FD"/>
    <w:rPr>
      <w:rFonts w:ascii="SimSun" w:eastAsia="SimSun" w:hAnsi="SimSun" w:cs="SimSun"/>
      <w:b w:val="0"/>
      <w:bCs w:val="0"/>
      <w:i w:val="0"/>
      <w:iCs w:val="0"/>
      <w:smallCaps w:val="0"/>
      <w:strike w:val="0"/>
      <w:color w:val="000000"/>
      <w:spacing w:val="0"/>
      <w:w w:val="100"/>
      <w:position w:val="0"/>
      <w:sz w:val="18"/>
      <w:szCs w:val="18"/>
      <w:u w:val="none"/>
      <w:shd w:val="clear" w:color="auto" w:fill="FFFFFF"/>
    </w:rPr>
  </w:style>
  <w:style w:type="character" w:customStyle="1" w:styleId="TeksttreciConstantia86ptKursywa">
    <w:name w:val="Tekst treści + Constantia;86 pt;Kursywa"/>
    <w:basedOn w:val="Teksttreci"/>
    <w:rsid w:val="005B49FD"/>
    <w:rPr>
      <w:rFonts w:ascii="Constantia" w:eastAsia="Constantia" w:hAnsi="Constantia" w:cs="Constantia"/>
      <w:b w:val="0"/>
      <w:bCs w:val="0"/>
      <w:i/>
      <w:iCs/>
      <w:smallCaps w:val="0"/>
      <w:strike w:val="0"/>
      <w:color w:val="000000"/>
      <w:spacing w:val="0"/>
      <w:w w:val="100"/>
      <w:position w:val="0"/>
      <w:sz w:val="172"/>
      <w:szCs w:val="172"/>
      <w:u w:val="none"/>
      <w:shd w:val="clear" w:color="auto" w:fill="FFFFFF"/>
    </w:rPr>
  </w:style>
  <w:style w:type="character" w:customStyle="1" w:styleId="Teksttreci5Exact">
    <w:name w:val="Tekst treści (5) Exact"/>
    <w:basedOn w:val="Domylnaczcionkaakapitu"/>
    <w:rsid w:val="005B49FD"/>
    <w:rPr>
      <w:rFonts w:ascii="Calibri" w:eastAsia="Calibri" w:hAnsi="Calibri" w:cs="Calibri"/>
      <w:b/>
      <w:bCs/>
      <w:i w:val="0"/>
      <w:iCs w:val="0"/>
      <w:smallCaps w:val="0"/>
      <w:strike w:val="0"/>
      <w:spacing w:val="2"/>
      <w:sz w:val="21"/>
      <w:szCs w:val="21"/>
      <w:u w:val="none"/>
    </w:rPr>
  </w:style>
  <w:style w:type="character" w:customStyle="1" w:styleId="Teksttreci6Exact">
    <w:name w:val="Tekst treści (6) Exact"/>
    <w:basedOn w:val="Domylnaczcionkaakapitu"/>
    <w:rsid w:val="005B49FD"/>
    <w:rPr>
      <w:rFonts w:ascii="Calibri" w:eastAsia="Calibri" w:hAnsi="Calibri" w:cs="Calibri"/>
      <w:b w:val="0"/>
      <w:bCs w:val="0"/>
      <w:i w:val="0"/>
      <w:iCs w:val="0"/>
      <w:smallCaps w:val="0"/>
      <w:strike w:val="0"/>
      <w:spacing w:val="1"/>
      <w:sz w:val="18"/>
      <w:szCs w:val="18"/>
      <w:u w:val="none"/>
    </w:rPr>
  </w:style>
  <w:style w:type="paragraph" w:customStyle="1" w:styleId="Stopka2">
    <w:name w:val="Stopka2"/>
    <w:basedOn w:val="Normalny"/>
    <w:link w:val="Stopka0"/>
    <w:rsid w:val="005B49FD"/>
    <w:pPr>
      <w:widowControl w:val="0"/>
      <w:shd w:val="clear" w:color="auto" w:fill="FFFFFF"/>
      <w:spacing w:line="408" w:lineRule="exact"/>
    </w:pPr>
    <w:rPr>
      <w:rFonts w:ascii="Calibri" w:eastAsia="Calibri" w:hAnsi="Calibri" w:cs="Calibri"/>
      <w:sz w:val="19"/>
      <w:szCs w:val="19"/>
      <w:lang w:val="en-US"/>
    </w:rPr>
  </w:style>
  <w:style w:type="paragraph" w:customStyle="1" w:styleId="Nagwek11">
    <w:name w:val="Nagłówek #1"/>
    <w:basedOn w:val="Normalny"/>
    <w:link w:val="Nagwek10"/>
    <w:rsid w:val="005B49FD"/>
    <w:pPr>
      <w:widowControl w:val="0"/>
      <w:shd w:val="clear" w:color="auto" w:fill="FFFFFF"/>
      <w:spacing w:line="413" w:lineRule="exact"/>
      <w:ind w:hanging="340"/>
      <w:outlineLvl w:val="0"/>
    </w:pPr>
    <w:rPr>
      <w:rFonts w:eastAsia="Times New Roman" w:cs="Times New Roman"/>
      <w:sz w:val="23"/>
      <w:szCs w:val="23"/>
    </w:rPr>
  </w:style>
  <w:style w:type="paragraph" w:customStyle="1" w:styleId="Podpisobrazu">
    <w:name w:val="Podpis obrazu"/>
    <w:basedOn w:val="Normalny"/>
    <w:link w:val="PodpisobrazuExact"/>
    <w:rsid w:val="005B49FD"/>
    <w:pPr>
      <w:widowControl w:val="0"/>
      <w:shd w:val="clear" w:color="auto" w:fill="FFFFFF"/>
      <w:spacing w:line="0" w:lineRule="atLeast"/>
    </w:pPr>
    <w:rPr>
      <w:rFonts w:eastAsia="Times New Roman" w:cs="Times New Roman"/>
      <w:spacing w:val="4"/>
      <w:sz w:val="21"/>
      <w:szCs w:val="21"/>
    </w:rPr>
  </w:style>
  <w:style w:type="paragraph" w:customStyle="1" w:styleId="Podpisobrazu2">
    <w:name w:val="Podpis obrazu (2)"/>
    <w:basedOn w:val="Normalny"/>
    <w:link w:val="Podpisobrazu2Exact"/>
    <w:rsid w:val="005B49FD"/>
    <w:pPr>
      <w:widowControl w:val="0"/>
      <w:shd w:val="clear" w:color="auto" w:fill="FFFFFF"/>
      <w:spacing w:line="418" w:lineRule="exact"/>
    </w:pPr>
    <w:rPr>
      <w:rFonts w:ascii="Calibri" w:eastAsia="Calibri" w:hAnsi="Calibri" w:cs="Calibri"/>
      <w:spacing w:val="1"/>
      <w:sz w:val="18"/>
      <w:szCs w:val="18"/>
    </w:rPr>
  </w:style>
  <w:style w:type="paragraph" w:customStyle="1" w:styleId="Teksttreci60">
    <w:name w:val="Tekst treści (6)"/>
    <w:basedOn w:val="Normalny"/>
    <w:link w:val="Teksttreci6"/>
    <w:rsid w:val="005B49FD"/>
    <w:pPr>
      <w:widowControl w:val="0"/>
      <w:shd w:val="clear" w:color="auto" w:fill="FFFFFF"/>
      <w:spacing w:before="780" w:after="60" w:line="490" w:lineRule="exact"/>
    </w:pPr>
    <w:rPr>
      <w:rFonts w:ascii="Calibri" w:eastAsia="Calibri" w:hAnsi="Calibri" w:cs="Calibri"/>
      <w:sz w:val="19"/>
      <w:szCs w:val="19"/>
    </w:rPr>
  </w:style>
  <w:style w:type="character" w:customStyle="1" w:styleId="Teksttreci6TrebuchetMSKursywa">
    <w:name w:val="Tekst treści (6) + Trebuchet MS;Kursywa"/>
    <w:basedOn w:val="Teksttreci6"/>
    <w:rsid w:val="006012C3"/>
    <w:rPr>
      <w:rFonts w:ascii="Trebuchet MS" w:eastAsia="Trebuchet MS" w:hAnsi="Trebuchet MS" w:cs="Trebuchet MS"/>
      <w:b w:val="0"/>
      <w:bCs w:val="0"/>
      <w:i/>
      <w:iCs/>
      <w:smallCaps w:val="0"/>
      <w:strike w:val="0"/>
      <w:color w:val="000000"/>
      <w:spacing w:val="0"/>
      <w:w w:val="100"/>
      <w:position w:val="0"/>
      <w:sz w:val="11"/>
      <w:szCs w:val="11"/>
      <w:u w:val="none"/>
      <w:shd w:val="clear" w:color="auto" w:fill="FFFFFF"/>
      <w:lang w:val="pl-PL"/>
    </w:rPr>
  </w:style>
  <w:style w:type="character" w:customStyle="1" w:styleId="Teksttreci75pt">
    <w:name w:val="Tekst treści + 7;5 pt"/>
    <w:basedOn w:val="Teksttreci"/>
    <w:rsid w:val="006012C3"/>
    <w:rPr>
      <w:rFonts w:ascii="Trebuchet MS" w:eastAsia="Trebuchet MS" w:hAnsi="Trebuchet MS" w:cs="Trebuchet MS"/>
      <w:b w:val="0"/>
      <w:bCs w:val="0"/>
      <w:i w:val="0"/>
      <w:iCs w:val="0"/>
      <w:smallCaps w:val="0"/>
      <w:strike w:val="0"/>
      <w:color w:val="000000"/>
      <w:spacing w:val="0"/>
      <w:w w:val="100"/>
      <w:position w:val="0"/>
      <w:sz w:val="15"/>
      <w:szCs w:val="15"/>
      <w:u w:val="none"/>
      <w:shd w:val="clear" w:color="auto" w:fill="FFFFFF"/>
      <w:lang w:val="pl-PL"/>
    </w:rPr>
  </w:style>
  <w:style w:type="character" w:customStyle="1" w:styleId="Teksttreci6TrebuchetMSKursywaOdstpy0ptExact">
    <w:name w:val="Tekst treści (6) + Trebuchet MS;Kursywa;Odstępy 0 pt Exact"/>
    <w:basedOn w:val="Teksttreci6"/>
    <w:rsid w:val="00302131"/>
    <w:rPr>
      <w:rFonts w:ascii="Trebuchet MS" w:eastAsia="Trebuchet MS" w:hAnsi="Trebuchet MS" w:cs="Trebuchet MS"/>
      <w:b w:val="0"/>
      <w:bCs w:val="0"/>
      <w:i/>
      <w:iCs/>
      <w:smallCaps w:val="0"/>
      <w:strike w:val="0"/>
      <w:color w:val="000000"/>
      <w:spacing w:val="4"/>
      <w:w w:val="100"/>
      <w:position w:val="0"/>
      <w:sz w:val="8"/>
      <w:szCs w:val="8"/>
      <w:u w:val="none"/>
      <w:shd w:val="clear" w:color="auto" w:fill="FFFFFF"/>
      <w:lang w:val="pl-PL"/>
    </w:rPr>
  </w:style>
  <w:style w:type="character" w:customStyle="1" w:styleId="Teksttreci6ArialNarrowOdstpy0ptExact">
    <w:name w:val="Tekst treści (6) + Arial Narrow;Odstępy 0 pt Exact"/>
    <w:basedOn w:val="Teksttreci6"/>
    <w:rsid w:val="00302131"/>
    <w:rPr>
      <w:rFonts w:ascii="Arial Narrow" w:eastAsia="Arial Narrow" w:hAnsi="Arial Narrow" w:cs="Arial Narrow"/>
      <w:b w:val="0"/>
      <w:bCs w:val="0"/>
      <w:i w:val="0"/>
      <w:iCs w:val="0"/>
      <w:smallCaps w:val="0"/>
      <w:strike w:val="0"/>
      <w:color w:val="000000"/>
      <w:spacing w:val="3"/>
      <w:w w:val="100"/>
      <w:position w:val="0"/>
      <w:sz w:val="8"/>
      <w:szCs w:val="8"/>
      <w:u w:val="none"/>
      <w:shd w:val="clear" w:color="auto" w:fill="FFFFFF"/>
      <w:lang w:val="en-US"/>
    </w:rPr>
  </w:style>
  <w:style w:type="character" w:customStyle="1" w:styleId="Teksttreci6TrebuchetMSExact">
    <w:name w:val="Tekst treści (6) + Trebuchet MS Exact"/>
    <w:basedOn w:val="Teksttreci6"/>
    <w:rsid w:val="00302131"/>
    <w:rPr>
      <w:rFonts w:ascii="Trebuchet MS" w:eastAsia="Trebuchet MS" w:hAnsi="Trebuchet MS" w:cs="Trebuchet MS"/>
      <w:b w:val="0"/>
      <w:bCs w:val="0"/>
      <w:i w:val="0"/>
      <w:iCs w:val="0"/>
      <w:smallCaps w:val="0"/>
      <w:strike w:val="0"/>
      <w:color w:val="000000"/>
      <w:spacing w:val="2"/>
      <w:w w:val="100"/>
      <w:position w:val="0"/>
      <w:sz w:val="8"/>
      <w:szCs w:val="8"/>
      <w:u w:val="none"/>
      <w:shd w:val="clear" w:color="auto" w:fill="FFFFFF"/>
    </w:rPr>
  </w:style>
  <w:style w:type="character" w:customStyle="1" w:styleId="Teksttreci8">
    <w:name w:val="Tekst treści (8)_"/>
    <w:basedOn w:val="Domylnaczcionkaakapitu"/>
    <w:link w:val="Teksttreci80"/>
    <w:rsid w:val="00F753C1"/>
    <w:rPr>
      <w:rFonts w:ascii="Arial Narrow" w:eastAsia="Arial Narrow" w:hAnsi="Arial Narrow" w:cs="Arial Narrow"/>
      <w:sz w:val="10"/>
      <w:szCs w:val="10"/>
      <w:shd w:val="clear" w:color="auto" w:fill="FFFFFF"/>
    </w:rPr>
  </w:style>
  <w:style w:type="paragraph" w:customStyle="1" w:styleId="Teksttreci80">
    <w:name w:val="Tekst treści (8)"/>
    <w:basedOn w:val="Normalny"/>
    <w:link w:val="Teksttreci8"/>
    <w:rsid w:val="00F753C1"/>
    <w:pPr>
      <w:widowControl w:val="0"/>
      <w:shd w:val="clear" w:color="auto" w:fill="FFFFFF"/>
      <w:spacing w:before="60" w:line="0" w:lineRule="atLeast"/>
      <w:ind w:hanging="360"/>
    </w:pPr>
    <w:rPr>
      <w:rFonts w:ascii="Arial Narrow" w:eastAsia="Arial Narrow" w:hAnsi="Arial Narrow" w:cs="Arial Narrow"/>
      <w:sz w:val="10"/>
      <w:szCs w:val="10"/>
    </w:rPr>
  </w:style>
  <w:style w:type="character" w:customStyle="1" w:styleId="Teksttreci11">
    <w:name w:val="Tekst treści (11)_"/>
    <w:basedOn w:val="Domylnaczcionkaakapitu"/>
    <w:link w:val="Teksttreci110"/>
    <w:rsid w:val="00F753C1"/>
    <w:rPr>
      <w:rFonts w:ascii="Trebuchet MS" w:eastAsia="Trebuchet MS" w:hAnsi="Trebuchet MS" w:cs="Trebuchet MS"/>
      <w:i/>
      <w:iCs/>
      <w:sz w:val="20"/>
      <w:szCs w:val="20"/>
      <w:shd w:val="clear" w:color="auto" w:fill="FFFFFF"/>
    </w:rPr>
  </w:style>
  <w:style w:type="character" w:customStyle="1" w:styleId="Teksttreci11Bezkursywy">
    <w:name w:val="Tekst treści (11) + Bez kursywy"/>
    <w:basedOn w:val="Teksttreci11"/>
    <w:rsid w:val="00F753C1"/>
    <w:rPr>
      <w:rFonts w:ascii="Trebuchet MS" w:eastAsia="Trebuchet MS" w:hAnsi="Trebuchet MS" w:cs="Trebuchet MS"/>
      <w:i/>
      <w:iCs/>
      <w:color w:val="000000"/>
      <w:spacing w:val="0"/>
      <w:w w:val="100"/>
      <w:position w:val="0"/>
      <w:sz w:val="20"/>
      <w:szCs w:val="20"/>
      <w:shd w:val="clear" w:color="auto" w:fill="FFFFFF"/>
      <w:lang w:val="pl-PL"/>
    </w:rPr>
  </w:style>
  <w:style w:type="character" w:customStyle="1" w:styleId="PodpisobrazuTrebuchetMSKursywaOdstpy0ptExact">
    <w:name w:val="Podpis obrazu + Trebuchet MS;Kursywa;Odstępy 0 pt Exact"/>
    <w:basedOn w:val="PodpisobrazuExact"/>
    <w:rsid w:val="00F753C1"/>
    <w:rPr>
      <w:rFonts w:ascii="Trebuchet MS" w:eastAsia="Trebuchet MS" w:hAnsi="Trebuchet MS" w:cs="Trebuchet MS"/>
      <w:b w:val="0"/>
      <w:bCs w:val="0"/>
      <w:i/>
      <w:iCs/>
      <w:smallCaps w:val="0"/>
      <w:strike w:val="0"/>
      <w:color w:val="000000"/>
      <w:spacing w:val="0"/>
      <w:w w:val="100"/>
      <w:position w:val="0"/>
      <w:sz w:val="9"/>
      <w:szCs w:val="9"/>
      <w:u w:val="none"/>
      <w:shd w:val="clear" w:color="auto" w:fill="FFFFFF"/>
      <w:lang w:val="pl-PL"/>
    </w:rPr>
  </w:style>
  <w:style w:type="paragraph" w:customStyle="1" w:styleId="Teksttreci110">
    <w:name w:val="Tekst treści (11)"/>
    <w:basedOn w:val="Normalny"/>
    <w:link w:val="Teksttreci11"/>
    <w:rsid w:val="00F753C1"/>
    <w:pPr>
      <w:widowControl w:val="0"/>
      <w:shd w:val="clear" w:color="auto" w:fill="FFFFFF"/>
      <w:spacing w:before="480" w:after="180" w:line="0" w:lineRule="atLeast"/>
      <w:ind w:hanging="340"/>
    </w:pPr>
    <w:rPr>
      <w:rFonts w:ascii="Trebuchet MS" w:eastAsia="Trebuchet MS" w:hAnsi="Trebuchet MS" w:cs="Trebuchet MS"/>
      <w:i/>
      <w:iCs/>
      <w:sz w:val="20"/>
      <w:szCs w:val="20"/>
    </w:rPr>
  </w:style>
  <w:style w:type="character" w:customStyle="1" w:styleId="Teksttreci2">
    <w:name w:val="Tekst treści (2)_"/>
    <w:basedOn w:val="Domylnaczcionkaakapitu"/>
    <w:link w:val="Teksttreci20"/>
    <w:rsid w:val="00F753C1"/>
    <w:rPr>
      <w:rFonts w:ascii="Franklin Gothic Heavy" w:eastAsia="Franklin Gothic Heavy" w:hAnsi="Franklin Gothic Heavy" w:cs="Franklin Gothic Heavy"/>
      <w:sz w:val="10"/>
      <w:szCs w:val="10"/>
      <w:shd w:val="clear" w:color="auto" w:fill="FFFFFF"/>
    </w:rPr>
  </w:style>
  <w:style w:type="character" w:customStyle="1" w:styleId="Teksttreci2Exact">
    <w:name w:val="Tekst treści (2) Exact"/>
    <w:basedOn w:val="Domylnaczcionkaakapitu"/>
    <w:rsid w:val="00F753C1"/>
    <w:rPr>
      <w:rFonts w:ascii="Franklin Gothic Heavy" w:eastAsia="Franklin Gothic Heavy" w:hAnsi="Franklin Gothic Heavy" w:cs="Franklin Gothic Heavy"/>
      <w:b w:val="0"/>
      <w:bCs w:val="0"/>
      <w:i w:val="0"/>
      <w:iCs w:val="0"/>
      <w:smallCaps w:val="0"/>
      <w:strike w:val="0"/>
      <w:spacing w:val="5"/>
      <w:sz w:val="9"/>
      <w:szCs w:val="9"/>
      <w:u w:val="none"/>
    </w:rPr>
  </w:style>
  <w:style w:type="character" w:customStyle="1" w:styleId="Teksttreci2TrebuchetMSKursywaOdstpy0ptExact">
    <w:name w:val="Tekst treści (2) + Trebuchet MS;Kursywa;Odstępy 0 pt Exact"/>
    <w:basedOn w:val="Teksttreci2"/>
    <w:rsid w:val="00F753C1"/>
    <w:rPr>
      <w:rFonts w:ascii="Trebuchet MS" w:eastAsia="Trebuchet MS" w:hAnsi="Trebuchet MS" w:cs="Trebuchet MS"/>
      <w:i/>
      <w:iCs/>
      <w:color w:val="000000"/>
      <w:spacing w:val="0"/>
      <w:w w:val="100"/>
      <w:position w:val="0"/>
      <w:sz w:val="9"/>
      <w:szCs w:val="9"/>
      <w:shd w:val="clear" w:color="auto" w:fill="FFFFFF"/>
      <w:lang w:val="pl-PL"/>
    </w:rPr>
  </w:style>
  <w:style w:type="paragraph" w:customStyle="1" w:styleId="Teksttreci20">
    <w:name w:val="Tekst treści (2)"/>
    <w:basedOn w:val="Normalny"/>
    <w:link w:val="Teksttreci2"/>
    <w:rsid w:val="00F753C1"/>
    <w:pPr>
      <w:widowControl w:val="0"/>
      <w:shd w:val="clear" w:color="auto" w:fill="FFFFFF"/>
      <w:spacing w:after="600" w:line="0" w:lineRule="atLeast"/>
      <w:ind w:hanging="360"/>
      <w:jc w:val="right"/>
    </w:pPr>
    <w:rPr>
      <w:rFonts w:ascii="Franklin Gothic Heavy" w:eastAsia="Franklin Gothic Heavy" w:hAnsi="Franklin Gothic Heavy" w:cs="Franklin Gothic Heavy"/>
      <w:sz w:val="10"/>
      <w:szCs w:val="10"/>
    </w:rPr>
  </w:style>
  <w:style w:type="character" w:customStyle="1" w:styleId="Stopka7ptKursywa">
    <w:name w:val="Stopka + 7 pt;Kursywa"/>
    <w:basedOn w:val="Stopka0"/>
    <w:rsid w:val="006F7647"/>
    <w:rPr>
      <w:rFonts w:ascii="Trebuchet MS" w:eastAsia="Trebuchet MS" w:hAnsi="Trebuchet MS" w:cs="Trebuchet MS"/>
      <w:b w:val="0"/>
      <w:bCs w:val="0"/>
      <w:i/>
      <w:iCs/>
      <w:smallCaps w:val="0"/>
      <w:strike w:val="0"/>
      <w:color w:val="000000"/>
      <w:spacing w:val="0"/>
      <w:w w:val="100"/>
      <w:position w:val="0"/>
      <w:sz w:val="14"/>
      <w:szCs w:val="14"/>
      <w:u w:val="none"/>
      <w:shd w:val="clear" w:color="auto" w:fill="FFFFFF"/>
      <w:lang w:val="pl-PL"/>
    </w:rPr>
  </w:style>
  <w:style w:type="character" w:customStyle="1" w:styleId="StopkaFranklinGothicHeavy5pt">
    <w:name w:val="Stopka + Franklin Gothic Heavy;5 pt"/>
    <w:basedOn w:val="Stopka0"/>
    <w:rsid w:val="006F7647"/>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single"/>
      <w:shd w:val="clear" w:color="auto" w:fill="FFFFFF"/>
      <w:lang w:val="pl-PL"/>
    </w:rPr>
  </w:style>
  <w:style w:type="character" w:customStyle="1" w:styleId="st">
    <w:name w:val="st"/>
    <w:rsid w:val="000A25C2"/>
  </w:style>
  <w:style w:type="paragraph" w:customStyle="1" w:styleId="nagjed">
    <w:name w:val="nag_jed"/>
    <w:qFormat/>
    <w:rsid w:val="00D92613"/>
    <w:pPr>
      <w:spacing w:before="60" w:after="60" w:line="240" w:lineRule="auto"/>
      <w:jc w:val="center"/>
      <w:outlineLvl w:val="0"/>
    </w:pPr>
    <w:rPr>
      <w:rFonts w:ascii="Times New Roman" w:eastAsia="Calibri" w:hAnsi="Times New Roman" w:cs="Times New Roman"/>
      <w:b/>
      <w:sz w:val="24"/>
    </w:rPr>
  </w:style>
  <w:style w:type="paragraph" w:styleId="Tekstpodstawowywcity">
    <w:name w:val="Body Text Indent"/>
    <w:basedOn w:val="Normalny"/>
    <w:link w:val="TekstpodstawowywcityZnak"/>
    <w:uiPriority w:val="99"/>
    <w:unhideWhenUsed/>
    <w:rsid w:val="007E1A37"/>
    <w:pPr>
      <w:spacing w:after="120"/>
      <w:ind w:left="283"/>
    </w:pPr>
  </w:style>
  <w:style w:type="character" w:customStyle="1" w:styleId="TekstpodstawowywcityZnak">
    <w:name w:val="Tekst podstawowy wcięty Znak"/>
    <w:basedOn w:val="Domylnaczcionkaakapitu"/>
    <w:link w:val="Tekstpodstawowywcity"/>
    <w:uiPriority w:val="99"/>
    <w:rsid w:val="007E1A37"/>
  </w:style>
  <w:style w:type="paragraph" w:styleId="Tekstpodstawowy2">
    <w:name w:val="Body Text 2"/>
    <w:basedOn w:val="Normalny"/>
    <w:link w:val="Tekstpodstawowy2Znak"/>
    <w:uiPriority w:val="99"/>
    <w:unhideWhenUsed/>
    <w:rsid w:val="007E1A37"/>
    <w:pPr>
      <w:spacing w:after="120" w:line="480" w:lineRule="auto"/>
      <w:ind w:left="322" w:right="336" w:firstLine="705"/>
    </w:pPr>
    <w:rPr>
      <w:rFonts w:eastAsia="Times New Roman" w:cs="Times New Roman"/>
      <w:color w:val="000000"/>
      <w:lang w:eastAsia="pl-PL"/>
    </w:rPr>
  </w:style>
  <w:style w:type="character" w:customStyle="1" w:styleId="Tekstpodstawowy2Znak">
    <w:name w:val="Tekst podstawowy 2 Znak"/>
    <w:basedOn w:val="Domylnaczcionkaakapitu"/>
    <w:link w:val="Tekstpodstawowy2"/>
    <w:uiPriority w:val="99"/>
    <w:rsid w:val="007E1A37"/>
    <w:rPr>
      <w:rFonts w:ascii="Times New Roman" w:eastAsia="Times New Roman" w:hAnsi="Times New Roman" w:cs="Times New Roman"/>
      <w:color w:val="000000"/>
      <w:sz w:val="24"/>
      <w:lang w:eastAsia="pl-PL"/>
    </w:rPr>
  </w:style>
  <w:style w:type="paragraph" w:styleId="Legenda">
    <w:name w:val="caption"/>
    <w:basedOn w:val="Normalny"/>
    <w:next w:val="Normalny"/>
    <w:uiPriority w:val="35"/>
    <w:unhideWhenUsed/>
    <w:qFormat/>
    <w:rsid w:val="00D8445F"/>
    <w:pPr>
      <w:spacing w:line="240" w:lineRule="auto"/>
    </w:pPr>
    <w:rPr>
      <w:i/>
      <w:iCs/>
      <w:color w:val="44546A" w:themeColor="text2"/>
      <w:sz w:val="18"/>
      <w:szCs w:val="18"/>
    </w:rPr>
  </w:style>
  <w:style w:type="paragraph" w:customStyle="1" w:styleId="FootnoteReferneceCarcter">
    <w:name w:val="Footnote Refernece Carácter"/>
    <w:aliases w:val="ftref Carácter,4_G Carácter"/>
    <w:basedOn w:val="Normalny"/>
    <w:link w:val="Odwoanieprzypisudolnego"/>
    <w:uiPriority w:val="99"/>
    <w:rsid w:val="009160B2"/>
    <w:pPr>
      <w:spacing w:before="120" w:after="160" w:line="240" w:lineRule="exact"/>
    </w:pPr>
    <w:rPr>
      <w:vertAlign w:val="superscript"/>
    </w:rPr>
  </w:style>
  <w:style w:type="character" w:customStyle="1" w:styleId="Nagwek4Znak">
    <w:name w:val="Nagłówek 4 Znak"/>
    <w:basedOn w:val="Domylnaczcionkaakapitu"/>
    <w:link w:val="Nagwek4"/>
    <w:uiPriority w:val="9"/>
    <w:semiHidden/>
    <w:rsid w:val="00B90E75"/>
    <w:rPr>
      <w:rFonts w:ascii="Times New Roman" w:eastAsiaTheme="minorEastAsia" w:hAnsi="Times New Roman"/>
      <w:caps/>
      <w:color w:val="2E74B5" w:themeColor="accent1" w:themeShade="BF"/>
      <w:spacing w:val="10"/>
      <w:sz w:val="20"/>
      <w:szCs w:val="20"/>
    </w:rPr>
  </w:style>
  <w:style w:type="character" w:customStyle="1" w:styleId="Nagwek5Znak">
    <w:name w:val="Nagłówek 5 Znak"/>
    <w:basedOn w:val="Domylnaczcionkaakapitu"/>
    <w:link w:val="Nagwek5"/>
    <w:uiPriority w:val="9"/>
    <w:semiHidden/>
    <w:rsid w:val="00B90E75"/>
    <w:rPr>
      <w:rFonts w:ascii="Times New Roman" w:eastAsiaTheme="minorEastAsia" w:hAnsi="Times New Roman"/>
      <w:caps/>
      <w:color w:val="2E74B5" w:themeColor="accent1" w:themeShade="BF"/>
      <w:spacing w:val="10"/>
      <w:sz w:val="20"/>
      <w:szCs w:val="20"/>
    </w:rPr>
  </w:style>
  <w:style w:type="character" w:customStyle="1" w:styleId="Nagwek6Znak">
    <w:name w:val="Nagłówek 6 Znak"/>
    <w:basedOn w:val="Domylnaczcionkaakapitu"/>
    <w:link w:val="Nagwek6"/>
    <w:uiPriority w:val="9"/>
    <w:semiHidden/>
    <w:rsid w:val="00B90E75"/>
    <w:rPr>
      <w:rFonts w:ascii="Times New Roman" w:eastAsiaTheme="minorEastAsia" w:hAnsi="Times New Roman"/>
      <w:caps/>
      <w:color w:val="2E74B5" w:themeColor="accent1" w:themeShade="BF"/>
      <w:spacing w:val="10"/>
      <w:sz w:val="20"/>
      <w:szCs w:val="20"/>
    </w:rPr>
  </w:style>
  <w:style w:type="character" w:customStyle="1" w:styleId="Nagwek7Znak">
    <w:name w:val="Nagłówek 7 Znak"/>
    <w:basedOn w:val="Domylnaczcionkaakapitu"/>
    <w:link w:val="Nagwek7"/>
    <w:uiPriority w:val="9"/>
    <w:semiHidden/>
    <w:rsid w:val="00B90E75"/>
    <w:rPr>
      <w:rFonts w:ascii="Times New Roman" w:eastAsiaTheme="minorEastAsia" w:hAnsi="Times New Roman"/>
      <w:caps/>
      <w:color w:val="2E74B5" w:themeColor="accent1" w:themeShade="BF"/>
      <w:spacing w:val="10"/>
      <w:sz w:val="20"/>
      <w:szCs w:val="20"/>
    </w:rPr>
  </w:style>
  <w:style w:type="character" w:customStyle="1" w:styleId="Nagwek8Znak">
    <w:name w:val="Nagłówek 8 Znak"/>
    <w:basedOn w:val="Domylnaczcionkaakapitu"/>
    <w:link w:val="Nagwek8"/>
    <w:uiPriority w:val="9"/>
    <w:semiHidden/>
    <w:rsid w:val="00B90E75"/>
    <w:rPr>
      <w:rFonts w:ascii="Times New Roman" w:eastAsiaTheme="minorEastAsia" w:hAnsi="Times New Roman"/>
      <w:caps/>
      <w:spacing w:val="10"/>
      <w:sz w:val="18"/>
      <w:szCs w:val="18"/>
    </w:rPr>
  </w:style>
  <w:style w:type="character" w:customStyle="1" w:styleId="Nagwek9Znak">
    <w:name w:val="Nagłówek 9 Znak"/>
    <w:basedOn w:val="Domylnaczcionkaakapitu"/>
    <w:link w:val="Nagwek9"/>
    <w:uiPriority w:val="9"/>
    <w:semiHidden/>
    <w:rsid w:val="00B90E75"/>
    <w:rPr>
      <w:rFonts w:ascii="Times New Roman" w:eastAsiaTheme="minorEastAsia" w:hAnsi="Times New Roman"/>
      <w:i/>
      <w:iCs/>
      <w:caps/>
      <w:spacing w:val="10"/>
      <w:sz w:val="18"/>
      <w:szCs w:val="18"/>
    </w:rPr>
  </w:style>
  <w:style w:type="table" w:customStyle="1" w:styleId="TableNormal1">
    <w:name w:val="Table Normal1"/>
    <w:uiPriority w:val="2"/>
    <w:semiHidden/>
    <w:unhideWhenUsed/>
    <w:qFormat/>
    <w:rsid w:val="00B90E75"/>
    <w:pPr>
      <w:widowControl w:val="0"/>
      <w:autoSpaceDE w:val="0"/>
      <w:autoSpaceDN w:val="0"/>
      <w:spacing w:before="100" w:after="0" w:line="240" w:lineRule="auto"/>
    </w:pPr>
    <w:rPr>
      <w:rFonts w:eastAsiaTheme="minorEastAsia"/>
      <w:sz w:val="20"/>
      <w:szCs w:val="20"/>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rsid w:val="00B90E75"/>
    <w:pPr>
      <w:widowControl w:val="0"/>
      <w:autoSpaceDE w:val="0"/>
      <w:autoSpaceDN w:val="0"/>
      <w:spacing w:before="100" w:line="240" w:lineRule="auto"/>
      <w:ind w:left="108"/>
    </w:pPr>
    <w:rPr>
      <w:rFonts w:ascii="Arial" w:eastAsia="Arial" w:hAnsi="Arial" w:cs="Arial"/>
      <w:sz w:val="20"/>
      <w:szCs w:val="20"/>
    </w:rPr>
  </w:style>
  <w:style w:type="paragraph" w:customStyle="1" w:styleId="pismamz">
    <w:name w:val="pisma_mz"/>
    <w:basedOn w:val="Normalny"/>
    <w:link w:val="pismamzZnak"/>
    <w:rsid w:val="00B90E75"/>
    <w:pPr>
      <w:spacing w:before="100" w:line="360" w:lineRule="auto"/>
      <w:contextualSpacing/>
    </w:pPr>
    <w:rPr>
      <w:rFonts w:ascii="Arial" w:eastAsia="Calibri" w:hAnsi="Arial" w:cs="Times New Roman"/>
      <w:sz w:val="20"/>
      <w:szCs w:val="20"/>
    </w:rPr>
  </w:style>
  <w:style w:type="character" w:customStyle="1" w:styleId="pismamzZnak">
    <w:name w:val="pisma_mz Znak"/>
    <w:link w:val="pismamz"/>
    <w:rsid w:val="00B90E75"/>
    <w:rPr>
      <w:rFonts w:ascii="Arial" w:eastAsia="Calibri" w:hAnsi="Arial" w:cs="Times New Roman"/>
      <w:sz w:val="20"/>
      <w:szCs w:val="20"/>
    </w:rPr>
  </w:style>
  <w:style w:type="character" w:customStyle="1" w:styleId="UnresolvedMention1">
    <w:name w:val="Unresolved Mention1"/>
    <w:basedOn w:val="Domylnaczcionkaakapitu"/>
    <w:uiPriority w:val="99"/>
    <w:semiHidden/>
    <w:unhideWhenUsed/>
    <w:rsid w:val="00B90E75"/>
    <w:rPr>
      <w:color w:val="605E5C"/>
      <w:shd w:val="clear" w:color="auto" w:fill="E1DFDD"/>
    </w:rPr>
  </w:style>
  <w:style w:type="table" w:customStyle="1" w:styleId="TableNormal11">
    <w:name w:val="Table Normal11"/>
    <w:uiPriority w:val="2"/>
    <w:semiHidden/>
    <w:unhideWhenUsed/>
    <w:qFormat/>
    <w:rsid w:val="00B90E75"/>
    <w:pPr>
      <w:widowControl w:val="0"/>
      <w:autoSpaceDE w:val="0"/>
      <w:autoSpaceDN w:val="0"/>
      <w:spacing w:before="100" w:after="0" w:line="240" w:lineRule="auto"/>
    </w:pPr>
    <w:rPr>
      <w:rFonts w:eastAsiaTheme="minorEastAsia"/>
      <w:sz w:val="20"/>
      <w:szCs w:val="20"/>
      <w:lang w:val="en-US"/>
    </w:rPr>
    <w:tblPr>
      <w:tblInd w:w="0" w:type="dxa"/>
      <w:tblCellMar>
        <w:top w:w="0" w:type="dxa"/>
        <w:left w:w="0" w:type="dxa"/>
        <w:bottom w:w="0" w:type="dxa"/>
        <w:right w:w="0" w:type="dxa"/>
      </w:tblCellMar>
    </w:tblPr>
  </w:style>
  <w:style w:type="table" w:customStyle="1" w:styleId="Tabelasiatki5ciemnaakcent11">
    <w:name w:val="Tabela siatki 5 — ciemna — akcent 11"/>
    <w:basedOn w:val="Standardowy"/>
    <w:uiPriority w:val="50"/>
    <w:rsid w:val="00B90E75"/>
    <w:pPr>
      <w:spacing w:before="100"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siatki5ciemnaakcent51">
    <w:name w:val="Tabela siatki 5 — ciemna — akcent 51"/>
    <w:basedOn w:val="Standardowy"/>
    <w:uiPriority w:val="50"/>
    <w:rsid w:val="00B90E75"/>
    <w:pPr>
      <w:spacing w:before="100"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ytu">
    <w:name w:val="Title"/>
    <w:basedOn w:val="Normalny"/>
    <w:next w:val="Normalny"/>
    <w:link w:val="TytuZnak"/>
    <w:uiPriority w:val="10"/>
    <w:qFormat/>
    <w:rsid w:val="00B90E75"/>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B90E75"/>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B90E75"/>
    <w:pPr>
      <w:spacing w:after="500" w:line="240" w:lineRule="auto"/>
    </w:pPr>
    <w:rPr>
      <w:rFonts w:eastAsiaTheme="minorEastAsia"/>
      <w:caps/>
      <w:color w:val="595959" w:themeColor="text1" w:themeTint="A6"/>
      <w:spacing w:val="10"/>
      <w:sz w:val="21"/>
      <w:szCs w:val="21"/>
    </w:rPr>
  </w:style>
  <w:style w:type="character" w:customStyle="1" w:styleId="PodtytuZnak">
    <w:name w:val="Podtytuł Znak"/>
    <w:basedOn w:val="Domylnaczcionkaakapitu"/>
    <w:link w:val="Podtytu"/>
    <w:uiPriority w:val="11"/>
    <w:rsid w:val="00B90E75"/>
    <w:rPr>
      <w:rFonts w:eastAsiaTheme="minorEastAsia"/>
      <w:caps/>
      <w:color w:val="595959" w:themeColor="text1" w:themeTint="A6"/>
      <w:spacing w:val="10"/>
      <w:sz w:val="21"/>
      <w:szCs w:val="21"/>
    </w:rPr>
  </w:style>
  <w:style w:type="character" w:styleId="Uwydatnienie">
    <w:name w:val="Emphasis"/>
    <w:uiPriority w:val="20"/>
    <w:qFormat/>
    <w:rsid w:val="00B90E75"/>
    <w:rPr>
      <w:caps/>
      <w:color w:val="1F4D78" w:themeColor="accent1" w:themeShade="7F"/>
      <w:spacing w:val="5"/>
    </w:rPr>
  </w:style>
  <w:style w:type="paragraph" w:styleId="Cytat">
    <w:name w:val="Quote"/>
    <w:basedOn w:val="Normalny"/>
    <w:next w:val="Normalny"/>
    <w:link w:val="CytatZnak"/>
    <w:uiPriority w:val="29"/>
    <w:qFormat/>
    <w:rsid w:val="00B90E75"/>
    <w:pPr>
      <w:spacing w:before="100"/>
    </w:pPr>
    <w:rPr>
      <w:rFonts w:eastAsiaTheme="minorEastAsia"/>
      <w:i/>
      <w:iCs/>
      <w:szCs w:val="24"/>
    </w:rPr>
  </w:style>
  <w:style w:type="character" w:customStyle="1" w:styleId="CytatZnak">
    <w:name w:val="Cytat Znak"/>
    <w:basedOn w:val="Domylnaczcionkaakapitu"/>
    <w:link w:val="Cytat"/>
    <w:uiPriority w:val="29"/>
    <w:rsid w:val="00B90E75"/>
    <w:rPr>
      <w:rFonts w:eastAsiaTheme="minorEastAsia"/>
      <w:i/>
      <w:iCs/>
      <w:sz w:val="24"/>
      <w:szCs w:val="24"/>
    </w:rPr>
  </w:style>
  <w:style w:type="paragraph" w:styleId="Cytatintensywny">
    <w:name w:val="Intense Quote"/>
    <w:basedOn w:val="Normalny"/>
    <w:next w:val="Normalny"/>
    <w:link w:val="CytatintensywnyZnak"/>
    <w:uiPriority w:val="30"/>
    <w:qFormat/>
    <w:rsid w:val="00B90E75"/>
    <w:pPr>
      <w:spacing w:before="240" w:after="240" w:line="240" w:lineRule="auto"/>
      <w:ind w:left="1080" w:right="1080"/>
      <w:jc w:val="center"/>
    </w:pPr>
    <w:rPr>
      <w:rFonts w:eastAsiaTheme="minorEastAsia"/>
      <w:color w:val="5B9BD5" w:themeColor="accent1"/>
      <w:szCs w:val="24"/>
    </w:rPr>
  </w:style>
  <w:style w:type="character" w:customStyle="1" w:styleId="CytatintensywnyZnak">
    <w:name w:val="Cytat intensywny Znak"/>
    <w:basedOn w:val="Domylnaczcionkaakapitu"/>
    <w:link w:val="Cytatintensywny"/>
    <w:uiPriority w:val="30"/>
    <w:rsid w:val="00B90E75"/>
    <w:rPr>
      <w:rFonts w:eastAsiaTheme="minorEastAsia"/>
      <w:color w:val="5B9BD5" w:themeColor="accent1"/>
      <w:sz w:val="24"/>
      <w:szCs w:val="24"/>
    </w:rPr>
  </w:style>
  <w:style w:type="character" w:styleId="Wyrnieniedelikatne">
    <w:name w:val="Subtle Emphasis"/>
    <w:uiPriority w:val="19"/>
    <w:qFormat/>
    <w:rsid w:val="00B90E75"/>
    <w:rPr>
      <w:i/>
      <w:iCs/>
      <w:color w:val="1F4D78" w:themeColor="accent1" w:themeShade="7F"/>
    </w:rPr>
  </w:style>
  <w:style w:type="character" w:styleId="Wyrnienieintensywne">
    <w:name w:val="Intense Emphasis"/>
    <w:uiPriority w:val="21"/>
    <w:qFormat/>
    <w:rsid w:val="00B90E75"/>
    <w:rPr>
      <w:b/>
      <w:bCs/>
      <w:caps/>
      <w:color w:val="1F4D78" w:themeColor="accent1" w:themeShade="7F"/>
      <w:spacing w:val="10"/>
    </w:rPr>
  </w:style>
  <w:style w:type="character" w:styleId="Odwoaniedelikatne">
    <w:name w:val="Subtle Reference"/>
    <w:uiPriority w:val="31"/>
    <w:qFormat/>
    <w:rsid w:val="00B90E75"/>
    <w:rPr>
      <w:b/>
      <w:bCs/>
      <w:color w:val="5B9BD5" w:themeColor="accent1"/>
    </w:rPr>
  </w:style>
  <w:style w:type="character" w:styleId="Odwoanieintensywne">
    <w:name w:val="Intense Reference"/>
    <w:uiPriority w:val="32"/>
    <w:qFormat/>
    <w:rsid w:val="00B90E75"/>
    <w:rPr>
      <w:b/>
      <w:bCs/>
      <w:i/>
      <w:iCs/>
      <w:caps/>
      <w:color w:val="5B9BD5" w:themeColor="accent1"/>
    </w:rPr>
  </w:style>
  <w:style w:type="character" w:styleId="Tytuksiki">
    <w:name w:val="Book Title"/>
    <w:uiPriority w:val="33"/>
    <w:qFormat/>
    <w:rsid w:val="00B90E75"/>
    <w:rPr>
      <w:b/>
      <w:bCs/>
      <w:i/>
      <w:iCs/>
      <w:spacing w:val="0"/>
    </w:rPr>
  </w:style>
  <w:style w:type="numbering" w:customStyle="1" w:styleId="Styl1">
    <w:name w:val="Styl1"/>
    <w:uiPriority w:val="99"/>
    <w:rsid w:val="00562373"/>
    <w:pPr>
      <w:numPr>
        <w:numId w:val="22"/>
      </w:numPr>
    </w:pPr>
  </w:style>
  <w:style w:type="paragraph" w:styleId="Spisilustracji">
    <w:name w:val="table of figures"/>
    <w:basedOn w:val="Normalny"/>
    <w:next w:val="Normalny"/>
    <w:uiPriority w:val="99"/>
    <w:unhideWhenUsed/>
    <w:rsid w:val="00887958"/>
  </w:style>
  <w:style w:type="paragraph" w:styleId="Tekstprzypisukocowego">
    <w:name w:val="endnote text"/>
    <w:basedOn w:val="Normalny"/>
    <w:link w:val="TekstprzypisukocowegoZnak"/>
    <w:uiPriority w:val="99"/>
    <w:semiHidden/>
    <w:unhideWhenUsed/>
    <w:rsid w:val="00D2580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5801"/>
    <w:rPr>
      <w:sz w:val="20"/>
      <w:szCs w:val="20"/>
    </w:rPr>
  </w:style>
  <w:style w:type="character" w:styleId="Odwoanieprzypisukocowego">
    <w:name w:val="endnote reference"/>
    <w:basedOn w:val="Domylnaczcionkaakapitu"/>
    <w:uiPriority w:val="99"/>
    <w:semiHidden/>
    <w:unhideWhenUsed/>
    <w:rsid w:val="00D25801"/>
    <w:rPr>
      <w:vertAlign w:val="superscript"/>
    </w:rPr>
  </w:style>
  <w:style w:type="paragraph" w:customStyle="1" w:styleId="zwykly">
    <w:name w:val="zwykly"/>
    <w:basedOn w:val="Normalny"/>
    <w:qFormat/>
    <w:rsid w:val="001D7B7A"/>
    <w:pPr>
      <w:spacing w:before="360" w:after="240" w:line="360" w:lineRule="auto"/>
    </w:pPr>
    <w:rPr>
      <w:rFonts w:eastAsia="Times New Roman" w:cstheme="minorHAnsi"/>
    </w:rPr>
  </w:style>
  <w:style w:type="character" w:customStyle="1" w:styleId="Podpistabeli">
    <w:name w:val="Podpis tabeli_"/>
    <w:basedOn w:val="Domylnaczcionkaakapitu"/>
    <w:link w:val="Podpistabeli0"/>
    <w:rsid w:val="004060B3"/>
    <w:rPr>
      <w:rFonts w:ascii="Arial" w:eastAsia="Arial" w:hAnsi="Arial" w:cs="Arial"/>
      <w:sz w:val="20"/>
      <w:szCs w:val="20"/>
      <w:shd w:val="clear" w:color="auto" w:fill="FFFFFF"/>
    </w:rPr>
  </w:style>
  <w:style w:type="paragraph" w:customStyle="1" w:styleId="Podpistabeli0">
    <w:name w:val="Podpis tabeli"/>
    <w:basedOn w:val="Normalny"/>
    <w:link w:val="Podpistabeli"/>
    <w:rsid w:val="004060B3"/>
    <w:pPr>
      <w:widowControl w:val="0"/>
      <w:shd w:val="clear" w:color="auto" w:fill="FFFFFF"/>
      <w:spacing w:line="240" w:lineRule="auto"/>
    </w:pPr>
    <w:rPr>
      <w:rFonts w:ascii="Arial" w:eastAsia="Arial" w:hAnsi="Arial" w:cs="Arial"/>
      <w:sz w:val="20"/>
      <w:szCs w:val="20"/>
    </w:rPr>
  </w:style>
  <w:style w:type="character" w:customStyle="1" w:styleId="Nagweklubstopka2">
    <w:name w:val="Nagłówek lub stopka (2)_"/>
    <w:basedOn w:val="Domylnaczcionkaakapitu"/>
    <w:link w:val="Nagweklubstopka20"/>
    <w:rsid w:val="00291C1A"/>
    <w:rPr>
      <w:rFonts w:ascii="Times New Roman" w:eastAsia="Times New Roman" w:hAnsi="Times New Roman" w:cs="Times New Roman"/>
      <w:sz w:val="20"/>
      <w:szCs w:val="20"/>
      <w:shd w:val="clear" w:color="auto" w:fill="FFFFFF"/>
    </w:rPr>
  </w:style>
  <w:style w:type="paragraph" w:customStyle="1" w:styleId="Nagweklubstopka20">
    <w:name w:val="Nagłówek lub stopka (2)"/>
    <w:basedOn w:val="Normalny"/>
    <w:link w:val="Nagweklubstopka2"/>
    <w:rsid w:val="00291C1A"/>
    <w:pPr>
      <w:widowControl w:val="0"/>
      <w:shd w:val="clear" w:color="auto" w:fill="FFFFFF"/>
      <w:spacing w:line="240" w:lineRule="auto"/>
    </w:pPr>
    <w:rPr>
      <w:rFonts w:eastAsia="Times New Roman" w:cs="Times New Roman"/>
      <w:sz w:val="20"/>
      <w:szCs w:val="20"/>
    </w:rPr>
  </w:style>
  <w:style w:type="paragraph" w:styleId="Mapadokumentu">
    <w:name w:val="Document Map"/>
    <w:basedOn w:val="Normalny"/>
    <w:link w:val="MapadokumentuZnak"/>
    <w:uiPriority w:val="99"/>
    <w:semiHidden/>
    <w:unhideWhenUsed/>
    <w:rsid w:val="00040288"/>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40288"/>
    <w:rPr>
      <w:rFonts w:ascii="Tahoma" w:hAnsi="Tahoma" w:cs="Tahoma"/>
      <w:sz w:val="16"/>
      <w:szCs w:val="16"/>
    </w:rPr>
  </w:style>
  <w:style w:type="table" w:styleId="Tabelasiatki6kolorowaakcent2">
    <w:name w:val="Grid Table 6 Colorful Accent 2"/>
    <w:basedOn w:val="Standardowy"/>
    <w:uiPriority w:val="51"/>
    <w:rsid w:val="003C373A"/>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siatki6kolorowaakcent27">
    <w:name w:val="Tabela siatki 6 — kolorowa — akcent 27"/>
    <w:basedOn w:val="Standardowy"/>
    <w:next w:val="Tabelasiatki6kolorowaakcent2"/>
    <w:uiPriority w:val="51"/>
    <w:rsid w:val="004F488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siatki6kolorowaakcent26">
    <w:name w:val="Tabela siatki 6 — kolorowa — akcent 26"/>
    <w:basedOn w:val="Standardowy"/>
    <w:next w:val="Tabelasiatki6kolorowaakcent2"/>
    <w:uiPriority w:val="51"/>
    <w:rsid w:val="0070285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siatki6kolorowaakcent25">
    <w:name w:val="Tabela siatki 6 — kolorowa — akcent 25"/>
    <w:basedOn w:val="Standardowy"/>
    <w:next w:val="Tabelasiatki6kolorowaakcent2"/>
    <w:uiPriority w:val="51"/>
    <w:rsid w:val="000171D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siatki6kolorowaakcent24">
    <w:name w:val="Tabela siatki 6 — kolorowa — akcent 24"/>
    <w:basedOn w:val="Standardowy"/>
    <w:next w:val="Tabelasiatki6kolorowaakcent2"/>
    <w:uiPriority w:val="51"/>
    <w:rsid w:val="00E725D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siatki6kolorowaakcent23">
    <w:name w:val="Tabela siatki 6 — kolorowa — akcent 23"/>
    <w:basedOn w:val="Standardowy"/>
    <w:next w:val="Tabelasiatki6kolorowaakcent2"/>
    <w:uiPriority w:val="51"/>
    <w:rsid w:val="00446AB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siatki6kolorowaakcent22">
    <w:name w:val="Tabela siatki 6 — kolorowa — akcent 22"/>
    <w:basedOn w:val="Standardowy"/>
    <w:next w:val="Tabelasiatki6kolorowaakcent2"/>
    <w:uiPriority w:val="51"/>
    <w:rsid w:val="00BC3EB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siatki6kolorowaakcent21">
    <w:name w:val="Tabela siatki 6 — kolorowa — akcent 21"/>
    <w:basedOn w:val="Standardowy"/>
    <w:next w:val="Tabelasiatki6kolorowaakcent2"/>
    <w:uiPriority w:val="51"/>
    <w:rsid w:val="005F09E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ext-align-justify">
    <w:name w:val="text-align-justify"/>
    <w:basedOn w:val="Normalny"/>
    <w:rsid w:val="005C6286"/>
    <w:pPr>
      <w:spacing w:before="100" w:beforeAutospacing="1" w:after="100" w:afterAutospacing="1" w:line="240" w:lineRule="auto"/>
    </w:pPr>
    <w:rPr>
      <w:rFonts w:eastAsia="Times New Roman" w:cs="Times New Roman"/>
      <w:szCs w:val="24"/>
      <w:lang w:eastAsia="pl-PL"/>
    </w:rPr>
  </w:style>
  <w:style w:type="table" w:styleId="Tabelasiatki5ciemnaakcent2">
    <w:name w:val="Grid Table 5 Dark Accent 2"/>
    <w:basedOn w:val="Standardowy"/>
    <w:uiPriority w:val="50"/>
    <w:rsid w:val="00FD08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siatki4akcent2">
    <w:name w:val="Grid Table 4 Accent 2"/>
    <w:basedOn w:val="Standardowy"/>
    <w:uiPriority w:val="49"/>
    <w:rsid w:val="00F812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Inne">
    <w:name w:val="Inne_"/>
    <w:basedOn w:val="Domylnaczcionkaakapitu"/>
    <w:link w:val="Inne0"/>
    <w:rsid w:val="002874FF"/>
    <w:rPr>
      <w:rFonts w:ascii="Arial" w:eastAsia="Arial" w:hAnsi="Arial" w:cs="Arial"/>
      <w:shd w:val="clear" w:color="auto" w:fill="FFFFFF"/>
    </w:rPr>
  </w:style>
  <w:style w:type="paragraph" w:customStyle="1" w:styleId="Inne0">
    <w:name w:val="Inne"/>
    <w:basedOn w:val="Normalny"/>
    <w:link w:val="Inne"/>
    <w:rsid w:val="002874FF"/>
    <w:pPr>
      <w:widowControl w:val="0"/>
      <w:shd w:val="clear" w:color="auto" w:fill="FFFFFF"/>
      <w:spacing w:after="100" w:line="360" w:lineRule="auto"/>
      <w:jc w:val="left"/>
    </w:pPr>
    <w:rPr>
      <w:rFonts w:ascii="Arial" w:eastAsia="Arial" w:hAnsi="Arial" w:cs="Arial"/>
      <w:sz w:val="22"/>
    </w:rPr>
  </w:style>
  <w:style w:type="paragraph" w:styleId="Spistreci3">
    <w:name w:val="toc 3"/>
    <w:basedOn w:val="Normalny"/>
    <w:next w:val="Normalny"/>
    <w:autoRedefine/>
    <w:uiPriority w:val="39"/>
    <w:unhideWhenUsed/>
    <w:rsid w:val="005B45FA"/>
    <w:pPr>
      <w:spacing w:after="100"/>
      <w:ind w:left="480"/>
    </w:pPr>
  </w:style>
  <w:style w:type="paragraph" w:styleId="Spistreci4">
    <w:name w:val="toc 4"/>
    <w:basedOn w:val="Normalny"/>
    <w:next w:val="Normalny"/>
    <w:autoRedefine/>
    <w:uiPriority w:val="39"/>
    <w:unhideWhenUsed/>
    <w:rsid w:val="005B45FA"/>
    <w:pPr>
      <w:spacing w:after="100" w:line="259" w:lineRule="auto"/>
      <w:ind w:left="660"/>
      <w:jc w:val="left"/>
    </w:pPr>
    <w:rPr>
      <w:rFonts w:asciiTheme="minorHAnsi" w:eastAsiaTheme="minorEastAsia" w:hAnsiTheme="minorHAnsi"/>
      <w:sz w:val="22"/>
      <w:lang w:eastAsia="pl-PL"/>
    </w:rPr>
  </w:style>
  <w:style w:type="paragraph" w:styleId="Spistreci5">
    <w:name w:val="toc 5"/>
    <w:basedOn w:val="Normalny"/>
    <w:next w:val="Normalny"/>
    <w:autoRedefine/>
    <w:uiPriority w:val="39"/>
    <w:unhideWhenUsed/>
    <w:rsid w:val="005B45FA"/>
    <w:pPr>
      <w:spacing w:after="100" w:line="259" w:lineRule="auto"/>
      <w:ind w:left="880"/>
      <w:jc w:val="left"/>
    </w:pPr>
    <w:rPr>
      <w:rFonts w:asciiTheme="minorHAnsi" w:eastAsiaTheme="minorEastAsia" w:hAnsiTheme="minorHAnsi"/>
      <w:sz w:val="22"/>
      <w:lang w:eastAsia="pl-PL"/>
    </w:rPr>
  </w:style>
  <w:style w:type="paragraph" w:styleId="Spistreci6">
    <w:name w:val="toc 6"/>
    <w:basedOn w:val="Normalny"/>
    <w:next w:val="Normalny"/>
    <w:autoRedefine/>
    <w:uiPriority w:val="39"/>
    <w:unhideWhenUsed/>
    <w:rsid w:val="005B45FA"/>
    <w:pPr>
      <w:spacing w:after="100" w:line="259" w:lineRule="auto"/>
      <w:ind w:left="1100"/>
      <w:jc w:val="left"/>
    </w:pPr>
    <w:rPr>
      <w:rFonts w:asciiTheme="minorHAnsi" w:eastAsiaTheme="minorEastAsia" w:hAnsiTheme="minorHAnsi"/>
      <w:sz w:val="22"/>
      <w:lang w:eastAsia="pl-PL"/>
    </w:rPr>
  </w:style>
  <w:style w:type="paragraph" w:styleId="Spistreci7">
    <w:name w:val="toc 7"/>
    <w:basedOn w:val="Normalny"/>
    <w:next w:val="Normalny"/>
    <w:autoRedefine/>
    <w:uiPriority w:val="39"/>
    <w:unhideWhenUsed/>
    <w:rsid w:val="005B45FA"/>
    <w:pPr>
      <w:spacing w:after="100" w:line="259" w:lineRule="auto"/>
      <w:ind w:left="1320"/>
      <w:jc w:val="left"/>
    </w:pPr>
    <w:rPr>
      <w:rFonts w:asciiTheme="minorHAnsi" w:eastAsiaTheme="minorEastAsia" w:hAnsiTheme="minorHAnsi"/>
      <w:sz w:val="22"/>
      <w:lang w:eastAsia="pl-PL"/>
    </w:rPr>
  </w:style>
  <w:style w:type="paragraph" w:styleId="Spistreci8">
    <w:name w:val="toc 8"/>
    <w:basedOn w:val="Normalny"/>
    <w:next w:val="Normalny"/>
    <w:autoRedefine/>
    <w:uiPriority w:val="39"/>
    <w:unhideWhenUsed/>
    <w:rsid w:val="005B45FA"/>
    <w:pPr>
      <w:spacing w:after="100" w:line="259" w:lineRule="auto"/>
      <w:ind w:left="1540"/>
      <w:jc w:val="left"/>
    </w:pPr>
    <w:rPr>
      <w:rFonts w:asciiTheme="minorHAnsi" w:eastAsiaTheme="minorEastAsia" w:hAnsiTheme="minorHAnsi"/>
      <w:sz w:val="22"/>
      <w:lang w:eastAsia="pl-PL"/>
    </w:rPr>
  </w:style>
  <w:style w:type="paragraph" w:styleId="Spistreci9">
    <w:name w:val="toc 9"/>
    <w:basedOn w:val="Normalny"/>
    <w:next w:val="Normalny"/>
    <w:autoRedefine/>
    <w:uiPriority w:val="39"/>
    <w:unhideWhenUsed/>
    <w:rsid w:val="005B45FA"/>
    <w:pPr>
      <w:spacing w:after="100" w:line="259" w:lineRule="auto"/>
      <w:ind w:left="1760"/>
      <w:jc w:val="left"/>
    </w:pPr>
    <w:rPr>
      <w:rFonts w:asciiTheme="minorHAnsi" w:eastAsiaTheme="minorEastAsia" w:hAnsiTheme="minorHAnsi"/>
      <w:sz w:val="22"/>
      <w:lang w:eastAsia="pl-PL"/>
    </w:rPr>
  </w:style>
  <w:style w:type="character" w:customStyle="1" w:styleId="Nierozpoznanawzmianka1">
    <w:name w:val="Nierozpoznana wzmianka1"/>
    <w:basedOn w:val="Domylnaczcionkaakapitu"/>
    <w:uiPriority w:val="99"/>
    <w:semiHidden/>
    <w:unhideWhenUsed/>
    <w:rsid w:val="005B45FA"/>
    <w:rPr>
      <w:color w:val="605E5C"/>
      <w:shd w:val="clear" w:color="auto" w:fill="E1DFDD"/>
    </w:rPr>
  </w:style>
  <w:style w:type="table" w:styleId="Tabelasiatki7kolorowaakcent2">
    <w:name w:val="Grid Table 7 Colorful Accent 2"/>
    <w:basedOn w:val="Standardowy"/>
    <w:uiPriority w:val="52"/>
    <w:rsid w:val="007D707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customStyle="1" w:styleId="UnresolvedMention">
    <w:name w:val="Unresolved Mention"/>
    <w:basedOn w:val="Domylnaczcionkaakapitu"/>
    <w:uiPriority w:val="99"/>
    <w:semiHidden/>
    <w:unhideWhenUsed/>
    <w:rsid w:val="00710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498">
      <w:bodyDiv w:val="1"/>
      <w:marLeft w:val="0"/>
      <w:marRight w:val="0"/>
      <w:marTop w:val="0"/>
      <w:marBottom w:val="0"/>
      <w:divBdr>
        <w:top w:val="none" w:sz="0" w:space="0" w:color="auto"/>
        <w:left w:val="none" w:sz="0" w:space="0" w:color="auto"/>
        <w:bottom w:val="none" w:sz="0" w:space="0" w:color="auto"/>
        <w:right w:val="none" w:sz="0" w:space="0" w:color="auto"/>
      </w:divBdr>
    </w:div>
    <w:div w:id="92209410">
      <w:bodyDiv w:val="1"/>
      <w:marLeft w:val="0"/>
      <w:marRight w:val="0"/>
      <w:marTop w:val="0"/>
      <w:marBottom w:val="0"/>
      <w:divBdr>
        <w:top w:val="none" w:sz="0" w:space="0" w:color="auto"/>
        <w:left w:val="none" w:sz="0" w:space="0" w:color="auto"/>
        <w:bottom w:val="none" w:sz="0" w:space="0" w:color="auto"/>
        <w:right w:val="none" w:sz="0" w:space="0" w:color="auto"/>
      </w:divBdr>
    </w:div>
    <w:div w:id="318920223">
      <w:bodyDiv w:val="1"/>
      <w:marLeft w:val="0"/>
      <w:marRight w:val="0"/>
      <w:marTop w:val="0"/>
      <w:marBottom w:val="0"/>
      <w:divBdr>
        <w:top w:val="none" w:sz="0" w:space="0" w:color="auto"/>
        <w:left w:val="none" w:sz="0" w:space="0" w:color="auto"/>
        <w:bottom w:val="none" w:sz="0" w:space="0" w:color="auto"/>
        <w:right w:val="none" w:sz="0" w:space="0" w:color="auto"/>
      </w:divBdr>
    </w:div>
    <w:div w:id="372732431">
      <w:bodyDiv w:val="1"/>
      <w:marLeft w:val="0"/>
      <w:marRight w:val="0"/>
      <w:marTop w:val="0"/>
      <w:marBottom w:val="0"/>
      <w:divBdr>
        <w:top w:val="none" w:sz="0" w:space="0" w:color="auto"/>
        <w:left w:val="none" w:sz="0" w:space="0" w:color="auto"/>
        <w:bottom w:val="none" w:sz="0" w:space="0" w:color="auto"/>
        <w:right w:val="none" w:sz="0" w:space="0" w:color="auto"/>
      </w:divBdr>
    </w:div>
    <w:div w:id="411436564">
      <w:bodyDiv w:val="1"/>
      <w:marLeft w:val="0"/>
      <w:marRight w:val="0"/>
      <w:marTop w:val="0"/>
      <w:marBottom w:val="0"/>
      <w:divBdr>
        <w:top w:val="none" w:sz="0" w:space="0" w:color="auto"/>
        <w:left w:val="none" w:sz="0" w:space="0" w:color="auto"/>
        <w:bottom w:val="none" w:sz="0" w:space="0" w:color="auto"/>
        <w:right w:val="none" w:sz="0" w:space="0" w:color="auto"/>
      </w:divBdr>
    </w:div>
    <w:div w:id="480736592">
      <w:bodyDiv w:val="1"/>
      <w:marLeft w:val="0"/>
      <w:marRight w:val="0"/>
      <w:marTop w:val="0"/>
      <w:marBottom w:val="0"/>
      <w:divBdr>
        <w:top w:val="none" w:sz="0" w:space="0" w:color="auto"/>
        <w:left w:val="none" w:sz="0" w:space="0" w:color="auto"/>
        <w:bottom w:val="none" w:sz="0" w:space="0" w:color="auto"/>
        <w:right w:val="none" w:sz="0" w:space="0" w:color="auto"/>
      </w:divBdr>
    </w:div>
    <w:div w:id="527792814">
      <w:bodyDiv w:val="1"/>
      <w:marLeft w:val="0"/>
      <w:marRight w:val="0"/>
      <w:marTop w:val="0"/>
      <w:marBottom w:val="0"/>
      <w:divBdr>
        <w:top w:val="none" w:sz="0" w:space="0" w:color="auto"/>
        <w:left w:val="none" w:sz="0" w:space="0" w:color="auto"/>
        <w:bottom w:val="none" w:sz="0" w:space="0" w:color="auto"/>
        <w:right w:val="none" w:sz="0" w:space="0" w:color="auto"/>
      </w:divBdr>
    </w:div>
    <w:div w:id="551311089">
      <w:bodyDiv w:val="1"/>
      <w:marLeft w:val="0"/>
      <w:marRight w:val="0"/>
      <w:marTop w:val="0"/>
      <w:marBottom w:val="0"/>
      <w:divBdr>
        <w:top w:val="none" w:sz="0" w:space="0" w:color="auto"/>
        <w:left w:val="none" w:sz="0" w:space="0" w:color="auto"/>
        <w:bottom w:val="none" w:sz="0" w:space="0" w:color="auto"/>
        <w:right w:val="none" w:sz="0" w:space="0" w:color="auto"/>
      </w:divBdr>
    </w:div>
    <w:div w:id="631718521">
      <w:bodyDiv w:val="1"/>
      <w:marLeft w:val="0"/>
      <w:marRight w:val="0"/>
      <w:marTop w:val="0"/>
      <w:marBottom w:val="0"/>
      <w:divBdr>
        <w:top w:val="none" w:sz="0" w:space="0" w:color="auto"/>
        <w:left w:val="none" w:sz="0" w:space="0" w:color="auto"/>
        <w:bottom w:val="none" w:sz="0" w:space="0" w:color="auto"/>
        <w:right w:val="none" w:sz="0" w:space="0" w:color="auto"/>
      </w:divBdr>
    </w:div>
    <w:div w:id="656306581">
      <w:bodyDiv w:val="1"/>
      <w:marLeft w:val="0"/>
      <w:marRight w:val="0"/>
      <w:marTop w:val="0"/>
      <w:marBottom w:val="0"/>
      <w:divBdr>
        <w:top w:val="none" w:sz="0" w:space="0" w:color="auto"/>
        <w:left w:val="none" w:sz="0" w:space="0" w:color="auto"/>
        <w:bottom w:val="none" w:sz="0" w:space="0" w:color="auto"/>
        <w:right w:val="none" w:sz="0" w:space="0" w:color="auto"/>
      </w:divBdr>
    </w:div>
    <w:div w:id="723601915">
      <w:bodyDiv w:val="1"/>
      <w:marLeft w:val="0"/>
      <w:marRight w:val="0"/>
      <w:marTop w:val="0"/>
      <w:marBottom w:val="0"/>
      <w:divBdr>
        <w:top w:val="none" w:sz="0" w:space="0" w:color="auto"/>
        <w:left w:val="none" w:sz="0" w:space="0" w:color="auto"/>
        <w:bottom w:val="none" w:sz="0" w:space="0" w:color="auto"/>
        <w:right w:val="none" w:sz="0" w:space="0" w:color="auto"/>
      </w:divBdr>
    </w:div>
    <w:div w:id="740444832">
      <w:bodyDiv w:val="1"/>
      <w:marLeft w:val="0"/>
      <w:marRight w:val="0"/>
      <w:marTop w:val="0"/>
      <w:marBottom w:val="0"/>
      <w:divBdr>
        <w:top w:val="none" w:sz="0" w:space="0" w:color="auto"/>
        <w:left w:val="none" w:sz="0" w:space="0" w:color="auto"/>
        <w:bottom w:val="none" w:sz="0" w:space="0" w:color="auto"/>
        <w:right w:val="none" w:sz="0" w:space="0" w:color="auto"/>
      </w:divBdr>
    </w:div>
    <w:div w:id="845292437">
      <w:bodyDiv w:val="1"/>
      <w:marLeft w:val="0"/>
      <w:marRight w:val="0"/>
      <w:marTop w:val="0"/>
      <w:marBottom w:val="0"/>
      <w:divBdr>
        <w:top w:val="none" w:sz="0" w:space="0" w:color="auto"/>
        <w:left w:val="none" w:sz="0" w:space="0" w:color="auto"/>
        <w:bottom w:val="none" w:sz="0" w:space="0" w:color="auto"/>
        <w:right w:val="none" w:sz="0" w:space="0" w:color="auto"/>
      </w:divBdr>
    </w:div>
    <w:div w:id="855660101">
      <w:bodyDiv w:val="1"/>
      <w:marLeft w:val="0"/>
      <w:marRight w:val="0"/>
      <w:marTop w:val="0"/>
      <w:marBottom w:val="0"/>
      <w:divBdr>
        <w:top w:val="none" w:sz="0" w:space="0" w:color="auto"/>
        <w:left w:val="none" w:sz="0" w:space="0" w:color="auto"/>
        <w:bottom w:val="none" w:sz="0" w:space="0" w:color="auto"/>
        <w:right w:val="none" w:sz="0" w:space="0" w:color="auto"/>
      </w:divBdr>
    </w:div>
    <w:div w:id="1096903008">
      <w:bodyDiv w:val="1"/>
      <w:marLeft w:val="0"/>
      <w:marRight w:val="0"/>
      <w:marTop w:val="0"/>
      <w:marBottom w:val="0"/>
      <w:divBdr>
        <w:top w:val="none" w:sz="0" w:space="0" w:color="auto"/>
        <w:left w:val="none" w:sz="0" w:space="0" w:color="auto"/>
        <w:bottom w:val="none" w:sz="0" w:space="0" w:color="auto"/>
        <w:right w:val="none" w:sz="0" w:space="0" w:color="auto"/>
      </w:divBdr>
    </w:div>
    <w:div w:id="1130712035">
      <w:bodyDiv w:val="1"/>
      <w:marLeft w:val="0"/>
      <w:marRight w:val="0"/>
      <w:marTop w:val="0"/>
      <w:marBottom w:val="0"/>
      <w:divBdr>
        <w:top w:val="none" w:sz="0" w:space="0" w:color="auto"/>
        <w:left w:val="none" w:sz="0" w:space="0" w:color="auto"/>
        <w:bottom w:val="none" w:sz="0" w:space="0" w:color="auto"/>
        <w:right w:val="none" w:sz="0" w:space="0" w:color="auto"/>
      </w:divBdr>
    </w:div>
    <w:div w:id="1192303983">
      <w:bodyDiv w:val="1"/>
      <w:marLeft w:val="0"/>
      <w:marRight w:val="0"/>
      <w:marTop w:val="0"/>
      <w:marBottom w:val="0"/>
      <w:divBdr>
        <w:top w:val="none" w:sz="0" w:space="0" w:color="auto"/>
        <w:left w:val="none" w:sz="0" w:space="0" w:color="auto"/>
        <w:bottom w:val="none" w:sz="0" w:space="0" w:color="auto"/>
        <w:right w:val="none" w:sz="0" w:space="0" w:color="auto"/>
      </w:divBdr>
    </w:div>
    <w:div w:id="1362779181">
      <w:bodyDiv w:val="1"/>
      <w:marLeft w:val="0"/>
      <w:marRight w:val="0"/>
      <w:marTop w:val="0"/>
      <w:marBottom w:val="0"/>
      <w:divBdr>
        <w:top w:val="none" w:sz="0" w:space="0" w:color="auto"/>
        <w:left w:val="none" w:sz="0" w:space="0" w:color="auto"/>
        <w:bottom w:val="none" w:sz="0" w:space="0" w:color="auto"/>
        <w:right w:val="none" w:sz="0" w:space="0" w:color="auto"/>
      </w:divBdr>
    </w:div>
    <w:div w:id="1505896602">
      <w:bodyDiv w:val="1"/>
      <w:marLeft w:val="0"/>
      <w:marRight w:val="0"/>
      <w:marTop w:val="0"/>
      <w:marBottom w:val="0"/>
      <w:divBdr>
        <w:top w:val="none" w:sz="0" w:space="0" w:color="auto"/>
        <w:left w:val="none" w:sz="0" w:space="0" w:color="auto"/>
        <w:bottom w:val="none" w:sz="0" w:space="0" w:color="auto"/>
        <w:right w:val="none" w:sz="0" w:space="0" w:color="auto"/>
      </w:divBdr>
    </w:div>
    <w:div w:id="1517964991">
      <w:bodyDiv w:val="1"/>
      <w:marLeft w:val="0"/>
      <w:marRight w:val="0"/>
      <w:marTop w:val="0"/>
      <w:marBottom w:val="0"/>
      <w:divBdr>
        <w:top w:val="none" w:sz="0" w:space="0" w:color="auto"/>
        <w:left w:val="none" w:sz="0" w:space="0" w:color="auto"/>
        <w:bottom w:val="none" w:sz="0" w:space="0" w:color="auto"/>
        <w:right w:val="none" w:sz="0" w:space="0" w:color="auto"/>
      </w:divBdr>
    </w:div>
    <w:div w:id="1585725841">
      <w:bodyDiv w:val="1"/>
      <w:marLeft w:val="0"/>
      <w:marRight w:val="0"/>
      <w:marTop w:val="0"/>
      <w:marBottom w:val="0"/>
      <w:divBdr>
        <w:top w:val="none" w:sz="0" w:space="0" w:color="auto"/>
        <w:left w:val="none" w:sz="0" w:space="0" w:color="auto"/>
        <w:bottom w:val="none" w:sz="0" w:space="0" w:color="auto"/>
        <w:right w:val="none" w:sz="0" w:space="0" w:color="auto"/>
      </w:divBdr>
    </w:div>
    <w:div w:id="1655521921">
      <w:bodyDiv w:val="1"/>
      <w:marLeft w:val="0"/>
      <w:marRight w:val="0"/>
      <w:marTop w:val="0"/>
      <w:marBottom w:val="0"/>
      <w:divBdr>
        <w:top w:val="none" w:sz="0" w:space="0" w:color="auto"/>
        <w:left w:val="none" w:sz="0" w:space="0" w:color="auto"/>
        <w:bottom w:val="none" w:sz="0" w:space="0" w:color="auto"/>
        <w:right w:val="none" w:sz="0" w:space="0" w:color="auto"/>
      </w:divBdr>
    </w:div>
    <w:div w:id="1788695206">
      <w:bodyDiv w:val="1"/>
      <w:marLeft w:val="0"/>
      <w:marRight w:val="0"/>
      <w:marTop w:val="0"/>
      <w:marBottom w:val="0"/>
      <w:divBdr>
        <w:top w:val="none" w:sz="0" w:space="0" w:color="auto"/>
        <w:left w:val="none" w:sz="0" w:space="0" w:color="auto"/>
        <w:bottom w:val="none" w:sz="0" w:space="0" w:color="auto"/>
        <w:right w:val="none" w:sz="0" w:space="0" w:color="auto"/>
      </w:divBdr>
    </w:div>
    <w:div w:id="1815634467">
      <w:bodyDiv w:val="1"/>
      <w:marLeft w:val="0"/>
      <w:marRight w:val="0"/>
      <w:marTop w:val="0"/>
      <w:marBottom w:val="0"/>
      <w:divBdr>
        <w:top w:val="none" w:sz="0" w:space="0" w:color="auto"/>
        <w:left w:val="none" w:sz="0" w:space="0" w:color="auto"/>
        <w:bottom w:val="none" w:sz="0" w:space="0" w:color="auto"/>
        <w:right w:val="none" w:sz="0" w:space="0" w:color="auto"/>
      </w:divBdr>
    </w:div>
    <w:div w:id="1817451918">
      <w:bodyDiv w:val="1"/>
      <w:marLeft w:val="0"/>
      <w:marRight w:val="0"/>
      <w:marTop w:val="0"/>
      <w:marBottom w:val="0"/>
      <w:divBdr>
        <w:top w:val="none" w:sz="0" w:space="0" w:color="auto"/>
        <w:left w:val="none" w:sz="0" w:space="0" w:color="auto"/>
        <w:bottom w:val="none" w:sz="0" w:space="0" w:color="auto"/>
        <w:right w:val="none" w:sz="0" w:space="0" w:color="auto"/>
      </w:divBdr>
    </w:div>
    <w:div w:id="1988312688">
      <w:bodyDiv w:val="1"/>
      <w:marLeft w:val="0"/>
      <w:marRight w:val="0"/>
      <w:marTop w:val="0"/>
      <w:marBottom w:val="0"/>
      <w:divBdr>
        <w:top w:val="none" w:sz="0" w:space="0" w:color="auto"/>
        <w:left w:val="none" w:sz="0" w:space="0" w:color="auto"/>
        <w:bottom w:val="none" w:sz="0" w:space="0" w:color="auto"/>
        <w:right w:val="none" w:sz="0" w:space="0" w:color="auto"/>
      </w:divBdr>
    </w:div>
    <w:div w:id="2029217018">
      <w:bodyDiv w:val="1"/>
      <w:marLeft w:val="0"/>
      <w:marRight w:val="0"/>
      <w:marTop w:val="0"/>
      <w:marBottom w:val="0"/>
      <w:divBdr>
        <w:top w:val="none" w:sz="0" w:space="0" w:color="auto"/>
        <w:left w:val="none" w:sz="0" w:space="0" w:color="auto"/>
        <w:bottom w:val="none" w:sz="0" w:space="0" w:color="auto"/>
        <w:right w:val="none" w:sz="0" w:space="0" w:color="auto"/>
      </w:divBdr>
    </w:div>
    <w:div w:id="206105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wolontariatzamosc.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ujawsko-pomorskie.pl/informacje-prasowe/35551-ksiazka-dla-senior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2DDB7-0EE1-4871-B4F9-074E00AE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405</Pages>
  <Words>141489</Words>
  <Characters>848935</Characters>
  <Application>Microsoft Office Word</Application>
  <DocSecurity>0</DocSecurity>
  <Lines>7074</Lines>
  <Paragraphs>1976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Wójcik</dc:creator>
  <cp:keywords/>
  <dc:description/>
  <cp:lastModifiedBy>Michał Szczegielniak</cp:lastModifiedBy>
  <cp:revision>31</cp:revision>
  <cp:lastPrinted>2021-08-24T09:35:00Z</cp:lastPrinted>
  <dcterms:created xsi:type="dcterms:W3CDTF">2021-08-24T07:51:00Z</dcterms:created>
  <dcterms:modified xsi:type="dcterms:W3CDTF">2021-08-24T11:00:00Z</dcterms:modified>
</cp:coreProperties>
</file>