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93" w:rsidRPr="001235C1" w:rsidRDefault="000D0593" w:rsidP="000D0593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1235C1">
        <w:rPr>
          <w:rFonts w:ascii="Arial" w:eastAsia="Times New Roman" w:hAnsi="Arial" w:cs="Arial"/>
          <w:b/>
          <w:sz w:val="24"/>
          <w:szCs w:val="24"/>
          <w:lang w:eastAsia="pl-PL"/>
        </w:rPr>
        <w:t>MINIMALNE WYMAGANIA DOTYCZĄCE PROCEDURY LIKWIDACJI NOŚNIKÓW DANYCH</w:t>
      </w:r>
    </w:p>
    <w:p w:rsidR="000D0593" w:rsidRPr="001235C1" w:rsidRDefault="000D0593" w:rsidP="000D0593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D0593" w:rsidRPr="001235C1" w:rsidRDefault="000D0593" w:rsidP="000D0593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D0593" w:rsidRPr="001235C1" w:rsidRDefault="000D0593" w:rsidP="000D0593">
      <w:pPr>
        <w:pStyle w:val="Akapitzlist"/>
        <w:widowControl w:val="0"/>
        <w:numPr>
          <w:ilvl w:val="0"/>
          <w:numId w:val="4"/>
        </w:numPr>
        <w:adjustRightInd w:val="0"/>
        <w:spacing w:after="0" w:line="360" w:lineRule="auto"/>
        <w:ind w:hanging="357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235C1">
        <w:rPr>
          <w:rFonts w:ascii="Arial" w:eastAsia="Times New Roman" w:hAnsi="Arial" w:cs="Arial"/>
          <w:b/>
          <w:sz w:val="24"/>
          <w:szCs w:val="24"/>
          <w:lang w:eastAsia="pl-PL"/>
        </w:rPr>
        <w:t>Warunki realizacji procesu likwidacji nośników danych</w:t>
      </w:r>
    </w:p>
    <w:p w:rsidR="000D0593" w:rsidRPr="001235C1" w:rsidRDefault="000D0593" w:rsidP="000D0593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720"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235C1">
        <w:rPr>
          <w:rFonts w:ascii="Arial" w:eastAsia="Times New Roman" w:hAnsi="Arial" w:cs="Arial"/>
          <w:sz w:val="24"/>
          <w:szCs w:val="24"/>
        </w:rPr>
        <w:t>Wydzielone stanowisko do demagnetyzacji, zabezpieczone bezpośrednim nadzorem kamery przemysłowej.</w:t>
      </w:r>
    </w:p>
    <w:p w:rsidR="000D0593" w:rsidRPr="001235C1" w:rsidRDefault="000D0593" w:rsidP="000D0593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720"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235C1">
        <w:rPr>
          <w:rFonts w:ascii="Arial" w:eastAsia="Times New Roman" w:hAnsi="Arial" w:cs="Arial"/>
          <w:sz w:val="24"/>
          <w:szCs w:val="24"/>
        </w:rPr>
        <w:t xml:space="preserve">Kasowanie nośników będzie realizowane przy wykorzystaniu </w:t>
      </w:r>
      <w:proofErr w:type="spellStart"/>
      <w:r w:rsidRPr="001235C1">
        <w:rPr>
          <w:rFonts w:ascii="Arial" w:eastAsia="Times New Roman" w:hAnsi="Arial" w:cs="Arial"/>
          <w:sz w:val="24"/>
          <w:szCs w:val="24"/>
        </w:rPr>
        <w:t>demagnetyzera</w:t>
      </w:r>
      <w:proofErr w:type="spellEnd"/>
      <w:r w:rsidRPr="001235C1">
        <w:rPr>
          <w:rFonts w:ascii="Arial" w:eastAsia="Times New Roman" w:hAnsi="Arial" w:cs="Arial"/>
          <w:sz w:val="24"/>
          <w:szCs w:val="24"/>
        </w:rPr>
        <w:t xml:space="preserve"> spełniającego wszelkie normy demagnetyzacyjne NATO i ISO, powodując całkowitą utratę możliwości odczytu danych.</w:t>
      </w:r>
    </w:p>
    <w:p w:rsidR="000D0593" w:rsidRPr="001235C1" w:rsidRDefault="000D0593" w:rsidP="000D0593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720"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235C1">
        <w:rPr>
          <w:rFonts w:ascii="Arial" w:eastAsia="Times New Roman" w:hAnsi="Arial" w:cs="Arial"/>
          <w:sz w:val="24"/>
          <w:szCs w:val="24"/>
        </w:rPr>
        <w:t xml:space="preserve">Kasowanie nośników odbywać się będzie tylko i wyłącznie na wskazanym stanowisku </w:t>
      </w:r>
      <w:r w:rsidRPr="001235C1">
        <w:rPr>
          <w:rFonts w:ascii="Arial" w:eastAsia="Times New Roman" w:hAnsi="Arial" w:cs="Arial"/>
          <w:sz w:val="24"/>
          <w:szCs w:val="24"/>
        </w:rPr>
        <w:br/>
        <w:t>w siedzibie Wykonawcy.</w:t>
      </w:r>
    </w:p>
    <w:p w:rsidR="000D0593" w:rsidRPr="001235C1" w:rsidRDefault="000D0593" w:rsidP="000D0593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720"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235C1">
        <w:rPr>
          <w:rFonts w:ascii="Arial" w:eastAsia="Times New Roman" w:hAnsi="Arial" w:cs="Arial"/>
          <w:sz w:val="24"/>
          <w:szCs w:val="24"/>
        </w:rPr>
        <w:t xml:space="preserve">Demagnetyzacja będzie odbywać się poprzez włączenie pola magnetycznego </w:t>
      </w:r>
      <w:r w:rsidRPr="001235C1">
        <w:rPr>
          <w:rFonts w:ascii="Arial" w:eastAsia="Times New Roman" w:hAnsi="Arial" w:cs="Arial"/>
          <w:sz w:val="24"/>
          <w:szCs w:val="24"/>
        </w:rPr>
        <w:br/>
        <w:t xml:space="preserve">o wartości 18000 gausów, co spowoduje trwałe zniszczenie danych nośnika </w:t>
      </w:r>
      <w:r w:rsidRPr="001235C1">
        <w:rPr>
          <w:rFonts w:ascii="Arial" w:eastAsia="Times New Roman" w:hAnsi="Arial" w:cs="Arial"/>
          <w:sz w:val="24"/>
          <w:szCs w:val="24"/>
        </w:rPr>
        <w:br/>
        <w:t xml:space="preserve">i uniemożliwia jego dalszy odczyt. </w:t>
      </w:r>
    </w:p>
    <w:p w:rsidR="000D0593" w:rsidRPr="001235C1" w:rsidRDefault="000D0593" w:rsidP="000D0593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720"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235C1">
        <w:rPr>
          <w:rFonts w:ascii="Arial" w:eastAsia="Times New Roman" w:hAnsi="Arial" w:cs="Arial"/>
          <w:sz w:val="24"/>
          <w:szCs w:val="24"/>
        </w:rPr>
        <w:t>Demagnetyzacja jest zawsze dwukrotna (dwustronna), wykonywana automatycznie przez samo urządzenie.</w:t>
      </w:r>
    </w:p>
    <w:p w:rsidR="000D0593" w:rsidRPr="001235C1" w:rsidRDefault="000D0593" w:rsidP="000D0593">
      <w:pPr>
        <w:pStyle w:val="Akapitzlist"/>
        <w:widowControl w:val="0"/>
        <w:numPr>
          <w:ilvl w:val="0"/>
          <w:numId w:val="4"/>
        </w:numPr>
        <w:adjustRightInd w:val="0"/>
        <w:spacing w:after="0" w:line="360" w:lineRule="auto"/>
        <w:ind w:hanging="357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235C1">
        <w:rPr>
          <w:rFonts w:ascii="Arial" w:eastAsia="Times New Roman" w:hAnsi="Arial" w:cs="Arial"/>
          <w:b/>
          <w:sz w:val="24"/>
          <w:szCs w:val="24"/>
          <w:lang w:eastAsia="pl-PL"/>
        </w:rPr>
        <w:t>Procedura likwidacji nośników danych</w:t>
      </w:r>
    </w:p>
    <w:p w:rsidR="000D0593" w:rsidRPr="001235C1" w:rsidRDefault="000D0593" w:rsidP="000D0593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ind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235C1">
        <w:rPr>
          <w:rFonts w:ascii="Arial" w:eastAsia="Times New Roman" w:hAnsi="Arial" w:cs="Arial"/>
          <w:sz w:val="24"/>
          <w:szCs w:val="24"/>
          <w:lang w:eastAsia="pl-PL"/>
        </w:rPr>
        <w:t>Podjęcie decyzji o złomowaniu/utylizacji wskazanych nośników danych</w:t>
      </w:r>
    </w:p>
    <w:p w:rsidR="000D0593" w:rsidRPr="001235C1" w:rsidRDefault="000D0593" w:rsidP="000D0593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ind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Toc180426632"/>
      <w:r w:rsidRPr="001235C1">
        <w:rPr>
          <w:rFonts w:ascii="Arial" w:eastAsia="Times New Roman" w:hAnsi="Arial" w:cs="Arial"/>
          <w:sz w:val="24"/>
          <w:szCs w:val="24"/>
        </w:rPr>
        <w:t>Demagnetyzacja</w:t>
      </w:r>
      <w:bookmarkEnd w:id="1"/>
    </w:p>
    <w:p w:rsidR="000D0593" w:rsidRPr="001235C1" w:rsidRDefault="000D0593" w:rsidP="000D0593">
      <w:pPr>
        <w:pStyle w:val="Tytu"/>
        <w:numPr>
          <w:ilvl w:val="1"/>
          <w:numId w:val="6"/>
        </w:numPr>
        <w:spacing w:line="360" w:lineRule="auto"/>
        <w:ind w:hanging="357"/>
        <w:jc w:val="both"/>
        <w:rPr>
          <w:rFonts w:ascii="Arial" w:hAnsi="Arial" w:cs="Arial"/>
          <w:caps w:val="0"/>
          <w:color w:val="auto"/>
          <w:spacing w:val="0"/>
          <w:sz w:val="24"/>
          <w:szCs w:val="24"/>
        </w:rPr>
      </w:pPr>
      <w:r w:rsidRPr="001235C1">
        <w:rPr>
          <w:rFonts w:ascii="Arial" w:hAnsi="Arial" w:cs="Arial"/>
          <w:caps w:val="0"/>
          <w:color w:val="auto"/>
          <w:spacing w:val="0"/>
          <w:sz w:val="24"/>
          <w:szCs w:val="24"/>
        </w:rPr>
        <w:t xml:space="preserve">Poddanie nośników działaniu silnego pola elektromagnetycznego poprzez uruchomienie </w:t>
      </w:r>
      <w:proofErr w:type="spellStart"/>
      <w:r w:rsidRPr="001235C1">
        <w:rPr>
          <w:rFonts w:ascii="Arial" w:hAnsi="Arial" w:cs="Arial"/>
          <w:caps w:val="0"/>
          <w:color w:val="auto"/>
          <w:spacing w:val="0"/>
          <w:sz w:val="24"/>
          <w:szCs w:val="24"/>
        </w:rPr>
        <w:t>demagnetyzera</w:t>
      </w:r>
      <w:proofErr w:type="spellEnd"/>
      <w:r w:rsidRPr="001235C1">
        <w:rPr>
          <w:rFonts w:ascii="Arial" w:hAnsi="Arial" w:cs="Arial"/>
          <w:caps w:val="0"/>
          <w:color w:val="auto"/>
          <w:spacing w:val="0"/>
          <w:sz w:val="24"/>
          <w:szCs w:val="24"/>
        </w:rPr>
        <w:t xml:space="preserve"> – zgodnie z instrukcją producenta.</w:t>
      </w:r>
    </w:p>
    <w:p w:rsidR="000D0593" w:rsidRPr="001235C1" w:rsidRDefault="000D0593" w:rsidP="000D0593">
      <w:pPr>
        <w:pStyle w:val="Tytu"/>
        <w:numPr>
          <w:ilvl w:val="1"/>
          <w:numId w:val="6"/>
        </w:numPr>
        <w:spacing w:line="360" w:lineRule="auto"/>
        <w:ind w:hanging="357"/>
        <w:jc w:val="both"/>
        <w:rPr>
          <w:rFonts w:ascii="Arial" w:hAnsi="Arial" w:cs="Arial"/>
          <w:caps w:val="0"/>
          <w:color w:val="auto"/>
          <w:spacing w:val="0"/>
          <w:sz w:val="24"/>
          <w:szCs w:val="24"/>
        </w:rPr>
      </w:pPr>
      <w:r w:rsidRPr="001235C1">
        <w:rPr>
          <w:rFonts w:ascii="Arial" w:hAnsi="Arial" w:cs="Arial"/>
          <w:caps w:val="0"/>
          <w:color w:val="auto"/>
          <w:spacing w:val="0"/>
          <w:sz w:val="24"/>
          <w:szCs w:val="24"/>
        </w:rPr>
        <w:t>Odnotowanie faktu wykonania demagnetyzacji w zakresie informacji: daty demagnetyzacji, nazwisko osoby realizującej demagnetyzację, nazwisko osoby nadzorującej oraz jeżeli jest to możliwe, to w zakresie typu i numeru seryjnego nośnika.</w:t>
      </w:r>
    </w:p>
    <w:p w:rsidR="000D0593" w:rsidRPr="001235C1" w:rsidRDefault="000D0593" w:rsidP="000D0593">
      <w:pPr>
        <w:pStyle w:val="Tytu"/>
        <w:numPr>
          <w:ilvl w:val="1"/>
          <w:numId w:val="6"/>
        </w:numPr>
        <w:spacing w:line="360" w:lineRule="auto"/>
        <w:ind w:hanging="357"/>
        <w:jc w:val="both"/>
        <w:rPr>
          <w:rFonts w:ascii="Arial" w:hAnsi="Arial" w:cs="Arial"/>
          <w:caps w:val="0"/>
          <w:color w:val="auto"/>
          <w:spacing w:val="0"/>
          <w:sz w:val="24"/>
          <w:szCs w:val="24"/>
        </w:rPr>
      </w:pPr>
      <w:r w:rsidRPr="001235C1">
        <w:rPr>
          <w:rFonts w:ascii="Arial" w:hAnsi="Arial" w:cs="Arial"/>
          <w:caps w:val="0"/>
          <w:color w:val="auto"/>
          <w:spacing w:val="0"/>
          <w:sz w:val="24"/>
          <w:szCs w:val="24"/>
        </w:rPr>
        <w:t>Wygenerowanie protokołu z likwidacji nośników danych.</w:t>
      </w:r>
    </w:p>
    <w:p w:rsidR="000D0593" w:rsidRPr="001235C1" w:rsidRDefault="000D0593" w:rsidP="000D0593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ind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235C1">
        <w:rPr>
          <w:rFonts w:ascii="Arial" w:eastAsia="Times New Roman" w:hAnsi="Arial" w:cs="Arial"/>
          <w:sz w:val="24"/>
          <w:szCs w:val="24"/>
        </w:rPr>
        <w:t>Przeprowadzenie wyrywkowej kontroli poprawności skuteczności kasowania.</w:t>
      </w:r>
    </w:p>
    <w:p w:rsidR="000D0593" w:rsidRPr="001235C1" w:rsidRDefault="000D0593" w:rsidP="000D0593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ind w:hanging="35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235C1">
        <w:rPr>
          <w:rFonts w:ascii="Arial" w:eastAsia="Times New Roman" w:hAnsi="Arial" w:cs="Arial"/>
          <w:sz w:val="24"/>
          <w:szCs w:val="24"/>
        </w:rPr>
        <w:t>Przeprowadzenie utylizacji lub przekazanie do utylizacji do firmy zewn. specjalizującej się w świadczenie tego rodzaju usług.</w:t>
      </w:r>
    </w:p>
    <w:p w:rsidR="00BF2B86" w:rsidRPr="001235C1" w:rsidRDefault="00BF2B86" w:rsidP="000D0593">
      <w:pPr>
        <w:rPr>
          <w:rFonts w:ascii="Arial" w:hAnsi="Arial" w:cs="Arial"/>
        </w:rPr>
      </w:pPr>
    </w:p>
    <w:sectPr w:rsidR="00BF2B86" w:rsidRPr="001235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DF" w:rsidRDefault="00F05DDF">
      <w:pPr>
        <w:spacing w:after="0" w:line="240" w:lineRule="auto"/>
      </w:pPr>
      <w:r>
        <w:separator/>
      </w:r>
    </w:p>
  </w:endnote>
  <w:endnote w:type="continuationSeparator" w:id="0">
    <w:p w:rsidR="00F05DDF" w:rsidRDefault="00F0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8574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C2CED" w:rsidRDefault="000D05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E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E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2CED" w:rsidRDefault="00133E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DF" w:rsidRDefault="00F05DDF">
      <w:pPr>
        <w:spacing w:after="0" w:line="240" w:lineRule="auto"/>
      </w:pPr>
      <w:r>
        <w:separator/>
      </w:r>
    </w:p>
  </w:footnote>
  <w:footnote w:type="continuationSeparator" w:id="0">
    <w:p w:rsidR="00F05DDF" w:rsidRDefault="00F0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6B0"/>
    <w:multiLevelType w:val="hybridMultilevel"/>
    <w:tmpl w:val="D0062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02101"/>
    <w:multiLevelType w:val="hybridMultilevel"/>
    <w:tmpl w:val="7BC845E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D42AC4"/>
    <w:multiLevelType w:val="hybridMultilevel"/>
    <w:tmpl w:val="D00623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93"/>
    <w:rsid w:val="000D0593"/>
    <w:rsid w:val="000D2CFC"/>
    <w:rsid w:val="001235C1"/>
    <w:rsid w:val="00133E60"/>
    <w:rsid w:val="001D1388"/>
    <w:rsid w:val="006C0A76"/>
    <w:rsid w:val="00A74AE1"/>
    <w:rsid w:val="00A85F0D"/>
    <w:rsid w:val="00AE259C"/>
    <w:rsid w:val="00BF2B86"/>
    <w:rsid w:val="00C72E0F"/>
    <w:rsid w:val="00E97417"/>
    <w:rsid w:val="00F0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59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0D0593"/>
    <w:pPr>
      <w:spacing w:after="0" w:line="276" w:lineRule="auto"/>
    </w:pPr>
    <w:rPr>
      <w:rFonts w:ascii="Calibri Light" w:eastAsia="Times New Roman" w:hAnsi="Calibri Light"/>
      <w:caps/>
      <w:color w:val="5B9BD5"/>
      <w:spacing w:val="10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D0593"/>
    <w:rPr>
      <w:rFonts w:ascii="Calibri Light" w:eastAsia="Times New Roman" w:hAnsi="Calibri Light" w:cs="Times New Roman"/>
      <w:caps/>
      <w:color w:val="5B9BD5"/>
      <w:spacing w:val="10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0D059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0D0593"/>
    <w:pPr>
      <w:tabs>
        <w:tab w:val="center" w:pos="4536"/>
        <w:tab w:val="right" w:pos="9072"/>
      </w:tabs>
      <w:spacing w:before="100"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0593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0593"/>
    <w:pPr>
      <w:tabs>
        <w:tab w:val="center" w:pos="4536"/>
        <w:tab w:val="right" w:pos="9072"/>
      </w:tabs>
      <w:spacing w:line="259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59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E0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59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0D0593"/>
    <w:pPr>
      <w:spacing w:after="0" w:line="276" w:lineRule="auto"/>
    </w:pPr>
    <w:rPr>
      <w:rFonts w:ascii="Calibri Light" w:eastAsia="Times New Roman" w:hAnsi="Calibri Light"/>
      <w:caps/>
      <w:color w:val="5B9BD5"/>
      <w:spacing w:val="10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D0593"/>
    <w:rPr>
      <w:rFonts w:ascii="Calibri Light" w:eastAsia="Times New Roman" w:hAnsi="Calibri Light" w:cs="Times New Roman"/>
      <w:caps/>
      <w:color w:val="5B9BD5"/>
      <w:spacing w:val="10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0D059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0D0593"/>
    <w:pPr>
      <w:tabs>
        <w:tab w:val="center" w:pos="4536"/>
        <w:tab w:val="right" w:pos="9072"/>
      </w:tabs>
      <w:spacing w:before="100"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0593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0593"/>
    <w:pPr>
      <w:tabs>
        <w:tab w:val="center" w:pos="4536"/>
        <w:tab w:val="right" w:pos="9072"/>
      </w:tabs>
      <w:spacing w:line="259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59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E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ZILP;Cezary Godziszewski</dc:creator>
  <cp:lastModifiedBy>Agata Imielińska</cp:lastModifiedBy>
  <cp:revision>2</cp:revision>
  <cp:lastPrinted>2020-01-30T07:35:00Z</cp:lastPrinted>
  <dcterms:created xsi:type="dcterms:W3CDTF">2022-03-30T10:09:00Z</dcterms:created>
  <dcterms:modified xsi:type="dcterms:W3CDTF">2022-03-30T10:09:00Z</dcterms:modified>
</cp:coreProperties>
</file>