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40"/>
        <w:gridCol w:w="1592"/>
        <w:gridCol w:w="7030"/>
      </w:tblGrid>
      <w:tr w:rsidR="007A0A3D" w:rsidRPr="002450C4" w:rsidTr="0002265C">
        <w:tc>
          <w:tcPr>
            <w:tcW w:w="440" w:type="dxa"/>
          </w:tcPr>
          <w:p w:rsidR="007A0A3D" w:rsidRPr="002450C4" w:rsidRDefault="007A0A3D" w:rsidP="007A0A3D">
            <w:pPr>
              <w:jc w:val="center"/>
              <w:rPr>
                <w:b/>
                <w:sz w:val="18"/>
                <w:szCs w:val="20"/>
              </w:rPr>
            </w:pPr>
            <w:r w:rsidRPr="002450C4">
              <w:rPr>
                <w:b/>
                <w:sz w:val="18"/>
                <w:szCs w:val="20"/>
              </w:rPr>
              <w:t>Lp.</w:t>
            </w:r>
          </w:p>
        </w:tc>
        <w:tc>
          <w:tcPr>
            <w:tcW w:w="1592" w:type="dxa"/>
          </w:tcPr>
          <w:p w:rsidR="007A0A3D" w:rsidRPr="002450C4" w:rsidRDefault="007A0A3D" w:rsidP="007A0A3D">
            <w:pPr>
              <w:jc w:val="center"/>
              <w:rPr>
                <w:b/>
                <w:sz w:val="18"/>
                <w:szCs w:val="20"/>
              </w:rPr>
            </w:pPr>
            <w:r w:rsidRPr="002450C4">
              <w:rPr>
                <w:b/>
                <w:sz w:val="18"/>
                <w:szCs w:val="20"/>
              </w:rPr>
              <w:t>Wyszczególnienie</w:t>
            </w:r>
          </w:p>
        </w:tc>
        <w:tc>
          <w:tcPr>
            <w:tcW w:w="7030" w:type="dxa"/>
          </w:tcPr>
          <w:p w:rsidR="007A0A3D" w:rsidRPr="002450C4" w:rsidRDefault="007A0A3D" w:rsidP="007A0A3D">
            <w:pPr>
              <w:jc w:val="center"/>
              <w:rPr>
                <w:b/>
                <w:sz w:val="18"/>
                <w:szCs w:val="20"/>
              </w:rPr>
            </w:pPr>
            <w:r w:rsidRPr="002450C4">
              <w:rPr>
                <w:b/>
                <w:sz w:val="18"/>
                <w:szCs w:val="20"/>
              </w:rPr>
              <w:t>Opis</w:t>
            </w:r>
          </w:p>
        </w:tc>
      </w:tr>
      <w:tr w:rsidR="007A0A3D" w:rsidRPr="002450C4" w:rsidTr="0002265C">
        <w:tc>
          <w:tcPr>
            <w:tcW w:w="440" w:type="dxa"/>
          </w:tcPr>
          <w:p w:rsidR="007A0A3D" w:rsidRPr="002450C4" w:rsidRDefault="007A0A3D" w:rsidP="007A0A3D">
            <w:pPr>
              <w:pStyle w:val="Akapitzlist"/>
              <w:numPr>
                <w:ilvl w:val="0"/>
                <w:numId w:val="1"/>
              </w:numPr>
              <w:rPr>
                <w:sz w:val="18"/>
                <w:szCs w:val="20"/>
              </w:rPr>
            </w:pPr>
          </w:p>
        </w:tc>
        <w:tc>
          <w:tcPr>
            <w:tcW w:w="1592" w:type="dxa"/>
          </w:tcPr>
          <w:p w:rsidR="007A0A3D" w:rsidRPr="002450C4" w:rsidRDefault="007A0A3D">
            <w:pPr>
              <w:rPr>
                <w:sz w:val="18"/>
                <w:szCs w:val="20"/>
              </w:rPr>
            </w:pPr>
            <w:r w:rsidRPr="002450C4">
              <w:rPr>
                <w:sz w:val="18"/>
                <w:szCs w:val="20"/>
              </w:rPr>
              <w:t>Tytuł projektu</w:t>
            </w:r>
          </w:p>
        </w:tc>
        <w:tc>
          <w:tcPr>
            <w:tcW w:w="7030" w:type="dxa"/>
          </w:tcPr>
          <w:p w:rsidR="007A0A3D" w:rsidRPr="007A22A2" w:rsidRDefault="0007712B" w:rsidP="0092099A">
            <w:pPr>
              <w:jc w:val="both"/>
              <w:rPr>
                <w:sz w:val="18"/>
                <w:szCs w:val="20"/>
              </w:rPr>
            </w:pPr>
            <w:r w:rsidRPr="007A22A2">
              <w:rPr>
                <w:sz w:val="18"/>
                <w:szCs w:val="20"/>
              </w:rPr>
              <w:t>System do Obsługi Postępowań Administracyjnych w Budownictwie (SOPAB) – w wersji MVP</w:t>
            </w:r>
          </w:p>
        </w:tc>
      </w:tr>
      <w:tr w:rsidR="007A0A3D" w:rsidRPr="002450C4" w:rsidTr="0002265C">
        <w:trPr>
          <w:trHeight w:val="265"/>
        </w:trPr>
        <w:tc>
          <w:tcPr>
            <w:tcW w:w="440" w:type="dxa"/>
          </w:tcPr>
          <w:p w:rsidR="007A0A3D" w:rsidRPr="002450C4" w:rsidRDefault="007A0A3D" w:rsidP="007A0A3D">
            <w:pPr>
              <w:pStyle w:val="Akapitzlist"/>
              <w:numPr>
                <w:ilvl w:val="0"/>
                <w:numId w:val="1"/>
              </w:numPr>
              <w:rPr>
                <w:sz w:val="18"/>
                <w:szCs w:val="20"/>
              </w:rPr>
            </w:pPr>
          </w:p>
        </w:tc>
        <w:tc>
          <w:tcPr>
            <w:tcW w:w="1592" w:type="dxa"/>
          </w:tcPr>
          <w:p w:rsidR="007A0A3D" w:rsidRPr="002450C4" w:rsidRDefault="007A0A3D" w:rsidP="00A1534B">
            <w:pPr>
              <w:rPr>
                <w:sz w:val="18"/>
                <w:szCs w:val="20"/>
              </w:rPr>
            </w:pPr>
            <w:r w:rsidRPr="002450C4">
              <w:rPr>
                <w:sz w:val="18"/>
                <w:szCs w:val="20"/>
              </w:rPr>
              <w:t xml:space="preserve">Beneficjent projektu </w:t>
            </w:r>
          </w:p>
        </w:tc>
        <w:tc>
          <w:tcPr>
            <w:tcW w:w="7030" w:type="dxa"/>
          </w:tcPr>
          <w:p w:rsidR="001C611C" w:rsidRPr="007A22A2" w:rsidRDefault="0007712B" w:rsidP="0092099A">
            <w:pPr>
              <w:jc w:val="both"/>
              <w:rPr>
                <w:sz w:val="18"/>
                <w:szCs w:val="20"/>
              </w:rPr>
            </w:pPr>
            <w:r w:rsidRPr="007A22A2">
              <w:rPr>
                <w:sz w:val="18"/>
                <w:szCs w:val="20"/>
              </w:rPr>
              <w:t>Główny Urząd Nadzoru Budowlanego</w:t>
            </w:r>
          </w:p>
        </w:tc>
      </w:tr>
      <w:tr w:rsidR="007A0A3D" w:rsidRPr="002450C4" w:rsidTr="0002265C">
        <w:tc>
          <w:tcPr>
            <w:tcW w:w="440" w:type="dxa"/>
          </w:tcPr>
          <w:p w:rsidR="007A0A3D" w:rsidRPr="002450C4" w:rsidRDefault="007A0A3D" w:rsidP="007A0A3D">
            <w:pPr>
              <w:pStyle w:val="Akapitzlist"/>
              <w:numPr>
                <w:ilvl w:val="0"/>
                <w:numId w:val="1"/>
              </w:numPr>
              <w:rPr>
                <w:sz w:val="18"/>
                <w:szCs w:val="20"/>
              </w:rPr>
            </w:pPr>
          </w:p>
        </w:tc>
        <w:tc>
          <w:tcPr>
            <w:tcW w:w="1592" w:type="dxa"/>
          </w:tcPr>
          <w:p w:rsidR="007A0A3D" w:rsidRPr="002450C4" w:rsidRDefault="007A0A3D" w:rsidP="007A0A3D">
            <w:pPr>
              <w:rPr>
                <w:sz w:val="18"/>
                <w:szCs w:val="20"/>
              </w:rPr>
            </w:pPr>
            <w:r w:rsidRPr="002450C4">
              <w:rPr>
                <w:sz w:val="18"/>
                <w:szCs w:val="20"/>
              </w:rPr>
              <w:t xml:space="preserve">Partnerzy </w:t>
            </w:r>
          </w:p>
        </w:tc>
        <w:tc>
          <w:tcPr>
            <w:tcW w:w="7030" w:type="dxa"/>
          </w:tcPr>
          <w:p w:rsidR="007A0A3D" w:rsidRPr="007A22A2" w:rsidRDefault="0007712B" w:rsidP="00FD074F">
            <w:pPr>
              <w:jc w:val="both"/>
              <w:rPr>
                <w:sz w:val="18"/>
                <w:szCs w:val="20"/>
              </w:rPr>
            </w:pPr>
            <w:r w:rsidRPr="007A22A2">
              <w:rPr>
                <w:sz w:val="18"/>
                <w:szCs w:val="20"/>
              </w:rPr>
              <w:t>Sieć Badawcza Łukasiewicz - Poznański Instytut Technologiczny</w:t>
            </w: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Default="0002265C" w:rsidP="0002265C">
            <w:pPr>
              <w:jc w:val="both"/>
              <w:rPr>
                <w:sz w:val="18"/>
                <w:szCs w:val="20"/>
              </w:rPr>
            </w:pPr>
            <w:r>
              <w:rPr>
                <w:sz w:val="18"/>
                <w:szCs w:val="20"/>
              </w:rPr>
              <w:t>Postęp finansowy</w:t>
            </w:r>
          </w:p>
        </w:tc>
        <w:tc>
          <w:tcPr>
            <w:tcW w:w="7030" w:type="dxa"/>
          </w:tcPr>
          <w:p w:rsidR="0002265C" w:rsidRDefault="0002265C" w:rsidP="0002265C">
            <w:pPr>
              <w:jc w:val="both"/>
              <w:rPr>
                <w:sz w:val="18"/>
                <w:szCs w:val="18"/>
              </w:rPr>
            </w:pPr>
            <w:r w:rsidRPr="00C67565">
              <w:rPr>
                <w:sz w:val="18"/>
                <w:szCs w:val="18"/>
              </w:rPr>
              <w:t xml:space="preserve">Pierwotny planowany koszt realizacji projektu: </w:t>
            </w:r>
            <w:r w:rsidR="0023319F" w:rsidRPr="0023319F">
              <w:rPr>
                <w:sz w:val="18"/>
                <w:szCs w:val="18"/>
              </w:rPr>
              <w:t>12 178 420,24</w:t>
            </w:r>
            <w:r w:rsidR="0023319F">
              <w:rPr>
                <w:sz w:val="18"/>
                <w:szCs w:val="18"/>
              </w:rPr>
              <w:t xml:space="preserve"> </w:t>
            </w:r>
            <w:r w:rsidRPr="00345582">
              <w:rPr>
                <w:sz w:val="18"/>
                <w:szCs w:val="18"/>
              </w:rPr>
              <w:t>zł</w:t>
            </w:r>
            <w:r w:rsidRPr="00C67565">
              <w:rPr>
                <w:sz w:val="18"/>
                <w:szCs w:val="18"/>
              </w:rPr>
              <w:t xml:space="preserve"> (brutto) </w:t>
            </w:r>
          </w:p>
          <w:p w:rsidR="0002265C" w:rsidRDefault="0002265C" w:rsidP="0002265C">
            <w:pPr>
              <w:jc w:val="both"/>
              <w:rPr>
                <w:sz w:val="18"/>
                <w:szCs w:val="18"/>
              </w:rPr>
            </w:pPr>
            <w:r w:rsidRPr="00C67565">
              <w:rPr>
                <w:sz w:val="18"/>
                <w:szCs w:val="18"/>
              </w:rPr>
              <w:t xml:space="preserve">Ostatni planowany koszt realizacji projektu: </w:t>
            </w:r>
            <w:r w:rsidR="0023319F" w:rsidRPr="0023319F">
              <w:rPr>
                <w:sz w:val="18"/>
                <w:szCs w:val="18"/>
              </w:rPr>
              <w:t>18 064 922,24</w:t>
            </w:r>
            <w:r w:rsidR="0023319F">
              <w:rPr>
                <w:sz w:val="18"/>
                <w:szCs w:val="18"/>
              </w:rPr>
              <w:t xml:space="preserve"> </w:t>
            </w:r>
            <w:r w:rsidRPr="00C67565">
              <w:rPr>
                <w:sz w:val="18"/>
                <w:szCs w:val="18"/>
              </w:rPr>
              <w:t xml:space="preserve">zł (brutto) </w:t>
            </w:r>
          </w:p>
          <w:p w:rsidR="0002265C" w:rsidRDefault="0002265C" w:rsidP="0002265C">
            <w:pPr>
              <w:jc w:val="both"/>
              <w:rPr>
                <w:sz w:val="18"/>
                <w:szCs w:val="18"/>
              </w:rPr>
            </w:pPr>
          </w:p>
          <w:p w:rsidR="0002265C" w:rsidRDefault="0002265C" w:rsidP="0002265C">
            <w:pPr>
              <w:jc w:val="both"/>
              <w:rPr>
                <w:sz w:val="18"/>
                <w:szCs w:val="18"/>
              </w:rPr>
            </w:pPr>
            <w:r w:rsidRPr="00C67565">
              <w:rPr>
                <w:sz w:val="18"/>
                <w:szCs w:val="18"/>
              </w:rPr>
              <w:t>Faktyczny koszt projektu</w:t>
            </w:r>
            <w:r>
              <w:rPr>
                <w:sz w:val="18"/>
                <w:szCs w:val="18"/>
              </w:rPr>
              <w:t xml:space="preserve">: </w:t>
            </w:r>
            <w:r w:rsidR="00B76154" w:rsidRPr="00B76154">
              <w:rPr>
                <w:sz w:val="18"/>
                <w:szCs w:val="18"/>
              </w:rPr>
              <w:t>10 133 913,40</w:t>
            </w:r>
            <w:r w:rsidRPr="00C67565">
              <w:rPr>
                <w:sz w:val="18"/>
                <w:szCs w:val="18"/>
              </w:rPr>
              <w:t xml:space="preserve">: zł </w:t>
            </w:r>
          </w:p>
          <w:p w:rsidR="0002265C" w:rsidRDefault="0002265C" w:rsidP="0002265C">
            <w:pPr>
              <w:jc w:val="both"/>
              <w:rPr>
                <w:sz w:val="18"/>
                <w:szCs w:val="18"/>
              </w:rPr>
            </w:pPr>
            <w:r w:rsidRPr="00C67565">
              <w:rPr>
                <w:sz w:val="18"/>
                <w:szCs w:val="18"/>
              </w:rPr>
              <w:t xml:space="preserve">Zakontraktowana wartość dofinansowania: </w:t>
            </w:r>
            <w:r w:rsidR="00B76154">
              <w:rPr>
                <w:rFonts w:ascii="Tahoma" w:hAnsi="Tahoma" w:cs="Tahoma"/>
                <w:sz w:val="17"/>
                <w:szCs w:val="17"/>
              </w:rPr>
              <w:t>10 133 913,40</w:t>
            </w:r>
            <w:r>
              <w:rPr>
                <w:sz w:val="18"/>
                <w:szCs w:val="18"/>
              </w:rPr>
              <w:t>zł</w:t>
            </w:r>
          </w:p>
          <w:p w:rsidR="0002265C" w:rsidRDefault="0002265C" w:rsidP="0002265C">
            <w:pPr>
              <w:jc w:val="both"/>
              <w:rPr>
                <w:sz w:val="18"/>
                <w:szCs w:val="18"/>
              </w:rPr>
            </w:pPr>
            <w:r w:rsidRPr="00C67565">
              <w:rPr>
                <w:sz w:val="18"/>
                <w:szCs w:val="18"/>
              </w:rPr>
              <w:t xml:space="preserve">Poziom certyfikacji w odniesieniu do zakontraktowanej wartości dofinansowania: </w:t>
            </w:r>
            <w:r w:rsidR="00B76154">
              <w:rPr>
                <w:rFonts w:ascii="Tahoma" w:hAnsi="Tahoma" w:cs="Tahoma"/>
                <w:sz w:val="17"/>
                <w:szCs w:val="17"/>
              </w:rPr>
              <w:t xml:space="preserve">10 133 913,40 </w:t>
            </w:r>
            <w:r>
              <w:rPr>
                <w:sz w:val="18"/>
                <w:szCs w:val="18"/>
              </w:rPr>
              <w:t>zł</w:t>
            </w:r>
          </w:p>
          <w:p w:rsidR="0002265C" w:rsidRDefault="0002265C" w:rsidP="0002265C">
            <w:pPr>
              <w:jc w:val="both"/>
              <w:rPr>
                <w:sz w:val="18"/>
                <w:szCs w:val="18"/>
              </w:rPr>
            </w:pPr>
            <w:r w:rsidRPr="00C67565">
              <w:rPr>
                <w:sz w:val="18"/>
                <w:szCs w:val="18"/>
              </w:rPr>
              <w:t xml:space="preserve">Z prognozowanego całkowitego kosztu projektu w </w:t>
            </w:r>
            <w:r w:rsidRPr="00345582">
              <w:rPr>
                <w:sz w:val="18"/>
                <w:szCs w:val="18"/>
              </w:rPr>
              <w:t xml:space="preserve">wysokości </w:t>
            </w:r>
            <w:r w:rsidR="00B76154" w:rsidRPr="0023319F">
              <w:rPr>
                <w:sz w:val="18"/>
                <w:szCs w:val="18"/>
              </w:rPr>
              <w:t>18 064 922,24</w:t>
            </w:r>
            <w:r w:rsidR="00B76154">
              <w:rPr>
                <w:sz w:val="18"/>
                <w:szCs w:val="18"/>
              </w:rPr>
              <w:t xml:space="preserve"> </w:t>
            </w:r>
            <w:r w:rsidRPr="00345582">
              <w:rPr>
                <w:sz w:val="18"/>
                <w:szCs w:val="18"/>
              </w:rPr>
              <w:t>zł</w:t>
            </w:r>
            <w:r w:rsidRPr="00C67565">
              <w:rPr>
                <w:sz w:val="18"/>
                <w:szCs w:val="18"/>
              </w:rPr>
              <w:t xml:space="preserve"> zaangażowanych zostało </w:t>
            </w:r>
            <w:r w:rsidR="00B76154">
              <w:rPr>
                <w:sz w:val="18"/>
                <w:szCs w:val="18"/>
              </w:rPr>
              <w:t xml:space="preserve">55,99 </w:t>
            </w:r>
            <w:r w:rsidRPr="00D83697">
              <w:rPr>
                <w:sz w:val="18"/>
                <w:szCs w:val="18"/>
              </w:rPr>
              <w:t xml:space="preserve">% </w:t>
            </w:r>
            <w:r w:rsidRPr="00C67565">
              <w:rPr>
                <w:sz w:val="18"/>
                <w:szCs w:val="18"/>
              </w:rPr>
              <w:t xml:space="preserve">tej kwoty. </w:t>
            </w:r>
          </w:p>
          <w:p w:rsidR="0002265C" w:rsidRDefault="0002265C" w:rsidP="0002265C">
            <w:pPr>
              <w:jc w:val="both"/>
              <w:rPr>
                <w:sz w:val="18"/>
                <w:szCs w:val="18"/>
              </w:rPr>
            </w:pPr>
            <w:r w:rsidRPr="00C67565">
              <w:rPr>
                <w:sz w:val="18"/>
                <w:szCs w:val="18"/>
              </w:rPr>
              <w:t>Zmiana wynika z różnicy pomiędzy szacunkami poczynionymi na potrzeby postępowań o udzielenie zamówień publicznych</w:t>
            </w:r>
            <w:r>
              <w:rPr>
                <w:sz w:val="18"/>
                <w:szCs w:val="18"/>
              </w:rPr>
              <w:t xml:space="preserve"> oraz wydatków na wynagrodzenia</w:t>
            </w:r>
            <w:r w:rsidRPr="00C67565">
              <w:rPr>
                <w:sz w:val="18"/>
                <w:szCs w:val="18"/>
              </w:rPr>
              <w:t>, a faktycznymi wartościami zawartych umów</w:t>
            </w:r>
            <w:r>
              <w:rPr>
                <w:sz w:val="18"/>
                <w:szCs w:val="18"/>
              </w:rPr>
              <w:t xml:space="preserve"> oraz kwotami wypłaconych wynagrodzeń w projekcie.</w:t>
            </w:r>
          </w:p>
          <w:p w:rsidR="0002265C" w:rsidRDefault="0002265C" w:rsidP="0002265C">
            <w:pPr>
              <w:jc w:val="both"/>
              <w:rPr>
                <w:i/>
                <w:sz w:val="18"/>
                <w:szCs w:val="18"/>
              </w:rPr>
            </w:pPr>
          </w:p>
          <w:p w:rsidR="0002265C" w:rsidRDefault="0002265C" w:rsidP="0002265C">
            <w:pPr>
              <w:pStyle w:val="Other0"/>
              <w:rPr>
                <w:b/>
              </w:rPr>
            </w:pPr>
          </w:p>
          <w:p w:rsidR="0002265C" w:rsidRPr="00C67565" w:rsidRDefault="0002265C" w:rsidP="0002265C">
            <w:pPr>
              <w:pStyle w:val="Other0"/>
              <w:rPr>
                <w:i/>
              </w:rPr>
            </w:pP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Pr="002450C4" w:rsidRDefault="0002265C" w:rsidP="0002265C">
            <w:pPr>
              <w:rPr>
                <w:sz w:val="18"/>
                <w:szCs w:val="20"/>
              </w:rPr>
            </w:pPr>
            <w:r>
              <w:rPr>
                <w:sz w:val="18"/>
                <w:szCs w:val="20"/>
              </w:rPr>
              <w:t>Postęp rzeczowy</w:t>
            </w:r>
          </w:p>
        </w:tc>
        <w:tc>
          <w:tcPr>
            <w:tcW w:w="7030" w:type="dxa"/>
          </w:tcPr>
          <w:p w:rsidR="0002265C" w:rsidRDefault="0002265C" w:rsidP="0002265C">
            <w:pPr>
              <w:jc w:val="both"/>
              <w:rPr>
                <w:i/>
                <w:sz w:val="18"/>
                <w:szCs w:val="20"/>
              </w:rPr>
            </w:pPr>
            <w:r>
              <w:rPr>
                <w:i/>
                <w:sz w:val="18"/>
                <w:szCs w:val="20"/>
              </w:rPr>
              <w:t>&lt;</w:t>
            </w:r>
            <w:r w:rsidRPr="002450C4">
              <w:rPr>
                <w:i/>
                <w:sz w:val="18"/>
                <w:szCs w:val="20"/>
              </w:rPr>
              <w:t xml:space="preserve">Należy przedstawić </w:t>
            </w:r>
            <w:r>
              <w:rPr>
                <w:i/>
                <w:sz w:val="18"/>
                <w:szCs w:val="20"/>
              </w:rPr>
              <w:t>status realizacji zadań na zakończenie projektu, ze wskazaniem odchyleń i przyczyn w stosunku do pierwotnie zaplanowanego zakresu projektu.</w:t>
            </w:r>
          </w:p>
          <w:p w:rsidR="0002265C" w:rsidRDefault="0002265C" w:rsidP="0002265C">
            <w:pPr>
              <w:jc w:val="both"/>
              <w:rPr>
                <w:i/>
                <w:sz w:val="18"/>
                <w:szCs w:val="20"/>
              </w:rPr>
            </w:pPr>
            <w:r>
              <w:rPr>
                <w:i/>
                <w:sz w:val="18"/>
                <w:szCs w:val="20"/>
              </w:rPr>
              <w:t>Stan realizacji kamieni milowych w projekcie (należy wskazać osiągnięte kamienie milowe należy również wskazać wszelkie zmiany w terminach realizacji kamieni milowych w stosunku do pierwotnych założeń); maksymalnie 4000 znaków&gt;</w:t>
            </w:r>
          </w:p>
          <w:p w:rsidR="0002265C" w:rsidRDefault="0002265C" w:rsidP="0002265C">
            <w:pPr>
              <w:jc w:val="both"/>
              <w:rPr>
                <w:i/>
                <w:sz w:val="18"/>
                <w:szCs w:val="20"/>
              </w:rPr>
            </w:pPr>
          </w:p>
          <w:p w:rsidR="0002265C" w:rsidRPr="007A22A2" w:rsidRDefault="0002265C" w:rsidP="0002265C">
            <w:pPr>
              <w:jc w:val="both"/>
              <w:rPr>
                <w:sz w:val="18"/>
                <w:szCs w:val="20"/>
              </w:rPr>
            </w:pPr>
            <w:r w:rsidRPr="007A22A2">
              <w:rPr>
                <w:sz w:val="18"/>
                <w:szCs w:val="20"/>
              </w:rPr>
              <w:t xml:space="preserve">Data rozpoczęcia projektu: 06.2022 r. </w:t>
            </w:r>
          </w:p>
          <w:p w:rsidR="0002265C" w:rsidRPr="007A22A2" w:rsidRDefault="0002265C" w:rsidP="0002265C">
            <w:pPr>
              <w:jc w:val="both"/>
              <w:rPr>
                <w:sz w:val="18"/>
                <w:szCs w:val="20"/>
              </w:rPr>
            </w:pPr>
            <w:r w:rsidRPr="007A22A2">
              <w:rPr>
                <w:sz w:val="18"/>
                <w:szCs w:val="20"/>
              </w:rPr>
              <w:t xml:space="preserve">Data zakończenia projektu: </w:t>
            </w:r>
            <w:r>
              <w:rPr>
                <w:sz w:val="18"/>
                <w:szCs w:val="20"/>
              </w:rPr>
              <w:t>29.</w:t>
            </w:r>
            <w:r w:rsidRPr="007A22A2">
              <w:rPr>
                <w:sz w:val="18"/>
                <w:szCs w:val="20"/>
              </w:rPr>
              <w:t>12.2023 r.</w:t>
            </w:r>
          </w:p>
          <w:p w:rsidR="0002265C" w:rsidRPr="007A22A2" w:rsidRDefault="0002265C" w:rsidP="0002265C">
            <w:pPr>
              <w:jc w:val="both"/>
              <w:rPr>
                <w:sz w:val="18"/>
                <w:szCs w:val="20"/>
              </w:rPr>
            </w:pPr>
          </w:p>
          <w:p w:rsidR="0002265C" w:rsidRPr="007A22A2" w:rsidRDefault="0002265C" w:rsidP="0002265C">
            <w:pPr>
              <w:jc w:val="both"/>
              <w:rPr>
                <w:sz w:val="18"/>
                <w:szCs w:val="20"/>
              </w:rPr>
            </w:pPr>
            <w:r w:rsidRPr="007A22A2">
              <w:rPr>
                <w:sz w:val="18"/>
                <w:szCs w:val="20"/>
              </w:rPr>
              <w:t>Status realizacji kamieni milowych:</w:t>
            </w:r>
          </w:p>
          <w:p w:rsidR="0002265C" w:rsidRPr="007A22A2" w:rsidRDefault="0002265C" w:rsidP="0002265C">
            <w:pPr>
              <w:jc w:val="both"/>
              <w:rPr>
                <w:sz w:val="18"/>
                <w:szCs w:val="20"/>
              </w:rPr>
            </w:pPr>
          </w:p>
          <w:p w:rsidR="0002265C" w:rsidRPr="007A22A2" w:rsidRDefault="0002265C" w:rsidP="0002265C">
            <w:pPr>
              <w:jc w:val="both"/>
              <w:rPr>
                <w:sz w:val="18"/>
                <w:szCs w:val="20"/>
              </w:rPr>
            </w:pPr>
            <w:r w:rsidRPr="007A22A2">
              <w:rPr>
                <w:sz w:val="18"/>
                <w:szCs w:val="20"/>
              </w:rPr>
              <w:t>7.12.2022 – analiza przedwdrożeniowa</w:t>
            </w:r>
          </w:p>
          <w:p w:rsidR="0002265C" w:rsidRPr="007A22A2" w:rsidRDefault="0002265C" w:rsidP="0002265C">
            <w:pPr>
              <w:jc w:val="both"/>
              <w:rPr>
                <w:sz w:val="18"/>
                <w:szCs w:val="20"/>
              </w:rPr>
            </w:pPr>
            <w:r w:rsidRPr="007A22A2">
              <w:rPr>
                <w:sz w:val="18"/>
                <w:szCs w:val="20"/>
              </w:rPr>
              <w:t>29.12.2023 – odbiór SOPAB MVP</w:t>
            </w:r>
          </w:p>
          <w:p w:rsidR="0002265C" w:rsidRPr="007A22A2" w:rsidRDefault="0002265C" w:rsidP="0002265C">
            <w:pPr>
              <w:jc w:val="both"/>
              <w:rPr>
                <w:sz w:val="18"/>
                <w:szCs w:val="20"/>
              </w:rPr>
            </w:pPr>
            <w:r w:rsidRPr="007A22A2">
              <w:rPr>
                <w:sz w:val="18"/>
                <w:szCs w:val="20"/>
              </w:rPr>
              <w:t xml:space="preserve">4.12.2023 – szkolenia </w:t>
            </w:r>
          </w:p>
          <w:p w:rsidR="0002265C" w:rsidRPr="007A22A2" w:rsidRDefault="0002265C" w:rsidP="0002265C">
            <w:pPr>
              <w:jc w:val="both"/>
              <w:rPr>
                <w:sz w:val="18"/>
                <w:szCs w:val="20"/>
              </w:rPr>
            </w:pPr>
            <w:r w:rsidRPr="007A22A2">
              <w:rPr>
                <w:sz w:val="18"/>
                <w:szCs w:val="20"/>
              </w:rPr>
              <w:t>12.2023 – dostarczenie sprzętu</w:t>
            </w:r>
          </w:p>
          <w:p w:rsidR="0002265C" w:rsidRPr="007A22A2" w:rsidRDefault="0002265C" w:rsidP="0002265C">
            <w:pPr>
              <w:jc w:val="both"/>
              <w:rPr>
                <w:sz w:val="18"/>
                <w:szCs w:val="20"/>
              </w:rPr>
            </w:pPr>
            <w:r w:rsidRPr="007A22A2">
              <w:rPr>
                <w:sz w:val="18"/>
                <w:szCs w:val="20"/>
              </w:rPr>
              <w:t>11-12.12</w:t>
            </w:r>
            <w:r>
              <w:rPr>
                <w:sz w:val="18"/>
                <w:szCs w:val="20"/>
              </w:rPr>
              <w:t>.2023</w:t>
            </w:r>
            <w:r w:rsidRPr="007A22A2">
              <w:rPr>
                <w:sz w:val="18"/>
                <w:szCs w:val="20"/>
              </w:rPr>
              <w:t xml:space="preserve"> – zakończone działania promocyjne projektu</w:t>
            </w:r>
          </w:p>
          <w:p w:rsidR="0002265C" w:rsidRPr="007A22A2" w:rsidRDefault="0002265C" w:rsidP="0002265C">
            <w:pPr>
              <w:jc w:val="both"/>
              <w:rPr>
                <w:sz w:val="18"/>
                <w:szCs w:val="20"/>
              </w:rPr>
            </w:pPr>
          </w:p>
          <w:p w:rsidR="0002265C" w:rsidRPr="007A22A2" w:rsidRDefault="0002265C" w:rsidP="0002265C">
            <w:pPr>
              <w:jc w:val="both"/>
              <w:rPr>
                <w:sz w:val="18"/>
                <w:szCs w:val="20"/>
              </w:rPr>
            </w:pPr>
          </w:p>
          <w:tbl>
            <w:tblPr>
              <w:tblStyle w:val="Tabela-Siatka"/>
              <w:tblW w:w="0" w:type="auto"/>
              <w:tblLook w:val="04A0" w:firstRow="1" w:lastRow="0" w:firstColumn="1" w:lastColumn="0" w:noHBand="0" w:noVBand="1"/>
            </w:tblPr>
            <w:tblGrid>
              <w:gridCol w:w="3947"/>
              <w:gridCol w:w="1559"/>
              <w:gridCol w:w="1276"/>
            </w:tblGrid>
            <w:tr w:rsidR="0002265C" w:rsidRPr="007A22A2" w:rsidTr="007A22A2">
              <w:tc>
                <w:tcPr>
                  <w:tcW w:w="3947" w:type="dxa"/>
                </w:tcPr>
                <w:p w:rsidR="0002265C" w:rsidRPr="007A22A2" w:rsidRDefault="0002265C" w:rsidP="0002265C">
                  <w:pPr>
                    <w:jc w:val="both"/>
                    <w:rPr>
                      <w:sz w:val="18"/>
                      <w:szCs w:val="20"/>
                    </w:rPr>
                  </w:pPr>
                  <w:r w:rsidRPr="007A22A2">
                    <w:rPr>
                      <w:sz w:val="18"/>
                      <w:szCs w:val="20"/>
                    </w:rPr>
                    <w:t>Kamienie milowe</w:t>
                  </w:r>
                </w:p>
              </w:tc>
              <w:tc>
                <w:tcPr>
                  <w:tcW w:w="1559" w:type="dxa"/>
                </w:tcPr>
                <w:p w:rsidR="0002265C" w:rsidRPr="007A22A2" w:rsidRDefault="0002265C" w:rsidP="0002265C">
                  <w:pPr>
                    <w:jc w:val="both"/>
                    <w:rPr>
                      <w:sz w:val="18"/>
                      <w:szCs w:val="20"/>
                    </w:rPr>
                  </w:pPr>
                  <w:r>
                    <w:rPr>
                      <w:sz w:val="18"/>
                      <w:szCs w:val="20"/>
                    </w:rPr>
                    <w:t>Planowany termin osiągnięcia</w:t>
                  </w:r>
                </w:p>
              </w:tc>
              <w:tc>
                <w:tcPr>
                  <w:tcW w:w="1276" w:type="dxa"/>
                </w:tcPr>
                <w:p w:rsidR="0002265C" w:rsidRPr="007A22A2" w:rsidRDefault="0002265C" w:rsidP="0002265C">
                  <w:pPr>
                    <w:jc w:val="both"/>
                    <w:rPr>
                      <w:sz w:val="18"/>
                      <w:szCs w:val="20"/>
                    </w:rPr>
                  </w:pPr>
                  <w:r>
                    <w:rPr>
                      <w:sz w:val="18"/>
                      <w:szCs w:val="20"/>
                    </w:rPr>
                    <w:t>Realny termin osiągnięcia</w:t>
                  </w:r>
                </w:p>
              </w:tc>
            </w:tr>
            <w:tr w:rsidR="0002265C" w:rsidRPr="007A22A2" w:rsidTr="007A22A2">
              <w:tc>
                <w:tcPr>
                  <w:tcW w:w="3947" w:type="dxa"/>
                </w:tcPr>
                <w:p w:rsidR="0002265C" w:rsidRPr="007A22A2" w:rsidRDefault="0002265C" w:rsidP="0002265C">
                  <w:pPr>
                    <w:jc w:val="both"/>
                    <w:rPr>
                      <w:sz w:val="18"/>
                      <w:szCs w:val="20"/>
                    </w:rPr>
                  </w:pPr>
                  <w:r>
                    <w:rPr>
                      <w:sz w:val="18"/>
                      <w:szCs w:val="20"/>
                    </w:rPr>
                    <w:t xml:space="preserve">1. </w:t>
                  </w:r>
                  <w:r w:rsidRPr="007A22A2">
                    <w:rPr>
                      <w:sz w:val="18"/>
                      <w:szCs w:val="20"/>
                    </w:rPr>
                    <w:t>Opracowana specyfikacja wymagań dla produktu System do Obsługi Postępowań Administracyjnych w Budownictwie w wersji MVP</w:t>
                  </w:r>
                </w:p>
              </w:tc>
              <w:tc>
                <w:tcPr>
                  <w:tcW w:w="1559" w:type="dxa"/>
                </w:tcPr>
                <w:p w:rsidR="0002265C" w:rsidRPr="007A22A2" w:rsidRDefault="0002265C" w:rsidP="0002265C">
                  <w:pPr>
                    <w:jc w:val="both"/>
                    <w:rPr>
                      <w:sz w:val="18"/>
                      <w:szCs w:val="20"/>
                    </w:rPr>
                  </w:pPr>
                  <w:r w:rsidRPr="007A22A2">
                    <w:rPr>
                      <w:sz w:val="18"/>
                      <w:szCs w:val="20"/>
                    </w:rPr>
                    <w:t>24</w:t>
                  </w:r>
                  <w:r>
                    <w:rPr>
                      <w:sz w:val="18"/>
                      <w:szCs w:val="20"/>
                    </w:rPr>
                    <w:t>.</w:t>
                  </w:r>
                  <w:r w:rsidRPr="007A22A2">
                    <w:rPr>
                      <w:sz w:val="18"/>
                      <w:szCs w:val="20"/>
                    </w:rPr>
                    <w:t>06</w:t>
                  </w:r>
                  <w:r>
                    <w:rPr>
                      <w:sz w:val="18"/>
                      <w:szCs w:val="20"/>
                    </w:rPr>
                    <w:t>.</w:t>
                  </w:r>
                  <w:r w:rsidRPr="007A22A2">
                    <w:rPr>
                      <w:sz w:val="18"/>
                      <w:szCs w:val="20"/>
                    </w:rPr>
                    <w:t>2022</w:t>
                  </w:r>
                </w:p>
              </w:tc>
              <w:tc>
                <w:tcPr>
                  <w:tcW w:w="1276" w:type="dxa"/>
                </w:tcPr>
                <w:p w:rsidR="0002265C" w:rsidRPr="007A22A2" w:rsidRDefault="0002265C" w:rsidP="0002265C">
                  <w:pPr>
                    <w:jc w:val="both"/>
                    <w:rPr>
                      <w:sz w:val="18"/>
                      <w:szCs w:val="20"/>
                    </w:rPr>
                  </w:pPr>
                  <w:r w:rsidRPr="00BC091E">
                    <w:rPr>
                      <w:sz w:val="18"/>
                      <w:szCs w:val="20"/>
                    </w:rPr>
                    <w:t>06</w:t>
                  </w:r>
                  <w:r>
                    <w:rPr>
                      <w:sz w:val="18"/>
                      <w:szCs w:val="20"/>
                    </w:rPr>
                    <w:t>.</w:t>
                  </w:r>
                  <w:r w:rsidRPr="00BC091E">
                    <w:rPr>
                      <w:sz w:val="18"/>
                      <w:szCs w:val="20"/>
                    </w:rPr>
                    <w:t>2022</w:t>
                  </w:r>
                </w:p>
              </w:tc>
            </w:tr>
            <w:tr w:rsidR="0002265C" w:rsidRPr="007A22A2" w:rsidTr="007A22A2">
              <w:tc>
                <w:tcPr>
                  <w:tcW w:w="3947" w:type="dxa"/>
                </w:tcPr>
                <w:p w:rsidR="0002265C" w:rsidRPr="007A22A2" w:rsidRDefault="0002265C" w:rsidP="0002265C">
                  <w:pPr>
                    <w:jc w:val="both"/>
                    <w:rPr>
                      <w:sz w:val="18"/>
                      <w:szCs w:val="20"/>
                    </w:rPr>
                  </w:pPr>
                  <w:r>
                    <w:rPr>
                      <w:sz w:val="18"/>
                      <w:szCs w:val="20"/>
                    </w:rPr>
                    <w:t xml:space="preserve">2. </w:t>
                  </w:r>
                  <w:r w:rsidRPr="007A22A2">
                    <w:rPr>
                      <w:sz w:val="18"/>
                      <w:szCs w:val="20"/>
                    </w:rPr>
                    <w:t>Wyłoniony Wykonawca Systemu do Obsługi Postępowań Administracyjnych w Budownictwie w wersji MVP</w:t>
                  </w:r>
                </w:p>
              </w:tc>
              <w:tc>
                <w:tcPr>
                  <w:tcW w:w="1559" w:type="dxa"/>
                </w:tcPr>
                <w:p w:rsidR="0002265C" w:rsidRPr="007A22A2" w:rsidRDefault="0002265C" w:rsidP="0002265C">
                  <w:pPr>
                    <w:jc w:val="both"/>
                    <w:rPr>
                      <w:sz w:val="18"/>
                      <w:szCs w:val="20"/>
                    </w:rPr>
                  </w:pPr>
                  <w:r>
                    <w:rPr>
                      <w:sz w:val="18"/>
                      <w:szCs w:val="20"/>
                    </w:rPr>
                    <w:t>1.12.2022</w:t>
                  </w:r>
                </w:p>
              </w:tc>
              <w:tc>
                <w:tcPr>
                  <w:tcW w:w="1276" w:type="dxa"/>
                </w:tcPr>
                <w:p w:rsidR="0002265C" w:rsidRPr="007A22A2" w:rsidRDefault="0002265C" w:rsidP="0002265C">
                  <w:pPr>
                    <w:jc w:val="both"/>
                    <w:rPr>
                      <w:sz w:val="18"/>
                      <w:szCs w:val="20"/>
                    </w:rPr>
                  </w:pPr>
                  <w:r>
                    <w:rPr>
                      <w:sz w:val="18"/>
                      <w:szCs w:val="20"/>
                    </w:rPr>
                    <w:t>11.2022</w:t>
                  </w:r>
                </w:p>
              </w:tc>
            </w:tr>
            <w:tr w:rsidR="0002265C" w:rsidRPr="007A22A2" w:rsidTr="007A22A2">
              <w:tc>
                <w:tcPr>
                  <w:tcW w:w="3947" w:type="dxa"/>
                </w:tcPr>
                <w:p w:rsidR="0002265C" w:rsidRPr="007A22A2" w:rsidRDefault="0002265C" w:rsidP="0002265C">
                  <w:pPr>
                    <w:jc w:val="both"/>
                    <w:rPr>
                      <w:sz w:val="18"/>
                      <w:szCs w:val="20"/>
                    </w:rPr>
                  </w:pPr>
                  <w:r>
                    <w:rPr>
                      <w:sz w:val="18"/>
                      <w:szCs w:val="20"/>
                    </w:rPr>
                    <w:t xml:space="preserve">3. </w:t>
                  </w:r>
                  <w:r w:rsidRPr="007A22A2">
                    <w:rPr>
                      <w:sz w:val="18"/>
                      <w:szCs w:val="20"/>
                    </w:rPr>
                    <w:t>Odebrana analiza przedwdrożeniowa Systemu do Obsługi Postępowań Administracyjnych w Budownictwie w wersji MVP</w:t>
                  </w:r>
                </w:p>
              </w:tc>
              <w:tc>
                <w:tcPr>
                  <w:tcW w:w="1559" w:type="dxa"/>
                </w:tcPr>
                <w:p w:rsidR="0002265C" w:rsidRPr="007A22A2" w:rsidRDefault="0002265C" w:rsidP="0002265C">
                  <w:pPr>
                    <w:jc w:val="both"/>
                    <w:rPr>
                      <w:sz w:val="18"/>
                      <w:szCs w:val="20"/>
                    </w:rPr>
                  </w:pPr>
                  <w:r w:rsidRPr="007A22A2">
                    <w:rPr>
                      <w:sz w:val="18"/>
                      <w:szCs w:val="20"/>
                    </w:rPr>
                    <w:t>31</w:t>
                  </w:r>
                  <w:r>
                    <w:rPr>
                      <w:sz w:val="18"/>
                      <w:szCs w:val="20"/>
                    </w:rPr>
                    <w:t>.</w:t>
                  </w:r>
                  <w:r w:rsidRPr="007A22A2">
                    <w:rPr>
                      <w:sz w:val="18"/>
                      <w:szCs w:val="20"/>
                    </w:rPr>
                    <w:t>12</w:t>
                  </w:r>
                  <w:r>
                    <w:rPr>
                      <w:sz w:val="18"/>
                      <w:szCs w:val="20"/>
                    </w:rPr>
                    <w:t>.</w:t>
                  </w:r>
                  <w:r w:rsidRPr="007A22A2">
                    <w:rPr>
                      <w:sz w:val="18"/>
                      <w:szCs w:val="20"/>
                    </w:rPr>
                    <w:t>2022</w:t>
                  </w:r>
                </w:p>
              </w:tc>
              <w:tc>
                <w:tcPr>
                  <w:tcW w:w="1276" w:type="dxa"/>
                </w:tcPr>
                <w:p w:rsidR="0002265C" w:rsidRPr="007A22A2" w:rsidRDefault="0002265C" w:rsidP="0002265C">
                  <w:pPr>
                    <w:jc w:val="both"/>
                    <w:rPr>
                      <w:sz w:val="18"/>
                      <w:szCs w:val="20"/>
                    </w:rPr>
                  </w:pPr>
                  <w:r>
                    <w:rPr>
                      <w:sz w:val="18"/>
                      <w:szCs w:val="20"/>
                    </w:rPr>
                    <w:t>7.</w:t>
                  </w:r>
                  <w:r w:rsidRPr="007A22A2">
                    <w:rPr>
                      <w:sz w:val="18"/>
                      <w:szCs w:val="20"/>
                    </w:rPr>
                    <w:t>12</w:t>
                  </w:r>
                  <w:r>
                    <w:rPr>
                      <w:sz w:val="18"/>
                      <w:szCs w:val="20"/>
                    </w:rPr>
                    <w:t>.</w:t>
                  </w:r>
                  <w:r w:rsidRPr="007A22A2">
                    <w:rPr>
                      <w:sz w:val="18"/>
                      <w:szCs w:val="20"/>
                    </w:rPr>
                    <w:t>202</w:t>
                  </w:r>
                  <w:r>
                    <w:rPr>
                      <w:sz w:val="18"/>
                      <w:szCs w:val="20"/>
                    </w:rPr>
                    <w:t>2</w:t>
                  </w:r>
                </w:p>
              </w:tc>
            </w:tr>
            <w:tr w:rsidR="0002265C" w:rsidRPr="007A22A2" w:rsidTr="007A22A2">
              <w:tc>
                <w:tcPr>
                  <w:tcW w:w="3947" w:type="dxa"/>
                </w:tcPr>
                <w:p w:rsidR="0002265C" w:rsidRPr="007A22A2" w:rsidRDefault="0002265C" w:rsidP="0002265C">
                  <w:pPr>
                    <w:jc w:val="both"/>
                    <w:rPr>
                      <w:sz w:val="18"/>
                      <w:szCs w:val="20"/>
                    </w:rPr>
                  </w:pPr>
                  <w:r>
                    <w:rPr>
                      <w:sz w:val="18"/>
                      <w:szCs w:val="20"/>
                    </w:rPr>
                    <w:t xml:space="preserve">4. </w:t>
                  </w:r>
                  <w:r w:rsidRPr="007A22A2">
                    <w:rPr>
                      <w:sz w:val="18"/>
                      <w:szCs w:val="20"/>
                    </w:rPr>
                    <w:t>Odebrany produkt System do Obsługi Postępowań Administracyjnych w Budownictwie w wersji MVP</w:t>
                  </w:r>
                </w:p>
              </w:tc>
              <w:tc>
                <w:tcPr>
                  <w:tcW w:w="1559" w:type="dxa"/>
                </w:tcPr>
                <w:p w:rsidR="0002265C" w:rsidRPr="007A22A2" w:rsidRDefault="0002265C" w:rsidP="0002265C">
                  <w:pPr>
                    <w:jc w:val="both"/>
                    <w:rPr>
                      <w:sz w:val="18"/>
                      <w:szCs w:val="20"/>
                    </w:rPr>
                  </w:pPr>
                  <w:r w:rsidRPr="007A22A2">
                    <w:rPr>
                      <w:sz w:val="18"/>
                      <w:szCs w:val="20"/>
                    </w:rPr>
                    <w:t>15</w:t>
                  </w:r>
                  <w:r>
                    <w:rPr>
                      <w:sz w:val="18"/>
                      <w:szCs w:val="20"/>
                    </w:rPr>
                    <w:t>.</w:t>
                  </w:r>
                  <w:r w:rsidRPr="007A22A2">
                    <w:rPr>
                      <w:sz w:val="18"/>
                      <w:szCs w:val="20"/>
                    </w:rPr>
                    <w:t>11</w:t>
                  </w:r>
                  <w:r>
                    <w:rPr>
                      <w:sz w:val="18"/>
                      <w:szCs w:val="20"/>
                    </w:rPr>
                    <w:t>.</w:t>
                  </w:r>
                  <w:r w:rsidRPr="007A22A2">
                    <w:rPr>
                      <w:sz w:val="18"/>
                      <w:szCs w:val="20"/>
                    </w:rPr>
                    <w:t>2023</w:t>
                  </w:r>
                </w:p>
                <w:p w:rsidR="0002265C" w:rsidRPr="007A22A2" w:rsidRDefault="0002265C" w:rsidP="0002265C">
                  <w:pPr>
                    <w:jc w:val="both"/>
                    <w:rPr>
                      <w:sz w:val="18"/>
                      <w:szCs w:val="20"/>
                    </w:rPr>
                  </w:pPr>
                </w:p>
              </w:tc>
              <w:tc>
                <w:tcPr>
                  <w:tcW w:w="1276" w:type="dxa"/>
                </w:tcPr>
                <w:p w:rsidR="0002265C" w:rsidRPr="007A22A2" w:rsidRDefault="0002265C" w:rsidP="0002265C">
                  <w:pPr>
                    <w:jc w:val="both"/>
                    <w:rPr>
                      <w:sz w:val="18"/>
                      <w:szCs w:val="20"/>
                    </w:rPr>
                  </w:pPr>
                  <w:r>
                    <w:rPr>
                      <w:sz w:val="18"/>
                      <w:szCs w:val="20"/>
                    </w:rPr>
                    <w:t>29.12.2023</w:t>
                  </w:r>
                </w:p>
              </w:tc>
            </w:tr>
            <w:tr w:rsidR="0002265C" w:rsidRPr="007A22A2" w:rsidTr="007A22A2">
              <w:tc>
                <w:tcPr>
                  <w:tcW w:w="3947" w:type="dxa"/>
                </w:tcPr>
                <w:p w:rsidR="0002265C" w:rsidRPr="007A22A2" w:rsidRDefault="0002265C" w:rsidP="0002265C">
                  <w:pPr>
                    <w:jc w:val="both"/>
                    <w:rPr>
                      <w:sz w:val="18"/>
                      <w:szCs w:val="20"/>
                    </w:rPr>
                  </w:pPr>
                  <w:r>
                    <w:rPr>
                      <w:sz w:val="18"/>
                      <w:szCs w:val="20"/>
                    </w:rPr>
                    <w:t xml:space="preserve">5. </w:t>
                  </w:r>
                  <w:r w:rsidRPr="007A22A2">
                    <w:rPr>
                      <w:sz w:val="18"/>
                      <w:szCs w:val="20"/>
                    </w:rPr>
                    <w:t xml:space="preserve">Przeprowadzone szkolenia dla użytkowników końcowych Systemu </w:t>
                  </w:r>
                </w:p>
              </w:tc>
              <w:tc>
                <w:tcPr>
                  <w:tcW w:w="1559" w:type="dxa"/>
                </w:tcPr>
                <w:p w:rsidR="0002265C" w:rsidRPr="007A22A2" w:rsidRDefault="0002265C" w:rsidP="0002265C">
                  <w:pPr>
                    <w:jc w:val="both"/>
                    <w:rPr>
                      <w:sz w:val="18"/>
                      <w:szCs w:val="20"/>
                    </w:rPr>
                  </w:pPr>
                  <w:r w:rsidRPr="007A22A2">
                    <w:rPr>
                      <w:sz w:val="18"/>
                      <w:szCs w:val="20"/>
                    </w:rPr>
                    <w:t>30</w:t>
                  </w:r>
                  <w:r>
                    <w:rPr>
                      <w:sz w:val="18"/>
                      <w:szCs w:val="20"/>
                    </w:rPr>
                    <w:t>.</w:t>
                  </w:r>
                  <w:r w:rsidRPr="007A22A2">
                    <w:rPr>
                      <w:sz w:val="18"/>
                      <w:szCs w:val="20"/>
                    </w:rPr>
                    <w:t>11</w:t>
                  </w:r>
                  <w:r>
                    <w:rPr>
                      <w:sz w:val="18"/>
                      <w:szCs w:val="20"/>
                    </w:rPr>
                    <w:t>.</w:t>
                  </w:r>
                  <w:r w:rsidRPr="007A22A2">
                    <w:rPr>
                      <w:sz w:val="18"/>
                      <w:szCs w:val="20"/>
                    </w:rPr>
                    <w:t>2023</w:t>
                  </w:r>
                </w:p>
                <w:p w:rsidR="0002265C" w:rsidRPr="007A22A2" w:rsidRDefault="0002265C" w:rsidP="0002265C">
                  <w:pPr>
                    <w:jc w:val="both"/>
                    <w:rPr>
                      <w:sz w:val="18"/>
                      <w:szCs w:val="20"/>
                    </w:rPr>
                  </w:pPr>
                </w:p>
              </w:tc>
              <w:tc>
                <w:tcPr>
                  <w:tcW w:w="1276" w:type="dxa"/>
                </w:tcPr>
                <w:p w:rsidR="0002265C" w:rsidRPr="007A22A2" w:rsidRDefault="0002265C" w:rsidP="0002265C">
                  <w:pPr>
                    <w:jc w:val="both"/>
                    <w:rPr>
                      <w:sz w:val="18"/>
                      <w:szCs w:val="20"/>
                    </w:rPr>
                  </w:pPr>
                  <w:r>
                    <w:rPr>
                      <w:sz w:val="18"/>
                      <w:szCs w:val="20"/>
                    </w:rPr>
                    <w:t>4.12.2023</w:t>
                  </w:r>
                </w:p>
              </w:tc>
            </w:tr>
            <w:tr w:rsidR="0002265C" w:rsidRPr="007A22A2" w:rsidTr="007A22A2">
              <w:tc>
                <w:tcPr>
                  <w:tcW w:w="3947" w:type="dxa"/>
                </w:tcPr>
                <w:p w:rsidR="0002265C" w:rsidRPr="007A22A2" w:rsidRDefault="0002265C" w:rsidP="0002265C">
                  <w:pPr>
                    <w:jc w:val="both"/>
                    <w:rPr>
                      <w:sz w:val="18"/>
                      <w:szCs w:val="20"/>
                    </w:rPr>
                  </w:pPr>
                  <w:r>
                    <w:rPr>
                      <w:sz w:val="18"/>
                      <w:szCs w:val="20"/>
                    </w:rPr>
                    <w:t xml:space="preserve">6. </w:t>
                  </w:r>
                  <w:r w:rsidRPr="007A22A2">
                    <w:rPr>
                      <w:sz w:val="18"/>
                      <w:szCs w:val="20"/>
                    </w:rPr>
                    <w:t>Dostarczony zakupiony sprzęt komputerowy dla organów AAB</w:t>
                  </w:r>
                </w:p>
              </w:tc>
              <w:tc>
                <w:tcPr>
                  <w:tcW w:w="1559" w:type="dxa"/>
                </w:tcPr>
                <w:p w:rsidR="0002265C" w:rsidRPr="007A22A2" w:rsidRDefault="0002265C" w:rsidP="0002265C">
                  <w:pPr>
                    <w:jc w:val="both"/>
                    <w:rPr>
                      <w:sz w:val="18"/>
                      <w:szCs w:val="20"/>
                    </w:rPr>
                  </w:pPr>
                  <w:r w:rsidRPr="007A22A2">
                    <w:rPr>
                      <w:sz w:val="18"/>
                      <w:szCs w:val="20"/>
                    </w:rPr>
                    <w:t>30</w:t>
                  </w:r>
                  <w:r>
                    <w:rPr>
                      <w:sz w:val="18"/>
                      <w:szCs w:val="20"/>
                    </w:rPr>
                    <w:t>.</w:t>
                  </w:r>
                  <w:r w:rsidRPr="007A22A2">
                    <w:rPr>
                      <w:sz w:val="18"/>
                      <w:szCs w:val="20"/>
                    </w:rPr>
                    <w:t>12</w:t>
                  </w:r>
                  <w:r>
                    <w:rPr>
                      <w:sz w:val="18"/>
                      <w:szCs w:val="20"/>
                    </w:rPr>
                    <w:t>.</w:t>
                  </w:r>
                  <w:r w:rsidRPr="007A22A2">
                    <w:rPr>
                      <w:sz w:val="18"/>
                      <w:szCs w:val="20"/>
                    </w:rPr>
                    <w:t>2023</w:t>
                  </w:r>
                </w:p>
                <w:p w:rsidR="0002265C" w:rsidRPr="007A22A2" w:rsidRDefault="0002265C" w:rsidP="0002265C">
                  <w:pPr>
                    <w:jc w:val="both"/>
                    <w:rPr>
                      <w:sz w:val="18"/>
                      <w:szCs w:val="20"/>
                    </w:rPr>
                  </w:pPr>
                </w:p>
              </w:tc>
              <w:tc>
                <w:tcPr>
                  <w:tcW w:w="1276" w:type="dxa"/>
                </w:tcPr>
                <w:p w:rsidR="0002265C" w:rsidRPr="007A22A2" w:rsidRDefault="0002265C" w:rsidP="0002265C">
                  <w:pPr>
                    <w:jc w:val="both"/>
                    <w:rPr>
                      <w:sz w:val="18"/>
                      <w:szCs w:val="20"/>
                    </w:rPr>
                  </w:pPr>
                  <w:r>
                    <w:rPr>
                      <w:sz w:val="18"/>
                      <w:szCs w:val="20"/>
                    </w:rPr>
                    <w:t>12.2023</w:t>
                  </w:r>
                </w:p>
              </w:tc>
            </w:tr>
            <w:tr w:rsidR="0002265C" w:rsidRPr="007A22A2" w:rsidTr="007A22A2">
              <w:tc>
                <w:tcPr>
                  <w:tcW w:w="3947" w:type="dxa"/>
                </w:tcPr>
                <w:p w:rsidR="0002265C" w:rsidRPr="007A22A2" w:rsidRDefault="0002265C" w:rsidP="0002265C">
                  <w:pPr>
                    <w:jc w:val="both"/>
                    <w:rPr>
                      <w:sz w:val="18"/>
                      <w:szCs w:val="20"/>
                    </w:rPr>
                  </w:pPr>
                  <w:r>
                    <w:rPr>
                      <w:sz w:val="18"/>
                      <w:szCs w:val="20"/>
                    </w:rPr>
                    <w:t>7.</w:t>
                  </w:r>
                  <w:r w:rsidRPr="007A22A2">
                    <w:rPr>
                      <w:sz w:val="18"/>
                      <w:szCs w:val="20"/>
                    </w:rPr>
                    <w:t xml:space="preserve"> Zakończone działania promocyjne projektu</w:t>
                  </w:r>
                </w:p>
              </w:tc>
              <w:tc>
                <w:tcPr>
                  <w:tcW w:w="1559" w:type="dxa"/>
                </w:tcPr>
                <w:p w:rsidR="0002265C" w:rsidRPr="007A22A2" w:rsidRDefault="0002265C" w:rsidP="0002265C">
                  <w:pPr>
                    <w:jc w:val="both"/>
                    <w:rPr>
                      <w:sz w:val="18"/>
                      <w:szCs w:val="20"/>
                    </w:rPr>
                  </w:pPr>
                  <w:r w:rsidRPr="007A22A2">
                    <w:rPr>
                      <w:sz w:val="18"/>
                      <w:szCs w:val="20"/>
                    </w:rPr>
                    <w:t>30</w:t>
                  </w:r>
                  <w:r>
                    <w:rPr>
                      <w:sz w:val="18"/>
                      <w:szCs w:val="20"/>
                    </w:rPr>
                    <w:t>.</w:t>
                  </w:r>
                  <w:r w:rsidRPr="007A22A2">
                    <w:rPr>
                      <w:sz w:val="18"/>
                      <w:szCs w:val="20"/>
                    </w:rPr>
                    <w:t>12</w:t>
                  </w:r>
                  <w:r>
                    <w:rPr>
                      <w:sz w:val="18"/>
                      <w:szCs w:val="20"/>
                    </w:rPr>
                    <w:t>.</w:t>
                  </w:r>
                  <w:r w:rsidRPr="007A22A2">
                    <w:rPr>
                      <w:sz w:val="18"/>
                      <w:szCs w:val="20"/>
                    </w:rPr>
                    <w:t>2023</w:t>
                  </w:r>
                </w:p>
              </w:tc>
              <w:tc>
                <w:tcPr>
                  <w:tcW w:w="1276" w:type="dxa"/>
                </w:tcPr>
                <w:p w:rsidR="0002265C" w:rsidRPr="007A22A2" w:rsidRDefault="0002265C" w:rsidP="0002265C">
                  <w:pPr>
                    <w:jc w:val="both"/>
                    <w:rPr>
                      <w:sz w:val="18"/>
                      <w:szCs w:val="20"/>
                    </w:rPr>
                  </w:pPr>
                  <w:r>
                    <w:rPr>
                      <w:sz w:val="18"/>
                      <w:szCs w:val="20"/>
                    </w:rPr>
                    <w:t>12.12.2023</w:t>
                  </w:r>
                </w:p>
              </w:tc>
            </w:tr>
          </w:tbl>
          <w:p w:rsidR="0002265C" w:rsidRDefault="0002265C" w:rsidP="0002265C">
            <w:pPr>
              <w:jc w:val="both"/>
              <w:rPr>
                <w:i/>
                <w:sz w:val="18"/>
                <w:szCs w:val="20"/>
              </w:rPr>
            </w:pPr>
          </w:p>
          <w:p w:rsidR="0002265C" w:rsidRPr="002450C4" w:rsidRDefault="0002265C" w:rsidP="0002265C">
            <w:pPr>
              <w:jc w:val="both"/>
              <w:rPr>
                <w:i/>
                <w:sz w:val="18"/>
                <w:szCs w:val="20"/>
              </w:rPr>
            </w:pP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Default="0002265C" w:rsidP="0002265C">
            <w:pPr>
              <w:rPr>
                <w:sz w:val="18"/>
                <w:szCs w:val="20"/>
              </w:rPr>
            </w:pPr>
            <w:r>
              <w:rPr>
                <w:sz w:val="18"/>
                <w:szCs w:val="20"/>
              </w:rPr>
              <w:t>E-usługi dla obywateli i przedsiębiorców</w:t>
            </w:r>
          </w:p>
        </w:tc>
        <w:tc>
          <w:tcPr>
            <w:tcW w:w="7030" w:type="dxa"/>
          </w:tcPr>
          <w:p w:rsidR="0002265C" w:rsidRPr="00697A62" w:rsidRDefault="0002265C" w:rsidP="0002265C">
            <w:pPr>
              <w:rPr>
                <w:bCs/>
                <w:i/>
                <w:sz w:val="18"/>
                <w:szCs w:val="20"/>
              </w:rPr>
            </w:pPr>
            <w:r>
              <w:rPr>
                <w:bCs/>
                <w:i/>
                <w:sz w:val="18"/>
                <w:szCs w:val="20"/>
              </w:rPr>
              <w:t>&lt;Należy wymienić</w:t>
            </w:r>
            <w:r w:rsidRPr="00697A62">
              <w:rPr>
                <w:bCs/>
                <w:i/>
                <w:sz w:val="18"/>
                <w:szCs w:val="20"/>
              </w:rPr>
              <w:t xml:space="preserve"> i </w:t>
            </w:r>
            <w:r>
              <w:rPr>
                <w:bCs/>
                <w:i/>
                <w:sz w:val="18"/>
                <w:szCs w:val="20"/>
              </w:rPr>
              <w:t>opisać</w:t>
            </w:r>
            <w:r w:rsidRPr="00697A62">
              <w:rPr>
                <w:bCs/>
                <w:i/>
                <w:sz w:val="18"/>
                <w:szCs w:val="20"/>
              </w:rPr>
              <w:t xml:space="preserve"> jakie e-usługi dla obywateli i przedsiębiorców </w:t>
            </w:r>
            <w:r>
              <w:rPr>
                <w:bCs/>
                <w:i/>
                <w:sz w:val="18"/>
                <w:szCs w:val="20"/>
              </w:rPr>
              <w:t>powstały</w:t>
            </w:r>
            <w:r w:rsidRPr="00697A62">
              <w:rPr>
                <w:bCs/>
                <w:i/>
                <w:sz w:val="18"/>
                <w:szCs w:val="20"/>
              </w:rPr>
              <w:t xml:space="preserve"> </w:t>
            </w:r>
            <w:r>
              <w:rPr>
                <w:bCs/>
                <w:i/>
                <w:sz w:val="18"/>
                <w:szCs w:val="20"/>
              </w:rPr>
              <w:t xml:space="preserve">w wyniku </w:t>
            </w:r>
            <w:r w:rsidRPr="00697A62">
              <w:rPr>
                <w:bCs/>
                <w:i/>
                <w:sz w:val="18"/>
                <w:szCs w:val="20"/>
              </w:rPr>
              <w:t>projektu</w:t>
            </w:r>
            <w:r>
              <w:rPr>
                <w:bCs/>
                <w:i/>
                <w:sz w:val="18"/>
                <w:szCs w:val="20"/>
              </w:rPr>
              <w:t xml:space="preserve"> wraz z</w:t>
            </w:r>
            <w:r w:rsidRPr="00697A62">
              <w:rPr>
                <w:bCs/>
                <w:i/>
                <w:sz w:val="18"/>
                <w:szCs w:val="20"/>
              </w:rPr>
              <w:t xml:space="preserve"> </w:t>
            </w:r>
            <w:r>
              <w:rPr>
                <w:bCs/>
                <w:i/>
                <w:sz w:val="18"/>
                <w:szCs w:val="20"/>
              </w:rPr>
              <w:t>informacją</w:t>
            </w:r>
            <w:r w:rsidRPr="00697A62">
              <w:rPr>
                <w:bCs/>
                <w:i/>
                <w:sz w:val="18"/>
                <w:szCs w:val="20"/>
              </w:rPr>
              <w:t xml:space="preserve"> o poziomie jej dojrzałości (zgodnie z 5-stopniową klasyfikacją stosowaną w projektach UE</w:t>
            </w:r>
            <w:r>
              <w:rPr>
                <w:bCs/>
                <w:i/>
                <w:sz w:val="18"/>
                <w:szCs w:val="20"/>
              </w:rPr>
              <w:t>, opracowaną na zlecenie KE</w:t>
            </w:r>
            <w:r w:rsidRPr="00697A62">
              <w:rPr>
                <w:bCs/>
                <w:i/>
                <w:sz w:val="18"/>
                <w:szCs w:val="20"/>
              </w:rPr>
              <w:t xml:space="preserve">). </w:t>
            </w:r>
          </w:p>
          <w:p w:rsidR="0002265C" w:rsidRDefault="0002265C" w:rsidP="0002265C">
            <w:pPr>
              <w:rPr>
                <w:bCs/>
                <w:i/>
                <w:sz w:val="18"/>
                <w:szCs w:val="20"/>
              </w:rPr>
            </w:pPr>
            <w:r>
              <w:rPr>
                <w:bCs/>
                <w:i/>
                <w:sz w:val="18"/>
                <w:szCs w:val="20"/>
              </w:rPr>
              <w:t>Należy opisać, czy i jakie zmiany zaszły względem planowanych e-usług.</w:t>
            </w:r>
          </w:p>
          <w:p w:rsidR="0002265C" w:rsidRDefault="0002265C" w:rsidP="0002265C">
            <w:pPr>
              <w:rPr>
                <w:bCs/>
                <w:i/>
                <w:sz w:val="18"/>
                <w:szCs w:val="20"/>
              </w:rPr>
            </w:pPr>
            <w:r>
              <w:rPr>
                <w:bCs/>
                <w:i/>
                <w:sz w:val="18"/>
                <w:szCs w:val="20"/>
              </w:rPr>
              <w:t xml:space="preserve">Powyższe dane należy wskazać w odniesieniu do okresu sprawozdawczego i od początku realizacji projektu; </w:t>
            </w:r>
            <w:r>
              <w:rPr>
                <w:i/>
                <w:sz w:val="18"/>
                <w:szCs w:val="20"/>
              </w:rPr>
              <w:t>maksymalnie 4000 znaków</w:t>
            </w:r>
            <w:r>
              <w:rPr>
                <w:bCs/>
                <w:i/>
                <w:sz w:val="18"/>
                <w:szCs w:val="20"/>
              </w:rPr>
              <w:t>&gt;</w:t>
            </w:r>
          </w:p>
          <w:p w:rsidR="0002265C" w:rsidRDefault="0002265C" w:rsidP="0002265C">
            <w:pPr>
              <w:rPr>
                <w:bCs/>
                <w:i/>
                <w:sz w:val="18"/>
                <w:szCs w:val="20"/>
              </w:rPr>
            </w:pPr>
          </w:p>
          <w:p w:rsidR="0002265C" w:rsidRPr="007A22A2" w:rsidRDefault="0002265C" w:rsidP="0002265C">
            <w:pPr>
              <w:rPr>
                <w:bCs/>
                <w:sz w:val="18"/>
                <w:szCs w:val="20"/>
              </w:rPr>
            </w:pPr>
            <w:r w:rsidRPr="007A22A2">
              <w:rPr>
                <w:bCs/>
                <w:sz w:val="18"/>
                <w:szCs w:val="20"/>
              </w:rPr>
              <w:t>Projekt, zgodnie z planami, nie wytworzył e-usług.</w:t>
            </w: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Pr="002450C4" w:rsidRDefault="0002265C" w:rsidP="0002265C">
            <w:pPr>
              <w:rPr>
                <w:sz w:val="18"/>
                <w:szCs w:val="20"/>
              </w:rPr>
            </w:pPr>
            <w:r>
              <w:rPr>
                <w:sz w:val="18"/>
                <w:szCs w:val="20"/>
              </w:rPr>
              <w:t>Postęp w realizacji strategicznych celów Państwa</w:t>
            </w:r>
          </w:p>
        </w:tc>
        <w:tc>
          <w:tcPr>
            <w:tcW w:w="7030" w:type="dxa"/>
          </w:tcPr>
          <w:p w:rsidR="0002265C" w:rsidRDefault="0002265C" w:rsidP="0002265C">
            <w:pPr>
              <w:jc w:val="both"/>
              <w:rPr>
                <w:i/>
                <w:sz w:val="18"/>
                <w:szCs w:val="20"/>
              </w:rPr>
            </w:pPr>
            <w:r>
              <w:rPr>
                <w:i/>
                <w:sz w:val="18"/>
                <w:szCs w:val="20"/>
              </w:rPr>
              <w:t>&lt;</w:t>
            </w:r>
            <w:r w:rsidRPr="002450C4">
              <w:rPr>
                <w:i/>
                <w:sz w:val="18"/>
                <w:szCs w:val="20"/>
              </w:rPr>
              <w:t xml:space="preserve">Należy wskazać </w:t>
            </w:r>
            <w:r>
              <w:rPr>
                <w:i/>
                <w:sz w:val="18"/>
                <w:szCs w:val="20"/>
              </w:rPr>
              <w:t>aktualny stan realizacji poszczególnych wskaźników projektu, ze szczególnym uwzględnieniem tych wskaźników, które realizują wskaźniki w programie operacyjnym, właściwej strategii rozwoju lub innych dokumentach strategicznych.</w:t>
            </w:r>
          </w:p>
          <w:p w:rsidR="0002265C" w:rsidRDefault="0002265C" w:rsidP="0002265C">
            <w:pPr>
              <w:jc w:val="both"/>
              <w:rPr>
                <w:i/>
                <w:sz w:val="18"/>
                <w:szCs w:val="20"/>
              </w:rPr>
            </w:pPr>
            <w:r w:rsidRPr="000E0C6F">
              <w:rPr>
                <w:i/>
                <w:sz w:val="18"/>
                <w:szCs w:val="20"/>
              </w:rPr>
              <w:t>Należy wykazać, w jaki sposób zrealizowane zadania wpływają na realizację strategicznych celów państwa w obszarze informatyzacji administracji publicznej, wykazanych w opisie projektu</w:t>
            </w:r>
            <w:r>
              <w:rPr>
                <w:i/>
                <w:sz w:val="18"/>
                <w:szCs w:val="20"/>
              </w:rPr>
              <w:t xml:space="preserve"> oraz wykazać, w jaki sposób prowadzony będzie pomiar wpływu zrealizowanego projektu na te cele po jego zakończeniu oraz w jaki sposób te informacje będą udostępniane; maksymalnie 4000 znaków&gt;</w:t>
            </w:r>
            <w:r w:rsidRPr="002450C4">
              <w:rPr>
                <w:i/>
                <w:sz w:val="18"/>
                <w:szCs w:val="20"/>
              </w:rPr>
              <w:t xml:space="preserve"> </w:t>
            </w:r>
          </w:p>
          <w:p w:rsidR="0002265C" w:rsidRDefault="0002265C" w:rsidP="0002265C">
            <w:pPr>
              <w:jc w:val="both"/>
              <w:rPr>
                <w:i/>
                <w:sz w:val="18"/>
                <w:szCs w:val="20"/>
              </w:rPr>
            </w:pPr>
          </w:p>
          <w:p w:rsidR="0002265C" w:rsidRDefault="0002265C" w:rsidP="0002265C">
            <w:pPr>
              <w:jc w:val="both"/>
              <w:rPr>
                <w:sz w:val="18"/>
                <w:szCs w:val="20"/>
              </w:rPr>
            </w:pPr>
            <w:r>
              <w:rPr>
                <w:sz w:val="18"/>
                <w:szCs w:val="20"/>
              </w:rPr>
              <w:t>W ramach projektu zrealizowano w 100% każdy z założonych wskaźników, tj.:</w:t>
            </w:r>
          </w:p>
          <w:p w:rsidR="0002265C" w:rsidRPr="007A22A2" w:rsidRDefault="0002265C" w:rsidP="0002265C">
            <w:pPr>
              <w:jc w:val="both"/>
              <w:rPr>
                <w:sz w:val="18"/>
                <w:szCs w:val="20"/>
              </w:rPr>
            </w:pPr>
            <w:r w:rsidRPr="007A22A2">
              <w:rPr>
                <w:sz w:val="18"/>
                <w:szCs w:val="20"/>
              </w:rPr>
              <w:t>1. Liczba urzędów, które wdrożyły katalog rekomendacji dotyczących awansu cyfrowego;</w:t>
            </w:r>
            <w:r>
              <w:rPr>
                <w:sz w:val="18"/>
                <w:szCs w:val="20"/>
              </w:rPr>
              <w:t xml:space="preserve"> (wartość docelowa: 1)</w:t>
            </w:r>
          </w:p>
          <w:p w:rsidR="0002265C" w:rsidRPr="007A22A2" w:rsidRDefault="0002265C" w:rsidP="0002265C">
            <w:pPr>
              <w:jc w:val="both"/>
              <w:rPr>
                <w:sz w:val="18"/>
                <w:szCs w:val="20"/>
              </w:rPr>
            </w:pPr>
            <w:r w:rsidRPr="007A22A2">
              <w:rPr>
                <w:sz w:val="18"/>
                <w:szCs w:val="20"/>
              </w:rPr>
              <w:t>2. Liczba podmiotów, które usprawniły funkcjonowanie w zakresie objętym katalogiem rekomendacji dotyczących awansu cyfrowego</w:t>
            </w:r>
            <w:r>
              <w:rPr>
                <w:sz w:val="18"/>
                <w:szCs w:val="20"/>
              </w:rPr>
              <w:t>; (wartość docelowa: 1)</w:t>
            </w:r>
          </w:p>
          <w:p w:rsidR="0002265C" w:rsidRPr="007A22A2" w:rsidRDefault="0002265C" w:rsidP="0002265C">
            <w:pPr>
              <w:jc w:val="both"/>
              <w:rPr>
                <w:sz w:val="18"/>
                <w:szCs w:val="20"/>
              </w:rPr>
            </w:pPr>
            <w:r w:rsidRPr="007A22A2">
              <w:rPr>
                <w:sz w:val="18"/>
                <w:szCs w:val="20"/>
              </w:rPr>
              <w:t>3. Liczba uruchomionych systemów teleinformatycznych w podmiotach wykonujących zadania publiczne;</w:t>
            </w:r>
            <w:r>
              <w:rPr>
                <w:sz w:val="18"/>
                <w:szCs w:val="20"/>
              </w:rPr>
              <w:t xml:space="preserve"> (wartość docelowa: 1)</w:t>
            </w:r>
          </w:p>
          <w:p w:rsidR="0002265C" w:rsidRPr="007A22A2" w:rsidRDefault="0002265C" w:rsidP="0002265C">
            <w:pPr>
              <w:jc w:val="both"/>
              <w:rPr>
                <w:sz w:val="18"/>
                <w:szCs w:val="20"/>
              </w:rPr>
            </w:pPr>
            <w:r w:rsidRPr="007A22A2">
              <w:rPr>
                <w:sz w:val="18"/>
                <w:szCs w:val="20"/>
              </w:rPr>
              <w:t>4. Liczba pracowników podmiotów wykonujących zadania publiczne, będących pracownikami IT, objętych wsparciem szkoleniowym – kobiety</w:t>
            </w:r>
            <w:r>
              <w:rPr>
                <w:sz w:val="18"/>
                <w:szCs w:val="20"/>
              </w:rPr>
              <w:t>; (wartość docelowa: 1)</w:t>
            </w:r>
          </w:p>
          <w:p w:rsidR="0002265C" w:rsidRPr="007A22A2" w:rsidRDefault="0002265C" w:rsidP="0002265C">
            <w:pPr>
              <w:jc w:val="both"/>
              <w:rPr>
                <w:sz w:val="18"/>
                <w:szCs w:val="20"/>
              </w:rPr>
            </w:pPr>
            <w:r w:rsidRPr="007A22A2">
              <w:rPr>
                <w:sz w:val="18"/>
                <w:szCs w:val="20"/>
              </w:rPr>
              <w:t>5. Liczba pracowników podmiotów wykonujących zadania publiczne, będących pracownikami IT, objętych wsparciem szkoleniowym - mężczyźni;</w:t>
            </w:r>
            <w:r>
              <w:rPr>
                <w:sz w:val="18"/>
                <w:szCs w:val="20"/>
              </w:rPr>
              <w:t xml:space="preserve"> (wartość docelowa: 380)</w:t>
            </w:r>
          </w:p>
          <w:p w:rsidR="0002265C" w:rsidRPr="007A22A2" w:rsidRDefault="0002265C" w:rsidP="0002265C">
            <w:pPr>
              <w:jc w:val="both"/>
              <w:rPr>
                <w:sz w:val="18"/>
                <w:szCs w:val="20"/>
              </w:rPr>
            </w:pPr>
            <w:r w:rsidRPr="007A22A2">
              <w:rPr>
                <w:sz w:val="18"/>
                <w:szCs w:val="20"/>
              </w:rPr>
              <w:t>6. Liczba pracowników podmiotów wykonujących zadania publiczne, będących pracownikami IT, objętych wsparciem szkoleniowym – ogółem;</w:t>
            </w:r>
            <w:r>
              <w:rPr>
                <w:sz w:val="18"/>
                <w:szCs w:val="20"/>
              </w:rPr>
              <w:t xml:space="preserve"> (wartość docelowa: 381)</w:t>
            </w:r>
          </w:p>
          <w:p w:rsidR="0002265C" w:rsidRPr="007A22A2" w:rsidRDefault="0002265C" w:rsidP="0002265C">
            <w:pPr>
              <w:jc w:val="both"/>
              <w:rPr>
                <w:sz w:val="18"/>
                <w:szCs w:val="20"/>
              </w:rPr>
            </w:pPr>
            <w:r w:rsidRPr="007A22A2">
              <w:rPr>
                <w:sz w:val="18"/>
                <w:szCs w:val="20"/>
              </w:rPr>
              <w:t>7. ; Liczba pracowników podmiotów wykonujących zadania publiczne, nie będących pracownikami IT, objętych wsparciem szkoleniowym – kobiety;</w:t>
            </w:r>
            <w:r>
              <w:rPr>
                <w:sz w:val="18"/>
                <w:szCs w:val="20"/>
              </w:rPr>
              <w:t xml:space="preserve"> (wartość docelowa: 396)</w:t>
            </w:r>
          </w:p>
          <w:p w:rsidR="0002265C" w:rsidRPr="007A22A2" w:rsidRDefault="0002265C" w:rsidP="0002265C">
            <w:pPr>
              <w:jc w:val="both"/>
              <w:rPr>
                <w:sz w:val="18"/>
                <w:szCs w:val="20"/>
              </w:rPr>
            </w:pPr>
            <w:r w:rsidRPr="007A22A2">
              <w:rPr>
                <w:sz w:val="18"/>
                <w:szCs w:val="20"/>
              </w:rPr>
              <w:t>8. Liczba pracowników podmiotów wykonujących zadania publiczne, nie będących pracownikami IT, objętych wsparciem szkoleniowym – mężczyźni;</w:t>
            </w:r>
            <w:r>
              <w:rPr>
                <w:sz w:val="18"/>
                <w:szCs w:val="20"/>
              </w:rPr>
              <w:t xml:space="preserve"> (wartość docelowa: 396)</w:t>
            </w:r>
          </w:p>
          <w:p w:rsidR="0002265C" w:rsidRPr="00A10BBA" w:rsidRDefault="0002265C" w:rsidP="0002265C">
            <w:pPr>
              <w:jc w:val="both"/>
              <w:rPr>
                <w:sz w:val="18"/>
                <w:szCs w:val="18"/>
              </w:rPr>
            </w:pPr>
            <w:r w:rsidRPr="007A22A2">
              <w:rPr>
                <w:sz w:val="18"/>
                <w:szCs w:val="20"/>
              </w:rPr>
              <w:t xml:space="preserve">9.Liczba </w:t>
            </w:r>
            <w:r w:rsidRPr="00A10BBA">
              <w:rPr>
                <w:sz w:val="18"/>
                <w:szCs w:val="18"/>
              </w:rPr>
              <w:t>pracowników podmiotów wykonujących zadania publiczne, nie będących pracownikami IT, objętych wsparciem szkoleniowym – ogółem; (wartość docelowa: 792)</w:t>
            </w:r>
          </w:p>
          <w:p w:rsidR="0002265C" w:rsidRPr="00A10BBA" w:rsidRDefault="0002265C" w:rsidP="0002265C">
            <w:pPr>
              <w:jc w:val="both"/>
              <w:rPr>
                <w:i/>
                <w:sz w:val="18"/>
                <w:szCs w:val="18"/>
              </w:rPr>
            </w:pPr>
          </w:p>
          <w:p w:rsidR="0002265C" w:rsidRPr="00A10BBA" w:rsidRDefault="0002265C" w:rsidP="0002265C">
            <w:pPr>
              <w:jc w:val="both"/>
              <w:rPr>
                <w:i/>
                <w:sz w:val="18"/>
                <w:szCs w:val="18"/>
              </w:rPr>
            </w:pPr>
            <w:r w:rsidRPr="00A10BBA">
              <w:rPr>
                <w:sz w:val="18"/>
                <w:szCs w:val="18"/>
              </w:rPr>
              <w:t>Realizacja wskaźników pozytywnie wpłynęła na cele państwa wyrażone w dokumentach strategicznych:</w:t>
            </w:r>
          </w:p>
          <w:p w:rsidR="0002265C" w:rsidRPr="00A10BBA" w:rsidRDefault="0002265C" w:rsidP="0002265C">
            <w:pPr>
              <w:jc w:val="both"/>
              <w:rPr>
                <w:i/>
                <w:sz w:val="18"/>
                <w:szCs w:val="18"/>
              </w:rPr>
            </w:pPr>
          </w:p>
          <w:p w:rsidR="0002265C" w:rsidRPr="00A10BBA" w:rsidRDefault="0002265C" w:rsidP="0002265C">
            <w:pPr>
              <w:jc w:val="both"/>
              <w:rPr>
                <w:sz w:val="18"/>
              </w:rPr>
            </w:pPr>
            <w:r w:rsidRPr="00A10BBA">
              <w:rPr>
                <w:sz w:val="18"/>
                <w:szCs w:val="18"/>
              </w:rPr>
              <w:t>1. Strategia innowacyjności i efektywności gospodarki „Dynamiczna Polska 2020”: realizacja celu 2 Strategii: „Stymulowanie</w:t>
            </w:r>
            <w:r w:rsidRPr="00A10BBA">
              <w:rPr>
                <w:sz w:val="18"/>
              </w:rPr>
              <w:t xml:space="preserve"> innowacyjności poprzez wzrost efektywności wiedzy i pracy”, a w szczególności kierunku działań 2.6.3. „Stworzenie warunków sprzyjających rozwojowi gospodarki elektronicznej” – Projekt bezpośrednio przyczynia się do informatyzacji administracji publicznej i wzrostu kompetencji cyfrowych w urzędach.</w:t>
            </w:r>
          </w:p>
          <w:p w:rsidR="0002265C" w:rsidRPr="00A10BBA" w:rsidRDefault="0002265C" w:rsidP="0002265C">
            <w:pPr>
              <w:jc w:val="both"/>
              <w:rPr>
                <w:sz w:val="18"/>
              </w:rPr>
            </w:pPr>
          </w:p>
          <w:p w:rsidR="0002265C" w:rsidRPr="00A10BBA" w:rsidRDefault="0002265C" w:rsidP="0002265C">
            <w:pPr>
              <w:jc w:val="both"/>
              <w:rPr>
                <w:sz w:val="18"/>
              </w:rPr>
            </w:pPr>
            <w:r w:rsidRPr="00A10BBA">
              <w:rPr>
                <w:sz w:val="18"/>
              </w:rPr>
              <w:t xml:space="preserve">2. Program Zintegrowanej Informatyzacji Państwa oraz Strategia Informatyzacji Państwa: cel Projektu wpisuje się w cele szczegółowe PZIP tj.: </w:t>
            </w:r>
          </w:p>
          <w:p w:rsidR="0002265C" w:rsidRPr="00A10BBA" w:rsidRDefault="0002265C" w:rsidP="0002265C">
            <w:pPr>
              <w:jc w:val="both"/>
              <w:rPr>
                <w:sz w:val="18"/>
              </w:rPr>
            </w:pPr>
            <w:r w:rsidRPr="00A10BBA">
              <w:rPr>
                <w:sz w:val="18"/>
              </w:rPr>
              <w:t>• 4.2.1. Zwiększenie jakości oraz zakresu komunikacji między obywatelami i innymi interesariuszami a państwem</w:t>
            </w:r>
          </w:p>
          <w:p w:rsidR="0002265C" w:rsidRPr="00A10BBA" w:rsidRDefault="0002265C" w:rsidP="0002265C">
            <w:pPr>
              <w:jc w:val="both"/>
              <w:rPr>
                <w:sz w:val="18"/>
              </w:rPr>
            </w:pPr>
            <w:r w:rsidRPr="00A10BBA">
              <w:rPr>
                <w:sz w:val="18"/>
              </w:rPr>
              <w:t>• 4.2.2. Wzmocnienie dojrzałości organizacyjnej jednostek administracji publicznej oraz usprawnienie zaplecza elektronicznej administracji (</w:t>
            </w:r>
            <w:proofErr w:type="spellStart"/>
            <w:r w:rsidRPr="00A10BBA">
              <w:rPr>
                <w:sz w:val="18"/>
              </w:rPr>
              <w:t>back</w:t>
            </w:r>
            <w:proofErr w:type="spellEnd"/>
            <w:r w:rsidRPr="00A10BBA">
              <w:rPr>
                <w:sz w:val="18"/>
              </w:rPr>
              <w:t xml:space="preserve"> </w:t>
            </w:r>
            <w:proofErr w:type="spellStart"/>
            <w:r w:rsidRPr="00A10BBA">
              <w:rPr>
                <w:sz w:val="18"/>
              </w:rPr>
              <w:t>office</w:t>
            </w:r>
            <w:proofErr w:type="spellEnd"/>
            <w:r w:rsidRPr="00A10BBA">
              <w:rPr>
                <w:sz w:val="18"/>
              </w:rPr>
              <w:t>)</w:t>
            </w:r>
          </w:p>
          <w:p w:rsidR="0002265C" w:rsidRPr="00A10BBA" w:rsidRDefault="0002265C" w:rsidP="0002265C">
            <w:pPr>
              <w:jc w:val="both"/>
              <w:rPr>
                <w:sz w:val="18"/>
              </w:rPr>
            </w:pPr>
            <w:r w:rsidRPr="00A10BBA">
              <w:rPr>
                <w:sz w:val="18"/>
              </w:rPr>
              <w:t>• 4.2.3. Podniesienie poziomu kompetencji cyfrowych obywateli, specjalistów TIK oraz pracowników administracji publicznej.</w:t>
            </w:r>
          </w:p>
          <w:p w:rsidR="0002265C" w:rsidRPr="00A10BBA" w:rsidRDefault="0002265C" w:rsidP="0002265C">
            <w:pPr>
              <w:jc w:val="both"/>
              <w:rPr>
                <w:sz w:val="18"/>
              </w:rPr>
            </w:pPr>
            <w:r w:rsidRPr="00A10BBA">
              <w:rPr>
                <w:sz w:val="18"/>
              </w:rPr>
              <w:t xml:space="preserve">Efekty końcowe Projektu w postaci informatyzacji urzędów oraz stworzenia warunków do udostępniania wysokopoziomowych e-usług dla obywateli, wpisują się w cel operacyjny PZIP oraz Strategii – zapewnienie interoperacyjności istniejących oraz nowych systemów teleinformatycznych administracji publicznej doprowadzi do stworzenia spójnego, logicznego i sprawnego systemu informacyjnego państwa, dostarczającego na poziomie wewnątrzkrajowym i europejskim usługi kluczowe dla obywateli i przedsiębiorców, w sposób efektywny kosztowo i jakościowo. Wpisuje się także w realizację celu strategicznego jakim jest zwiększenie zarówno podaży oczekiwanych przez społeczeństwo wysokiej jakości publicznych e-usług w Polsce, jak i poziomu ich wykorzystania mierzonego odsetkiem obywateli i </w:t>
            </w:r>
            <w:r w:rsidRPr="00A10BBA">
              <w:rPr>
                <w:sz w:val="18"/>
              </w:rPr>
              <w:lastRenderedPageBreak/>
              <w:t>przedsiębiorców, korzystających z Internetu w relacjach z administracją publiczną, zgodnie z celami strategii Sprawne Państwo oraz Europejskiej Agendy Cyfrowej.</w:t>
            </w:r>
          </w:p>
          <w:p w:rsidR="0002265C" w:rsidRPr="00A10BBA" w:rsidRDefault="0002265C" w:rsidP="0002265C">
            <w:pPr>
              <w:jc w:val="both"/>
              <w:rPr>
                <w:sz w:val="18"/>
              </w:rPr>
            </w:pPr>
          </w:p>
          <w:p w:rsidR="0002265C" w:rsidRPr="00A10BBA" w:rsidRDefault="0002265C" w:rsidP="0002265C">
            <w:pPr>
              <w:jc w:val="both"/>
              <w:rPr>
                <w:sz w:val="18"/>
              </w:rPr>
            </w:pPr>
            <w:r w:rsidRPr="00A10BBA">
              <w:rPr>
                <w:sz w:val="18"/>
              </w:rPr>
              <w:t>3. Strategia Rozwoju Kraju 2020: realizacja celu II.5. Zwiększenie wykorzystania technologii cyfrowych, w szczególności w zakresie II.5.3. Zapewnienie odpowiedniej jakości treści i usług cyfrowych; 2030 – realizacja celów w obszarze efektywności i sprawności państwa, związanych z dostępnością i rozwojem e-administracji (wzrost sprawności państwa i e-gospodarki).</w:t>
            </w:r>
          </w:p>
          <w:p w:rsidR="0002265C" w:rsidRPr="00A10BBA" w:rsidRDefault="0002265C" w:rsidP="0002265C">
            <w:pPr>
              <w:jc w:val="both"/>
              <w:rPr>
                <w:sz w:val="18"/>
              </w:rPr>
            </w:pPr>
          </w:p>
          <w:p w:rsidR="0002265C" w:rsidRPr="002450C4" w:rsidRDefault="0002265C" w:rsidP="0002265C">
            <w:pPr>
              <w:jc w:val="both"/>
              <w:rPr>
                <w:i/>
                <w:sz w:val="18"/>
                <w:szCs w:val="20"/>
              </w:rPr>
            </w:pPr>
            <w:r w:rsidRPr="00A10BBA">
              <w:rPr>
                <w:sz w:val="18"/>
              </w:rPr>
              <w:t>4. Program Operacyjny Polska Cyfrowa: Projekt realizuje Cel szczegółowy 3: Cyfryzacja procesów back-office w administracji rządowej, Działanie 2.2 w Osi priorytetowej II – E-administracja i otwarty rząd Programu Operacyjnego Polska Cyfrowa na lata 2014 – 2020, ponieważ wspiera obszar back-office urzędów przez cyfryzację procesów i procedur obszaru budowlanego, umożliwienie ich cyfrowej obsługi poprzez zapewnienie jednolitego, centralnego oprogramowania do procedowana postępowań, ujednolicenie rozproszonych zbiorów danych i interfejsów zgodnie z modelem cyfryzacji Katalogu Rekomendacji Cyfrowego Urzędu obejmując obszary: interoperacyjności, transparentności i otwartości administracji, kompetencji cyfrowych urzędników. Pozytywnie wpłynie to na przyspieszenie załatwiania spraw w urzędach w obszarze budownictwa, co przełoży się na podniesienie poziomu obsługi obywateli i przedsiębiorców</w:t>
            </w:r>
            <w:r w:rsidRPr="00A60D31">
              <w:rPr>
                <w:sz w:val="20"/>
              </w:rPr>
              <w:t>.</w:t>
            </w: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Pr="002450C4" w:rsidRDefault="0002265C" w:rsidP="0002265C">
            <w:pPr>
              <w:rPr>
                <w:sz w:val="18"/>
                <w:szCs w:val="20"/>
              </w:rPr>
            </w:pPr>
            <w:r>
              <w:rPr>
                <w:sz w:val="18"/>
                <w:szCs w:val="20"/>
              </w:rPr>
              <w:t>Ryzyka i problemy</w:t>
            </w:r>
          </w:p>
        </w:tc>
        <w:tc>
          <w:tcPr>
            <w:tcW w:w="7030" w:type="dxa"/>
          </w:tcPr>
          <w:p w:rsidR="0002265C" w:rsidRDefault="0002265C" w:rsidP="0002265C">
            <w:pPr>
              <w:jc w:val="both"/>
              <w:rPr>
                <w:i/>
                <w:sz w:val="18"/>
                <w:szCs w:val="20"/>
              </w:rPr>
            </w:pPr>
            <w:r>
              <w:rPr>
                <w:i/>
                <w:sz w:val="18"/>
                <w:szCs w:val="20"/>
              </w:rPr>
              <w:t>&lt;</w:t>
            </w:r>
            <w:r w:rsidRPr="002450C4">
              <w:rPr>
                <w:i/>
                <w:sz w:val="18"/>
                <w:szCs w:val="20"/>
              </w:rPr>
              <w:t>Należy wskazać najważniejsze ryzyka</w:t>
            </w:r>
            <w:r>
              <w:rPr>
                <w:i/>
                <w:sz w:val="18"/>
                <w:szCs w:val="20"/>
              </w:rPr>
              <w:t xml:space="preserve"> i problemy </w:t>
            </w:r>
            <w:r w:rsidRPr="002450C4">
              <w:rPr>
                <w:i/>
                <w:sz w:val="18"/>
                <w:szCs w:val="20"/>
              </w:rPr>
              <w:t xml:space="preserve">projektowe, związane m.in. </w:t>
            </w:r>
            <w:r>
              <w:rPr>
                <w:i/>
                <w:sz w:val="18"/>
                <w:szCs w:val="20"/>
              </w:rPr>
              <w:br/>
            </w:r>
            <w:r w:rsidRPr="002450C4">
              <w:rPr>
                <w:i/>
                <w:sz w:val="18"/>
                <w:szCs w:val="20"/>
              </w:rPr>
              <w:t xml:space="preserve">z zarządzaniem projektem, zapewnieniem finansowania, zależnościami </w:t>
            </w:r>
            <w:r>
              <w:rPr>
                <w:i/>
                <w:sz w:val="18"/>
                <w:szCs w:val="20"/>
              </w:rPr>
              <w:br/>
            </w:r>
            <w:r w:rsidRPr="002450C4">
              <w:rPr>
                <w:i/>
                <w:sz w:val="18"/>
                <w:szCs w:val="20"/>
              </w:rPr>
              <w:t>z innymi projektami, procedurą legislacyjną, itp.</w:t>
            </w:r>
            <w:r>
              <w:rPr>
                <w:i/>
                <w:sz w:val="18"/>
                <w:szCs w:val="20"/>
              </w:rPr>
              <w:t>, ich wpływ na realizację projektu oraz sposób ich obsługi; maksymalnie 4000 znaków&gt;</w:t>
            </w:r>
          </w:p>
          <w:p w:rsidR="0002265C" w:rsidRDefault="0002265C" w:rsidP="0002265C">
            <w:pPr>
              <w:jc w:val="both"/>
              <w:rPr>
                <w:i/>
                <w:sz w:val="18"/>
                <w:szCs w:val="20"/>
              </w:rPr>
            </w:pPr>
          </w:p>
          <w:tbl>
            <w:tblPr>
              <w:tblW w:w="552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1"/>
              <w:gridCol w:w="1415"/>
              <w:gridCol w:w="2045"/>
              <w:gridCol w:w="1052"/>
            </w:tblGrid>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265C" w:rsidRPr="00C759B3" w:rsidRDefault="0002265C" w:rsidP="0002265C">
                  <w:pPr>
                    <w:jc w:val="center"/>
                    <w:rPr>
                      <w:rFonts w:eastAsia="MS MinNew Roman" w:cstheme="minorHAnsi"/>
                      <w:b/>
                      <w:bCs/>
                      <w:sz w:val="20"/>
                    </w:rPr>
                  </w:pPr>
                  <w:r w:rsidRPr="00C759B3">
                    <w:rPr>
                      <w:rFonts w:eastAsia="MS MinNew Roman" w:cstheme="minorHAnsi"/>
                      <w:b/>
                      <w:bCs/>
                      <w:sz w:val="20"/>
                    </w:rPr>
                    <w:t>Nazwa ryzyka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265C" w:rsidRPr="00C759B3" w:rsidRDefault="0002265C" w:rsidP="0002265C">
                  <w:pPr>
                    <w:pStyle w:val="Legenda"/>
                    <w:jc w:val="center"/>
                    <w:rPr>
                      <w:rFonts w:asciiTheme="minorHAnsi" w:hAnsiTheme="minorHAnsi" w:cstheme="minorHAnsi"/>
                      <w:sz w:val="20"/>
                      <w:szCs w:val="20"/>
                    </w:rPr>
                  </w:pPr>
                  <w:r w:rsidRPr="00C759B3">
                    <w:rPr>
                      <w:rFonts w:asciiTheme="minorHAnsi" w:hAnsiTheme="minorHAnsi" w:cstheme="minorHAnsi"/>
                      <w:sz w:val="20"/>
                      <w:szCs w:val="20"/>
                    </w:rPr>
                    <w:t>Siła oddziaływania</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265C" w:rsidRPr="00C759B3" w:rsidRDefault="0002265C" w:rsidP="0002265C">
                  <w:pPr>
                    <w:pStyle w:val="Legenda"/>
                    <w:jc w:val="center"/>
                    <w:rPr>
                      <w:rFonts w:asciiTheme="minorHAnsi" w:hAnsiTheme="minorHAnsi" w:cstheme="minorHAnsi"/>
                      <w:sz w:val="20"/>
                      <w:szCs w:val="20"/>
                    </w:rPr>
                  </w:pPr>
                  <w:r w:rsidRPr="00C759B3">
                    <w:rPr>
                      <w:rFonts w:asciiTheme="minorHAnsi" w:hAnsiTheme="minorHAnsi" w:cstheme="minorHAnsi"/>
                      <w:sz w:val="20"/>
                      <w:szCs w:val="20"/>
                    </w:rPr>
                    <w:t>Prawdopodobieństwo wystąpienia ryzyka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265C" w:rsidRPr="00C759B3" w:rsidRDefault="0002265C" w:rsidP="0002265C">
                  <w:pPr>
                    <w:pStyle w:val="Legenda"/>
                    <w:jc w:val="center"/>
                    <w:rPr>
                      <w:rFonts w:asciiTheme="minorHAnsi" w:hAnsiTheme="minorHAnsi" w:cstheme="minorHAnsi"/>
                      <w:sz w:val="20"/>
                      <w:szCs w:val="20"/>
                    </w:rPr>
                  </w:pPr>
                  <w:r>
                    <w:rPr>
                      <w:rFonts w:asciiTheme="minorHAnsi" w:hAnsiTheme="minorHAnsi" w:cstheme="minorHAnsi"/>
                      <w:sz w:val="20"/>
                      <w:szCs w:val="20"/>
                    </w:rPr>
                    <w:t>Ocena ryzyka</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eastAsia="MS MinNew Roman" w:cstheme="minorHAnsi"/>
                      <w:bCs/>
                      <w:sz w:val="20"/>
                    </w:rPr>
                  </w:pPr>
                  <w:r w:rsidRPr="00C759B3">
                    <w:rPr>
                      <w:rFonts w:eastAsia="MS MinNew Roman" w:cstheme="minorHAnsi"/>
                      <w:bCs/>
                      <w:sz w:val="20"/>
                    </w:rPr>
                    <w:t>Przekroczenie zakładanych kosztów projektu</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Wysokie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eastAsia="MS MinNew Roman" w:cstheme="minorHAnsi"/>
                      <w:bCs/>
                      <w:sz w:val="20"/>
                    </w:rPr>
                  </w:pPr>
                  <w:r w:rsidRPr="00C759B3">
                    <w:rPr>
                      <w:rFonts w:eastAsia="MS MinNew Roman" w:cstheme="minorHAnsi"/>
                      <w:bCs/>
                      <w:sz w:val="20"/>
                    </w:rPr>
                    <w:t>Opóźnienia w projekcie spowodowane przedłużającymi się procedurami przetargowymi na usługę sieciową (zapewnienie infrastruktury sprzętowej na potrzeby Projektu)</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Wysokie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eastAsia="MS MinNew Roman" w:cstheme="minorHAnsi"/>
                      <w:bCs/>
                      <w:sz w:val="20"/>
                      <w:szCs w:val="20"/>
                    </w:rPr>
                  </w:pPr>
                  <w:r w:rsidRPr="00C759B3">
                    <w:rPr>
                      <w:rFonts w:eastAsia="MS MinNew Roman" w:cstheme="minorHAnsi"/>
                      <w:bCs/>
                      <w:sz w:val="20"/>
                      <w:szCs w:val="20"/>
                    </w:rPr>
                    <w:t xml:space="preserve">Niedostarczenie produktów Projektu w terminie i o odpowiedniej jakości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Średnie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eastAsia="MS MinNew Roman" w:cstheme="minorHAnsi"/>
                      <w:bCs/>
                      <w:sz w:val="20"/>
                      <w:szCs w:val="20"/>
                    </w:rPr>
                  </w:pPr>
                  <w:r w:rsidRPr="00C759B3">
                    <w:rPr>
                      <w:rFonts w:eastAsia="MS MinNew Roman" w:cstheme="minorHAnsi"/>
                      <w:bCs/>
                      <w:sz w:val="20"/>
                      <w:szCs w:val="20"/>
                    </w:rPr>
                    <w:t>Ryzyko organizacyjne wynikające z fluktuacji składu zespołu projektowego</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Mała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Wysokie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eastAsia="MS MinNew Roman" w:cstheme="minorHAnsi"/>
                      <w:bCs/>
                      <w:sz w:val="20"/>
                      <w:szCs w:val="20"/>
                    </w:rPr>
                  </w:pPr>
                  <w:r w:rsidRPr="00C759B3">
                    <w:rPr>
                      <w:rFonts w:eastAsia="MS MinNew Roman" w:cstheme="minorHAnsi"/>
                      <w:bCs/>
                      <w:sz w:val="20"/>
                      <w:szCs w:val="20"/>
                    </w:rPr>
                    <w:lastRenderedPageBreak/>
                    <w:t>Niespełnienie wymagań projektowych wynikające ze zmian w systemie/systemach zintegrowanych z projektowanym oraz parametrami zewnętrznej usługi sieciowej (dzierżawa infrastruktury u dostawcy zewnętrznego)</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b w:val="0"/>
                      <w:sz w:val="20"/>
                      <w:szCs w:val="20"/>
                    </w:rPr>
                  </w:pPr>
                  <w:r w:rsidRPr="00C759B3">
                    <w:rPr>
                      <w:rFonts w:asciiTheme="minorHAnsi" w:hAnsiTheme="minorHAnsi" w:cstheme="minorHAnsi"/>
                      <w:b w:val="0"/>
                      <w:sz w:val="20"/>
                      <w:szCs w:val="20"/>
                    </w:rPr>
                    <w:t>Niskie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cstheme="minorHAnsi"/>
                      <w:sz w:val="20"/>
                      <w:szCs w:val="20"/>
                    </w:rPr>
                  </w:pPr>
                  <w:r w:rsidRPr="00C759B3">
                    <w:rPr>
                      <w:rFonts w:eastAsia="Arial Unicode MS" w:cstheme="minorHAnsi"/>
                      <w:sz w:val="20"/>
                      <w:szCs w:val="20"/>
                    </w:rPr>
                    <w:t>Brak zabezpieczenia środków finansowych na utrzymanie systemów po ich wdrożeniu</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sz w:val="20"/>
                      <w:szCs w:val="20"/>
                    </w:rPr>
                  </w:pPr>
                  <w:r w:rsidRPr="00C759B3">
                    <w:rPr>
                      <w:rFonts w:asciiTheme="minorHAnsi" w:hAnsiTheme="minorHAnsi" w:cstheme="minorHAnsi"/>
                      <w:b w:val="0"/>
                      <w:bCs w:val="0"/>
                      <w:kern w:val="0"/>
                      <w:sz w:val="20"/>
                      <w:szCs w:val="20"/>
                    </w:rPr>
                    <w:t>Duża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sz w:val="20"/>
                      <w:szCs w:val="20"/>
                    </w:rPr>
                  </w:pPr>
                  <w:r w:rsidRPr="00C759B3">
                    <w:rPr>
                      <w:rFonts w:asciiTheme="minorHAnsi" w:hAnsiTheme="minorHAnsi" w:cstheme="minorHAnsi"/>
                      <w:b w:val="0"/>
                      <w:bCs w:val="0"/>
                      <w:kern w:val="0"/>
                      <w:sz w:val="20"/>
                      <w:szCs w:val="20"/>
                    </w:rPr>
                    <w:t>Średnie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cstheme="minorHAnsi"/>
                      <w:sz w:val="20"/>
                      <w:szCs w:val="20"/>
                    </w:rPr>
                  </w:pPr>
                  <w:r w:rsidRPr="00C759B3">
                    <w:rPr>
                      <w:rFonts w:eastAsia="Arial Unicode MS" w:cstheme="minorHAnsi"/>
                      <w:sz w:val="20"/>
                      <w:szCs w:val="20"/>
                    </w:rPr>
                    <w:t>Nieosiągnięcie zakładanych wskaźników rezultatu – zbyt małe zainteresowanie użytkowników</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sz w:val="20"/>
                      <w:szCs w:val="20"/>
                    </w:rPr>
                  </w:pPr>
                  <w:r w:rsidRPr="00C759B3">
                    <w:rPr>
                      <w:rFonts w:asciiTheme="minorHAnsi" w:hAnsiTheme="minorHAnsi" w:cstheme="minorHAnsi"/>
                      <w:b w:val="0"/>
                      <w:bCs w:val="0"/>
                      <w:kern w:val="0"/>
                      <w:sz w:val="20"/>
                      <w:szCs w:val="20"/>
                    </w:rPr>
                    <w:t>Duża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sz w:val="20"/>
                      <w:szCs w:val="20"/>
                    </w:rPr>
                  </w:pPr>
                  <w:r w:rsidRPr="00C759B3">
                    <w:rPr>
                      <w:rFonts w:asciiTheme="minorHAnsi" w:hAnsiTheme="minorHAnsi" w:cstheme="minorHAnsi"/>
                      <w:b w:val="0"/>
                      <w:bCs w:val="0"/>
                      <w:kern w:val="0"/>
                      <w:sz w:val="20"/>
                      <w:szCs w:val="20"/>
                    </w:rPr>
                    <w:t>Średnie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r w:rsidR="0002265C" w:rsidRPr="00C759B3" w:rsidTr="003519E7">
              <w:trPr>
                <w:trHeight w:val="71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rPr>
                      <w:rFonts w:cstheme="minorHAnsi"/>
                      <w:sz w:val="20"/>
                      <w:szCs w:val="20"/>
                    </w:rPr>
                  </w:pPr>
                  <w:r w:rsidRPr="00C759B3">
                    <w:rPr>
                      <w:rFonts w:eastAsia="Arial Unicode MS" w:cstheme="minorHAnsi"/>
                      <w:sz w:val="20"/>
                      <w:szCs w:val="20"/>
                    </w:rPr>
                    <w:t>Nieodpowiednie zabezpieczenia przetwarzanych danych</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sz w:val="20"/>
                      <w:szCs w:val="20"/>
                    </w:rPr>
                  </w:pPr>
                  <w:r w:rsidRPr="00C759B3">
                    <w:rPr>
                      <w:rFonts w:asciiTheme="minorHAnsi" w:hAnsiTheme="minorHAnsi" w:cstheme="minorHAnsi"/>
                      <w:b w:val="0"/>
                      <w:bCs w:val="0"/>
                      <w:kern w:val="0"/>
                      <w:sz w:val="20"/>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2265C" w:rsidRPr="00C759B3" w:rsidRDefault="0002265C" w:rsidP="0002265C">
                  <w:pPr>
                    <w:pStyle w:val="Legenda"/>
                    <w:rPr>
                      <w:rFonts w:asciiTheme="minorHAnsi" w:hAnsiTheme="minorHAnsi" w:cstheme="minorHAnsi"/>
                      <w:sz w:val="20"/>
                      <w:szCs w:val="20"/>
                    </w:rPr>
                  </w:pPr>
                  <w:r w:rsidRPr="00C759B3">
                    <w:rPr>
                      <w:rFonts w:asciiTheme="minorHAnsi" w:hAnsiTheme="minorHAnsi" w:cstheme="minorHAnsi"/>
                      <w:b w:val="0"/>
                      <w:bCs w:val="0"/>
                      <w:kern w:val="0"/>
                      <w:sz w:val="20"/>
                      <w:szCs w:val="20"/>
                    </w:rPr>
                    <w:t>Niskie</w:t>
                  </w:r>
                </w:p>
              </w:tc>
              <w:tc>
                <w:tcPr>
                  <w:tcW w:w="1134" w:type="dxa"/>
                  <w:tcBorders>
                    <w:top w:val="single" w:sz="4" w:space="0" w:color="auto"/>
                    <w:left w:val="single" w:sz="4" w:space="0" w:color="auto"/>
                    <w:bottom w:val="single" w:sz="4" w:space="0" w:color="auto"/>
                    <w:right w:val="single" w:sz="4" w:space="0" w:color="auto"/>
                  </w:tcBorders>
                </w:tcPr>
                <w:p w:rsidR="0002265C" w:rsidRPr="00C759B3" w:rsidRDefault="0002265C" w:rsidP="0002265C">
                  <w:pPr>
                    <w:pStyle w:val="Legenda"/>
                    <w:rPr>
                      <w:rFonts w:asciiTheme="minorHAnsi" w:hAnsiTheme="minorHAnsi" w:cstheme="minorHAnsi"/>
                      <w:b w:val="0"/>
                      <w:sz w:val="20"/>
                      <w:szCs w:val="20"/>
                    </w:rPr>
                  </w:pPr>
                  <w:r>
                    <w:rPr>
                      <w:rFonts w:asciiTheme="minorHAnsi" w:hAnsiTheme="minorHAnsi" w:cstheme="minorHAnsi"/>
                      <w:b w:val="0"/>
                      <w:sz w:val="20"/>
                      <w:szCs w:val="20"/>
                    </w:rPr>
                    <w:t>Ryzyko zamknięte</w:t>
                  </w:r>
                </w:p>
              </w:tc>
            </w:tr>
          </w:tbl>
          <w:p w:rsidR="0002265C" w:rsidRPr="002450C4" w:rsidRDefault="0002265C" w:rsidP="0002265C">
            <w:pPr>
              <w:jc w:val="both"/>
              <w:rPr>
                <w:i/>
                <w:sz w:val="18"/>
                <w:szCs w:val="20"/>
              </w:rPr>
            </w:pP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Default="0002265C" w:rsidP="0002265C">
            <w:pPr>
              <w:rPr>
                <w:sz w:val="18"/>
                <w:szCs w:val="20"/>
              </w:rPr>
            </w:pPr>
            <w:r>
              <w:rPr>
                <w:sz w:val="18"/>
                <w:szCs w:val="20"/>
              </w:rPr>
              <w:t xml:space="preserve">Uzyskane korzyści </w:t>
            </w:r>
          </w:p>
        </w:tc>
        <w:tc>
          <w:tcPr>
            <w:tcW w:w="7030" w:type="dxa"/>
          </w:tcPr>
          <w:p w:rsidR="0002265C" w:rsidRDefault="0002265C" w:rsidP="0002265C">
            <w:pPr>
              <w:jc w:val="both"/>
              <w:rPr>
                <w:bCs/>
                <w:i/>
                <w:sz w:val="18"/>
                <w:szCs w:val="20"/>
              </w:rPr>
            </w:pPr>
            <w:r>
              <w:rPr>
                <w:bCs/>
                <w:i/>
                <w:sz w:val="18"/>
                <w:szCs w:val="20"/>
              </w:rPr>
              <w:t>&lt;Należy podać i opisać zidentyfikowane</w:t>
            </w:r>
            <w:r w:rsidRPr="003E3C89">
              <w:rPr>
                <w:bCs/>
                <w:i/>
                <w:sz w:val="18"/>
                <w:szCs w:val="20"/>
              </w:rPr>
              <w:t xml:space="preserve"> potrzeb</w:t>
            </w:r>
            <w:r>
              <w:rPr>
                <w:bCs/>
                <w:i/>
                <w:sz w:val="18"/>
                <w:szCs w:val="20"/>
              </w:rPr>
              <w:t>y</w:t>
            </w:r>
            <w:r w:rsidRPr="003E3C89">
              <w:rPr>
                <w:bCs/>
                <w:i/>
                <w:sz w:val="18"/>
                <w:szCs w:val="20"/>
              </w:rPr>
              <w:t xml:space="preserve"> obywateli/przedsiębiorców/administracji</w:t>
            </w:r>
            <w:r>
              <w:rPr>
                <w:bCs/>
                <w:i/>
                <w:sz w:val="18"/>
                <w:szCs w:val="20"/>
              </w:rPr>
              <w:t xml:space="preserve"> publicznej</w:t>
            </w:r>
            <w:r w:rsidRPr="003E3C89">
              <w:rPr>
                <w:bCs/>
                <w:i/>
                <w:sz w:val="18"/>
                <w:szCs w:val="20"/>
              </w:rPr>
              <w:t xml:space="preserve">, które </w:t>
            </w:r>
            <w:r>
              <w:rPr>
                <w:bCs/>
                <w:i/>
                <w:sz w:val="18"/>
                <w:szCs w:val="20"/>
              </w:rPr>
              <w:t>są zaspokojone przez</w:t>
            </w:r>
            <w:r w:rsidRPr="003E3C89">
              <w:rPr>
                <w:bCs/>
                <w:i/>
                <w:sz w:val="18"/>
                <w:szCs w:val="20"/>
              </w:rPr>
              <w:t xml:space="preserve"> rezultaty projektu</w:t>
            </w:r>
            <w:r>
              <w:rPr>
                <w:bCs/>
                <w:i/>
                <w:sz w:val="18"/>
                <w:szCs w:val="20"/>
              </w:rPr>
              <w:t xml:space="preserve">. </w:t>
            </w:r>
          </w:p>
          <w:p w:rsidR="0002265C" w:rsidRDefault="0002265C" w:rsidP="0002265C">
            <w:pPr>
              <w:jc w:val="both"/>
              <w:rPr>
                <w:bCs/>
                <w:i/>
                <w:sz w:val="18"/>
                <w:szCs w:val="20"/>
              </w:rPr>
            </w:pPr>
            <w:r>
              <w:rPr>
                <w:bCs/>
                <w:i/>
                <w:sz w:val="18"/>
                <w:szCs w:val="20"/>
              </w:rPr>
              <w:t>Należy wskazać, w jaki sposób będą mierzone faktyczne (w szczególności wymierne) korzyści wynikające z zakończenia projektu oraz w jaki sposób te informacje będą udostępniane.</w:t>
            </w:r>
          </w:p>
          <w:p w:rsidR="0002265C" w:rsidRDefault="0002265C" w:rsidP="0002265C">
            <w:pPr>
              <w:jc w:val="both"/>
              <w:rPr>
                <w:bCs/>
                <w:i/>
                <w:sz w:val="18"/>
                <w:szCs w:val="20"/>
              </w:rPr>
            </w:pPr>
            <w:r>
              <w:rPr>
                <w:bCs/>
                <w:i/>
                <w:sz w:val="18"/>
                <w:szCs w:val="20"/>
              </w:rPr>
              <w:t xml:space="preserve">Należy wskazać, w jaki sposób będzie mierzone faktyczne wykorzystanie usług/produktów projektu oraz w jaki sposób te informacje będą udostępniane; </w:t>
            </w:r>
            <w:r>
              <w:rPr>
                <w:i/>
                <w:sz w:val="18"/>
                <w:szCs w:val="20"/>
              </w:rPr>
              <w:t>maksymalnie 4000 znaków</w:t>
            </w:r>
            <w:r>
              <w:rPr>
                <w:bCs/>
                <w:i/>
                <w:sz w:val="18"/>
                <w:szCs w:val="20"/>
              </w:rPr>
              <w:t>&gt;</w:t>
            </w:r>
          </w:p>
          <w:p w:rsidR="0002265C" w:rsidRDefault="0002265C" w:rsidP="0002265C">
            <w:pPr>
              <w:jc w:val="both"/>
              <w:rPr>
                <w:i/>
                <w:sz w:val="18"/>
                <w:szCs w:val="20"/>
              </w:rPr>
            </w:pPr>
          </w:p>
          <w:p w:rsidR="0002265C" w:rsidRDefault="0002265C" w:rsidP="0002265C">
            <w:pPr>
              <w:jc w:val="both"/>
              <w:rPr>
                <w:i/>
                <w:sz w:val="18"/>
                <w:szCs w:val="20"/>
              </w:rPr>
            </w:pPr>
            <w:r w:rsidRPr="00C759B3">
              <w:rPr>
                <w:i/>
                <w:sz w:val="18"/>
                <w:szCs w:val="20"/>
              </w:rPr>
              <w:t>1. Skrócenie czasu obsługi poszczególnych spraw</w:t>
            </w:r>
            <w:r>
              <w:rPr>
                <w:i/>
                <w:sz w:val="18"/>
                <w:szCs w:val="20"/>
              </w:rPr>
              <w:t xml:space="preserve"> – u</w:t>
            </w:r>
            <w:r w:rsidRPr="00C759B3">
              <w:rPr>
                <w:i/>
                <w:sz w:val="18"/>
                <w:szCs w:val="20"/>
              </w:rPr>
              <w:t>sprawnienie</w:t>
            </w:r>
            <w:r>
              <w:rPr>
                <w:i/>
                <w:sz w:val="18"/>
                <w:szCs w:val="20"/>
              </w:rPr>
              <w:t xml:space="preserve"> </w:t>
            </w:r>
            <w:r w:rsidRPr="00C759B3">
              <w:rPr>
                <w:i/>
                <w:sz w:val="18"/>
                <w:szCs w:val="20"/>
              </w:rPr>
              <w:t>pracy organów administracji.</w:t>
            </w:r>
          </w:p>
          <w:p w:rsidR="0002265C" w:rsidRDefault="0002265C" w:rsidP="0002265C">
            <w:pPr>
              <w:jc w:val="both"/>
              <w:rPr>
                <w:i/>
                <w:sz w:val="18"/>
                <w:szCs w:val="20"/>
              </w:rPr>
            </w:pPr>
          </w:p>
          <w:p w:rsidR="0002265C" w:rsidRDefault="0002265C" w:rsidP="0002265C">
            <w:pPr>
              <w:jc w:val="both"/>
              <w:rPr>
                <w:i/>
                <w:sz w:val="18"/>
                <w:szCs w:val="20"/>
              </w:rPr>
            </w:pPr>
            <w:r w:rsidRPr="00C759B3">
              <w:rPr>
                <w:i/>
                <w:sz w:val="18"/>
                <w:szCs w:val="20"/>
              </w:rPr>
              <w:t>2. Obniżenie kosztów obsługi postępowań.</w:t>
            </w:r>
          </w:p>
          <w:p w:rsidR="0002265C" w:rsidRDefault="0002265C" w:rsidP="0002265C">
            <w:pPr>
              <w:jc w:val="both"/>
              <w:rPr>
                <w:i/>
                <w:sz w:val="18"/>
                <w:szCs w:val="20"/>
              </w:rPr>
            </w:pPr>
          </w:p>
          <w:p w:rsidR="0002265C" w:rsidRPr="00A12F30" w:rsidRDefault="0002265C" w:rsidP="0002265C">
            <w:pPr>
              <w:jc w:val="both"/>
              <w:rPr>
                <w:i/>
                <w:sz w:val="18"/>
                <w:szCs w:val="18"/>
              </w:rPr>
            </w:pPr>
            <w:r w:rsidRPr="00C759B3">
              <w:rPr>
                <w:i/>
                <w:sz w:val="18"/>
                <w:szCs w:val="20"/>
              </w:rPr>
              <w:t xml:space="preserve">3. </w:t>
            </w:r>
            <w:r w:rsidR="00A12F30" w:rsidRPr="00A12F30">
              <w:rPr>
                <w:rFonts w:cstheme="minorHAnsi"/>
                <w:i/>
                <w:sz w:val="18"/>
                <w:szCs w:val="18"/>
              </w:rPr>
              <w:t>Przygotowanie zakresu danych odpowiadającego potrzebom sprawozdawczości GUS, przeprowadzenie analizy merytorycznej oraz wprowadzenie inicjalnych mechanizmów umożliwiających wygenerowanie wybranych raportów</w:t>
            </w:r>
            <w:r w:rsidR="00A12F30" w:rsidRPr="00A12F30">
              <w:rPr>
                <w:rFonts w:cstheme="minorHAnsi"/>
                <w:i/>
                <w:sz w:val="18"/>
                <w:szCs w:val="18"/>
              </w:rPr>
              <w:t>.</w:t>
            </w:r>
          </w:p>
          <w:p w:rsidR="0002265C" w:rsidRDefault="0002265C" w:rsidP="0002265C">
            <w:pPr>
              <w:jc w:val="both"/>
              <w:rPr>
                <w:i/>
                <w:sz w:val="18"/>
                <w:szCs w:val="20"/>
              </w:rPr>
            </w:pPr>
          </w:p>
          <w:p w:rsidR="0002265C" w:rsidRDefault="0002265C" w:rsidP="0002265C">
            <w:pPr>
              <w:jc w:val="both"/>
              <w:rPr>
                <w:i/>
                <w:sz w:val="18"/>
                <w:szCs w:val="20"/>
              </w:rPr>
            </w:pPr>
            <w:r w:rsidRPr="00C759B3">
              <w:rPr>
                <w:i/>
                <w:sz w:val="18"/>
                <w:szCs w:val="20"/>
              </w:rPr>
              <w:t xml:space="preserve">4. </w:t>
            </w:r>
            <w:r>
              <w:rPr>
                <w:i/>
                <w:sz w:val="18"/>
                <w:szCs w:val="20"/>
              </w:rPr>
              <w:t>Ułatwione u</w:t>
            </w:r>
            <w:r w:rsidRPr="00C759B3">
              <w:rPr>
                <w:i/>
                <w:sz w:val="18"/>
                <w:szCs w:val="20"/>
              </w:rPr>
              <w:t>dostępni</w:t>
            </w:r>
            <w:r>
              <w:rPr>
                <w:i/>
                <w:sz w:val="18"/>
                <w:szCs w:val="20"/>
              </w:rPr>
              <w:t>a</w:t>
            </w:r>
            <w:r w:rsidRPr="00C759B3">
              <w:rPr>
                <w:i/>
                <w:sz w:val="18"/>
                <w:szCs w:val="20"/>
              </w:rPr>
              <w:t>nie danych z prowadzonych postępowań.</w:t>
            </w:r>
            <w:bookmarkStart w:id="0" w:name="_GoBack"/>
            <w:bookmarkEnd w:id="0"/>
          </w:p>
          <w:p w:rsidR="0002265C" w:rsidRDefault="0002265C" w:rsidP="0002265C">
            <w:pPr>
              <w:jc w:val="both"/>
              <w:rPr>
                <w:i/>
                <w:sz w:val="18"/>
                <w:szCs w:val="20"/>
              </w:rPr>
            </w:pPr>
          </w:p>
          <w:p w:rsidR="0002265C" w:rsidRDefault="0002265C" w:rsidP="0002265C">
            <w:pPr>
              <w:jc w:val="both"/>
              <w:rPr>
                <w:i/>
                <w:sz w:val="18"/>
                <w:szCs w:val="20"/>
              </w:rPr>
            </w:pPr>
            <w:r w:rsidRPr="00C759B3">
              <w:rPr>
                <w:i/>
                <w:sz w:val="18"/>
                <w:szCs w:val="20"/>
              </w:rPr>
              <w:t>5. Obniżenie kosztów archiwizacji dokumentacji postępowań administracyjnych</w:t>
            </w:r>
          </w:p>
          <w:p w:rsidR="0002265C" w:rsidRDefault="0002265C" w:rsidP="0002265C">
            <w:pPr>
              <w:jc w:val="both"/>
              <w:rPr>
                <w:i/>
                <w:sz w:val="18"/>
                <w:szCs w:val="20"/>
              </w:rPr>
            </w:pPr>
          </w:p>
          <w:p w:rsidR="0002265C" w:rsidRDefault="0002265C" w:rsidP="0002265C">
            <w:pPr>
              <w:jc w:val="both"/>
              <w:rPr>
                <w:i/>
                <w:sz w:val="18"/>
                <w:szCs w:val="20"/>
              </w:rPr>
            </w:pPr>
            <w:r w:rsidRPr="00C759B3">
              <w:rPr>
                <w:i/>
                <w:sz w:val="18"/>
                <w:szCs w:val="20"/>
              </w:rPr>
              <w:t>6. Skrócenie czasu oczekiwania na decyzj</w:t>
            </w:r>
            <w:r>
              <w:rPr>
                <w:i/>
                <w:sz w:val="18"/>
                <w:szCs w:val="20"/>
              </w:rPr>
              <w:t>e</w:t>
            </w:r>
            <w:r w:rsidRPr="00C759B3">
              <w:rPr>
                <w:i/>
                <w:sz w:val="18"/>
                <w:szCs w:val="20"/>
              </w:rPr>
              <w:t>.</w:t>
            </w:r>
          </w:p>
          <w:p w:rsidR="0002265C" w:rsidRDefault="0002265C" w:rsidP="0002265C">
            <w:pPr>
              <w:jc w:val="both"/>
              <w:rPr>
                <w:i/>
                <w:sz w:val="18"/>
                <w:szCs w:val="20"/>
              </w:rPr>
            </w:pPr>
          </w:p>
          <w:p w:rsidR="0002265C" w:rsidRDefault="0002265C" w:rsidP="0002265C">
            <w:pPr>
              <w:jc w:val="both"/>
              <w:rPr>
                <w:i/>
                <w:sz w:val="18"/>
                <w:szCs w:val="20"/>
              </w:rPr>
            </w:pPr>
            <w:r w:rsidRPr="00C759B3">
              <w:rPr>
                <w:i/>
                <w:sz w:val="18"/>
                <w:szCs w:val="20"/>
              </w:rPr>
              <w:lastRenderedPageBreak/>
              <w:t>7. Obniżenie kosztów prowadzenia działalności gospodarczej w przypadku przedsiębiorców działających w branży budowlanej (szczególnie dotyczy to projektantów: architektów i inżynierów budownictwa). Obniżenie kosztów inwestycji dla obywateli (inwestorów prywatnych).</w:t>
            </w:r>
          </w:p>
          <w:p w:rsidR="0002265C" w:rsidRDefault="0002265C" w:rsidP="0002265C">
            <w:pPr>
              <w:jc w:val="both"/>
              <w:rPr>
                <w:i/>
                <w:sz w:val="18"/>
                <w:szCs w:val="20"/>
              </w:rPr>
            </w:pPr>
          </w:p>
          <w:p w:rsidR="0002265C" w:rsidRDefault="0002265C" w:rsidP="0002265C">
            <w:pPr>
              <w:jc w:val="both"/>
              <w:rPr>
                <w:i/>
                <w:sz w:val="18"/>
                <w:szCs w:val="20"/>
              </w:rPr>
            </w:pPr>
            <w:r w:rsidRPr="00C759B3">
              <w:rPr>
                <w:i/>
                <w:sz w:val="18"/>
                <w:szCs w:val="20"/>
              </w:rPr>
              <w:t xml:space="preserve">8. </w:t>
            </w:r>
            <w:r>
              <w:rPr>
                <w:i/>
                <w:sz w:val="18"/>
                <w:szCs w:val="20"/>
              </w:rPr>
              <w:t>Ułatwiony d</w:t>
            </w:r>
            <w:r w:rsidRPr="00C759B3">
              <w:rPr>
                <w:i/>
                <w:sz w:val="18"/>
                <w:szCs w:val="20"/>
              </w:rPr>
              <w:t>ostęp</w:t>
            </w:r>
            <w:r>
              <w:rPr>
                <w:i/>
                <w:sz w:val="18"/>
                <w:szCs w:val="20"/>
              </w:rPr>
              <w:t xml:space="preserve"> obywateli</w:t>
            </w:r>
            <w:r w:rsidRPr="00C759B3">
              <w:rPr>
                <w:i/>
                <w:sz w:val="18"/>
                <w:szCs w:val="20"/>
              </w:rPr>
              <w:t xml:space="preserve"> do informacji o statusie sprawy</w:t>
            </w:r>
          </w:p>
          <w:p w:rsidR="0002265C" w:rsidRPr="002450C4" w:rsidRDefault="0002265C" w:rsidP="0002265C">
            <w:pPr>
              <w:jc w:val="both"/>
              <w:rPr>
                <w:i/>
                <w:sz w:val="18"/>
                <w:szCs w:val="20"/>
              </w:rPr>
            </w:pP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Default="0002265C" w:rsidP="0002265C">
            <w:pPr>
              <w:rPr>
                <w:sz w:val="18"/>
                <w:szCs w:val="20"/>
              </w:rPr>
            </w:pPr>
            <w:r>
              <w:rPr>
                <w:sz w:val="18"/>
                <w:szCs w:val="20"/>
              </w:rPr>
              <w:t>E-usługi i r</w:t>
            </w:r>
            <w:r w:rsidRPr="00F82254">
              <w:rPr>
                <w:sz w:val="18"/>
                <w:szCs w:val="20"/>
              </w:rPr>
              <w:t>ejestry z jakimi zintegrował się wytworzony system w ramach realizacji projektu</w:t>
            </w:r>
          </w:p>
        </w:tc>
        <w:tc>
          <w:tcPr>
            <w:tcW w:w="7030" w:type="dxa"/>
          </w:tcPr>
          <w:p w:rsidR="0002265C" w:rsidRPr="00F82254" w:rsidRDefault="0002265C" w:rsidP="0002265C">
            <w:pPr>
              <w:jc w:val="both"/>
              <w:rPr>
                <w:i/>
                <w:sz w:val="18"/>
                <w:szCs w:val="18"/>
              </w:rPr>
            </w:pPr>
            <w:r w:rsidRPr="00F82254">
              <w:rPr>
                <w:i/>
                <w:sz w:val="18"/>
                <w:szCs w:val="18"/>
              </w:rPr>
              <w:t xml:space="preserve">&lt;Należy wymienić e-usługi z innych systemów administracji publicznej oraz rejestry z jakimi zintegrował się wytworzony system informatyczny oraz opisać w jaki sposób e-usługi dla obywateli i przedsiębiorców są dostępne i utrzymywane. </w:t>
            </w:r>
          </w:p>
          <w:p w:rsidR="0002265C" w:rsidRDefault="0002265C" w:rsidP="0002265C">
            <w:pPr>
              <w:jc w:val="both"/>
              <w:rPr>
                <w:i/>
                <w:sz w:val="18"/>
                <w:szCs w:val="18"/>
              </w:rPr>
            </w:pPr>
            <w:r w:rsidRPr="00F82254">
              <w:rPr>
                <w:i/>
                <w:sz w:val="18"/>
                <w:szCs w:val="18"/>
              </w:rPr>
              <w:t>Powyższe dane należy wskazać na dzień zakończenia projektu; maksymalnie 4000 znaków&gt;</w:t>
            </w:r>
          </w:p>
          <w:p w:rsidR="0002265C" w:rsidRDefault="0002265C" w:rsidP="0002265C">
            <w:pPr>
              <w:jc w:val="both"/>
              <w:rPr>
                <w:bCs/>
                <w:i/>
                <w:sz w:val="18"/>
                <w:szCs w:val="20"/>
              </w:rPr>
            </w:pPr>
          </w:p>
          <w:p w:rsidR="0002265C" w:rsidRDefault="0002265C" w:rsidP="0002265C">
            <w:pPr>
              <w:jc w:val="both"/>
              <w:rPr>
                <w:bCs/>
                <w:i/>
                <w:sz w:val="18"/>
                <w:szCs w:val="20"/>
              </w:rPr>
            </w:pPr>
            <w:r>
              <w:rPr>
                <w:bCs/>
                <w:i/>
                <w:sz w:val="18"/>
                <w:szCs w:val="20"/>
              </w:rPr>
              <w:t xml:space="preserve">1. </w:t>
            </w:r>
            <w:r w:rsidRPr="00C91FCC">
              <w:rPr>
                <w:bCs/>
                <w:i/>
                <w:sz w:val="18"/>
                <w:szCs w:val="20"/>
              </w:rPr>
              <w:t>EZD PUW</w:t>
            </w:r>
          </w:p>
          <w:p w:rsidR="0002265C" w:rsidRPr="00BC091E" w:rsidRDefault="0002265C" w:rsidP="0002265C">
            <w:pPr>
              <w:pStyle w:val="Akapitzlist"/>
              <w:numPr>
                <w:ilvl w:val="0"/>
                <w:numId w:val="7"/>
              </w:numPr>
              <w:jc w:val="both"/>
              <w:rPr>
                <w:bCs/>
                <w:i/>
                <w:sz w:val="18"/>
                <w:szCs w:val="20"/>
              </w:rPr>
            </w:pPr>
            <w:r w:rsidRPr="00BC091E">
              <w:rPr>
                <w:bCs/>
                <w:i/>
                <w:sz w:val="18"/>
                <w:szCs w:val="20"/>
              </w:rPr>
              <w:t xml:space="preserve">System EZD PUW pełni funkcję modułu kancelaryjnego SOPAB MVP. System korzysta z danych z pism (decyzji, postępowań, wezwań) w toku procesu </w:t>
            </w:r>
            <w:proofErr w:type="spellStart"/>
            <w:r w:rsidRPr="00BC091E">
              <w:rPr>
                <w:bCs/>
                <w:i/>
                <w:sz w:val="18"/>
                <w:szCs w:val="20"/>
              </w:rPr>
              <w:t>inwestycyjno</w:t>
            </w:r>
            <w:proofErr w:type="spellEnd"/>
            <w:r w:rsidRPr="00BC091E">
              <w:rPr>
                <w:bCs/>
                <w:i/>
                <w:sz w:val="18"/>
                <w:szCs w:val="20"/>
              </w:rPr>
              <w:t xml:space="preserve"> - budowlanego.</w:t>
            </w:r>
            <w:r>
              <w:rPr>
                <w:bCs/>
                <w:i/>
                <w:sz w:val="18"/>
                <w:szCs w:val="20"/>
              </w:rPr>
              <w:t xml:space="preserve"> I</w:t>
            </w:r>
            <w:r w:rsidRPr="00BC091E">
              <w:rPr>
                <w:bCs/>
                <w:i/>
                <w:sz w:val="18"/>
                <w:szCs w:val="20"/>
              </w:rPr>
              <w:t>ntegracja systemów pozwala na pobieranie spraw z EZD do SOPAB, a w trakcie realizacji spraw przekazywanie pism pomiędzy systemami.</w:t>
            </w:r>
          </w:p>
          <w:p w:rsidR="0002265C" w:rsidRDefault="0002265C" w:rsidP="0002265C">
            <w:pPr>
              <w:jc w:val="both"/>
              <w:rPr>
                <w:bCs/>
                <w:i/>
                <w:sz w:val="18"/>
                <w:szCs w:val="20"/>
              </w:rPr>
            </w:pPr>
            <w:r>
              <w:rPr>
                <w:bCs/>
                <w:i/>
                <w:sz w:val="18"/>
                <w:szCs w:val="20"/>
              </w:rPr>
              <w:t xml:space="preserve">2. </w:t>
            </w:r>
            <w:r w:rsidRPr="00C91FCC">
              <w:rPr>
                <w:bCs/>
                <w:i/>
                <w:sz w:val="18"/>
                <w:szCs w:val="20"/>
              </w:rPr>
              <w:t>e-Budownictwo</w:t>
            </w:r>
            <w:r>
              <w:rPr>
                <w:bCs/>
                <w:i/>
                <w:sz w:val="18"/>
                <w:szCs w:val="20"/>
              </w:rPr>
              <w:t xml:space="preserve"> Wnioski</w:t>
            </w:r>
          </w:p>
          <w:p w:rsidR="0002265C" w:rsidRDefault="0002265C" w:rsidP="0002265C">
            <w:pPr>
              <w:pStyle w:val="Akapitzlist"/>
              <w:numPr>
                <w:ilvl w:val="0"/>
                <w:numId w:val="7"/>
              </w:numPr>
              <w:jc w:val="both"/>
              <w:rPr>
                <w:bCs/>
                <w:i/>
                <w:sz w:val="18"/>
                <w:szCs w:val="20"/>
              </w:rPr>
            </w:pPr>
            <w:r>
              <w:rPr>
                <w:bCs/>
                <w:i/>
                <w:sz w:val="18"/>
                <w:szCs w:val="20"/>
              </w:rPr>
              <w:t>System umożliwia wykorzystanie danych wprowadzanych do Systemu przez jego użytkowników w widoku spraw w ramach SOPAB MVP</w:t>
            </w:r>
          </w:p>
          <w:p w:rsidR="0002265C" w:rsidRDefault="0002265C" w:rsidP="0002265C">
            <w:pPr>
              <w:jc w:val="both"/>
              <w:rPr>
                <w:bCs/>
                <w:i/>
                <w:sz w:val="18"/>
                <w:szCs w:val="20"/>
              </w:rPr>
            </w:pPr>
            <w:r>
              <w:rPr>
                <w:bCs/>
                <w:i/>
                <w:sz w:val="18"/>
                <w:szCs w:val="20"/>
              </w:rPr>
              <w:t>3. RWDZ</w:t>
            </w:r>
          </w:p>
          <w:p w:rsidR="0002265C" w:rsidRPr="00062EFC" w:rsidRDefault="0002265C" w:rsidP="0002265C">
            <w:pPr>
              <w:pStyle w:val="Akapitzlist"/>
              <w:numPr>
                <w:ilvl w:val="0"/>
                <w:numId w:val="7"/>
              </w:numPr>
              <w:jc w:val="both"/>
              <w:rPr>
                <w:bCs/>
                <w:i/>
                <w:sz w:val="18"/>
                <w:szCs w:val="20"/>
              </w:rPr>
            </w:pPr>
            <w:r w:rsidRPr="00062EFC">
              <w:rPr>
                <w:bCs/>
                <w:i/>
                <w:sz w:val="18"/>
                <w:szCs w:val="20"/>
              </w:rPr>
              <w:t>Rejestr zawiera dane (wprowadzone po 01.01.2016 r.) dot. wniosków o pozwolenie na budowę i decyzji o pozwoleniu na budowę oraz zgłoszeń dotyczących budowy</w:t>
            </w:r>
            <w:r>
              <w:rPr>
                <w:bCs/>
                <w:i/>
                <w:sz w:val="18"/>
                <w:szCs w:val="20"/>
              </w:rPr>
              <w:t xml:space="preserve"> wielu obiektów</w:t>
            </w:r>
          </w:p>
          <w:p w:rsidR="0002265C" w:rsidRDefault="0002265C" w:rsidP="0002265C">
            <w:pPr>
              <w:jc w:val="both"/>
              <w:rPr>
                <w:bCs/>
                <w:i/>
                <w:sz w:val="18"/>
                <w:szCs w:val="20"/>
              </w:rPr>
            </w:pPr>
          </w:p>
          <w:p w:rsidR="0002265C" w:rsidRPr="00BC091E" w:rsidRDefault="0002265C" w:rsidP="0002265C">
            <w:pPr>
              <w:jc w:val="both"/>
              <w:rPr>
                <w:bCs/>
                <w:i/>
                <w:sz w:val="18"/>
                <w:szCs w:val="20"/>
              </w:rPr>
            </w:pPr>
            <w:r>
              <w:rPr>
                <w:bCs/>
                <w:i/>
                <w:sz w:val="18"/>
                <w:szCs w:val="20"/>
              </w:rPr>
              <w:t xml:space="preserve">4. </w:t>
            </w:r>
            <w:r w:rsidRPr="00BC091E">
              <w:rPr>
                <w:bCs/>
                <w:i/>
                <w:sz w:val="18"/>
                <w:szCs w:val="20"/>
              </w:rPr>
              <w:t>Centralne Cyfrowe Archiwum Budownictwa</w:t>
            </w:r>
          </w:p>
          <w:p w:rsidR="0002265C" w:rsidRDefault="0002265C" w:rsidP="0002265C">
            <w:pPr>
              <w:pStyle w:val="Akapitzlist"/>
              <w:numPr>
                <w:ilvl w:val="0"/>
                <w:numId w:val="7"/>
              </w:numPr>
              <w:jc w:val="both"/>
              <w:rPr>
                <w:bCs/>
                <w:i/>
                <w:sz w:val="18"/>
                <w:szCs w:val="20"/>
              </w:rPr>
            </w:pPr>
            <w:r w:rsidRPr="00BC091E">
              <w:rPr>
                <w:bCs/>
                <w:i/>
                <w:sz w:val="18"/>
                <w:szCs w:val="20"/>
              </w:rPr>
              <w:t>Opis zależności: dane archiwalne tzw. „Zimne” przenoszone z SOPAB.</w:t>
            </w:r>
          </w:p>
          <w:p w:rsidR="0002265C" w:rsidRPr="00BC091E" w:rsidRDefault="0002265C" w:rsidP="0002265C">
            <w:pPr>
              <w:pStyle w:val="Akapitzlist"/>
              <w:numPr>
                <w:ilvl w:val="0"/>
                <w:numId w:val="7"/>
              </w:numPr>
              <w:jc w:val="both"/>
              <w:rPr>
                <w:bCs/>
                <w:i/>
                <w:sz w:val="18"/>
                <w:szCs w:val="20"/>
              </w:rPr>
            </w:pPr>
            <w:r w:rsidRPr="00BC091E">
              <w:rPr>
                <w:bCs/>
                <w:i/>
                <w:sz w:val="18"/>
                <w:szCs w:val="20"/>
              </w:rPr>
              <w:t>Aktualny status integracji: W trak</w:t>
            </w:r>
            <w:r>
              <w:rPr>
                <w:bCs/>
                <w:i/>
                <w:sz w:val="18"/>
                <w:szCs w:val="20"/>
              </w:rPr>
              <w:t>c</w:t>
            </w:r>
            <w:r w:rsidRPr="00BC091E">
              <w:rPr>
                <w:bCs/>
                <w:i/>
                <w:sz w:val="18"/>
                <w:szCs w:val="20"/>
              </w:rPr>
              <w:t>ie analizy opracowano model, w którym dane archiwalne są zarządzane przez EZD. Centralne Cyfrowe Archiwum Budownictwa nie było w zakresie produktów projektu SOPAB.</w:t>
            </w:r>
          </w:p>
          <w:p w:rsidR="0002265C" w:rsidRDefault="0002265C" w:rsidP="0002265C">
            <w:pPr>
              <w:jc w:val="both"/>
              <w:rPr>
                <w:bCs/>
                <w:i/>
                <w:sz w:val="18"/>
                <w:szCs w:val="20"/>
              </w:rPr>
            </w:pPr>
          </w:p>
          <w:p w:rsidR="0002265C" w:rsidRPr="00BC091E" w:rsidRDefault="0002265C" w:rsidP="0002265C">
            <w:pPr>
              <w:jc w:val="both"/>
              <w:rPr>
                <w:bCs/>
                <w:i/>
                <w:sz w:val="18"/>
                <w:szCs w:val="20"/>
              </w:rPr>
            </w:pPr>
            <w:r>
              <w:rPr>
                <w:bCs/>
                <w:i/>
                <w:sz w:val="18"/>
                <w:szCs w:val="20"/>
              </w:rPr>
              <w:t xml:space="preserve">5. </w:t>
            </w:r>
            <w:r w:rsidRPr="00BC091E">
              <w:rPr>
                <w:bCs/>
                <w:i/>
                <w:sz w:val="18"/>
                <w:szCs w:val="20"/>
              </w:rPr>
              <w:t>Geodezyjna Ewidencja Sieci Uzbrojenia Terenu (GESUT)</w:t>
            </w:r>
          </w:p>
          <w:p w:rsidR="0002265C" w:rsidRDefault="0002265C" w:rsidP="0002265C">
            <w:pPr>
              <w:pStyle w:val="Akapitzlist"/>
              <w:numPr>
                <w:ilvl w:val="0"/>
                <w:numId w:val="9"/>
              </w:numPr>
              <w:jc w:val="both"/>
              <w:rPr>
                <w:bCs/>
                <w:i/>
                <w:sz w:val="18"/>
                <w:szCs w:val="20"/>
              </w:rPr>
            </w:pPr>
            <w:r w:rsidRPr="00BC091E">
              <w:rPr>
                <w:bCs/>
                <w:i/>
                <w:sz w:val="18"/>
                <w:szCs w:val="20"/>
              </w:rPr>
              <w:t>Opis zależności: udostępnianie informacji o sieciach uzbrojenia terenu.</w:t>
            </w:r>
          </w:p>
          <w:p w:rsidR="0002265C" w:rsidRPr="00BC091E" w:rsidRDefault="0002265C" w:rsidP="0002265C">
            <w:pPr>
              <w:pStyle w:val="Akapitzlist"/>
              <w:numPr>
                <w:ilvl w:val="0"/>
                <w:numId w:val="9"/>
              </w:numPr>
              <w:jc w:val="both"/>
              <w:rPr>
                <w:bCs/>
                <w:i/>
                <w:sz w:val="18"/>
                <w:szCs w:val="20"/>
              </w:rPr>
            </w:pPr>
            <w:r w:rsidRPr="00BC091E">
              <w:rPr>
                <w:bCs/>
                <w:i/>
                <w:sz w:val="18"/>
                <w:szCs w:val="20"/>
              </w:rPr>
              <w:t xml:space="preserve">Aktualny status integracji: Zintegrowane zgodnie z założeniami – dane z sytemu GESUT udostępniane są w systemie SOPAB poprzez moduł mapowy. </w:t>
            </w:r>
          </w:p>
          <w:p w:rsidR="0002265C" w:rsidRPr="00BC091E" w:rsidRDefault="0002265C" w:rsidP="0002265C">
            <w:pPr>
              <w:jc w:val="both"/>
              <w:rPr>
                <w:bCs/>
                <w:i/>
                <w:sz w:val="18"/>
                <w:szCs w:val="20"/>
              </w:rPr>
            </w:pPr>
          </w:p>
          <w:p w:rsidR="0002265C" w:rsidRPr="00BC091E" w:rsidRDefault="0002265C" w:rsidP="0002265C">
            <w:pPr>
              <w:jc w:val="both"/>
              <w:rPr>
                <w:bCs/>
                <w:i/>
                <w:sz w:val="18"/>
                <w:szCs w:val="20"/>
              </w:rPr>
            </w:pPr>
            <w:r>
              <w:rPr>
                <w:bCs/>
                <w:i/>
                <w:sz w:val="18"/>
                <w:szCs w:val="20"/>
              </w:rPr>
              <w:t xml:space="preserve">6. </w:t>
            </w:r>
            <w:r w:rsidRPr="00BC091E">
              <w:rPr>
                <w:bCs/>
                <w:i/>
                <w:sz w:val="18"/>
                <w:szCs w:val="20"/>
              </w:rPr>
              <w:t xml:space="preserve">Krajowy System Zarządzania Bazą Danych Obiektów Topograficznych (KSZBDOT)  </w:t>
            </w:r>
          </w:p>
          <w:p w:rsidR="0002265C" w:rsidRDefault="0002265C" w:rsidP="0002265C">
            <w:pPr>
              <w:pStyle w:val="Akapitzlist"/>
              <w:numPr>
                <w:ilvl w:val="0"/>
                <w:numId w:val="10"/>
              </w:numPr>
              <w:jc w:val="both"/>
              <w:rPr>
                <w:bCs/>
                <w:i/>
                <w:sz w:val="18"/>
                <w:szCs w:val="20"/>
              </w:rPr>
            </w:pPr>
            <w:r w:rsidRPr="00BC091E">
              <w:rPr>
                <w:bCs/>
                <w:i/>
                <w:sz w:val="18"/>
                <w:szCs w:val="20"/>
              </w:rPr>
              <w:t xml:space="preserve">Opis zależności: korzystanie tj. korzystanie z danych o obiektach topograficznych </w:t>
            </w:r>
          </w:p>
          <w:p w:rsidR="0002265C" w:rsidRPr="00BC091E" w:rsidRDefault="0002265C" w:rsidP="0002265C">
            <w:pPr>
              <w:pStyle w:val="Akapitzlist"/>
              <w:numPr>
                <w:ilvl w:val="0"/>
                <w:numId w:val="10"/>
              </w:numPr>
              <w:jc w:val="both"/>
              <w:rPr>
                <w:bCs/>
                <w:i/>
                <w:sz w:val="18"/>
                <w:szCs w:val="20"/>
              </w:rPr>
            </w:pPr>
            <w:r w:rsidRPr="00BC091E">
              <w:rPr>
                <w:bCs/>
                <w:i/>
                <w:sz w:val="18"/>
                <w:szCs w:val="20"/>
              </w:rPr>
              <w:t>Aktualny status integracji:  w trakcie testów</w:t>
            </w:r>
          </w:p>
          <w:p w:rsidR="0002265C" w:rsidRPr="00BC091E" w:rsidRDefault="0002265C" w:rsidP="0002265C">
            <w:pPr>
              <w:jc w:val="both"/>
              <w:rPr>
                <w:bCs/>
                <w:i/>
                <w:sz w:val="18"/>
                <w:szCs w:val="20"/>
              </w:rPr>
            </w:pPr>
          </w:p>
          <w:p w:rsidR="0002265C" w:rsidRPr="00BC091E" w:rsidRDefault="0002265C" w:rsidP="0002265C">
            <w:pPr>
              <w:jc w:val="both"/>
              <w:rPr>
                <w:bCs/>
                <w:i/>
                <w:sz w:val="18"/>
                <w:szCs w:val="20"/>
              </w:rPr>
            </w:pPr>
            <w:r>
              <w:rPr>
                <w:bCs/>
                <w:i/>
                <w:sz w:val="18"/>
                <w:szCs w:val="20"/>
              </w:rPr>
              <w:t xml:space="preserve">7. </w:t>
            </w:r>
            <w:r w:rsidRPr="00BC091E">
              <w:rPr>
                <w:bCs/>
                <w:i/>
                <w:sz w:val="18"/>
                <w:szCs w:val="20"/>
              </w:rPr>
              <w:t xml:space="preserve">Państwowy Rejestr Podstawowych Osnów Geodezyjnych Grawimetrycznych i Magnetycznych (PRPOG)  </w:t>
            </w:r>
          </w:p>
          <w:p w:rsidR="0002265C" w:rsidRDefault="0002265C" w:rsidP="0002265C">
            <w:pPr>
              <w:pStyle w:val="Akapitzlist"/>
              <w:numPr>
                <w:ilvl w:val="0"/>
                <w:numId w:val="11"/>
              </w:numPr>
              <w:jc w:val="both"/>
              <w:rPr>
                <w:bCs/>
                <w:i/>
                <w:sz w:val="18"/>
                <w:szCs w:val="20"/>
              </w:rPr>
            </w:pPr>
            <w:r w:rsidRPr="00BC091E">
              <w:rPr>
                <w:bCs/>
                <w:i/>
                <w:sz w:val="18"/>
                <w:szCs w:val="20"/>
              </w:rPr>
              <w:t>Opis zależności: korzystanie z danych o osnowach geodezyjnych grawimetrycznych i magnetycznych.</w:t>
            </w:r>
          </w:p>
          <w:p w:rsidR="0002265C" w:rsidRPr="00BC091E" w:rsidRDefault="0002265C" w:rsidP="0002265C">
            <w:pPr>
              <w:pStyle w:val="Akapitzlist"/>
              <w:numPr>
                <w:ilvl w:val="0"/>
                <w:numId w:val="11"/>
              </w:numPr>
              <w:jc w:val="both"/>
              <w:rPr>
                <w:bCs/>
                <w:i/>
                <w:sz w:val="18"/>
                <w:szCs w:val="20"/>
              </w:rPr>
            </w:pPr>
            <w:r w:rsidRPr="00BC091E">
              <w:rPr>
                <w:bCs/>
                <w:i/>
                <w:sz w:val="18"/>
                <w:szCs w:val="20"/>
              </w:rPr>
              <w:t>Aktualny status integracji: w trakcie testów</w:t>
            </w:r>
          </w:p>
          <w:p w:rsidR="0002265C" w:rsidRPr="00BC091E" w:rsidRDefault="0002265C" w:rsidP="0002265C">
            <w:pPr>
              <w:jc w:val="both"/>
              <w:rPr>
                <w:bCs/>
                <w:i/>
                <w:sz w:val="18"/>
                <w:szCs w:val="20"/>
              </w:rPr>
            </w:pPr>
            <w:r w:rsidRPr="00BC091E">
              <w:rPr>
                <w:bCs/>
                <w:i/>
                <w:sz w:val="18"/>
                <w:szCs w:val="20"/>
              </w:rPr>
              <w:t xml:space="preserve"> </w:t>
            </w:r>
          </w:p>
          <w:p w:rsidR="0002265C" w:rsidRPr="00BC091E" w:rsidRDefault="0002265C" w:rsidP="0002265C">
            <w:pPr>
              <w:jc w:val="both"/>
              <w:rPr>
                <w:bCs/>
                <w:i/>
                <w:sz w:val="18"/>
                <w:szCs w:val="20"/>
              </w:rPr>
            </w:pPr>
            <w:r>
              <w:rPr>
                <w:bCs/>
                <w:i/>
                <w:sz w:val="18"/>
                <w:szCs w:val="20"/>
              </w:rPr>
              <w:t xml:space="preserve">8. </w:t>
            </w:r>
            <w:r w:rsidRPr="00BC091E">
              <w:rPr>
                <w:bCs/>
                <w:i/>
                <w:sz w:val="18"/>
                <w:szCs w:val="20"/>
              </w:rPr>
              <w:t>Ewidencja Gruntów i Budynków (</w:t>
            </w:r>
            <w:proofErr w:type="spellStart"/>
            <w:r w:rsidRPr="00BC091E">
              <w:rPr>
                <w:bCs/>
                <w:i/>
                <w:sz w:val="18"/>
                <w:szCs w:val="20"/>
              </w:rPr>
              <w:t>EGiB</w:t>
            </w:r>
            <w:proofErr w:type="spellEnd"/>
            <w:r w:rsidRPr="00BC091E">
              <w:rPr>
                <w:bCs/>
                <w:i/>
                <w:sz w:val="18"/>
                <w:szCs w:val="20"/>
              </w:rPr>
              <w:t xml:space="preserve">)  </w:t>
            </w:r>
          </w:p>
          <w:p w:rsidR="0002265C" w:rsidRPr="00BC091E" w:rsidRDefault="0002265C" w:rsidP="0002265C">
            <w:pPr>
              <w:pStyle w:val="Akapitzlist"/>
              <w:numPr>
                <w:ilvl w:val="0"/>
                <w:numId w:val="12"/>
              </w:numPr>
              <w:jc w:val="both"/>
              <w:rPr>
                <w:bCs/>
                <w:i/>
                <w:sz w:val="18"/>
                <w:szCs w:val="20"/>
              </w:rPr>
            </w:pPr>
            <w:r w:rsidRPr="00BC091E">
              <w:rPr>
                <w:bCs/>
                <w:i/>
                <w:sz w:val="18"/>
                <w:szCs w:val="20"/>
              </w:rPr>
              <w:t>Opis zależności: korzystanie z danych o ewidencji gruntów budynków i lokali.</w:t>
            </w:r>
          </w:p>
          <w:p w:rsidR="0002265C" w:rsidRPr="00BC091E" w:rsidRDefault="0002265C" w:rsidP="0002265C">
            <w:pPr>
              <w:pStyle w:val="Akapitzlist"/>
              <w:numPr>
                <w:ilvl w:val="0"/>
                <w:numId w:val="12"/>
              </w:numPr>
              <w:jc w:val="both"/>
              <w:rPr>
                <w:bCs/>
                <w:i/>
                <w:sz w:val="18"/>
                <w:szCs w:val="20"/>
              </w:rPr>
            </w:pPr>
            <w:r w:rsidRPr="00BC091E">
              <w:rPr>
                <w:bCs/>
                <w:i/>
                <w:sz w:val="18"/>
                <w:szCs w:val="20"/>
              </w:rPr>
              <w:t xml:space="preserve">Aktualny status integracji: Zintegrowane zgodnie z założeniami – dane z </w:t>
            </w:r>
            <w:proofErr w:type="spellStart"/>
            <w:r w:rsidRPr="00BC091E">
              <w:rPr>
                <w:bCs/>
                <w:i/>
                <w:sz w:val="18"/>
                <w:szCs w:val="20"/>
              </w:rPr>
              <w:t>EGiB</w:t>
            </w:r>
            <w:proofErr w:type="spellEnd"/>
            <w:r w:rsidRPr="00BC091E">
              <w:rPr>
                <w:bCs/>
                <w:i/>
                <w:sz w:val="18"/>
                <w:szCs w:val="20"/>
              </w:rPr>
              <w:t xml:space="preserve"> udostępniane są w systemie SOPAB poprzez moduł mapowy. </w:t>
            </w:r>
          </w:p>
          <w:p w:rsidR="0002265C" w:rsidRPr="00BC091E" w:rsidRDefault="0002265C" w:rsidP="0002265C">
            <w:pPr>
              <w:jc w:val="both"/>
              <w:rPr>
                <w:bCs/>
                <w:i/>
                <w:sz w:val="18"/>
                <w:szCs w:val="20"/>
              </w:rPr>
            </w:pPr>
          </w:p>
          <w:p w:rsidR="0002265C" w:rsidRPr="00BC091E" w:rsidRDefault="0002265C" w:rsidP="0002265C">
            <w:pPr>
              <w:jc w:val="both"/>
              <w:rPr>
                <w:bCs/>
                <w:i/>
                <w:sz w:val="18"/>
                <w:szCs w:val="20"/>
              </w:rPr>
            </w:pPr>
            <w:r>
              <w:rPr>
                <w:bCs/>
                <w:i/>
                <w:sz w:val="18"/>
                <w:szCs w:val="20"/>
              </w:rPr>
              <w:t xml:space="preserve">9. </w:t>
            </w:r>
            <w:r w:rsidRPr="00BC091E">
              <w:rPr>
                <w:bCs/>
                <w:i/>
                <w:sz w:val="18"/>
                <w:szCs w:val="20"/>
              </w:rPr>
              <w:t xml:space="preserve">Baza danych obiektów topograficznych (BDOT500)  </w:t>
            </w:r>
          </w:p>
          <w:p w:rsidR="0002265C" w:rsidRDefault="0002265C" w:rsidP="0002265C">
            <w:pPr>
              <w:pStyle w:val="Akapitzlist"/>
              <w:numPr>
                <w:ilvl w:val="0"/>
                <w:numId w:val="13"/>
              </w:numPr>
              <w:jc w:val="both"/>
              <w:rPr>
                <w:bCs/>
                <w:i/>
                <w:sz w:val="18"/>
                <w:szCs w:val="20"/>
              </w:rPr>
            </w:pPr>
            <w:r w:rsidRPr="00BC091E">
              <w:rPr>
                <w:bCs/>
                <w:i/>
                <w:sz w:val="18"/>
                <w:szCs w:val="20"/>
              </w:rPr>
              <w:t>Opis zależności: korzystanie z danych obiektów topograficznych o szczegółowości zapewniającej tworzenie opracowań w skali 1:500-1:5000</w:t>
            </w:r>
          </w:p>
          <w:p w:rsidR="0002265C" w:rsidRPr="00BC091E" w:rsidRDefault="0002265C" w:rsidP="0002265C">
            <w:pPr>
              <w:pStyle w:val="Akapitzlist"/>
              <w:numPr>
                <w:ilvl w:val="0"/>
                <w:numId w:val="13"/>
              </w:numPr>
              <w:jc w:val="both"/>
              <w:rPr>
                <w:bCs/>
                <w:i/>
                <w:sz w:val="18"/>
                <w:szCs w:val="20"/>
              </w:rPr>
            </w:pPr>
            <w:r w:rsidRPr="00BC091E">
              <w:rPr>
                <w:bCs/>
                <w:i/>
                <w:sz w:val="18"/>
                <w:szCs w:val="20"/>
              </w:rPr>
              <w:t>Aktualny status integracji: w trakcie testów</w:t>
            </w:r>
          </w:p>
          <w:p w:rsidR="0002265C" w:rsidRPr="00BC091E" w:rsidRDefault="0002265C" w:rsidP="0002265C">
            <w:pPr>
              <w:jc w:val="both"/>
              <w:rPr>
                <w:bCs/>
                <w:i/>
                <w:sz w:val="18"/>
                <w:szCs w:val="20"/>
              </w:rPr>
            </w:pPr>
            <w:r w:rsidRPr="00BC091E">
              <w:rPr>
                <w:bCs/>
                <w:i/>
                <w:sz w:val="18"/>
                <w:szCs w:val="20"/>
              </w:rPr>
              <w:t xml:space="preserve"> </w:t>
            </w:r>
          </w:p>
          <w:p w:rsidR="0002265C" w:rsidRPr="00BC091E" w:rsidRDefault="0002265C" w:rsidP="0002265C">
            <w:pPr>
              <w:jc w:val="both"/>
              <w:rPr>
                <w:bCs/>
                <w:i/>
                <w:sz w:val="18"/>
                <w:szCs w:val="20"/>
              </w:rPr>
            </w:pPr>
            <w:r>
              <w:rPr>
                <w:bCs/>
                <w:i/>
                <w:sz w:val="18"/>
                <w:szCs w:val="20"/>
              </w:rPr>
              <w:t xml:space="preserve">10. </w:t>
            </w:r>
            <w:r w:rsidRPr="00BC091E">
              <w:rPr>
                <w:bCs/>
                <w:i/>
                <w:sz w:val="18"/>
                <w:szCs w:val="20"/>
              </w:rPr>
              <w:t xml:space="preserve">System Zarządzania Numerycznym Modelem Terenu ( SZNMT) </w:t>
            </w:r>
          </w:p>
          <w:p w:rsidR="0002265C" w:rsidRPr="00BC091E" w:rsidRDefault="0002265C" w:rsidP="0002265C">
            <w:pPr>
              <w:pStyle w:val="Akapitzlist"/>
              <w:numPr>
                <w:ilvl w:val="0"/>
                <w:numId w:val="14"/>
              </w:numPr>
              <w:jc w:val="both"/>
              <w:rPr>
                <w:bCs/>
                <w:i/>
                <w:sz w:val="18"/>
                <w:szCs w:val="20"/>
              </w:rPr>
            </w:pPr>
            <w:r w:rsidRPr="00BC091E">
              <w:rPr>
                <w:bCs/>
                <w:i/>
                <w:sz w:val="18"/>
                <w:szCs w:val="20"/>
              </w:rPr>
              <w:t xml:space="preserve">Opis zależności: korzystanie z danych fotogrametrycznych </w:t>
            </w:r>
          </w:p>
          <w:p w:rsidR="0002265C" w:rsidRPr="00BC091E" w:rsidRDefault="0002265C" w:rsidP="0002265C">
            <w:pPr>
              <w:pStyle w:val="Akapitzlist"/>
              <w:numPr>
                <w:ilvl w:val="0"/>
                <w:numId w:val="14"/>
              </w:numPr>
              <w:jc w:val="both"/>
              <w:rPr>
                <w:bCs/>
                <w:i/>
                <w:sz w:val="18"/>
                <w:szCs w:val="20"/>
              </w:rPr>
            </w:pPr>
            <w:r w:rsidRPr="00BC091E">
              <w:rPr>
                <w:bCs/>
                <w:i/>
                <w:sz w:val="18"/>
                <w:szCs w:val="20"/>
              </w:rPr>
              <w:t>Aktualny status integracji: w trakcie testów</w:t>
            </w:r>
          </w:p>
          <w:p w:rsidR="0002265C" w:rsidRPr="00BC091E" w:rsidRDefault="0002265C" w:rsidP="0002265C">
            <w:pPr>
              <w:jc w:val="both"/>
              <w:rPr>
                <w:bCs/>
                <w:i/>
                <w:sz w:val="18"/>
                <w:szCs w:val="20"/>
              </w:rPr>
            </w:pPr>
            <w:r w:rsidRPr="00BC091E">
              <w:rPr>
                <w:bCs/>
                <w:i/>
                <w:sz w:val="18"/>
                <w:szCs w:val="20"/>
              </w:rPr>
              <w:t xml:space="preserve"> </w:t>
            </w:r>
          </w:p>
          <w:p w:rsidR="0002265C" w:rsidRPr="00BC091E" w:rsidRDefault="0002265C" w:rsidP="0002265C">
            <w:pPr>
              <w:jc w:val="both"/>
              <w:rPr>
                <w:bCs/>
                <w:i/>
                <w:sz w:val="18"/>
                <w:szCs w:val="20"/>
              </w:rPr>
            </w:pPr>
            <w:r>
              <w:rPr>
                <w:bCs/>
                <w:i/>
                <w:sz w:val="18"/>
                <w:szCs w:val="20"/>
              </w:rPr>
              <w:t xml:space="preserve">11. </w:t>
            </w:r>
            <w:r w:rsidRPr="00BC091E">
              <w:rPr>
                <w:bCs/>
                <w:i/>
                <w:sz w:val="18"/>
                <w:szCs w:val="20"/>
              </w:rPr>
              <w:t xml:space="preserve">System Zarządzania Państwowym Rejestrem Nazw Geograficznych (SZPRNG)   </w:t>
            </w:r>
          </w:p>
          <w:p w:rsidR="0002265C" w:rsidRPr="00BC091E" w:rsidRDefault="0002265C" w:rsidP="0002265C">
            <w:pPr>
              <w:pStyle w:val="Akapitzlist"/>
              <w:numPr>
                <w:ilvl w:val="0"/>
                <w:numId w:val="15"/>
              </w:numPr>
              <w:jc w:val="both"/>
              <w:rPr>
                <w:bCs/>
                <w:i/>
                <w:sz w:val="18"/>
                <w:szCs w:val="20"/>
              </w:rPr>
            </w:pPr>
            <w:r w:rsidRPr="00BC091E">
              <w:rPr>
                <w:bCs/>
                <w:i/>
                <w:sz w:val="18"/>
                <w:szCs w:val="20"/>
              </w:rPr>
              <w:t>Opis zależności: korzystanie państwowego rejestru nazw geograficznych.</w:t>
            </w:r>
          </w:p>
          <w:p w:rsidR="0002265C" w:rsidRPr="00BC091E" w:rsidRDefault="0002265C" w:rsidP="0002265C">
            <w:pPr>
              <w:pStyle w:val="Akapitzlist"/>
              <w:numPr>
                <w:ilvl w:val="0"/>
                <w:numId w:val="15"/>
              </w:numPr>
              <w:jc w:val="both"/>
              <w:rPr>
                <w:bCs/>
                <w:i/>
                <w:sz w:val="18"/>
                <w:szCs w:val="20"/>
              </w:rPr>
            </w:pPr>
            <w:r w:rsidRPr="00BC091E">
              <w:rPr>
                <w:bCs/>
                <w:i/>
                <w:sz w:val="18"/>
                <w:szCs w:val="20"/>
              </w:rPr>
              <w:lastRenderedPageBreak/>
              <w:t>Aktualny status integracji: w trakcie testów</w:t>
            </w:r>
          </w:p>
          <w:p w:rsidR="0002265C" w:rsidRPr="00BC091E" w:rsidRDefault="0002265C" w:rsidP="0002265C">
            <w:pPr>
              <w:jc w:val="both"/>
              <w:rPr>
                <w:bCs/>
                <w:i/>
                <w:sz w:val="18"/>
                <w:szCs w:val="20"/>
              </w:rPr>
            </w:pPr>
            <w:r w:rsidRPr="00BC091E">
              <w:rPr>
                <w:bCs/>
                <w:i/>
                <w:sz w:val="18"/>
                <w:szCs w:val="20"/>
              </w:rPr>
              <w:t xml:space="preserve"> </w:t>
            </w:r>
          </w:p>
          <w:p w:rsidR="0002265C" w:rsidRPr="00BC091E" w:rsidRDefault="0002265C" w:rsidP="0002265C">
            <w:pPr>
              <w:jc w:val="both"/>
              <w:rPr>
                <w:bCs/>
                <w:i/>
                <w:sz w:val="18"/>
                <w:szCs w:val="20"/>
              </w:rPr>
            </w:pPr>
            <w:r>
              <w:rPr>
                <w:bCs/>
                <w:i/>
                <w:sz w:val="18"/>
                <w:szCs w:val="20"/>
              </w:rPr>
              <w:t xml:space="preserve">12. </w:t>
            </w:r>
            <w:r w:rsidRPr="00BC091E">
              <w:rPr>
                <w:bCs/>
                <w:i/>
                <w:sz w:val="18"/>
                <w:szCs w:val="20"/>
              </w:rPr>
              <w:t>Studium Uwarunkowań i Kierunków Zagospodarowania Przestrzennego (</w:t>
            </w:r>
            <w:proofErr w:type="spellStart"/>
            <w:r w:rsidRPr="00BC091E">
              <w:rPr>
                <w:bCs/>
                <w:i/>
                <w:sz w:val="18"/>
                <w:szCs w:val="20"/>
              </w:rPr>
              <w:t>SUiKZP</w:t>
            </w:r>
            <w:proofErr w:type="spellEnd"/>
            <w:r w:rsidRPr="00BC091E">
              <w:rPr>
                <w:bCs/>
                <w:i/>
                <w:sz w:val="18"/>
                <w:szCs w:val="20"/>
              </w:rPr>
              <w:t xml:space="preserve">)  </w:t>
            </w:r>
          </w:p>
          <w:p w:rsidR="0002265C" w:rsidRPr="00BC091E" w:rsidRDefault="0002265C" w:rsidP="0002265C">
            <w:pPr>
              <w:pStyle w:val="Akapitzlist"/>
              <w:numPr>
                <w:ilvl w:val="0"/>
                <w:numId w:val="16"/>
              </w:numPr>
              <w:jc w:val="both"/>
              <w:rPr>
                <w:bCs/>
                <w:i/>
                <w:sz w:val="18"/>
                <w:szCs w:val="20"/>
              </w:rPr>
            </w:pPr>
            <w:r w:rsidRPr="00BC091E">
              <w:rPr>
                <w:bCs/>
                <w:i/>
                <w:sz w:val="18"/>
                <w:szCs w:val="20"/>
              </w:rPr>
              <w:t>Opis zależności: korzystanie z polityki zagospodarowania przestrzennego gminy.</w:t>
            </w:r>
          </w:p>
          <w:p w:rsidR="0002265C" w:rsidRPr="00BC091E" w:rsidRDefault="0002265C" w:rsidP="0002265C">
            <w:pPr>
              <w:pStyle w:val="Akapitzlist"/>
              <w:numPr>
                <w:ilvl w:val="0"/>
                <w:numId w:val="16"/>
              </w:numPr>
              <w:jc w:val="both"/>
              <w:rPr>
                <w:bCs/>
                <w:i/>
                <w:sz w:val="18"/>
                <w:szCs w:val="20"/>
              </w:rPr>
            </w:pPr>
            <w:r w:rsidRPr="00BC091E">
              <w:rPr>
                <w:bCs/>
                <w:i/>
                <w:sz w:val="18"/>
                <w:szCs w:val="20"/>
              </w:rPr>
              <w:t>Aktualny status integracji: w trakcie testów</w:t>
            </w:r>
          </w:p>
          <w:p w:rsidR="0002265C" w:rsidRPr="00BC091E" w:rsidRDefault="0002265C" w:rsidP="0002265C">
            <w:pPr>
              <w:jc w:val="both"/>
              <w:rPr>
                <w:bCs/>
                <w:i/>
                <w:sz w:val="18"/>
                <w:szCs w:val="20"/>
              </w:rPr>
            </w:pPr>
            <w:r w:rsidRPr="00BC091E">
              <w:rPr>
                <w:bCs/>
                <w:i/>
                <w:sz w:val="18"/>
                <w:szCs w:val="20"/>
              </w:rPr>
              <w:t xml:space="preserve"> </w:t>
            </w:r>
          </w:p>
          <w:p w:rsidR="0002265C" w:rsidRPr="00BC091E" w:rsidRDefault="0002265C" w:rsidP="0002265C">
            <w:pPr>
              <w:jc w:val="both"/>
              <w:rPr>
                <w:bCs/>
                <w:i/>
                <w:sz w:val="18"/>
                <w:szCs w:val="20"/>
              </w:rPr>
            </w:pPr>
            <w:r>
              <w:rPr>
                <w:bCs/>
                <w:i/>
                <w:sz w:val="18"/>
                <w:szCs w:val="20"/>
              </w:rPr>
              <w:t xml:space="preserve">13. </w:t>
            </w:r>
            <w:r w:rsidRPr="00BC091E">
              <w:rPr>
                <w:bCs/>
                <w:i/>
                <w:sz w:val="18"/>
                <w:szCs w:val="20"/>
              </w:rPr>
              <w:t xml:space="preserve">Szczegółowe osnowy geodezyjne (SOG)  </w:t>
            </w:r>
          </w:p>
          <w:p w:rsidR="0002265C" w:rsidRPr="00BC091E" w:rsidRDefault="0002265C" w:rsidP="0002265C">
            <w:pPr>
              <w:pStyle w:val="Akapitzlist"/>
              <w:numPr>
                <w:ilvl w:val="0"/>
                <w:numId w:val="17"/>
              </w:numPr>
              <w:jc w:val="both"/>
              <w:rPr>
                <w:bCs/>
                <w:i/>
                <w:sz w:val="18"/>
                <w:szCs w:val="20"/>
              </w:rPr>
            </w:pPr>
            <w:r w:rsidRPr="00BC091E">
              <w:rPr>
                <w:bCs/>
                <w:i/>
                <w:sz w:val="18"/>
                <w:szCs w:val="20"/>
              </w:rPr>
              <w:t>Opis zależności: korzystanie z bazy danych o szczegółowych osnowach geodezyjnych.</w:t>
            </w:r>
          </w:p>
          <w:p w:rsidR="0002265C" w:rsidRPr="00BC091E" w:rsidRDefault="0002265C" w:rsidP="0002265C">
            <w:pPr>
              <w:pStyle w:val="Akapitzlist"/>
              <w:numPr>
                <w:ilvl w:val="0"/>
                <w:numId w:val="17"/>
              </w:numPr>
              <w:jc w:val="both"/>
              <w:rPr>
                <w:bCs/>
                <w:i/>
                <w:sz w:val="18"/>
                <w:szCs w:val="20"/>
              </w:rPr>
            </w:pPr>
            <w:r w:rsidRPr="00BC091E">
              <w:rPr>
                <w:bCs/>
                <w:i/>
                <w:sz w:val="18"/>
                <w:szCs w:val="20"/>
              </w:rPr>
              <w:t>Aktualny status integracji: w trakcie testów</w:t>
            </w:r>
          </w:p>
          <w:p w:rsidR="0002265C" w:rsidRPr="00BC091E" w:rsidRDefault="0002265C" w:rsidP="0002265C">
            <w:pPr>
              <w:jc w:val="both"/>
              <w:rPr>
                <w:bCs/>
                <w:i/>
                <w:sz w:val="18"/>
                <w:szCs w:val="20"/>
              </w:rPr>
            </w:pPr>
          </w:p>
          <w:p w:rsidR="0002265C" w:rsidRPr="00BC091E" w:rsidRDefault="0002265C" w:rsidP="0002265C">
            <w:pPr>
              <w:jc w:val="both"/>
              <w:rPr>
                <w:bCs/>
                <w:i/>
                <w:sz w:val="18"/>
                <w:szCs w:val="20"/>
              </w:rPr>
            </w:pPr>
            <w:r>
              <w:rPr>
                <w:bCs/>
                <w:i/>
                <w:sz w:val="18"/>
                <w:szCs w:val="20"/>
              </w:rPr>
              <w:t xml:space="preserve">14. </w:t>
            </w:r>
            <w:proofErr w:type="spellStart"/>
            <w:r w:rsidRPr="00BC091E">
              <w:rPr>
                <w:bCs/>
                <w:i/>
                <w:sz w:val="18"/>
                <w:szCs w:val="20"/>
              </w:rPr>
              <w:t>Geoportal</w:t>
            </w:r>
            <w:proofErr w:type="spellEnd"/>
            <w:r w:rsidRPr="00BC091E">
              <w:rPr>
                <w:bCs/>
                <w:i/>
                <w:sz w:val="18"/>
                <w:szCs w:val="20"/>
              </w:rPr>
              <w:t xml:space="preserve">  </w:t>
            </w:r>
          </w:p>
          <w:p w:rsidR="0002265C" w:rsidRPr="00BC091E" w:rsidRDefault="0002265C" w:rsidP="0002265C">
            <w:pPr>
              <w:pStyle w:val="Akapitzlist"/>
              <w:numPr>
                <w:ilvl w:val="0"/>
                <w:numId w:val="18"/>
              </w:numPr>
              <w:jc w:val="both"/>
              <w:rPr>
                <w:bCs/>
                <w:i/>
                <w:sz w:val="18"/>
                <w:szCs w:val="20"/>
              </w:rPr>
            </w:pPr>
            <w:r w:rsidRPr="00BC091E">
              <w:rPr>
                <w:bCs/>
                <w:i/>
                <w:sz w:val="18"/>
                <w:szCs w:val="20"/>
              </w:rPr>
              <w:t>Opis zależności: korzystanie ze zbioru danych przestrzennych.</w:t>
            </w:r>
          </w:p>
          <w:p w:rsidR="0002265C" w:rsidRPr="00BC091E" w:rsidRDefault="0002265C" w:rsidP="0002265C">
            <w:pPr>
              <w:pStyle w:val="Akapitzlist"/>
              <w:numPr>
                <w:ilvl w:val="0"/>
                <w:numId w:val="18"/>
              </w:numPr>
              <w:jc w:val="both"/>
              <w:rPr>
                <w:bCs/>
                <w:i/>
                <w:sz w:val="18"/>
                <w:szCs w:val="20"/>
              </w:rPr>
            </w:pPr>
            <w:r w:rsidRPr="00BC091E">
              <w:rPr>
                <w:bCs/>
                <w:i/>
                <w:sz w:val="18"/>
                <w:szCs w:val="20"/>
              </w:rPr>
              <w:t xml:space="preserve">Aktualny status integracji: SOPAB MVP korzysta z usług i danych zawartych w ramach </w:t>
            </w:r>
            <w:proofErr w:type="spellStart"/>
            <w:r w:rsidRPr="00BC091E">
              <w:rPr>
                <w:bCs/>
                <w:i/>
                <w:sz w:val="18"/>
                <w:szCs w:val="20"/>
              </w:rPr>
              <w:t>Geoportalu</w:t>
            </w:r>
            <w:proofErr w:type="spellEnd"/>
            <w:r w:rsidRPr="00BC091E">
              <w:rPr>
                <w:bCs/>
                <w:i/>
                <w:sz w:val="18"/>
                <w:szCs w:val="20"/>
              </w:rPr>
              <w:t xml:space="preserve"> poprzez moduł mapowy </w:t>
            </w:r>
          </w:p>
          <w:p w:rsidR="0002265C" w:rsidRPr="00BC091E" w:rsidRDefault="0002265C" w:rsidP="0002265C">
            <w:pPr>
              <w:jc w:val="both"/>
              <w:rPr>
                <w:bCs/>
                <w:i/>
                <w:sz w:val="18"/>
                <w:szCs w:val="20"/>
              </w:rPr>
            </w:pPr>
          </w:p>
          <w:p w:rsidR="0002265C" w:rsidRPr="00BC091E" w:rsidRDefault="0002265C" w:rsidP="0002265C">
            <w:pPr>
              <w:jc w:val="both"/>
              <w:rPr>
                <w:bCs/>
                <w:i/>
                <w:sz w:val="18"/>
                <w:szCs w:val="20"/>
              </w:rPr>
            </w:pPr>
            <w:r>
              <w:rPr>
                <w:bCs/>
                <w:i/>
                <w:sz w:val="18"/>
                <w:szCs w:val="20"/>
              </w:rPr>
              <w:t xml:space="preserve">15. </w:t>
            </w:r>
            <w:r w:rsidRPr="00BC091E">
              <w:rPr>
                <w:bCs/>
                <w:i/>
                <w:sz w:val="18"/>
                <w:szCs w:val="20"/>
              </w:rPr>
              <w:t xml:space="preserve">Miejscowy plan zagospodarowania przestrzennego  </w:t>
            </w:r>
          </w:p>
          <w:p w:rsidR="0002265C" w:rsidRPr="00BC091E" w:rsidRDefault="0002265C" w:rsidP="0002265C">
            <w:pPr>
              <w:pStyle w:val="Akapitzlist"/>
              <w:numPr>
                <w:ilvl w:val="0"/>
                <w:numId w:val="19"/>
              </w:numPr>
              <w:jc w:val="both"/>
              <w:rPr>
                <w:bCs/>
                <w:i/>
                <w:sz w:val="18"/>
                <w:szCs w:val="20"/>
              </w:rPr>
            </w:pPr>
            <w:r w:rsidRPr="00BC091E">
              <w:rPr>
                <w:bCs/>
                <w:i/>
                <w:sz w:val="18"/>
                <w:szCs w:val="20"/>
              </w:rPr>
              <w:t>Opis zależności: korzystanie z miejscowych planów zagospodarowania przestrzennego.</w:t>
            </w:r>
          </w:p>
          <w:p w:rsidR="0002265C" w:rsidRPr="00BC091E" w:rsidRDefault="0002265C" w:rsidP="0002265C">
            <w:pPr>
              <w:pStyle w:val="Akapitzlist"/>
              <w:numPr>
                <w:ilvl w:val="0"/>
                <w:numId w:val="19"/>
              </w:numPr>
              <w:jc w:val="both"/>
              <w:rPr>
                <w:bCs/>
                <w:i/>
                <w:sz w:val="18"/>
                <w:szCs w:val="20"/>
              </w:rPr>
            </w:pPr>
            <w:r w:rsidRPr="00BC091E">
              <w:rPr>
                <w:bCs/>
                <w:i/>
                <w:sz w:val="18"/>
                <w:szCs w:val="20"/>
              </w:rPr>
              <w:t xml:space="preserve">Aktualny status integracji: Zintegrowane zgodnie z założeniami – plany zagospodarowania przestrzennego udostępniane są w systemie SOPAB poprzez moduł mapowy. </w:t>
            </w:r>
          </w:p>
          <w:p w:rsidR="0002265C" w:rsidRPr="00BC091E" w:rsidRDefault="0002265C" w:rsidP="0002265C">
            <w:pPr>
              <w:jc w:val="both"/>
              <w:rPr>
                <w:bCs/>
                <w:i/>
                <w:sz w:val="18"/>
                <w:szCs w:val="20"/>
              </w:rPr>
            </w:pPr>
            <w:r w:rsidRPr="00BC091E">
              <w:rPr>
                <w:bCs/>
                <w:i/>
                <w:sz w:val="18"/>
                <w:szCs w:val="20"/>
              </w:rPr>
              <w:t xml:space="preserve"> </w:t>
            </w:r>
          </w:p>
          <w:p w:rsidR="0002265C" w:rsidRPr="00BC091E" w:rsidRDefault="0002265C" w:rsidP="0002265C">
            <w:pPr>
              <w:jc w:val="both"/>
              <w:rPr>
                <w:bCs/>
                <w:i/>
                <w:sz w:val="18"/>
                <w:szCs w:val="20"/>
              </w:rPr>
            </w:pPr>
            <w:r>
              <w:rPr>
                <w:bCs/>
                <w:i/>
                <w:sz w:val="18"/>
                <w:szCs w:val="20"/>
              </w:rPr>
              <w:t xml:space="preserve">16. </w:t>
            </w:r>
            <w:r w:rsidRPr="00BC091E">
              <w:rPr>
                <w:bCs/>
                <w:i/>
                <w:sz w:val="18"/>
                <w:szCs w:val="20"/>
              </w:rPr>
              <w:t xml:space="preserve">Lokalny system dziedzinowy  </w:t>
            </w:r>
          </w:p>
          <w:p w:rsidR="0002265C" w:rsidRPr="00BC091E" w:rsidRDefault="0002265C" w:rsidP="0002265C">
            <w:pPr>
              <w:pStyle w:val="Akapitzlist"/>
              <w:numPr>
                <w:ilvl w:val="0"/>
                <w:numId w:val="20"/>
              </w:numPr>
              <w:jc w:val="both"/>
              <w:rPr>
                <w:bCs/>
                <w:i/>
                <w:sz w:val="18"/>
                <w:szCs w:val="20"/>
              </w:rPr>
            </w:pPr>
            <w:r w:rsidRPr="00BC091E">
              <w:rPr>
                <w:bCs/>
                <w:i/>
                <w:sz w:val="18"/>
                <w:szCs w:val="20"/>
              </w:rPr>
              <w:t>Opis zależności: korzystanie z danych dotyczących prowadzonych postępowań, dane z rejestrów i ewidencji prowadzonych w systemach lokalnych.</w:t>
            </w:r>
          </w:p>
          <w:p w:rsidR="0002265C" w:rsidRPr="007F27AF" w:rsidRDefault="0002265C" w:rsidP="0002265C">
            <w:pPr>
              <w:pStyle w:val="Akapitzlist"/>
              <w:numPr>
                <w:ilvl w:val="0"/>
                <w:numId w:val="7"/>
              </w:numPr>
              <w:jc w:val="both"/>
              <w:rPr>
                <w:bCs/>
                <w:i/>
                <w:sz w:val="18"/>
                <w:szCs w:val="20"/>
              </w:rPr>
            </w:pPr>
            <w:r w:rsidRPr="00BC091E">
              <w:rPr>
                <w:bCs/>
                <w:i/>
                <w:sz w:val="18"/>
                <w:szCs w:val="20"/>
              </w:rPr>
              <w:t xml:space="preserve">Aktualny status integracji: SOAPB MVP udostępnia API, które pozwalają na połączenie się z systemem SOAPB i przesłanie do niego danych w postępowaniach.  </w:t>
            </w: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Default="0002265C" w:rsidP="0002265C">
            <w:pPr>
              <w:rPr>
                <w:sz w:val="18"/>
                <w:szCs w:val="20"/>
              </w:rPr>
            </w:pPr>
            <w:r>
              <w:rPr>
                <w:sz w:val="18"/>
                <w:szCs w:val="20"/>
              </w:rPr>
              <w:t>Zapewnienie utrzymania projektu (w okresie trwałości)</w:t>
            </w:r>
          </w:p>
        </w:tc>
        <w:tc>
          <w:tcPr>
            <w:tcW w:w="7030" w:type="dxa"/>
          </w:tcPr>
          <w:p w:rsidR="0002265C" w:rsidRDefault="0002265C" w:rsidP="0002265C">
            <w:pPr>
              <w:jc w:val="both"/>
              <w:rPr>
                <w:bCs/>
                <w:i/>
                <w:sz w:val="18"/>
                <w:szCs w:val="20"/>
              </w:rPr>
            </w:pPr>
            <w:r>
              <w:rPr>
                <w:bCs/>
                <w:i/>
                <w:sz w:val="18"/>
                <w:szCs w:val="20"/>
              </w:rPr>
              <w:t xml:space="preserve">&lt;Należy wskazać, w jaki sposób zostały zapewnione środki na utrzymanie produktów/rezultatów projektu po jego zakończenie. W przypadku projektów dofinansowanych ze środków UE, należy wskazać sposób zabezpieczenia środków na utrzymanie projektu w okresie trwałości (zgodnie z wymogami danego programu operacyjnego); </w:t>
            </w:r>
            <w:r>
              <w:rPr>
                <w:i/>
                <w:sz w:val="18"/>
                <w:szCs w:val="20"/>
              </w:rPr>
              <w:t>maksymalnie 3000 znaków</w:t>
            </w:r>
            <w:r>
              <w:rPr>
                <w:bCs/>
                <w:i/>
                <w:sz w:val="18"/>
                <w:szCs w:val="20"/>
              </w:rPr>
              <w:t>&gt;</w:t>
            </w:r>
          </w:p>
          <w:p w:rsidR="0002265C" w:rsidRDefault="0002265C" w:rsidP="0002265C">
            <w:pPr>
              <w:jc w:val="both"/>
              <w:rPr>
                <w:bCs/>
                <w:i/>
                <w:sz w:val="18"/>
                <w:szCs w:val="20"/>
              </w:rPr>
            </w:pPr>
          </w:p>
          <w:p w:rsidR="0002265C" w:rsidRDefault="0002265C" w:rsidP="0002265C">
            <w:pPr>
              <w:jc w:val="both"/>
              <w:rPr>
                <w:bCs/>
                <w:sz w:val="18"/>
                <w:szCs w:val="20"/>
              </w:rPr>
            </w:pPr>
            <w:r w:rsidRPr="00FA7CD5">
              <w:rPr>
                <w:bCs/>
                <w:sz w:val="18"/>
                <w:szCs w:val="20"/>
              </w:rPr>
              <w:t>Utrzymanie i rozwój funkcjonowania SOPAB w okresie trwałości zostanie zapewniony przez Wnioskodawcę, a finansowanie zostanie zrealizowane w ramach środków budżetowych GUNB (część 18 budżetu – budownictwo), jako jednostki administracji centralnej. Zakłada się, iż ewentualne zwiększone koszty rozwojowe systemu zostaną zaplanowane i sfinansowane z dodatkowej puli środków budżetowych GUNB.</w:t>
            </w:r>
          </w:p>
          <w:p w:rsidR="0002265C" w:rsidRDefault="0002265C" w:rsidP="0002265C">
            <w:pPr>
              <w:jc w:val="both"/>
              <w:rPr>
                <w:bCs/>
                <w:sz w:val="18"/>
                <w:szCs w:val="20"/>
              </w:rPr>
            </w:pPr>
          </w:p>
          <w:p w:rsidR="0002265C" w:rsidRPr="00FA7CD5" w:rsidRDefault="0002265C" w:rsidP="0002265C">
            <w:pPr>
              <w:jc w:val="both"/>
              <w:rPr>
                <w:bCs/>
                <w:sz w:val="18"/>
                <w:szCs w:val="20"/>
              </w:rPr>
            </w:pPr>
            <w:r w:rsidRPr="00FA7CD5">
              <w:rPr>
                <w:bCs/>
                <w:sz w:val="18"/>
                <w:szCs w:val="20"/>
              </w:rPr>
              <w:t>Na etapie eksploatacji w projekcie przewidziano ponoszenie kosztów eksploatacyjnych.</w:t>
            </w:r>
          </w:p>
          <w:p w:rsidR="0002265C" w:rsidRPr="00FA7CD5" w:rsidRDefault="0002265C" w:rsidP="0002265C">
            <w:pPr>
              <w:jc w:val="both"/>
              <w:rPr>
                <w:bCs/>
                <w:sz w:val="18"/>
                <w:szCs w:val="20"/>
              </w:rPr>
            </w:pPr>
            <w:r w:rsidRPr="00FA7CD5">
              <w:rPr>
                <w:bCs/>
                <w:sz w:val="18"/>
                <w:szCs w:val="20"/>
              </w:rPr>
              <w:t>Jako części składowe kosztów utrzymania przyjęto:</w:t>
            </w:r>
          </w:p>
          <w:p w:rsidR="0002265C" w:rsidRPr="00FA7CD5" w:rsidRDefault="0002265C" w:rsidP="0002265C">
            <w:pPr>
              <w:jc w:val="both"/>
              <w:rPr>
                <w:bCs/>
                <w:sz w:val="18"/>
                <w:szCs w:val="20"/>
              </w:rPr>
            </w:pPr>
            <w:r w:rsidRPr="00FA7CD5">
              <w:rPr>
                <w:bCs/>
                <w:sz w:val="18"/>
                <w:szCs w:val="20"/>
              </w:rPr>
              <w:t>• koszty usługi PaaS,</w:t>
            </w:r>
          </w:p>
          <w:p w:rsidR="0002265C" w:rsidRPr="00FA7CD5" w:rsidRDefault="0002265C" w:rsidP="0002265C">
            <w:pPr>
              <w:jc w:val="both"/>
              <w:rPr>
                <w:bCs/>
                <w:sz w:val="18"/>
                <w:szCs w:val="20"/>
              </w:rPr>
            </w:pPr>
            <w:r w:rsidRPr="00FA7CD5">
              <w:rPr>
                <w:bCs/>
                <w:sz w:val="18"/>
                <w:szCs w:val="20"/>
              </w:rPr>
              <w:t>• koszty usługi utrzymania i rozwoju systemu SOPAB,</w:t>
            </w:r>
          </w:p>
          <w:p w:rsidR="0002265C" w:rsidRPr="00FA7CD5" w:rsidRDefault="0002265C" w:rsidP="0002265C">
            <w:pPr>
              <w:jc w:val="both"/>
              <w:rPr>
                <w:bCs/>
                <w:sz w:val="18"/>
                <w:szCs w:val="20"/>
              </w:rPr>
            </w:pPr>
            <w:r w:rsidRPr="00FA7CD5">
              <w:rPr>
                <w:bCs/>
                <w:sz w:val="18"/>
                <w:szCs w:val="20"/>
              </w:rPr>
              <w:t>• koszty zespołu utrzymania po stronie Zamawiającego,</w:t>
            </w:r>
          </w:p>
          <w:p w:rsidR="0002265C" w:rsidRPr="00FA7CD5" w:rsidRDefault="0002265C" w:rsidP="0002265C">
            <w:pPr>
              <w:jc w:val="both"/>
              <w:rPr>
                <w:bCs/>
                <w:sz w:val="18"/>
                <w:szCs w:val="20"/>
              </w:rPr>
            </w:pPr>
            <w:r w:rsidRPr="00FA7CD5">
              <w:rPr>
                <w:bCs/>
                <w:sz w:val="18"/>
                <w:szCs w:val="20"/>
              </w:rPr>
              <w:t>• koszty szkoleń,</w:t>
            </w:r>
          </w:p>
          <w:p w:rsidR="0002265C" w:rsidRPr="00FA7CD5" w:rsidRDefault="0002265C" w:rsidP="0002265C">
            <w:pPr>
              <w:jc w:val="both"/>
              <w:rPr>
                <w:bCs/>
                <w:sz w:val="18"/>
                <w:szCs w:val="20"/>
              </w:rPr>
            </w:pPr>
            <w:r w:rsidRPr="00FA7CD5">
              <w:rPr>
                <w:bCs/>
                <w:sz w:val="18"/>
                <w:szCs w:val="20"/>
              </w:rPr>
              <w:t>• koszty badań zadowolenia użytkowników,</w:t>
            </w:r>
          </w:p>
          <w:p w:rsidR="0002265C" w:rsidRDefault="0002265C" w:rsidP="0002265C">
            <w:pPr>
              <w:jc w:val="both"/>
              <w:rPr>
                <w:bCs/>
                <w:sz w:val="18"/>
                <w:szCs w:val="20"/>
              </w:rPr>
            </w:pPr>
            <w:r w:rsidRPr="00FA7CD5">
              <w:rPr>
                <w:bCs/>
                <w:sz w:val="18"/>
                <w:szCs w:val="20"/>
              </w:rPr>
              <w:t>• koszty centrum kontaktu (helpdesk I, II, III linii, infolinia),</w:t>
            </w:r>
          </w:p>
          <w:p w:rsidR="0002265C" w:rsidRPr="00FA7CD5" w:rsidRDefault="0002265C" w:rsidP="0002265C">
            <w:pPr>
              <w:jc w:val="both"/>
              <w:rPr>
                <w:bCs/>
                <w:sz w:val="18"/>
                <w:szCs w:val="20"/>
              </w:rPr>
            </w:pPr>
          </w:p>
          <w:p w:rsidR="0002265C" w:rsidRDefault="0002265C" w:rsidP="0002265C">
            <w:pPr>
              <w:jc w:val="both"/>
              <w:rPr>
                <w:bCs/>
                <w:sz w:val="18"/>
                <w:szCs w:val="20"/>
              </w:rPr>
            </w:pPr>
            <w:r w:rsidRPr="00FA7CD5">
              <w:rPr>
                <w:bCs/>
                <w:sz w:val="18"/>
                <w:szCs w:val="20"/>
              </w:rPr>
              <w:t xml:space="preserve">Koszty usługi PaaS - utrzymania infrastruktury chmurowej - zostały obliczone na podstawie szacunków cenowych potencjalnych wykonawców. Wykonawcom przekazana została wymagana wydajność systemu (ilość </w:t>
            </w:r>
            <w:proofErr w:type="spellStart"/>
            <w:r w:rsidRPr="00FA7CD5">
              <w:rPr>
                <w:bCs/>
                <w:sz w:val="18"/>
                <w:szCs w:val="20"/>
              </w:rPr>
              <w:t>odwołań</w:t>
            </w:r>
            <w:proofErr w:type="spellEnd"/>
            <w:r w:rsidRPr="00FA7CD5">
              <w:rPr>
                <w:bCs/>
                <w:sz w:val="18"/>
                <w:szCs w:val="20"/>
              </w:rPr>
              <w:t xml:space="preserve"> na godzinę), określona przez zatrudnionego w GUNB administratora infrastruktury w oparciu o planowaną ilość użytkowników systemu oraz dane z systemu referencyjnych. Miesięczny koszt usługi chmurowej został wyceniony średnio na 36 900 zł (brutto), rocznie 442 800 zł (brutto).</w:t>
            </w:r>
          </w:p>
          <w:p w:rsidR="0002265C" w:rsidRPr="00FA7CD5" w:rsidRDefault="0002265C" w:rsidP="0002265C">
            <w:pPr>
              <w:jc w:val="both"/>
              <w:rPr>
                <w:bCs/>
                <w:sz w:val="18"/>
                <w:szCs w:val="20"/>
              </w:rPr>
            </w:pPr>
          </w:p>
          <w:p w:rsidR="0002265C" w:rsidRDefault="0002265C" w:rsidP="0002265C">
            <w:pPr>
              <w:jc w:val="both"/>
              <w:rPr>
                <w:bCs/>
                <w:sz w:val="18"/>
                <w:szCs w:val="20"/>
              </w:rPr>
            </w:pPr>
            <w:r w:rsidRPr="00FA7CD5">
              <w:rPr>
                <w:bCs/>
                <w:sz w:val="18"/>
                <w:szCs w:val="20"/>
              </w:rPr>
              <w:t>Koszt usługi utrzymania i rozwoju, obejmujący okres do 30 miesięcy po odbiorze systemu, w wysokości 5 000 h, został wyceniony na podstawie ofert przetargowych złożonych przez potencjalnych Wykonawców systemu SOPAB (średnio 522 750 tyś zł brutto). Po tym terminie, na dalszy okres trwałości projektu na usługę utrzymania i rozwoju rozpisany zostanie przetarg, przy czym przyjęto, że koszty te lekko wzrosną.</w:t>
            </w:r>
          </w:p>
          <w:p w:rsidR="0002265C" w:rsidRPr="00FA7CD5" w:rsidRDefault="0002265C" w:rsidP="0002265C">
            <w:pPr>
              <w:jc w:val="both"/>
              <w:rPr>
                <w:bCs/>
                <w:sz w:val="18"/>
                <w:szCs w:val="20"/>
              </w:rPr>
            </w:pPr>
          </w:p>
          <w:p w:rsidR="0002265C" w:rsidRPr="00FA7CD5" w:rsidRDefault="0002265C" w:rsidP="0002265C">
            <w:pPr>
              <w:jc w:val="both"/>
              <w:rPr>
                <w:bCs/>
                <w:sz w:val="18"/>
                <w:szCs w:val="20"/>
              </w:rPr>
            </w:pPr>
            <w:r w:rsidRPr="00FA7CD5">
              <w:rPr>
                <w:bCs/>
                <w:sz w:val="18"/>
                <w:szCs w:val="20"/>
              </w:rPr>
              <w:t xml:space="preserve">Za utrzymanie systemu po stronie Zamawiającego odpowiadał będzie zespół utrzymania, złożony ze specjalistów z różnych obszarów, osób, które wcześniej były członkami zespołu </w:t>
            </w:r>
            <w:r w:rsidRPr="00FA7CD5">
              <w:rPr>
                <w:bCs/>
                <w:sz w:val="18"/>
                <w:szCs w:val="20"/>
              </w:rPr>
              <w:lastRenderedPageBreak/>
              <w:t>projektowego GUNB i brały czynny udział w pracach związanych ze specyfikowaniem, wytwarzaniem i wdrażaniem systemu SOPAB oraz odpowiednio przeszkolonych, a także z osób zatrudnionych na czas trwania projektu. Przewiduje się</w:t>
            </w:r>
            <w:r>
              <w:rPr>
                <w:bCs/>
                <w:sz w:val="18"/>
                <w:szCs w:val="20"/>
              </w:rPr>
              <w:t xml:space="preserve"> przeznaczenie na ten cel kwoty </w:t>
            </w:r>
            <w:r w:rsidRPr="00FA7CD5">
              <w:rPr>
                <w:bCs/>
                <w:sz w:val="18"/>
                <w:szCs w:val="20"/>
              </w:rPr>
              <w:t>brutto około 1 400</w:t>
            </w:r>
            <w:r>
              <w:rPr>
                <w:bCs/>
                <w:sz w:val="18"/>
                <w:szCs w:val="20"/>
              </w:rPr>
              <w:t> </w:t>
            </w:r>
            <w:r w:rsidRPr="00FA7CD5">
              <w:rPr>
                <w:bCs/>
                <w:sz w:val="18"/>
                <w:szCs w:val="20"/>
              </w:rPr>
              <w:t>000</w:t>
            </w:r>
            <w:r>
              <w:rPr>
                <w:bCs/>
                <w:sz w:val="18"/>
                <w:szCs w:val="20"/>
              </w:rPr>
              <w:t xml:space="preserve"> zł</w:t>
            </w:r>
            <w:r w:rsidRPr="00FA7CD5">
              <w:rPr>
                <w:bCs/>
                <w:sz w:val="18"/>
                <w:szCs w:val="20"/>
              </w:rPr>
              <w:t xml:space="preserve"> rocznie. Kwoty wynagrodzeń wyliczane są w oparciu o parametry, przy użyciu których szacowano wynagrodzenia zespołu projektowego w czasie trwania projektu. W celu zapewnienia właściwej obsługi systemu w okresie eksploatacji zakłada się możliwość korzystania z usługi </w:t>
            </w:r>
            <w:proofErr w:type="spellStart"/>
            <w:r w:rsidRPr="00FA7CD5">
              <w:rPr>
                <w:bCs/>
                <w:sz w:val="18"/>
                <w:szCs w:val="20"/>
              </w:rPr>
              <w:t>bodyleasingu</w:t>
            </w:r>
            <w:proofErr w:type="spellEnd"/>
            <w:r w:rsidRPr="00FA7CD5">
              <w:rPr>
                <w:bCs/>
                <w:sz w:val="18"/>
                <w:szCs w:val="20"/>
              </w:rPr>
              <w:t>, w związku z tym muszą one odpowiadać realiom rynkowym.</w:t>
            </w:r>
          </w:p>
          <w:p w:rsidR="0002265C" w:rsidRDefault="0002265C" w:rsidP="0002265C">
            <w:pPr>
              <w:jc w:val="both"/>
              <w:rPr>
                <w:bCs/>
                <w:sz w:val="18"/>
                <w:szCs w:val="20"/>
              </w:rPr>
            </w:pPr>
          </w:p>
          <w:p w:rsidR="0002265C" w:rsidRPr="00FA7CD5" w:rsidRDefault="0002265C" w:rsidP="0002265C">
            <w:pPr>
              <w:jc w:val="both"/>
              <w:rPr>
                <w:bCs/>
                <w:sz w:val="18"/>
                <w:szCs w:val="20"/>
              </w:rPr>
            </w:pPr>
            <w:r w:rsidRPr="00FA7CD5">
              <w:rPr>
                <w:bCs/>
                <w:sz w:val="18"/>
                <w:szCs w:val="20"/>
              </w:rPr>
              <w:t>Koszty szkoleń obejmują: koszty szkoleń dla użytkowników z obsługi systemu, aktualizację e-learningu w związku z potrzebami użytkowników oraz rozwojem systemu, szkolenia specjalistyczne dla zespołu utrzymania Zamawiającego, w tym dla administratorów IT –</w:t>
            </w:r>
            <w:r>
              <w:rPr>
                <w:bCs/>
                <w:sz w:val="18"/>
                <w:szCs w:val="20"/>
              </w:rPr>
              <w:t xml:space="preserve"> </w:t>
            </w:r>
            <w:r w:rsidRPr="00FA7CD5">
              <w:rPr>
                <w:bCs/>
                <w:sz w:val="18"/>
                <w:szCs w:val="20"/>
              </w:rPr>
              <w:t>organizowane w miarę bieżących potrzeb. Na szkolenia przyjęto łączną kwotę 1</w:t>
            </w:r>
            <w:r>
              <w:rPr>
                <w:bCs/>
                <w:sz w:val="18"/>
                <w:szCs w:val="20"/>
              </w:rPr>
              <w:t xml:space="preserve"> </w:t>
            </w:r>
            <w:r w:rsidRPr="00FA7CD5">
              <w:rPr>
                <w:bCs/>
                <w:sz w:val="18"/>
                <w:szCs w:val="20"/>
              </w:rPr>
              <w:t>600 000 zł za całość okresu trwałości, na podstawie wycen szkoleń</w:t>
            </w:r>
            <w:r>
              <w:rPr>
                <w:bCs/>
                <w:sz w:val="18"/>
                <w:szCs w:val="20"/>
              </w:rPr>
              <w:t>.</w:t>
            </w:r>
          </w:p>
          <w:p w:rsidR="0002265C" w:rsidRDefault="0002265C" w:rsidP="0002265C">
            <w:pPr>
              <w:jc w:val="both"/>
              <w:rPr>
                <w:bCs/>
                <w:sz w:val="18"/>
                <w:szCs w:val="20"/>
              </w:rPr>
            </w:pPr>
          </w:p>
          <w:p w:rsidR="0002265C" w:rsidRDefault="0002265C" w:rsidP="0002265C">
            <w:pPr>
              <w:jc w:val="both"/>
              <w:rPr>
                <w:bCs/>
                <w:sz w:val="18"/>
                <w:szCs w:val="20"/>
              </w:rPr>
            </w:pPr>
            <w:r w:rsidRPr="00FA7CD5">
              <w:rPr>
                <w:bCs/>
                <w:sz w:val="18"/>
                <w:szCs w:val="20"/>
              </w:rPr>
              <w:t>Przewidziane zostało regularne prowadzenie badań zadowolenia użytkowników. Zaplanowano na nie kwotę 250 000 zł rocznie, bazując na dotychczas zamawianych przez GUNB badaniach UX czy też badaniach opinii.</w:t>
            </w:r>
          </w:p>
          <w:p w:rsidR="0002265C" w:rsidRPr="00FA7CD5" w:rsidRDefault="0002265C" w:rsidP="0002265C">
            <w:pPr>
              <w:jc w:val="both"/>
              <w:rPr>
                <w:bCs/>
                <w:sz w:val="18"/>
                <w:szCs w:val="20"/>
              </w:rPr>
            </w:pPr>
          </w:p>
          <w:p w:rsidR="0002265C" w:rsidRDefault="0002265C" w:rsidP="0002265C">
            <w:pPr>
              <w:jc w:val="both"/>
              <w:rPr>
                <w:bCs/>
                <w:sz w:val="18"/>
                <w:szCs w:val="20"/>
              </w:rPr>
            </w:pPr>
            <w:r w:rsidRPr="00FA7CD5">
              <w:rPr>
                <w:bCs/>
                <w:sz w:val="18"/>
                <w:szCs w:val="20"/>
              </w:rPr>
              <w:t>Ostatnim kosztem jest obsługa helpdesk oraz Centrum Kontaktu. Na podstawie projektów referencyjnych oraz wycen usług oferowanych przez dostawców komercyjnych przyjęto roczną kwotę 90 000 zł.</w:t>
            </w:r>
          </w:p>
          <w:p w:rsidR="0002265C" w:rsidRDefault="0002265C" w:rsidP="0002265C">
            <w:pPr>
              <w:jc w:val="both"/>
              <w:rPr>
                <w:bCs/>
                <w:sz w:val="18"/>
                <w:szCs w:val="20"/>
              </w:rPr>
            </w:pPr>
          </w:p>
          <w:p w:rsidR="0002265C" w:rsidRPr="007F27AF" w:rsidRDefault="0002265C" w:rsidP="0002265C">
            <w:pPr>
              <w:jc w:val="both"/>
              <w:rPr>
                <w:bCs/>
                <w:sz w:val="18"/>
                <w:szCs w:val="20"/>
              </w:rPr>
            </w:pPr>
            <w:r>
              <w:rPr>
                <w:bCs/>
                <w:sz w:val="18"/>
                <w:szCs w:val="20"/>
              </w:rPr>
              <w:t>W związku z powyższym roczny koszt utrzymania trwałości Systemu oceniono na 3 050 386,20 zł.</w:t>
            </w:r>
          </w:p>
          <w:p w:rsidR="0002265C" w:rsidRDefault="0002265C" w:rsidP="0002265C">
            <w:pPr>
              <w:jc w:val="both"/>
              <w:rPr>
                <w:bCs/>
                <w:i/>
                <w:sz w:val="18"/>
                <w:szCs w:val="20"/>
              </w:rPr>
            </w:pPr>
          </w:p>
        </w:tc>
      </w:tr>
      <w:tr w:rsidR="0002265C" w:rsidRPr="002450C4" w:rsidTr="0002265C">
        <w:tc>
          <w:tcPr>
            <w:tcW w:w="440" w:type="dxa"/>
          </w:tcPr>
          <w:p w:rsidR="0002265C" w:rsidRPr="002450C4" w:rsidRDefault="0002265C" w:rsidP="0002265C">
            <w:pPr>
              <w:pStyle w:val="Akapitzlist"/>
              <w:numPr>
                <w:ilvl w:val="0"/>
                <w:numId w:val="1"/>
              </w:numPr>
              <w:rPr>
                <w:sz w:val="18"/>
                <w:szCs w:val="20"/>
              </w:rPr>
            </w:pPr>
          </w:p>
        </w:tc>
        <w:tc>
          <w:tcPr>
            <w:tcW w:w="1592" w:type="dxa"/>
          </w:tcPr>
          <w:p w:rsidR="0002265C" w:rsidRDefault="0002265C" w:rsidP="0002265C">
            <w:pPr>
              <w:rPr>
                <w:sz w:val="18"/>
                <w:szCs w:val="20"/>
              </w:rPr>
            </w:pPr>
            <w:r>
              <w:rPr>
                <w:sz w:val="18"/>
                <w:szCs w:val="20"/>
              </w:rPr>
              <w:t>Doświadczenia związane z realizacją projektu</w:t>
            </w:r>
          </w:p>
        </w:tc>
        <w:tc>
          <w:tcPr>
            <w:tcW w:w="7030" w:type="dxa"/>
          </w:tcPr>
          <w:p w:rsidR="0002265C" w:rsidRDefault="0002265C" w:rsidP="0002265C">
            <w:pPr>
              <w:jc w:val="both"/>
              <w:rPr>
                <w:bCs/>
                <w:i/>
                <w:sz w:val="18"/>
                <w:szCs w:val="20"/>
              </w:rPr>
            </w:pPr>
            <w:r>
              <w:rPr>
                <w:bCs/>
                <w:i/>
                <w:sz w:val="18"/>
                <w:szCs w:val="20"/>
              </w:rPr>
              <w:t xml:space="preserve">&lt;Należy przedstawić najważniejsze doświadczenia związane z realizacją i zarządzaniem projektem (zarówno pozytywne, jak i negatywne), dobre praktyki, wnioski z realizacji projektu, które mogą być wykorzystane przy realizacji innych projektów przez danego wnioskodawcę oraz inne instytucje; </w:t>
            </w:r>
            <w:r>
              <w:rPr>
                <w:i/>
                <w:sz w:val="18"/>
                <w:szCs w:val="20"/>
              </w:rPr>
              <w:t>maksymalnie 3000 znaków</w:t>
            </w:r>
            <w:r>
              <w:rPr>
                <w:bCs/>
                <w:i/>
                <w:sz w:val="18"/>
                <w:szCs w:val="20"/>
              </w:rPr>
              <w:t>&gt;</w:t>
            </w:r>
          </w:p>
          <w:p w:rsidR="0002265C" w:rsidRDefault="0002265C" w:rsidP="0002265C">
            <w:pPr>
              <w:jc w:val="both"/>
              <w:rPr>
                <w:bCs/>
                <w:i/>
                <w:sz w:val="18"/>
                <w:szCs w:val="20"/>
              </w:rPr>
            </w:pPr>
          </w:p>
          <w:p w:rsidR="0002265C" w:rsidRPr="00FA7CD5" w:rsidRDefault="0002265C" w:rsidP="0002265C">
            <w:pPr>
              <w:jc w:val="both"/>
              <w:rPr>
                <w:bCs/>
                <w:sz w:val="18"/>
                <w:szCs w:val="20"/>
              </w:rPr>
            </w:pPr>
            <w:r w:rsidRPr="00FA7CD5">
              <w:rPr>
                <w:bCs/>
                <w:sz w:val="18"/>
                <w:szCs w:val="20"/>
              </w:rPr>
              <w:t>Realizacja projektu pokazała konieczność planowania z odpowiednim wyprzedzeniem</w:t>
            </w:r>
          </w:p>
          <w:p w:rsidR="0002265C" w:rsidRPr="00FA7CD5" w:rsidRDefault="0002265C" w:rsidP="0002265C">
            <w:pPr>
              <w:jc w:val="both"/>
              <w:rPr>
                <w:bCs/>
                <w:sz w:val="18"/>
                <w:szCs w:val="20"/>
              </w:rPr>
            </w:pPr>
            <w:r w:rsidRPr="00FA7CD5">
              <w:rPr>
                <w:bCs/>
                <w:sz w:val="18"/>
                <w:szCs w:val="20"/>
              </w:rPr>
              <w:t>sposobu utrzymania i rozwoju tak rozległego i skomplikowanego rozwiązania</w:t>
            </w:r>
          </w:p>
          <w:p w:rsidR="0002265C" w:rsidRDefault="0002265C" w:rsidP="0002265C">
            <w:pPr>
              <w:jc w:val="both"/>
              <w:rPr>
                <w:bCs/>
                <w:sz w:val="18"/>
                <w:szCs w:val="20"/>
              </w:rPr>
            </w:pPr>
            <w:r w:rsidRPr="00FA7CD5">
              <w:rPr>
                <w:bCs/>
                <w:sz w:val="18"/>
                <w:szCs w:val="20"/>
              </w:rPr>
              <w:t xml:space="preserve">informatycznego. </w:t>
            </w:r>
          </w:p>
          <w:p w:rsidR="0002265C" w:rsidRDefault="0002265C" w:rsidP="0002265C">
            <w:pPr>
              <w:jc w:val="both"/>
              <w:rPr>
                <w:bCs/>
                <w:sz w:val="18"/>
                <w:szCs w:val="20"/>
              </w:rPr>
            </w:pPr>
          </w:p>
          <w:p w:rsidR="0002265C" w:rsidRDefault="0002265C" w:rsidP="0002265C">
            <w:pPr>
              <w:jc w:val="both"/>
              <w:rPr>
                <w:bCs/>
                <w:sz w:val="18"/>
                <w:szCs w:val="20"/>
              </w:rPr>
            </w:pPr>
            <w:r w:rsidRPr="00FA7CD5">
              <w:rPr>
                <w:bCs/>
                <w:sz w:val="18"/>
                <w:szCs w:val="20"/>
              </w:rPr>
              <w:t>Niezbędnym do</w:t>
            </w:r>
            <w:r>
              <w:rPr>
                <w:bCs/>
                <w:sz w:val="18"/>
                <w:szCs w:val="20"/>
              </w:rPr>
              <w:t xml:space="preserve"> osiągnięcia planowanych rezultatów jest włączenie prace nad systemem przyszłych użytkowników Systemu.</w:t>
            </w:r>
          </w:p>
          <w:p w:rsidR="0002265C" w:rsidRDefault="0002265C" w:rsidP="0002265C">
            <w:pPr>
              <w:jc w:val="both"/>
              <w:rPr>
                <w:bCs/>
                <w:sz w:val="18"/>
                <w:szCs w:val="20"/>
              </w:rPr>
            </w:pPr>
          </w:p>
          <w:p w:rsidR="0002265C" w:rsidRPr="00010188" w:rsidRDefault="0002265C" w:rsidP="0002265C">
            <w:pPr>
              <w:jc w:val="both"/>
              <w:rPr>
                <w:bCs/>
                <w:sz w:val="18"/>
                <w:szCs w:val="20"/>
              </w:rPr>
            </w:pPr>
            <w:r>
              <w:rPr>
                <w:bCs/>
                <w:sz w:val="18"/>
                <w:szCs w:val="20"/>
              </w:rPr>
              <w:t>Wykorzystanie do realizacji projektu pracowników zatrudnionych poprzez body leasing powinno następować w zaplanowanym z góry zakresie, na dłuższy czas, aby możliwe był pełne wykorzystanie ich potencjału w ramach zespołu projektowego.</w:t>
            </w:r>
          </w:p>
        </w:tc>
      </w:tr>
    </w:tbl>
    <w:p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New Roman">
    <w:altName w:val="Arial Unicode MS"/>
    <w:panose1 w:val="00000000000000000000"/>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84D1180"/>
    <w:multiLevelType w:val="hybridMultilevel"/>
    <w:tmpl w:val="2410E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8051C9"/>
    <w:multiLevelType w:val="hybridMultilevel"/>
    <w:tmpl w:val="86D4F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225DE8"/>
    <w:multiLevelType w:val="hybridMultilevel"/>
    <w:tmpl w:val="9E8E1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CE1AC0"/>
    <w:multiLevelType w:val="hybridMultilevel"/>
    <w:tmpl w:val="C6C62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7035EF"/>
    <w:multiLevelType w:val="hybridMultilevel"/>
    <w:tmpl w:val="9092D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3A714F"/>
    <w:multiLevelType w:val="hybridMultilevel"/>
    <w:tmpl w:val="4AF27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6DB0DF5"/>
    <w:multiLevelType w:val="hybridMultilevel"/>
    <w:tmpl w:val="3C888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9CB2412"/>
    <w:multiLevelType w:val="hybridMultilevel"/>
    <w:tmpl w:val="4E0477DE"/>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F8F74F7"/>
    <w:multiLevelType w:val="hybridMultilevel"/>
    <w:tmpl w:val="167E3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48D613C"/>
    <w:multiLevelType w:val="hybridMultilevel"/>
    <w:tmpl w:val="18BE8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55B24AC1"/>
    <w:multiLevelType w:val="hybridMultilevel"/>
    <w:tmpl w:val="3F3EA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8044871"/>
    <w:multiLevelType w:val="hybridMultilevel"/>
    <w:tmpl w:val="B606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BD96FE6"/>
    <w:multiLevelType w:val="hybridMultilevel"/>
    <w:tmpl w:val="41D02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F13073D"/>
    <w:multiLevelType w:val="hybridMultilevel"/>
    <w:tmpl w:val="1424E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5603769"/>
    <w:multiLevelType w:val="hybridMultilevel"/>
    <w:tmpl w:val="87F89A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4"/>
  </w:num>
  <w:num w:numId="5">
    <w:abstractNumId w:val="12"/>
  </w:num>
  <w:num w:numId="6">
    <w:abstractNumId w:val="19"/>
  </w:num>
  <w:num w:numId="7">
    <w:abstractNumId w:val="18"/>
  </w:num>
  <w:num w:numId="8">
    <w:abstractNumId w:val="20"/>
  </w:num>
  <w:num w:numId="9">
    <w:abstractNumId w:val="8"/>
  </w:num>
  <w:num w:numId="10">
    <w:abstractNumId w:val="15"/>
  </w:num>
  <w:num w:numId="11">
    <w:abstractNumId w:val="11"/>
  </w:num>
  <w:num w:numId="12">
    <w:abstractNumId w:val="16"/>
  </w:num>
  <w:num w:numId="13">
    <w:abstractNumId w:val="6"/>
  </w:num>
  <w:num w:numId="14">
    <w:abstractNumId w:val="1"/>
  </w:num>
  <w:num w:numId="15">
    <w:abstractNumId w:val="5"/>
  </w:num>
  <w:num w:numId="16">
    <w:abstractNumId w:val="17"/>
  </w:num>
  <w:num w:numId="17">
    <w:abstractNumId w:val="7"/>
  </w:num>
  <w:num w:numId="18">
    <w:abstractNumId w:val="13"/>
  </w:num>
  <w:num w:numId="19">
    <w:abstractNumId w:val="3"/>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10188"/>
    <w:rsid w:val="0002265C"/>
    <w:rsid w:val="00062EFC"/>
    <w:rsid w:val="0007712B"/>
    <w:rsid w:val="000D3CA9"/>
    <w:rsid w:val="000E0C6F"/>
    <w:rsid w:val="001202E8"/>
    <w:rsid w:val="001455E8"/>
    <w:rsid w:val="001600BB"/>
    <w:rsid w:val="001806EC"/>
    <w:rsid w:val="001C611C"/>
    <w:rsid w:val="001C6D7D"/>
    <w:rsid w:val="0021582D"/>
    <w:rsid w:val="0023319F"/>
    <w:rsid w:val="002450C4"/>
    <w:rsid w:val="002A153C"/>
    <w:rsid w:val="002A728C"/>
    <w:rsid w:val="00362DCD"/>
    <w:rsid w:val="003B107D"/>
    <w:rsid w:val="003B7BD6"/>
    <w:rsid w:val="003D7919"/>
    <w:rsid w:val="004046DC"/>
    <w:rsid w:val="004B19FE"/>
    <w:rsid w:val="004D135D"/>
    <w:rsid w:val="0058262E"/>
    <w:rsid w:val="005A4344"/>
    <w:rsid w:val="005D4188"/>
    <w:rsid w:val="00632AA0"/>
    <w:rsid w:val="00643672"/>
    <w:rsid w:val="00687AFE"/>
    <w:rsid w:val="006B7454"/>
    <w:rsid w:val="00716201"/>
    <w:rsid w:val="007408A3"/>
    <w:rsid w:val="00743031"/>
    <w:rsid w:val="007437D9"/>
    <w:rsid w:val="00773523"/>
    <w:rsid w:val="007A0A3D"/>
    <w:rsid w:val="007A22A2"/>
    <w:rsid w:val="007C54F9"/>
    <w:rsid w:val="007E2F1F"/>
    <w:rsid w:val="007E6098"/>
    <w:rsid w:val="007F27AF"/>
    <w:rsid w:val="007F63EF"/>
    <w:rsid w:val="00813FEF"/>
    <w:rsid w:val="00814C23"/>
    <w:rsid w:val="008213A6"/>
    <w:rsid w:val="008632E4"/>
    <w:rsid w:val="008927DE"/>
    <w:rsid w:val="008C36DF"/>
    <w:rsid w:val="008E0416"/>
    <w:rsid w:val="00904E2D"/>
    <w:rsid w:val="00905779"/>
    <w:rsid w:val="0092099A"/>
    <w:rsid w:val="00920CE8"/>
    <w:rsid w:val="00980718"/>
    <w:rsid w:val="00982DC4"/>
    <w:rsid w:val="009D3D41"/>
    <w:rsid w:val="009E1398"/>
    <w:rsid w:val="00A10BBA"/>
    <w:rsid w:val="00A12836"/>
    <w:rsid w:val="00A12F30"/>
    <w:rsid w:val="00A1534B"/>
    <w:rsid w:val="00A522AB"/>
    <w:rsid w:val="00A6601B"/>
    <w:rsid w:val="00A710B2"/>
    <w:rsid w:val="00AA1C73"/>
    <w:rsid w:val="00AB658C"/>
    <w:rsid w:val="00AD238B"/>
    <w:rsid w:val="00B33C04"/>
    <w:rsid w:val="00B57299"/>
    <w:rsid w:val="00B76154"/>
    <w:rsid w:val="00B93735"/>
    <w:rsid w:val="00BC091E"/>
    <w:rsid w:val="00BC120E"/>
    <w:rsid w:val="00C11029"/>
    <w:rsid w:val="00C37A3A"/>
    <w:rsid w:val="00C42446"/>
    <w:rsid w:val="00C546B0"/>
    <w:rsid w:val="00C56B53"/>
    <w:rsid w:val="00C67B9B"/>
    <w:rsid w:val="00C759B3"/>
    <w:rsid w:val="00C91FCC"/>
    <w:rsid w:val="00C948E6"/>
    <w:rsid w:val="00CA79E4"/>
    <w:rsid w:val="00CF4111"/>
    <w:rsid w:val="00D07452"/>
    <w:rsid w:val="00D22A05"/>
    <w:rsid w:val="00D2582C"/>
    <w:rsid w:val="00D65F79"/>
    <w:rsid w:val="00DB70A5"/>
    <w:rsid w:val="00E30008"/>
    <w:rsid w:val="00E52249"/>
    <w:rsid w:val="00E8758D"/>
    <w:rsid w:val="00EF094D"/>
    <w:rsid w:val="00F32CAA"/>
    <w:rsid w:val="00F741B3"/>
    <w:rsid w:val="00F82254"/>
    <w:rsid w:val="00FA2C7F"/>
    <w:rsid w:val="00FA7CD5"/>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D463A"/>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Normalny PDST,lp1,Preambuła,HŁ_Bullet1"/>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nhideWhenUsed/>
    <w:rsid w:val="00813FEF"/>
    <w:pPr>
      <w:spacing w:line="240" w:lineRule="auto"/>
    </w:pPr>
    <w:rPr>
      <w:sz w:val="20"/>
      <w:szCs w:val="20"/>
    </w:rPr>
  </w:style>
  <w:style w:type="character" w:customStyle="1" w:styleId="TekstkomentarzaZnak">
    <w:name w:val="Tekst komentarza Znak"/>
    <w:basedOn w:val="Domylnaczcionkaakapitu"/>
    <w:link w:val="Tekstkomentarza"/>
    <w:rsid w:val="00813FEF"/>
    <w:rPr>
      <w:sz w:val="20"/>
      <w:szCs w:val="20"/>
    </w:rPr>
  </w:style>
  <w:style w:type="paragraph" w:styleId="Legenda">
    <w:name w:val="caption"/>
    <w:basedOn w:val="Normalny"/>
    <w:next w:val="Normalny"/>
    <w:qFormat/>
    <w:rsid w:val="00C759B3"/>
    <w:pPr>
      <w:widowControl w:val="0"/>
      <w:suppressAutoHyphens/>
      <w:spacing w:after="0" w:line="240" w:lineRule="auto"/>
    </w:pPr>
    <w:rPr>
      <w:rFonts w:ascii="Times New Roman" w:eastAsia="Arial Unicode MS" w:hAnsi="Times New Roman" w:cs="Times New Roman"/>
      <w:b/>
      <w:bCs/>
      <w:kern w:val="1"/>
      <w:sz w:val="24"/>
      <w:szCs w:val="24"/>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7A22A2"/>
  </w:style>
  <w:style w:type="character" w:customStyle="1" w:styleId="Other">
    <w:name w:val="Other_"/>
    <w:basedOn w:val="Domylnaczcionkaakapitu"/>
    <w:link w:val="Other0"/>
    <w:rsid w:val="0002265C"/>
    <w:rPr>
      <w:rFonts w:ascii="Calibri" w:eastAsia="Calibri" w:hAnsi="Calibri" w:cs="Calibri"/>
      <w:sz w:val="18"/>
      <w:szCs w:val="18"/>
    </w:rPr>
  </w:style>
  <w:style w:type="paragraph" w:customStyle="1" w:styleId="Other0">
    <w:name w:val="Other"/>
    <w:basedOn w:val="Normalny"/>
    <w:link w:val="Other"/>
    <w:rsid w:val="0002265C"/>
    <w:pPr>
      <w:widowControl w:val="0"/>
      <w:spacing w:after="0" w:line="240" w:lineRule="auto"/>
    </w:pPr>
    <w:rPr>
      <w:rFonts w:ascii="Calibri" w:eastAsia="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71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2852</Words>
  <Characters>17114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Anna Góźdź</cp:lastModifiedBy>
  <cp:revision>3</cp:revision>
  <dcterms:created xsi:type="dcterms:W3CDTF">2024-04-29T14:51:00Z</dcterms:created>
  <dcterms:modified xsi:type="dcterms:W3CDTF">2024-04-29T14:55:00Z</dcterms:modified>
</cp:coreProperties>
</file>